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05786">
      <w:pPr>
        <w:keepNext w:val="0"/>
        <w:keepLines w:val="0"/>
        <w:pageBreakBefore w:val="0"/>
        <w:wordWrap/>
        <w:overflowPunct w:val="0"/>
        <w:topLinePunct w:val="0"/>
        <w:autoSpaceDE/>
        <w:autoSpaceDN/>
        <w:bidi w:val="0"/>
        <w:adjustRightInd/>
        <w:snapToGrid/>
        <w:spacing w:before="156" w:line="221" w:lineRule="auto"/>
        <w:jc w:val="center"/>
        <w:outlineLvl w:val="9"/>
        <w:rPr>
          <w:rFonts w:hint="eastAsia" w:ascii="Times New Roman" w:hAnsi="Times New Roman" w:eastAsia="黑体" w:cs="黑体"/>
          <w:b/>
          <w:bCs/>
          <w:spacing w:val="-8"/>
          <w:sz w:val="48"/>
          <w:szCs w:val="48"/>
        </w:rPr>
      </w:pPr>
    </w:p>
    <w:p w14:paraId="69E1F2B5">
      <w:pPr>
        <w:keepNext w:val="0"/>
        <w:keepLines w:val="0"/>
        <w:pageBreakBefore w:val="0"/>
        <w:wordWrap/>
        <w:overflowPunct w:val="0"/>
        <w:topLinePunct w:val="0"/>
        <w:autoSpaceDE/>
        <w:autoSpaceDN/>
        <w:bidi w:val="0"/>
        <w:adjustRightInd/>
        <w:snapToGrid/>
        <w:spacing w:before="156" w:line="221" w:lineRule="auto"/>
        <w:jc w:val="center"/>
        <w:outlineLvl w:val="9"/>
        <w:rPr>
          <w:rFonts w:hint="eastAsia" w:ascii="Times New Roman" w:hAnsi="Times New Roman" w:eastAsia="黑体" w:cs="黑体"/>
          <w:b/>
          <w:bCs/>
          <w:spacing w:val="-8"/>
          <w:sz w:val="48"/>
          <w:szCs w:val="48"/>
        </w:rPr>
      </w:pPr>
    </w:p>
    <w:p w14:paraId="39EFF297">
      <w:pPr>
        <w:pStyle w:val="9"/>
        <w:rPr>
          <w:rFonts w:hint="eastAsia" w:ascii="Times New Roman" w:hAnsi="Times New Roman"/>
          <w:sz w:val="44"/>
          <w:szCs w:val="44"/>
        </w:rPr>
      </w:pPr>
    </w:p>
    <w:p w14:paraId="639C98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napToGrid/>
          <w:kern w:val="2"/>
          <w:sz w:val="44"/>
          <w:szCs w:val="44"/>
          <w:lang w:val="en-US" w:eastAsia="zh-CN"/>
        </w:rPr>
      </w:pPr>
      <w:r>
        <w:rPr>
          <w:rFonts w:hint="eastAsia" w:ascii="Times New Roman" w:hAnsi="Times New Roman" w:eastAsia="方正小标宋_GBK" w:cs="方正小标宋_GBK"/>
          <w:snapToGrid/>
          <w:kern w:val="2"/>
          <w:sz w:val="44"/>
          <w:szCs w:val="44"/>
          <w:lang w:val="en-US" w:eastAsia="zh-CN"/>
        </w:rPr>
        <w:t>保定市徐水区工业和信息化局2023年</w:t>
      </w:r>
    </w:p>
    <w:p w14:paraId="4C2308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napToGrid/>
          <w:kern w:val="2"/>
          <w:sz w:val="44"/>
          <w:szCs w:val="44"/>
          <w:lang w:val="en-US" w:eastAsia="zh-CN"/>
        </w:rPr>
      </w:pPr>
      <w:r>
        <w:rPr>
          <w:rFonts w:hint="eastAsia" w:ascii="Times New Roman" w:hAnsi="Times New Roman" w:eastAsia="方正小标宋_GBK" w:cs="方正小标宋_GBK"/>
          <w:snapToGrid/>
          <w:kern w:val="2"/>
          <w:sz w:val="44"/>
          <w:szCs w:val="44"/>
          <w:lang w:val="en-US" w:eastAsia="zh-CN"/>
        </w:rPr>
        <w:t>部门整体绩效评价报告</w:t>
      </w:r>
    </w:p>
    <w:p w14:paraId="53E32381">
      <w:pPr>
        <w:widowControl w:val="0"/>
        <w:kinsoku/>
        <w:autoSpaceDE/>
        <w:autoSpaceDN/>
        <w:adjustRightInd/>
        <w:snapToGrid/>
        <w:spacing w:line="240" w:lineRule="auto"/>
        <w:jc w:val="center"/>
        <w:textAlignment w:val="auto"/>
        <w:rPr>
          <w:rFonts w:hint="default" w:ascii="Times New Roman" w:hAnsi="Times New Roman" w:eastAsia="方正楷体_GBK" w:cstheme="minorBidi"/>
          <w:snapToGrid/>
          <w:kern w:val="2"/>
          <w:sz w:val="30"/>
          <w:szCs w:val="30"/>
          <w:lang w:eastAsia="zh-CN"/>
        </w:rPr>
      </w:pPr>
      <w:r>
        <w:rPr>
          <w:rFonts w:hint="default" w:ascii="Times New Roman" w:hAnsi="Times New Roman" w:eastAsia="方正楷体_GBK" w:cstheme="minorBidi"/>
          <w:snapToGrid/>
          <w:kern w:val="2"/>
          <w:sz w:val="30"/>
          <w:szCs w:val="30"/>
          <w:lang w:val="en-US" w:eastAsia="zh-CN"/>
        </w:rPr>
        <w:t>蓝天专审</w:t>
      </w:r>
      <w:r>
        <w:rPr>
          <w:rFonts w:hint="default" w:ascii="Times New Roman" w:hAnsi="Times New Roman" w:eastAsia="方正楷体_GBK" w:cstheme="minorBidi"/>
          <w:snapToGrid/>
          <w:kern w:val="2"/>
          <w:sz w:val="30"/>
          <w:szCs w:val="30"/>
          <w:lang w:eastAsia="zh-CN"/>
        </w:rPr>
        <w:t>字</w:t>
      </w:r>
      <w:r>
        <w:rPr>
          <w:rFonts w:hint="eastAsia" w:ascii="Times New Roman" w:hAnsi="Times New Roman" w:eastAsia="方正楷体_GBK" w:cstheme="minorBidi"/>
          <w:snapToGrid/>
          <w:kern w:val="2"/>
          <w:sz w:val="30"/>
          <w:szCs w:val="30"/>
          <w:lang w:eastAsia="zh-CN"/>
        </w:rPr>
        <w:t>〔</w:t>
      </w:r>
      <w:r>
        <w:rPr>
          <w:rFonts w:hint="default" w:ascii="Times New Roman" w:hAnsi="Times New Roman" w:eastAsia="方正楷体_GBK" w:cstheme="minorBidi"/>
          <w:snapToGrid/>
          <w:kern w:val="2"/>
          <w:sz w:val="30"/>
          <w:szCs w:val="30"/>
          <w:lang w:eastAsia="zh-CN"/>
        </w:rPr>
        <w:t>202</w:t>
      </w:r>
      <w:r>
        <w:rPr>
          <w:rFonts w:hint="eastAsia" w:ascii="Times New Roman" w:hAnsi="Times New Roman" w:eastAsia="方正楷体_GBK" w:cstheme="minorBidi"/>
          <w:snapToGrid/>
          <w:kern w:val="2"/>
          <w:sz w:val="30"/>
          <w:szCs w:val="30"/>
          <w:lang w:val="en-US" w:eastAsia="zh-CN"/>
        </w:rPr>
        <w:t>5</w:t>
      </w:r>
      <w:r>
        <w:rPr>
          <w:rFonts w:hint="eastAsia" w:ascii="Times New Roman" w:hAnsi="Times New Roman" w:eastAsia="方正楷体_GBK" w:cstheme="minorBidi"/>
          <w:snapToGrid/>
          <w:kern w:val="2"/>
          <w:sz w:val="30"/>
          <w:szCs w:val="30"/>
          <w:lang w:eastAsia="zh-CN"/>
        </w:rPr>
        <w:t>〕</w:t>
      </w:r>
      <w:r>
        <w:rPr>
          <w:rFonts w:hint="default" w:ascii="Times New Roman" w:hAnsi="Times New Roman" w:eastAsia="方正楷体_GBK" w:cstheme="minorBidi"/>
          <w:snapToGrid/>
          <w:kern w:val="2"/>
          <w:sz w:val="30"/>
          <w:szCs w:val="30"/>
          <w:lang w:eastAsia="zh-CN"/>
        </w:rPr>
        <w:t>第</w:t>
      </w:r>
      <w:r>
        <w:rPr>
          <w:rFonts w:hint="default" w:ascii="Times New Roman" w:hAnsi="Times New Roman" w:eastAsia="方正楷体_GBK" w:cstheme="minorBidi"/>
          <w:snapToGrid/>
          <w:kern w:val="2"/>
          <w:sz w:val="30"/>
          <w:szCs w:val="30"/>
          <w:lang w:val="en-US" w:eastAsia="zh-CN"/>
        </w:rPr>
        <w:t xml:space="preserve">  </w:t>
      </w:r>
      <w:r>
        <w:rPr>
          <w:rFonts w:hint="default" w:ascii="Times New Roman" w:hAnsi="Times New Roman" w:eastAsia="方正楷体_GBK" w:cstheme="minorBidi"/>
          <w:snapToGrid/>
          <w:kern w:val="2"/>
          <w:sz w:val="30"/>
          <w:szCs w:val="30"/>
          <w:lang w:eastAsia="zh-CN"/>
        </w:rPr>
        <w:t>号</w:t>
      </w:r>
    </w:p>
    <w:p w14:paraId="2AFC2FCB">
      <w:pPr>
        <w:pStyle w:val="9"/>
        <w:rPr>
          <w:rFonts w:hint="default" w:ascii="Times New Roman" w:hAnsi="Times New Roman" w:eastAsia="方正小标宋_GBK" w:cs="Times New Roman"/>
          <w:color w:val="auto"/>
          <w:sz w:val="28"/>
          <w:szCs w:val="28"/>
          <w:lang w:eastAsia="zh-CN"/>
        </w:rPr>
      </w:pPr>
    </w:p>
    <w:p w14:paraId="7EDB8CD8">
      <w:pPr>
        <w:rPr>
          <w:rFonts w:hint="default" w:ascii="Times New Roman" w:hAnsi="Times New Roman" w:eastAsia="方正小标宋_GBK" w:cs="Times New Roman"/>
          <w:color w:val="auto"/>
          <w:sz w:val="28"/>
          <w:szCs w:val="28"/>
          <w:lang w:eastAsia="zh-CN"/>
        </w:rPr>
      </w:pPr>
    </w:p>
    <w:p w14:paraId="39AF3452">
      <w:pPr>
        <w:pStyle w:val="9"/>
        <w:rPr>
          <w:rFonts w:hint="default" w:ascii="Times New Roman" w:hAnsi="Times New Roman" w:eastAsia="方正小标宋_GBK" w:cs="Times New Roman"/>
          <w:color w:val="auto"/>
          <w:sz w:val="28"/>
          <w:szCs w:val="28"/>
          <w:lang w:eastAsia="zh-CN"/>
        </w:rPr>
      </w:pPr>
    </w:p>
    <w:p w14:paraId="6B1D8923">
      <w:pPr>
        <w:rPr>
          <w:rFonts w:hint="default" w:ascii="Times New Roman" w:hAnsi="Times New Roman" w:eastAsia="方正小标宋_GBK" w:cs="Times New Roman"/>
          <w:color w:val="auto"/>
          <w:sz w:val="28"/>
          <w:szCs w:val="28"/>
          <w:lang w:eastAsia="zh-CN"/>
        </w:rPr>
      </w:pPr>
    </w:p>
    <w:p w14:paraId="3EA72FFC">
      <w:pPr>
        <w:pStyle w:val="9"/>
        <w:rPr>
          <w:rFonts w:hint="default" w:ascii="Times New Roman" w:hAnsi="Times New Roman" w:eastAsia="方正小标宋_GBK" w:cs="Times New Roman"/>
          <w:color w:val="auto"/>
          <w:sz w:val="28"/>
          <w:szCs w:val="28"/>
          <w:lang w:eastAsia="zh-CN"/>
        </w:rPr>
      </w:pPr>
    </w:p>
    <w:p w14:paraId="6EF1854F">
      <w:pPr>
        <w:rPr>
          <w:rFonts w:hint="default" w:ascii="Times New Roman" w:hAnsi="Times New Roman" w:eastAsia="方正小标宋_GBK" w:cs="Times New Roman"/>
          <w:color w:val="auto"/>
          <w:sz w:val="28"/>
          <w:szCs w:val="28"/>
          <w:lang w:eastAsia="zh-CN"/>
        </w:rPr>
      </w:pPr>
    </w:p>
    <w:p w14:paraId="0247A9C8">
      <w:pPr>
        <w:pStyle w:val="9"/>
        <w:rPr>
          <w:rFonts w:hint="default" w:ascii="Times New Roman" w:hAnsi="Times New Roman" w:eastAsia="方正小标宋_GBK" w:cs="Times New Roman"/>
          <w:color w:val="auto"/>
          <w:sz w:val="28"/>
          <w:szCs w:val="28"/>
          <w:lang w:eastAsia="zh-CN"/>
        </w:rPr>
      </w:pPr>
    </w:p>
    <w:p w14:paraId="54BE953D">
      <w:pPr>
        <w:rPr>
          <w:rFonts w:hint="default" w:ascii="Times New Roman" w:hAnsi="Times New Roman" w:eastAsia="方正小标宋_GBK" w:cs="Times New Roman"/>
          <w:color w:val="auto"/>
          <w:sz w:val="28"/>
          <w:szCs w:val="28"/>
          <w:lang w:eastAsia="zh-CN"/>
        </w:rPr>
      </w:pPr>
    </w:p>
    <w:p w14:paraId="2DB2B55F">
      <w:pPr>
        <w:pStyle w:val="9"/>
        <w:rPr>
          <w:rFonts w:hint="default" w:ascii="Times New Roman" w:hAnsi="Times New Roman" w:eastAsia="方正小标宋_GBK" w:cs="Times New Roman"/>
          <w:color w:val="auto"/>
          <w:sz w:val="28"/>
          <w:szCs w:val="28"/>
          <w:lang w:eastAsia="zh-CN"/>
        </w:rPr>
      </w:pPr>
    </w:p>
    <w:p w14:paraId="0C240034">
      <w:pPr>
        <w:rPr>
          <w:rFonts w:hint="default" w:ascii="Times New Roman" w:hAnsi="Times New Roman" w:eastAsia="方正小标宋_GBK" w:cs="Times New Roman"/>
          <w:color w:val="auto"/>
          <w:sz w:val="28"/>
          <w:szCs w:val="28"/>
          <w:lang w:eastAsia="zh-CN"/>
        </w:rPr>
      </w:pPr>
    </w:p>
    <w:p w14:paraId="1FE7C9F1">
      <w:pPr>
        <w:pStyle w:val="9"/>
        <w:rPr>
          <w:rFonts w:hint="default" w:ascii="Times New Roman" w:hAnsi="Times New Roman" w:eastAsia="方正小标宋_GBK" w:cs="Times New Roman"/>
          <w:color w:val="auto"/>
          <w:sz w:val="28"/>
          <w:szCs w:val="28"/>
          <w:lang w:eastAsia="zh-CN"/>
        </w:rPr>
      </w:pPr>
    </w:p>
    <w:p w14:paraId="58D75CD0">
      <w:pPr>
        <w:rPr>
          <w:rFonts w:hint="default" w:ascii="Times New Roman" w:hAnsi="Times New Roman" w:eastAsia="方正小标宋_GBK" w:cs="Times New Roman"/>
          <w:color w:val="auto"/>
          <w:sz w:val="28"/>
          <w:szCs w:val="28"/>
          <w:lang w:eastAsia="zh-CN"/>
        </w:rPr>
      </w:pPr>
    </w:p>
    <w:p w14:paraId="2585084C">
      <w:pPr>
        <w:pStyle w:val="9"/>
        <w:rPr>
          <w:rFonts w:hint="default" w:ascii="Times New Roman" w:hAnsi="Times New Roman" w:eastAsia="方正小标宋_GBK" w:cs="Times New Roman"/>
          <w:color w:val="auto"/>
          <w:sz w:val="28"/>
          <w:szCs w:val="28"/>
          <w:lang w:eastAsia="zh-CN"/>
        </w:rPr>
      </w:pPr>
    </w:p>
    <w:p w14:paraId="5C5FCED3">
      <w:pPr>
        <w:rPr>
          <w:rFonts w:hint="default" w:ascii="Times New Roman" w:hAnsi="Times New Roman" w:eastAsia="方正小标宋_GBK" w:cs="Times New Roman"/>
          <w:color w:val="auto"/>
          <w:sz w:val="28"/>
          <w:szCs w:val="28"/>
          <w:lang w:eastAsia="zh-CN"/>
        </w:rPr>
      </w:pPr>
    </w:p>
    <w:p w14:paraId="62C4ECC1">
      <w:pPr>
        <w:pStyle w:val="9"/>
        <w:rPr>
          <w:rFonts w:hint="default" w:ascii="Times New Roman" w:hAnsi="Times New Roman" w:eastAsia="方正小标宋_GBK" w:cs="Times New Roman"/>
          <w:color w:val="auto"/>
          <w:sz w:val="28"/>
          <w:szCs w:val="28"/>
          <w:lang w:eastAsia="zh-CN"/>
        </w:rPr>
      </w:pPr>
    </w:p>
    <w:p w14:paraId="2DA57773">
      <w:pPr>
        <w:rPr>
          <w:rFonts w:hint="default" w:ascii="Times New Roman" w:hAnsi="Times New Roman" w:eastAsia="方正小标宋_GBK" w:cs="Times New Roman"/>
          <w:color w:val="auto"/>
          <w:sz w:val="28"/>
          <w:szCs w:val="28"/>
          <w:lang w:eastAsia="zh-CN"/>
        </w:rPr>
      </w:pPr>
    </w:p>
    <w:p w14:paraId="660A8D22">
      <w:pPr>
        <w:pStyle w:val="9"/>
        <w:rPr>
          <w:rFonts w:hint="default" w:ascii="Times New Roman" w:hAnsi="Times New Roman" w:eastAsia="方正小标宋_GBK" w:cs="Times New Roman"/>
          <w:color w:val="auto"/>
          <w:sz w:val="28"/>
          <w:szCs w:val="28"/>
          <w:lang w:eastAsia="zh-CN"/>
        </w:rPr>
      </w:pPr>
    </w:p>
    <w:p w14:paraId="68A1BFC6">
      <w:pPr>
        <w:rPr>
          <w:rFonts w:hint="default" w:ascii="Times New Roman" w:hAnsi="Times New Roman" w:eastAsia="方正小标宋_GBK" w:cs="Times New Roman"/>
          <w:color w:val="auto"/>
          <w:sz w:val="28"/>
          <w:szCs w:val="28"/>
          <w:lang w:eastAsia="zh-CN"/>
        </w:rPr>
      </w:pPr>
    </w:p>
    <w:p w14:paraId="707C8A27">
      <w:pPr>
        <w:pStyle w:val="9"/>
        <w:rPr>
          <w:rFonts w:hint="default" w:ascii="Times New Roman" w:hAnsi="Times New Roman"/>
          <w:lang w:eastAsia="zh-CN"/>
        </w:rPr>
      </w:pPr>
    </w:p>
    <w:p w14:paraId="7FE9E7B4">
      <w:pPr>
        <w:pStyle w:val="9"/>
        <w:rPr>
          <w:rFonts w:hint="default" w:ascii="Times New Roman" w:hAnsi="Times New Roman" w:eastAsia="方正小标宋_GBK" w:cs="Times New Roman"/>
          <w:color w:val="auto"/>
          <w:sz w:val="28"/>
          <w:szCs w:val="28"/>
          <w:lang w:eastAsia="zh-CN"/>
        </w:rPr>
      </w:pPr>
    </w:p>
    <w:p w14:paraId="153851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评价机构：河北</w:t>
      </w:r>
      <w:r>
        <w:rPr>
          <w:rFonts w:hint="eastAsia" w:ascii="Times New Roman" w:hAnsi="Times New Roman" w:eastAsia="方正仿宋_GBK" w:cstheme="minorBidi"/>
          <w:snapToGrid/>
          <w:kern w:val="2"/>
          <w:sz w:val="32"/>
          <w:szCs w:val="32"/>
          <w:lang w:val="en-US" w:eastAsia="zh-CN"/>
        </w:rPr>
        <w:t>蓝天</w:t>
      </w:r>
      <w:r>
        <w:rPr>
          <w:rFonts w:hint="eastAsia" w:ascii="Times New Roman" w:hAnsi="Times New Roman" w:eastAsia="方正仿宋_GBK" w:cstheme="minorBidi"/>
          <w:snapToGrid/>
          <w:kern w:val="2"/>
          <w:sz w:val="32"/>
          <w:szCs w:val="32"/>
          <w:lang w:eastAsia="zh-CN"/>
        </w:rPr>
        <w:t>会计师事务所有限公司</w:t>
      </w:r>
    </w:p>
    <w:p w14:paraId="396FE4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委托单位：保定市徐水区财政局</w:t>
      </w:r>
    </w:p>
    <w:p w14:paraId="6DFE3F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被评价单位：保定市徐水区工业和信息化局</w:t>
      </w:r>
    </w:p>
    <w:p w14:paraId="518494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项目名称：202</w:t>
      </w:r>
      <w:r>
        <w:rPr>
          <w:rFonts w:hint="eastAsia" w:ascii="Times New Roman" w:hAnsi="Times New Roman" w:eastAsia="方正仿宋_GBK" w:cstheme="minorBidi"/>
          <w:snapToGrid/>
          <w:kern w:val="2"/>
          <w:sz w:val="32"/>
          <w:szCs w:val="32"/>
          <w:lang w:val="en-US" w:eastAsia="zh-CN"/>
        </w:rPr>
        <w:t>3</w:t>
      </w:r>
      <w:r>
        <w:rPr>
          <w:rFonts w:hint="eastAsia" w:ascii="Times New Roman" w:hAnsi="Times New Roman" w:eastAsia="方正仿宋_GBK" w:cstheme="minorBidi"/>
          <w:snapToGrid/>
          <w:kern w:val="2"/>
          <w:sz w:val="32"/>
          <w:szCs w:val="32"/>
          <w:lang w:eastAsia="zh-CN"/>
        </w:rPr>
        <w:t>年部门整体绩效评价项目</w:t>
      </w:r>
    </w:p>
    <w:p w14:paraId="5A1B0D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报告日期：202</w:t>
      </w:r>
      <w:r>
        <w:rPr>
          <w:rFonts w:hint="eastAsia" w:ascii="Times New Roman" w:hAnsi="Times New Roman" w:eastAsia="方正仿宋_GBK" w:cstheme="minorBidi"/>
          <w:snapToGrid/>
          <w:kern w:val="2"/>
          <w:sz w:val="32"/>
          <w:szCs w:val="32"/>
          <w:lang w:val="en-US" w:eastAsia="zh-CN"/>
        </w:rPr>
        <w:t>5</w:t>
      </w:r>
      <w:r>
        <w:rPr>
          <w:rFonts w:hint="eastAsia" w:ascii="Times New Roman" w:hAnsi="Times New Roman" w:eastAsia="方正仿宋_GBK" w:cstheme="minorBidi"/>
          <w:snapToGrid/>
          <w:kern w:val="2"/>
          <w:sz w:val="32"/>
          <w:szCs w:val="32"/>
          <w:lang w:eastAsia="zh-CN"/>
        </w:rPr>
        <w:t>年1月</w:t>
      </w:r>
      <w:r>
        <w:rPr>
          <w:rFonts w:hint="eastAsia" w:ascii="Times New Roman" w:hAnsi="Times New Roman" w:eastAsia="方正仿宋_GBK" w:cstheme="minorBidi"/>
          <w:snapToGrid/>
          <w:kern w:val="2"/>
          <w:sz w:val="32"/>
          <w:szCs w:val="32"/>
          <w:lang w:val="en-US" w:eastAsia="zh-CN"/>
        </w:rPr>
        <w:t>15</w:t>
      </w:r>
      <w:r>
        <w:rPr>
          <w:rFonts w:hint="eastAsia" w:ascii="Times New Roman" w:hAnsi="Times New Roman" w:eastAsia="方正仿宋_GBK" w:cstheme="minorBidi"/>
          <w:snapToGrid/>
          <w:kern w:val="2"/>
          <w:sz w:val="32"/>
          <w:szCs w:val="32"/>
          <w:lang w:eastAsia="zh-CN"/>
        </w:rPr>
        <w:t>日</w:t>
      </w:r>
    </w:p>
    <w:p w14:paraId="0E131FD3">
      <w:pPr>
        <w:keepNext w:val="0"/>
        <w:keepLines w:val="0"/>
        <w:pageBreakBefore w:val="0"/>
        <w:wordWrap/>
        <w:overflowPunct w:val="0"/>
        <w:topLinePunct w:val="0"/>
        <w:autoSpaceDE/>
        <w:autoSpaceDN/>
        <w:bidi w:val="0"/>
        <w:adjustRightInd/>
        <w:snapToGrid/>
        <w:spacing w:line="222" w:lineRule="auto"/>
        <w:jc w:val="left"/>
        <w:rPr>
          <w:rFonts w:ascii="Times New Roman" w:hAnsi="Times New Roman" w:eastAsia="仿宋" w:cs="仿宋"/>
          <w:sz w:val="32"/>
          <w:szCs w:val="32"/>
        </w:rPr>
        <w:sectPr>
          <w:footerReference r:id="rId5" w:type="default"/>
          <w:pgSz w:w="11900" w:h="16830"/>
          <w:pgMar w:top="2098" w:right="1474" w:bottom="1984" w:left="1587" w:header="0" w:footer="0" w:gutter="0"/>
          <w:pgBorders>
            <w:top w:val="single" w:color="FFFFFF" w:themeColor="background1" w:sz="12" w:space="1"/>
            <w:left w:val="single" w:color="FFFFFF" w:themeColor="background1" w:sz="12" w:space="4"/>
            <w:bottom w:val="single" w:color="FFFFFF" w:themeColor="background1" w:sz="12" w:space="1"/>
            <w:right w:val="single" w:color="FFFFFF" w:themeColor="background1" w:sz="12" w:space="4"/>
          </w:pgBorders>
          <w:pgNumType w:fmt="numberInDash"/>
          <w:cols w:space="720" w:num="1"/>
        </w:sectPr>
      </w:pPr>
    </w:p>
    <w:sdt>
      <w:sdtPr>
        <w:rPr>
          <w:rFonts w:hint="eastAsia" w:ascii="方正仿宋_GBK" w:eastAsia="方正仿宋_GBK" w:hAnsiTheme="minorHAnsi" w:cstheme="minorBidi"/>
          <w:snapToGrid/>
          <w:kern w:val="2"/>
          <w:sz w:val="32"/>
          <w:szCs w:val="32"/>
          <w:lang w:val="en-US" w:eastAsia="en-US"/>
        </w:rPr>
        <w:id w:val="147479276"/>
        <w15:color w:val="DBDBDB"/>
        <w:docPartObj>
          <w:docPartGallery w:val="Table of Contents"/>
          <w:docPartUnique/>
        </w:docPartObj>
      </w:sdtPr>
      <w:sdtEndPr>
        <w:rPr>
          <w:rFonts w:hint="eastAsia" w:ascii="Times New Roman" w:hAnsi="Times New Roman" w:eastAsia="Times New Roman" w:cs="Times New Roman"/>
          <w:snapToGrid w:val="0"/>
          <w:color w:val="000000"/>
          <w:kern w:val="0"/>
          <w:sz w:val="21"/>
          <w:szCs w:val="30"/>
          <w:lang w:val="en-US" w:eastAsia="en-US" w:bidi="ar-SA"/>
        </w:rPr>
      </w:sdtEndPr>
      <w:sdtContent>
        <w:p w14:paraId="4900859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K" w:eastAsia="方正仿宋_GBK" w:hAnsiTheme="minorHAnsi" w:cstheme="minorBidi"/>
              <w:snapToGrid/>
              <w:kern w:val="2"/>
              <w:sz w:val="32"/>
              <w:szCs w:val="32"/>
              <w:lang w:eastAsia="zh-CN"/>
            </w:rPr>
          </w:pPr>
          <w:r>
            <w:rPr>
              <w:rFonts w:hint="eastAsia" w:ascii="方正仿宋_GBK" w:eastAsia="方正仿宋_GBK" w:hAnsiTheme="minorHAnsi" w:cstheme="minorBidi"/>
              <w:snapToGrid/>
              <w:kern w:val="2"/>
              <w:sz w:val="32"/>
              <w:szCs w:val="32"/>
              <w:lang w:eastAsia="zh-CN"/>
            </w:rPr>
            <w:t>目</w:t>
          </w:r>
          <w:r>
            <w:rPr>
              <w:rFonts w:hint="eastAsia" w:ascii="方正仿宋_GBK" w:eastAsia="方正仿宋_GBK" w:hAnsiTheme="minorHAnsi" w:cstheme="minorBidi"/>
              <w:snapToGrid/>
              <w:kern w:val="2"/>
              <w:sz w:val="32"/>
              <w:szCs w:val="32"/>
              <w:lang w:val="en-US" w:eastAsia="zh-CN"/>
            </w:rPr>
            <w:t xml:space="preserve">    </w:t>
          </w:r>
          <w:r>
            <w:rPr>
              <w:rFonts w:hint="eastAsia" w:ascii="方正仿宋_GBK" w:eastAsia="方正仿宋_GBK" w:hAnsiTheme="minorHAnsi" w:cstheme="minorBidi"/>
              <w:snapToGrid/>
              <w:kern w:val="2"/>
              <w:sz w:val="32"/>
              <w:szCs w:val="32"/>
              <w:lang w:eastAsia="zh-CN"/>
            </w:rPr>
            <w:t>录</w:t>
          </w:r>
        </w:p>
        <w:p w14:paraId="4C929EE4">
          <w:pPr>
            <w:pStyle w:val="9"/>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color w:val="000000"/>
              <w:kern w:val="0"/>
              <w:sz w:val="28"/>
              <w:szCs w:val="28"/>
              <w:lang w:val="en-US" w:eastAsia="en-US" w:bidi="ar-SA"/>
            </w:rPr>
            <w:instrText xml:space="preserve">TOC \o "1-2" \h \u </w:instrText>
          </w:r>
          <w:r>
            <w:rPr>
              <w:rFonts w:ascii="Times New Roman" w:hAnsi="Times New Roman" w:eastAsia="Times New Roman" w:cs="Times New Roman"/>
              <w:snapToGrid w:val="0"/>
              <w:color w:val="000000"/>
              <w:kern w:val="0"/>
              <w:sz w:val="28"/>
              <w:szCs w:val="28"/>
              <w:lang w:val="en-US" w:eastAsia="en-US" w:bidi="ar-SA"/>
            </w:rPr>
            <w:fldChar w:fldCharType="separate"/>
          </w: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_Toc14968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黑体_GBK" w:cs="方正黑体_GBK"/>
              <w:snapToGrid/>
              <w:kern w:val="2"/>
              <w:sz w:val="28"/>
              <w:szCs w:val="28"/>
              <w:lang w:val="en-US" w:eastAsia="zh-CN"/>
            </w:rPr>
            <w:t>一、基本情况</w:t>
          </w:r>
          <w:r>
            <w:rPr>
              <w:sz w:val="28"/>
              <w:szCs w:val="28"/>
            </w:rPr>
            <w:tab/>
          </w:r>
          <w:r>
            <w:rPr>
              <w:sz w:val="28"/>
              <w:szCs w:val="28"/>
            </w:rPr>
            <w:fldChar w:fldCharType="begin"/>
          </w:r>
          <w:r>
            <w:rPr>
              <w:sz w:val="28"/>
              <w:szCs w:val="28"/>
            </w:rPr>
            <w:instrText xml:space="preserve"> PAGEREF _Toc14968 \h </w:instrText>
          </w:r>
          <w:r>
            <w:rPr>
              <w:sz w:val="28"/>
              <w:szCs w:val="28"/>
            </w:rPr>
            <w:fldChar w:fldCharType="separate"/>
          </w:r>
          <w:r>
            <w:rPr>
              <w:sz w:val="28"/>
              <w:szCs w:val="28"/>
            </w:rPr>
            <w:t>- 1 -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50E71952">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_Toc17570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eastAsia="zh-CN"/>
            </w:rPr>
            <w:t>（一）单位概况</w:t>
          </w:r>
          <w:r>
            <w:rPr>
              <w:sz w:val="28"/>
              <w:szCs w:val="28"/>
            </w:rPr>
            <w:tab/>
          </w:r>
          <w:r>
            <w:rPr>
              <w:sz w:val="28"/>
              <w:szCs w:val="28"/>
            </w:rPr>
            <w:fldChar w:fldCharType="begin"/>
          </w:r>
          <w:r>
            <w:rPr>
              <w:sz w:val="28"/>
              <w:szCs w:val="28"/>
            </w:rPr>
            <w:instrText xml:space="preserve"> PAGEREF _Toc17570 \h </w:instrText>
          </w:r>
          <w:r>
            <w:rPr>
              <w:sz w:val="28"/>
              <w:szCs w:val="28"/>
            </w:rPr>
            <w:fldChar w:fldCharType="separate"/>
          </w:r>
          <w:r>
            <w:rPr>
              <w:sz w:val="28"/>
              <w:szCs w:val="28"/>
            </w:rPr>
            <w:t>- 1 -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45732A03">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_Toc5316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eastAsia="zh-CN"/>
            </w:rPr>
            <w:t>（二）机构设置</w:t>
          </w:r>
          <w:r>
            <w:rPr>
              <w:sz w:val="28"/>
              <w:szCs w:val="28"/>
            </w:rPr>
            <w:tab/>
          </w:r>
          <w:r>
            <w:rPr>
              <w:sz w:val="28"/>
              <w:szCs w:val="28"/>
            </w:rPr>
            <w:fldChar w:fldCharType="begin"/>
          </w:r>
          <w:r>
            <w:rPr>
              <w:sz w:val="28"/>
              <w:szCs w:val="28"/>
            </w:rPr>
            <w:instrText xml:space="preserve"> PAGEREF _Toc5316 \h </w:instrText>
          </w:r>
          <w:r>
            <w:rPr>
              <w:sz w:val="28"/>
              <w:szCs w:val="28"/>
            </w:rPr>
            <w:fldChar w:fldCharType="separate"/>
          </w:r>
          <w:r>
            <w:rPr>
              <w:sz w:val="28"/>
              <w:szCs w:val="28"/>
            </w:rPr>
            <w:t>- 6 -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1D2C6620">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_Toc17322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eastAsia="zh-CN"/>
            </w:rPr>
            <w:t>（三）部门人员</w:t>
          </w:r>
          <w:r>
            <w:rPr>
              <w:sz w:val="28"/>
              <w:szCs w:val="28"/>
            </w:rPr>
            <w:tab/>
          </w:r>
          <w:r>
            <w:rPr>
              <w:sz w:val="28"/>
              <w:szCs w:val="28"/>
            </w:rPr>
            <w:fldChar w:fldCharType="begin"/>
          </w:r>
          <w:r>
            <w:rPr>
              <w:sz w:val="28"/>
              <w:szCs w:val="28"/>
            </w:rPr>
            <w:instrText xml:space="preserve"> PAGEREF _Toc17322 \h </w:instrText>
          </w:r>
          <w:r>
            <w:rPr>
              <w:sz w:val="28"/>
              <w:szCs w:val="28"/>
            </w:rPr>
            <w:fldChar w:fldCharType="separate"/>
          </w:r>
          <w:r>
            <w:rPr>
              <w:sz w:val="28"/>
              <w:szCs w:val="28"/>
            </w:rPr>
            <w:t>- 6 -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73E9FD64">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_Toc22402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eastAsia="zh-CN"/>
            </w:rPr>
            <w:t>（四）年度总体目标、工作任务</w:t>
          </w:r>
          <w:r>
            <w:rPr>
              <w:sz w:val="28"/>
              <w:szCs w:val="28"/>
            </w:rPr>
            <w:tab/>
          </w:r>
          <w:r>
            <w:rPr>
              <w:sz w:val="28"/>
              <w:szCs w:val="28"/>
            </w:rPr>
            <w:fldChar w:fldCharType="begin"/>
          </w:r>
          <w:r>
            <w:rPr>
              <w:sz w:val="28"/>
              <w:szCs w:val="28"/>
            </w:rPr>
            <w:instrText xml:space="preserve"> PAGEREF _Toc22402 \h </w:instrText>
          </w:r>
          <w:r>
            <w:rPr>
              <w:sz w:val="28"/>
              <w:szCs w:val="28"/>
            </w:rPr>
            <w:fldChar w:fldCharType="separate"/>
          </w:r>
          <w:r>
            <w:rPr>
              <w:sz w:val="28"/>
              <w:szCs w:val="28"/>
            </w:rPr>
            <w:t>- 6 -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4B47DAA5">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_Toc32526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eastAsia="zh-CN"/>
            </w:rPr>
            <w:t>（</w:t>
          </w:r>
          <w:r>
            <w:rPr>
              <w:rFonts w:hint="eastAsia" w:ascii="Times New Roman" w:hAnsi="Times New Roman" w:eastAsia="方正楷体_GBK" w:cstheme="minorBidi"/>
              <w:snapToGrid/>
              <w:kern w:val="2"/>
              <w:sz w:val="28"/>
              <w:szCs w:val="28"/>
              <w:lang w:val="en-US" w:eastAsia="zh-CN"/>
            </w:rPr>
            <w:t>五</w:t>
          </w:r>
          <w:r>
            <w:rPr>
              <w:rFonts w:hint="eastAsia" w:ascii="Times New Roman" w:hAnsi="Times New Roman" w:eastAsia="方正楷体_GBK" w:cstheme="minorBidi"/>
              <w:snapToGrid/>
              <w:kern w:val="2"/>
              <w:sz w:val="28"/>
              <w:szCs w:val="28"/>
              <w:lang w:eastAsia="zh-CN"/>
            </w:rPr>
            <w:t>）</w:t>
          </w:r>
          <w:r>
            <w:rPr>
              <w:rFonts w:hint="eastAsia" w:ascii="Times New Roman" w:hAnsi="Times New Roman" w:eastAsia="方正楷体_GBK" w:cstheme="minorBidi"/>
              <w:snapToGrid/>
              <w:kern w:val="2"/>
              <w:sz w:val="28"/>
              <w:szCs w:val="28"/>
              <w:lang w:val="en-US" w:eastAsia="zh-CN"/>
            </w:rPr>
            <w:t>部门预算及支出情况</w:t>
          </w:r>
          <w:r>
            <w:rPr>
              <w:sz w:val="28"/>
              <w:szCs w:val="28"/>
            </w:rPr>
            <w:tab/>
          </w:r>
          <w:r>
            <w:rPr>
              <w:sz w:val="28"/>
              <w:szCs w:val="28"/>
            </w:rPr>
            <w:fldChar w:fldCharType="begin"/>
          </w:r>
          <w:r>
            <w:rPr>
              <w:sz w:val="28"/>
              <w:szCs w:val="28"/>
            </w:rPr>
            <w:instrText xml:space="preserve"> PAGEREF _Toc32526 \h </w:instrText>
          </w:r>
          <w:r>
            <w:rPr>
              <w:sz w:val="28"/>
              <w:szCs w:val="28"/>
            </w:rPr>
            <w:fldChar w:fldCharType="separate"/>
          </w:r>
          <w:r>
            <w:rPr>
              <w:sz w:val="28"/>
              <w:szCs w:val="28"/>
            </w:rPr>
            <w:t>- 8 -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16F2CF71">
          <w:pPr>
            <w:pStyle w:val="9"/>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_Toc20767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黑体_GBK" w:cs="方正黑体_GBK"/>
              <w:snapToGrid/>
              <w:kern w:val="2"/>
              <w:sz w:val="28"/>
              <w:szCs w:val="28"/>
              <w:lang w:val="en-US" w:eastAsia="zh-CN"/>
            </w:rPr>
            <w:t>二、评价工作基本情况</w:t>
          </w:r>
          <w:r>
            <w:rPr>
              <w:sz w:val="28"/>
              <w:szCs w:val="28"/>
            </w:rPr>
            <w:tab/>
          </w:r>
          <w:r>
            <w:rPr>
              <w:sz w:val="28"/>
              <w:szCs w:val="28"/>
            </w:rPr>
            <w:fldChar w:fldCharType="begin"/>
          </w:r>
          <w:r>
            <w:rPr>
              <w:sz w:val="28"/>
              <w:szCs w:val="28"/>
            </w:rPr>
            <w:instrText xml:space="preserve"> PAGEREF _Toc20767 \h </w:instrText>
          </w:r>
          <w:r>
            <w:rPr>
              <w:sz w:val="28"/>
              <w:szCs w:val="28"/>
            </w:rPr>
            <w:fldChar w:fldCharType="separate"/>
          </w:r>
          <w:r>
            <w:rPr>
              <w:sz w:val="28"/>
              <w:szCs w:val="28"/>
            </w:rPr>
            <w:t>- 12 -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0C393D04">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_Toc27391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eastAsia="zh-CN"/>
            </w:rPr>
            <w:t>（一）</w:t>
          </w:r>
          <w:r>
            <w:rPr>
              <w:rFonts w:hint="eastAsia" w:ascii="Times New Roman" w:hAnsi="Times New Roman" w:eastAsia="方正楷体_GBK" w:cstheme="minorBidi"/>
              <w:snapToGrid/>
              <w:kern w:val="2"/>
              <w:sz w:val="28"/>
              <w:szCs w:val="28"/>
              <w:lang w:val="en-US" w:eastAsia="zh-CN"/>
            </w:rPr>
            <w:t>绩效</w:t>
          </w:r>
          <w:r>
            <w:rPr>
              <w:rFonts w:hint="eastAsia" w:ascii="Times New Roman" w:hAnsi="Times New Roman" w:eastAsia="方正楷体_GBK" w:cstheme="minorBidi"/>
              <w:snapToGrid/>
              <w:kern w:val="2"/>
              <w:sz w:val="28"/>
              <w:szCs w:val="28"/>
              <w:lang w:eastAsia="zh-CN"/>
            </w:rPr>
            <w:t>评价目的</w:t>
          </w:r>
          <w:r>
            <w:rPr>
              <w:sz w:val="28"/>
              <w:szCs w:val="28"/>
            </w:rPr>
            <w:tab/>
          </w:r>
          <w:r>
            <w:rPr>
              <w:sz w:val="28"/>
              <w:szCs w:val="28"/>
            </w:rPr>
            <w:fldChar w:fldCharType="begin"/>
          </w:r>
          <w:r>
            <w:rPr>
              <w:sz w:val="28"/>
              <w:szCs w:val="28"/>
            </w:rPr>
            <w:instrText xml:space="preserve"> PAGEREF _Toc27391 \h </w:instrText>
          </w:r>
          <w:r>
            <w:rPr>
              <w:sz w:val="28"/>
              <w:szCs w:val="28"/>
            </w:rPr>
            <w:fldChar w:fldCharType="separate"/>
          </w:r>
          <w:r>
            <w:rPr>
              <w:sz w:val="28"/>
              <w:szCs w:val="28"/>
            </w:rPr>
            <w:t>- 12 -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01674794">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_Toc28312 </w:instrText>
          </w:r>
          <w:r>
            <w:rPr>
              <w:rFonts w:ascii="Times New Roman" w:hAnsi="Times New Roman" w:eastAsia="Times New Roman" w:cs="Times New Roman"/>
              <w:snapToGrid w:val="0"/>
              <w:kern w:val="0"/>
              <w:sz w:val="28"/>
              <w:szCs w:val="28"/>
              <w:lang w:val="en-US" w:eastAsia="en-US" w:bidi="ar-SA"/>
            </w:rPr>
            <w:fldChar w:fldCharType="separate"/>
          </w:r>
          <w:r>
            <w:rPr>
              <w:rFonts w:hint="default" w:ascii="Times New Roman" w:hAnsi="Times New Roman" w:eastAsia="方正楷体_GBK" w:cstheme="minorBidi"/>
              <w:snapToGrid/>
              <w:kern w:val="2"/>
              <w:sz w:val="28"/>
              <w:szCs w:val="28"/>
              <w:lang w:val="en-US" w:eastAsia="zh-CN"/>
            </w:rPr>
            <w:t>（二）评价依据</w:t>
          </w:r>
          <w:r>
            <w:rPr>
              <w:sz w:val="28"/>
              <w:szCs w:val="28"/>
            </w:rPr>
            <w:tab/>
          </w:r>
          <w:r>
            <w:rPr>
              <w:sz w:val="28"/>
              <w:szCs w:val="28"/>
            </w:rPr>
            <w:fldChar w:fldCharType="begin"/>
          </w:r>
          <w:r>
            <w:rPr>
              <w:sz w:val="28"/>
              <w:szCs w:val="28"/>
            </w:rPr>
            <w:instrText xml:space="preserve"> PAGEREF _Toc28312 \h </w:instrText>
          </w:r>
          <w:r>
            <w:rPr>
              <w:sz w:val="28"/>
              <w:szCs w:val="28"/>
            </w:rPr>
            <w:fldChar w:fldCharType="separate"/>
          </w:r>
          <w:r>
            <w:rPr>
              <w:sz w:val="28"/>
              <w:szCs w:val="28"/>
            </w:rPr>
            <w:t>- 13 -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66BB6CF2">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_Toc11213 </w:instrText>
          </w:r>
          <w:r>
            <w:rPr>
              <w:rFonts w:ascii="Times New Roman" w:hAnsi="Times New Roman" w:eastAsia="Times New Roman" w:cs="Times New Roman"/>
              <w:snapToGrid w:val="0"/>
              <w:kern w:val="0"/>
              <w:sz w:val="28"/>
              <w:szCs w:val="28"/>
              <w:lang w:val="en-US" w:eastAsia="en-US" w:bidi="ar-SA"/>
            </w:rPr>
            <w:fldChar w:fldCharType="separate"/>
          </w:r>
          <w:r>
            <w:rPr>
              <w:rFonts w:hint="default" w:ascii="Times New Roman" w:hAnsi="Times New Roman" w:eastAsia="方正楷体_GBK" w:cstheme="minorBidi"/>
              <w:snapToGrid/>
              <w:kern w:val="2"/>
              <w:sz w:val="28"/>
              <w:szCs w:val="28"/>
              <w:lang w:val="en-US" w:eastAsia="zh-CN"/>
            </w:rPr>
            <w:t>（三）评价对象和资金范围</w:t>
          </w:r>
          <w:r>
            <w:rPr>
              <w:sz w:val="28"/>
              <w:szCs w:val="28"/>
            </w:rPr>
            <w:tab/>
          </w:r>
          <w:r>
            <w:rPr>
              <w:sz w:val="28"/>
              <w:szCs w:val="28"/>
            </w:rPr>
            <w:fldChar w:fldCharType="begin"/>
          </w:r>
          <w:r>
            <w:rPr>
              <w:sz w:val="28"/>
              <w:szCs w:val="28"/>
            </w:rPr>
            <w:instrText xml:space="preserve"> PAGEREF _Toc11213 \h </w:instrText>
          </w:r>
          <w:r>
            <w:rPr>
              <w:sz w:val="28"/>
              <w:szCs w:val="28"/>
            </w:rPr>
            <w:fldChar w:fldCharType="separate"/>
          </w:r>
          <w:r>
            <w:rPr>
              <w:sz w:val="28"/>
              <w:szCs w:val="28"/>
            </w:rPr>
            <w:t>- 13 -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301DC2ED">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_Toc10531 </w:instrText>
          </w:r>
          <w:r>
            <w:rPr>
              <w:rFonts w:ascii="Times New Roman" w:hAnsi="Times New Roman" w:eastAsia="Times New Roman" w:cs="Times New Roman"/>
              <w:snapToGrid w:val="0"/>
              <w:kern w:val="0"/>
              <w:sz w:val="28"/>
              <w:szCs w:val="28"/>
              <w:lang w:val="en-US" w:eastAsia="en-US" w:bidi="ar-SA"/>
            </w:rPr>
            <w:fldChar w:fldCharType="separate"/>
          </w:r>
          <w:r>
            <w:rPr>
              <w:rFonts w:hint="default" w:ascii="Times New Roman" w:hAnsi="Times New Roman" w:eastAsia="方正楷体_GBK" w:cstheme="minorBidi"/>
              <w:snapToGrid/>
              <w:kern w:val="2"/>
              <w:sz w:val="28"/>
              <w:szCs w:val="28"/>
              <w:lang w:val="en-US" w:eastAsia="zh-CN"/>
            </w:rPr>
            <w:t>（四）评价原则</w:t>
          </w:r>
          <w:r>
            <w:rPr>
              <w:rFonts w:hint="eastAsia" w:ascii="Times New Roman" w:hAnsi="Times New Roman" w:eastAsia="方正楷体_GBK" w:cstheme="minorBidi"/>
              <w:snapToGrid/>
              <w:kern w:val="2"/>
              <w:sz w:val="28"/>
              <w:szCs w:val="28"/>
              <w:lang w:val="en-US" w:eastAsia="zh-CN"/>
            </w:rPr>
            <w:t>、</w:t>
          </w:r>
          <w:r>
            <w:rPr>
              <w:rFonts w:hint="default" w:ascii="Times New Roman" w:hAnsi="Times New Roman" w:eastAsia="方正楷体_GBK" w:cstheme="minorBidi"/>
              <w:snapToGrid/>
              <w:kern w:val="2"/>
              <w:sz w:val="28"/>
              <w:szCs w:val="28"/>
              <w:lang w:val="en-US" w:eastAsia="zh-CN"/>
            </w:rPr>
            <w:t>评价方法</w:t>
          </w:r>
          <w:r>
            <w:rPr>
              <w:rFonts w:hint="eastAsia" w:ascii="Times New Roman" w:hAnsi="Times New Roman" w:eastAsia="方正楷体_GBK" w:cstheme="minorBidi"/>
              <w:snapToGrid/>
              <w:kern w:val="2"/>
              <w:sz w:val="28"/>
              <w:szCs w:val="28"/>
              <w:lang w:val="en-US" w:eastAsia="zh-CN"/>
            </w:rPr>
            <w:t>及标准</w:t>
          </w:r>
          <w:r>
            <w:rPr>
              <w:sz w:val="28"/>
              <w:szCs w:val="28"/>
            </w:rPr>
            <w:tab/>
          </w:r>
          <w:r>
            <w:rPr>
              <w:sz w:val="28"/>
              <w:szCs w:val="28"/>
            </w:rPr>
            <w:fldChar w:fldCharType="begin"/>
          </w:r>
          <w:r>
            <w:rPr>
              <w:sz w:val="28"/>
              <w:szCs w:val="28"/>
            </w:rPr>
            <w:instrText xml:space="preserve"> PAGEREF _Toc10531 \h </w:instrText>
          </w:r>
          <w:r>
            <w:rPr>
              <w:sz w:val="28"/>
              <w:szCs w:val="28"/>
            </w:rPr>
            <w:fldChar w:fldCharType="separate"/>
          </w:r>
          <w:r>
            <w:rPr>
              <w:sz w:val="28"/>
              <w:szCs w:val="28"/>
            </w:rPr>
            <w:t>- 13 -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073931EB">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_Toc11122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val="en-US" w:eastAsia="zh-CN"/>
            </w:rPr>
            <w:t>（五）</w:t>
          </w:r>
          <w:r>
            <w:rPr>
              <w:rFonts w:hint="default" w:ascii="Times New Roman" w:hAnsi="Times New Roman" w:eastAsia="方正楷体_GBK" w:cstheme="minorBidi"/>
              <w:snapToGrid/>
              <w:kern w:val="2"/>
              <w:sz w:val="28"/>
              <w:szCs w:val="28"/>
              <w:lang w:val="en-US" w:eastAsia="zh-CN"/>
            </w:rPr>
            <w:t>绩效评价指标体系及设计思路</w:t>
          </w:r>
          <w:r>
            <w:rPr>
              <w:sz w:val="28"/>
              <w:szCs w:val="28"/>
            </w:rPr>
            <w:tab/>
          </w:r>
          <w:r>
            <w:rPr>
              <w:sz w:val="28"/>
              <w:szCs w:val="28"/>
            </w:rPr>
            <w:fldChar w:fldCharType="begin"/>
          </w:r>
          <w:r>
            <w:rPr>
              <w:sz w:val="28"/>
              <w:szCs w:val="28"/>
            </w:rPr>
            <w:instrText xml:space="preserve"> PAGEREF _Toc11122 \h </w:instrText>
          </w:r>
          <w:r>
            <w:rPr>
              <w:sz w:val="28"/>
              <w:szCs w:val="28"/>
            </w:rPr>
            <w:fldChar w:fldCharType="separate"/>
          </w:r>
          <w:r>
            <w:rPr>
              <w:sz w:val="28"/>
              <w:szCs w:val="28"/>
            </w:rPr>
            <w:t>- 15 -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10882C4E">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_Toc10749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val="en-US" w:eastAsia="zh-CN"/>
            </w:rPr>
            <w:t>（六）绩效</w:t>
          </w:r>
          <w:r>
            <w:rPr>
              <w:rFonts w:hint="default" w:ascii="Times New Roman" w:hAnsi="Times New Roman" w:eastAsia="方正楷体_GBK" w:cstheme="minorBidi"/>
              <w:snapToGrid/>
              <w:kern w:val="2"/>
              <w:sz w:val="28"/>
              <w:szCs w:val="28"/>
              <w:lang w:val="en-US" w:eastAsia="zh-CN"/>
            </w:rPr>
            <w:t>评价工作过程</w:t>
          </w:r>
          <w:r>
            <w:rPr>
              <w:sz w:val="28"/>
              <w:szCs w:val="28"/>
            </w:rPr>
            <w:tab/>
          </w:r>
          <w:r>
            <w:rPr>
              <w:sz w:val="28"/>
              <w:szCs w:val="28"/>
            </w:rPr>
            <w:fldChar w:fldCharType="begin"/>
          </w:r>
          <w:r>
            <w:rPr>
              <w:sz w:val="28"/>
              <w:szCs w:val="28"/>
            </w:rPr>
            <w:instrText xml:space="preserve"> PAGEREF _Toc10749 \h </w:instrText>
          </w:r>
          <w:r>
            <w:rPr>
              <w:sz w:val="28"/>
              <w:szCs w:val="28"/>
            </w:rPr>
            <w:fldChar w:fldCharType="separate"/>
          </w:r>
          <w:r>
            <w:rPr>
              <w:sz w:val="28"/>
              <w:szCs w:val="28"/>
            </w:rPr>
            <w:t>- 17 -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49897E1B">
          <w:pPr>
            <w:pStyle w:val="9"/>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_Toc162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黑体_GBK" w:cs="方正黑体_GBK"/>
              <w:snapToGrid/>
              <w:kern w:val="2"/>
              <w:sz w:val="28"/>
              <w:szCs w:val="28"/>
              <w:lang w:val="en-US" w:eastAsia="zh-CN"/>
            </w:rPr>
            <w:t>三、综合评价情况及评价结论</w:t>
          </w:r>
          <w:r>
            <w:rPr>
              <w:sz w:val="28"/>
              <w:szCs w:val="28"/>
            </w:rPr>
            <w:tab/>
          </w:r>
          <w:r>
            <w:rPr>
              <w:sz w:val="28"/>
              <w:szCs w:val="28"/>
            </w:rPr>
            <w:fldChar w:fldCharType="begin"/>
          </w:r>
          <w:r>
            <w:rPr>
              <w:sz w:val="28"/>
              <w:szCs w:val="28"/>
            </w:rPr>
            <w:instrText xml:space="preserve"> PAGEREF _Toc162 \h </w:instrText>
          </w:r>
          <w:r>
            <w:rPr>
              <w:sz w:val="28"/>
              <w:szCs w:val="28"/>
            </w:rPr>
            <w:fldChar w:fldCharType="separate"/>
          </w:r>
          <w:r>
            <w:rPr>
              <w:sz w:val="28"/>
              <w:szCs w:val="28"/>
            </w:rPr>
            <w:t>- 18 -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08C9A974">
          <w:pPr>
            <w:pStyle w:val="9"/>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_Toc7637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黑体_GBK" w:cs="方正黑体_GBK"/>
              <w:snapToGrid/>
              <w:kern w:val="2"/>
              <w:sz w:val="28"/>
              <w:szCs w:val="28"/>
              <w:lang w:val="en-US" w:eastAsia="zh-CN"/>
            </w:rPr>
            <w:t>四、绩效评价指标分析</w:t>
          </w:r>
          <w:r>
            <w:rPr>
              <w:sz w:val="28"/>
              <w:szCs w:val="28"/>
            </w:rPr>
            <w:tab/>
          </w:r>
          <w:r>
            <w:rPr>
              <w:sz w:val="28"/>
              <w:szCs w:val="28"/>
            </w:rPr>
            <w:fldChar w:fldCharType="begin"/>
          </w:r>
          <w:r>
            <w:rPr>
              <w:sz w:val="28"/>
              <w:szCs w:val="28"/>
            </w:rPr>
            <w:instrText xml:space="preserve"> PAGEREF _Toc7637 \h </w:instrText>
          </w:r>
          <w:r>
            <w:rPr>
              <w:sz w:val="28"/>
              <w:szCs w:val="28"/>
            </w:rPr>
            <w:fldChar w:fldCharType="separate"/>
          </w:r>
          <w:r>
            <w:rPr>
              <w:sz w:val="28"/>
              <w:szCs w:val="28"/>
            </w:rPr>
            <w:t>- 19 -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054AF315">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_Toc23306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val="en-US" w:eastAsia="zh-CN"/>
            </w:rPr>
            <w:t>（一）投入</w:t>
          </w:r>
          <w:r>
            <w:rPr>
              <w:sz w:val="28"/>
              <w:szCs w:val="28"/>
            </w:rPr>
            <w:tab/>
          </w:r>
          <w:r>
            <w:rPr>
              <w:sz w:val="28"/>
              <w:szCs w:val="28"/>
            </w:rPr>
            <w:fldChar w:fldCharType="begin"/>
          </w:r>
          <w:r>
            <w:rPr>
              <w:sz w:val="28"/>
              <w:szCs w:val="28"/>
            </w:rPr>
            <w:instrText xml:space="preserve"> PAGEREF _Toc23306 \h </w:instrText>
          </w:r>
          <w:r>
            <w:rPr>
              <w:sz w:val="28"/>
              <w:szCs w:val="28"/>
            </w:rPr>
            <w:fldChar w:fldCharType="separate"/>
          </w:r>
          <w:r>
            <w:rPr>
              <w:sz w:val="28"/>
              <w:szCs w:val="28"/>
            </w:rPr>
            <w:t>- 21 -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1BBA1B5D">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_Toc15469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val="en-US" w:eastAsia="zh-CN"/>
            </w:rPr>
            <w:t>（二）过程</w:t>
          </w:r>
          <w:r>
            <w:rPr>
              <w:sz w:val="28"/>
              <w:szCs w:val="28"/>
            </w:rPr>
            <w:tab/>
          </w:r>
          <w:r>
            <w:rPr>
              <w:sz w:val="28"/>
              <w:szCs w:val="28"/>
            </w:rPr>
            <w:fldChar w:fldCharType="begin"/>
          </w:r>
          <w:r>
            <w:rPr>
              <w:sz w:val="28"/>
              <w:szCs w:val="28"/>
            </w:rPr>
            <w:instrText xml:space="preserve"> PAGEREF _Toc15469 \h </w:instrText>
          </w:r>
          <w:r>
            <w:rPr>
              <w:sz w:val="28"/>
              <w:szCs w:val="28"/>
            </w:rPr>
            <w:fldChar w:fldCharType="separate"/>
          </w:r>
          <w:r>
            <w:rPr>
              <w:sz w:val="28"/>
              <w:szCs w:val="28"/>
            </w:rPr>
            <w:t>- 23 -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060E54E0">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_Toc1772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val="en-US" w:eastAsia="zh-CN"/>
            </w:rPr>
            <w:t>（三）产出</w:t>
          </w:r>
          <w:r>
            <w:rPr>
              <w:sz w:val="28"/>
              <w:szCs w:val="28"/>
            </w:rPr>
            <w:tab/>
          </w:r>
          <w:r>
            <w:rPr>
              <w:sz w:val="28"/>
              <w:szCs w:val="28"/>
            </w:rPr>
            <w:fldChar w:fldCharType="begin"/>
          </w:r>
          <w:r>
            <w:rPr>
              <w:sz w:val="28"/>
              <w:szCs w:val="28"/>
            </w:rPr>
            <w:instrText xml:space="preserve"> PAGEREF _Toc1772 \h </w:instrText>
          </w:r>
          <w:r>
            <w:rPr>
              <w:sz w:val="28"/>
              <w:szCs w:val="28"/>
            </w:rPr>
            <w:fldChar w:fldCharType="separate"/>
          </w:r>
          <w:r>
            <w:rPr>
              <w:sz w:val="28"/>
              <w:szCs w:val="28"/>
            </w:rPr>
            <w:t>- 27 -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6C0D94E8">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_Toc28265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val="en-US" w:eastAsia="zh-CN"/>
            </w:rPr>
            <w:t>（四）效果</w:t>
          </w:r>
          <w:r>
            <w:rPr>
              <w:sz w:val="28"/>
              <w:szCs w:val="28"/>
            </w:rPr>
            <w:tab/>
          </w:r>
          <w:r>
            <w:rPr>
              <w:sz w:val="28"/>
              <w:szCs w:val="28"/>
            </w:rPr>
            <w:fldChar w:fldCharType="begin"/>
          </w:r>
          <w:r>
            <w:rPr>
              <w:sz w:val="28"/>
              <w:szCs w:val="28"/>
            </w:rPr>
            <w:instrText xml:space="preserve"> PAGEREF _Toc28265 \h </w:instrText>
          </w:r>
          <w:r>
            <w:rPr>
              <w:sz w:val="28"/>
              <w:szCs w:val="28"/>
            </w:rPr>
            <w:fldChar w:fldCharType="separate"/>
          </w:r>
          <w:r>
            <w:rPr>
              <w:sz w:val="28"/>
              <w:szCs w:val="28"/>
            </w:rPr>
            <w:t>- 28 -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0A2742AC">
          <w:pPr>
            <w:pStyle w:val="9"/>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_Toc27194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黑体_GBK" w:cs="方正黑体_GBK"/>
              <w:snapToGrid/>
              <w:kern w:val="2"/>
              <w:sz w:val="28"/>
              <w:szCs w:val="28"/>
              <w:lang w:val="en-US" w:eastAsia="zh-CN"/>
            </w:rPr>
            <w:t>五、绩效评价发现的问题</w:t>
          </w:r>
          <w:r>
            <w:rPr>
              <w:sz w:val="28"/>
              <w:szCs w:val="28"/>
            </w:rPr>
            <w:tab/>
          </w:r>
          <w:r>
            <w:rPr>
              <w:sz w:val="28"/>
              <w:szCs w:val="28"/>
            </w:rPr>
            <w:fldChar w:fldCharType="begin"/>
          </w:r>
          <w:r>
            <w:rPr>
              <w:sz w:val="28"/>
              <w:szCs w:val="28"/>
            </w:rPr>
            <w:instrText xml:space="preserve"> PAGEREF _Toc27194 \h </w:instrText>
          </w:r>
          <w:r>
            <w:rPr>
              <w:sz w:val="28"/>
              <w:szCs w:val="28"/>
            </w:rPr>
            <w:fldChar w:fldCharType="separate"/>
          </w:r>
          <w:r>
            <w:rPr>
              <w:sz w:val="28"/>
              <w:szCs w:val="28"/>
            </w:rPr>
            <w:t>- 29 -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1C42D71D">
          <w:pPr>
            <w:pStyle w:val="9"/>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_Toc2654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黑体_GBK" w:cs="方正黑体_GBK"/>
              <w:snapToGrid/>
              <w:kern w:val="2"/>
              <w:sz w:val="28"/>
              <w:szCs w:val="28"/>
              <w:lang w:val="en-US" w:eastAsia="zh-CN"/>
            </w:rPr>
            <w:t>六、绩效评价意见及建议</w:t>
          </w:r>
          <w:r>
            <w:rPr>
              <w:sz w:val="28"/>
              <w:szCs w:val="28"/>
            </w:rPr>
            <w:tab/>
          </w:r>
          <w:r>
            <w:rPr>
              <w:sz w:val="28"/>
              <w:szCs w:val="28"/>
            </w:rPr>
            <w:fldChar w:fldCharType="begin"/>
          </w:r>
          <w:r>
            <w:rPr>
              <w:sz w:val="28"/>
              <w:szCs w:val="28"/>
            </w:rPr>
            <w:instrText xml:space="preserve"> PAGEREF _Toc2654 \h </w:instrText>
          </w:r>
          <w:r>
            <w:rPr>
              <w:sz w:val="28"/>
              <w:szCs w:val="28"/>
            </w:rPr>
            <w:fldChar w:fldCharType="separate"/>
          </w:r>
          <w:r>
            <w:rPr>
              <w:sz w:val="28"/>
              <w:szCs w:val="28"/>
            </w:rPr>
            <w:t>- 31 -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05F70807">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eastAsia="Times New Roman" w:cs="Times New Roman"/>
              <w:snapToGrid w:val="0"/>
              <w:color w:val="000000"/>
              <w:kern w:val="0"/>
              <w:sz w:val="21"/>
              <w:szCs w:val="30"/>
              <w:lang w:val="en-US" w:eastAsia="en-US" w:bidi="ar-SA"/>
            </w:rPr>
          </w:pPr>
          <w:r>
            <w:rPr>
              <w:rFonts w:ascii="Times New Roman" w:hAnsi="Times New Roman" w:eastAsia="Times New Roman" w:cs="Times New Roman"/>
              <w:snapToGrid w:val="0"/>
              <w:color w:val="000000"/>
              <w:kern w:val="0"/>
              <w:sz w:val="28"/>
              <w:szCs w:val="28"/>
              <w:lang w:val="en-US" w:eastAsia="en-US" w:bidi="ar-SA"/>
            </w:rPr>
            <w:fldChar w:fldCharType="end"/>
          </w:r>
        </w:p>
      </w:sdtContent>
    </w:sdt>
    <w:p w14:paraId="768602A6">
      <w:pPr>
        <w:keepNext w:val="0"/>
        <w:keepLines w:val="0"/>
        <w:pageBreakBefore w:val="0"/>
        <w:widowControl w:val="0"/>
        <w:kinsoku/>
        <w:wordWrap/>
        <w:topLinePunct w:val="0"/>
        <w:autoSpaceDE/>
        <w:autoSpaceDN/>
        <w:bidi w:val="0"/>
        <w:adjustRightInd/>
        <w:snapToGrid/>
        <w:spacing w:line="560" w:lineRule="exact"/>
        <w:ind w:firstLine="0" w:firstLineChars="0"/>
        <w:jc w:val="both"/>
        <w:textAlignment w:val="auto"/>
        <w:rPr>
          <w:rFonts w:ascii="Times New Roman" w:hAnsi="Times New Roman" w:eastAsia="Times New Roman" w:cs="Times New Roman"/>
          <w:snapToGrid w:val="0"/>
          <w:color w:val="000000"/>
          <w:kern w:val="0"/>
          <w:sz w:val="21"/>
          <w:szCs w:val="30"/>
          <w:lang w:val="en-US" w:eastAsia="en-US" w:bidi="ar-SA"/>
        </w:rPr>
      </w:pPr>
    </w:p>
    <w:p w14:paraId="77472FA8">
      <w:pPr>
        <w:keepNext w:val="0"/>
        <w:keepLines w:val="0"/>
        <w:pageBreakBefore w:val="0"/>
        <w:tabs>
          <w:tab w:val="right" w:leader="dot" w:pos="8259"/>
        </w:tabs>
        <w:wordWrap/>
        <w:overflowPunct w:val="0"/>
        <w:topLinePunct w:val="0"/>
        <w:autoSpaceDE/>
        <w:autoSpaceDN/>
        <w:bidi w:val="0"/>
        <w:adjustRightInd/>
        <w:snapToGrid/>
        <w:spacing w:line="560" w:lineRule="exact"/>
        <w:ind w:firstLine="0" w:firstLineChars="0"/>
        <w:jc w:val="left"/>
        <w:rPr>
          <w:rFonts w:ascii="Times New Roman" w:hAnsi="Times New Roman" w:eastAsia="Times New Roman" w:cs="Times New Roman"/>
          <w:snapToGrid w:val="0"/>
          <w:color w:val="000000"/>
          <w:kern w:val="0"/>
          <w:sz w:val="21"/>
          <w:szCs w:val="30"/>
          <w:lang w:val="en-US" w:eastAsia="en-US" w:bidi="ar-SA"/>
        </w:rPr>
      </w:pPr>
    </w:p>
    <w:p w14:paraId="18B393F2">
      <w:pPr>
        <w:pStyle w:val="9"/>
        <w:keepNext w:val="0"/>
        <w:keepLines w:val="0"/>
        <w:pageBreakBefore w:val="0"/>
        <w:wordWrap/>
        <w:topLinePunct w:val="0"/>
        <w:bidi w:val="0"/>
        <w:spacing w:line="560" w:lineRule="exact"/>
        <w:ind w:firstLine="0" w:firstLineChars="0"/>
        <w:rPr>
          <w:rFonts w:ascii="Times New Roman" w:hAnsi="Times New Roman"/>
          <w:lang w:val="en-US" w:eastAsia="en-US"/>
        </w:rPr>
      </w:pPr>
    </w:p>
    <w:p w14:paraId="7B95D5A9">
      <w:pPr>
        <w:pStyle w:val="9"/>
        <w:keepNext w:val="0"/>
        <w:keepLines w:val="0"/>
        <w:pageBreakBefore w:val="0"/>
        <w:wordWrap/>
        <w:topLinePunct w:val="0"/>
        <w:bidi w:val="0"/>
        <w:spacing w:line="560" w:lineRule="exact"/>
        <w:ind w:firstLine="0" w:firstLineChars="0"/>
        <w:rPr>
          <w:rFonts w:ascii="Times New Roman" w:hAnsi="Times New Roman"/>
        </w:rPr>
        <w:sectPr>
          <w:footerReference r:id="rId6" w:type="default"/>
          <w:pgSz w:w="11900" w:h="16830"/>
          <w:pgMar w:top="1430" w:right="1785" w:bottom="0" w:left="1239" w:header="0" w:footer="0" w:gutter="0"/>
          <w:pgBorders>
            <w:top w:val="single" w:color="FFFFFF" w:themeColor="background1" w:sz="12" w:space="1"/>
            <w:left w:val="single" w:color="FFFFFF" w:themeColor="background1" w:sz="12" w:space="4"/>
            <w:bottom w:val="single" w:color="FFFFFF" w:themeColor="background1" w:sz="12" w:space="1"/>
            <w:right w:val="single" w:color="FFFFFF" w:themeColor="background1" w:sz="12" w:space="4"/>
          </w:pgBorders>
          <w:pgNumType w:fmt="numberInDash" w:start="1"/>
          <w:cols w:space="720" w:num="1"/>
        </w:sectPr>
      </w:pPr>
    </w:p>
    <w:p w14:paraId="5DAD3E7D">
      <w:pPr>
        <w:keepNext w:val="0"/>
        <w:keepLines w:val="0"/>
        <w:pageBreakBefore w:val="0"/>
        <w:wordWrap/>
        <w:overflowPunct w:val="0"/>
        <w:topLinePunct w:val="0"/>
        <w:autoSpaceDE/>
        <w:autoSpaceDN/>
        <w:bidi w:val="0"/>
        <w:adjustRightInd/>
        <w:snapToGrid/>
        <w:spacing w:before="375" w:line="219" w:lineRule="auto"/>
        <w:jc w:val="center"/>
        <w:outlineLvl w:val="9"/>
        <w:rPr>
          <w:rFonts w:hint="eastAsia" w:ascii="Times New Roman" w:hAnsi="Times New Roman" w:eastAsia="黑体" w:cs="黑体"/>
          <w:b/>
          <w:bCs/>
          <w:spacing w:val="-17"/>
          <w:sz w:val="40"/>
          <w:szCs w:val="40"/>
        </w:rPr>
        <w:sectPr>
          <w:headerReference r:id="rId7" w:type="default"/>
          <w:footerReference r:id="rId8" w:type="default"/>
          <w:type w:val="continuous"/>
          <w:pgSz w:w="11900" w:h="16830"/>
          <w:pgMar w:top="2098" w:right="1474" w:bottom="1984" w:left="1587" w:header="0" w:footer="0" w:gutter="0"/>
          <w:pgBorders>
            <w:top w:val="single" w:color="FFFFFF" w:themeColor="background1" w:sz="12" w:space="1"/>
            <w:left w:val="single" w:color="FFFFFF" w:themeColor="background1" w:sz="12" w:space="4"/>
            <w:bottom w:val="single" w:color="FFFFFF" w:themeColor="background1" w:sz="12" w:space="1"/>
            <w:right w:val="single" w:color="FFFFFF" w:themeColor="background1" w:sz="12" w:space="4"/>
          </w:pgBorders>
          <w:pgNumType w:fmt="numberInDash"/>
          <w:cols w:equalWidth="0" w:num="1">
            <w:col w:w="16830"/>
          </w:cols>
        </w:sectPr>
      </w:pPr>
      <w:bookmarkStart w:id="0" w:name="bookmark1"/>
      <w:bookmarkEnd w:id="0"/>
      <w:bookmarkStart w:id="1" w:name="bookmark2"/>
      <w:bookmarkEnd w:id="1"/>
      <w:bookmarkStart w:id="2" w:name="bookmark19"/>
      <w:bookmarkEnd w:id="2"/>
    </w:p>
    <w:p w14:paraId="7A8607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napToGrid/>
          <w:kern w:val="2"/>
          <w:sz w:val="44"/>
          <w:szCs w:val="44"/>
          <w:lang w:val="en-US" w:eastAsia="zh-CN"/>
        </w:rPr>
      </w:pPr>
      <w:r>
        <w:rPr>
          <w:rFonts w:hint="eastAsia" w:ascii="Times New Roman" w:hAnsi="Times New Roman" w:eastAsia="方正小标宋_GBK" w:cs="方正小标宋_GBK"/>
          <w:snapToGrid/>
          <w:kern w:val="2"/>
          <w:sz w:val="44"/>
          <w:szCs w:val="44"/>
          <w:lang w:val="en-US" w:eastAsia="zh-CN"/>
        </w:rPr>
        <w:t>保定市徐水区工业和信息化局2023年</w:t>
      </w:r>
    </w:p>
    <w:p w14:paraId="129B61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napToGrid/>
          <w:kern w:val="2"/>
          <w:sz w:val="44"/>
          <w:szCs w:val="44"/>
          <w:lang w:val="en-US" w:eastAsia="zh-CN"/>
        </w:rPr>
      </w:pPr>
      <w:r>
        <w:rPr>
          <w:rFonts w:hint="eastAsia" w:ascii="Times New Roman" w:hAnsi="Times New Roman" w:eastAsia="方正小标宋_GBK" w:cs="方正小标宋_GBK"/>
          <w:snapToGrid/>
          <w:kern w:val="2"/>
          <w:sz w:val="44"/>
          <w:szCs w:val="44"/>
          <w:lang w:val="en-US" w:eastAsia="zh-CN"/>
        </w:rPr>
        <w:t>部门整体绩效评价报告</w:t>
      </w:r>
    </w:p>
    <w:p w14:paraId="29D34FEF">
      <w:pPr>
        <w:pStyle w:val="4"/>
        <w:keepNext w:val="0"/>
        <w:keepLines w:val="0"/>
        <w:pageBreakBefore w:val="0"/>
        <w:widowControl/>
        <w:kinsoku w:val="0"/>
        <w:wordWrap/>
        <w:overflowPunct w:val="0"/>
        <w:topLinePunct w:val="0"/>
        <w:autoSpaceDE/>
        <w:autoSpaceDN/>
        <w:bidi w:val="0"/>
        <w:adjustRightInd/>
        <w:snapToGrid/>
        <w:spacing w:before="0" w:beforeLines="50" w:line="269" w:lineRule="auto"/>
        <w:jc w:val="right"/>
        <w:textAlignment w:val="baseline"/>
        <w:rPr>
          <w:rFonts w:hint="default" w:ascii="Times New Roman" w:hAnsi="Times New Roman" w:eastAsia="方正仿宋_GBK" w:cstheme="minorBidi"/>
          <w:snapToGrid/>
          <w:color w:val="000000"/>
          <w:kern w:val="2"/>
          <w:sz w:val="24"/>
          <w:szCs w:val="24"/>
          <w:lang w:val="en-US" w:eastAsia="zh-CN" w:bidi="ar-SA"/>
        </w:rPr>
      </w:pPr>
      <w:r>
        <w:rPr>
          <w:rFonts w:hint="eastAsia" w:ascii="Times New Roman" w:hAnsi="Times New Roman" w:eastAsia="宋体"/>
          <w:sz w:val="24"/>
          <w:lang w:val="en-US" w:eastAsia="zh-CN"/>
        </w:rPr>
        <w:t xml:space="preserve">              </w:t>
      </w:r>
      <w:r>
        <w:rPr>
          <w:rFonts w:hint="eastAsia" w:ascii="Times New Roman" w:hAnsi="Times New Roman" w:eastAsia="方正楷体_GBK" w:cstheme="minorBidi"/>
          <w:snapToGrid/>
          <w:color w:val="000000"/>
          <w:kern w:val="2"/>
          <w:sz w:val="24"/>
          <w:szCs w:val="24"/>
          <w:lang w:val="en-US" w:eastAsia="zh-CN" w:bidi="ar-SA"/>
        </w:rPr>
        <w:t xml:space="preserve">   </w:t>
      </w:r>
      <w:r>
        <w:rPr>
          <w:rFonts w:hint="eastAsia" w:ascii="Times New Roman" w:hAnsi="Times New Roman" w:eastAsia="方正仿宋_GBK" w:cstheme="minorBidi"/>
          <w:snapToGrid/>
          <w:color w:val="000000"/>
          <w:kern w:val="2"/>
          <w:sz w:val="24"/>
          <w:szCs w:val="24"/>
          <w:lang w:val="en-US" w:eastAsia="zh-CN" w:bidi="ar-SA"/>
        </w:rPr>
        <w:t xml:space="preserve"> 蓝天专审字〔2025〕第XXX号</w:t>
      </w:r>
    </w:p>
    <w:p w14:paraId="3F0FF9F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heme="minorBidi"/>
          <w:snapToGrid/>
          <w:kern w:val="2"/>
          <w:sz w:val="32"/>
          <w:szCs w:val="32"/>
          <w:lang w:eastAsia="zh-CN"/>
        </w:rPr>
      </w:pPr>
    </w:p>
    <w:p w14:paraId="625F2DF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保定市徐水区财政局：</w:t>
      </w:r>
    </w:p>
    <w:p w14:paraId="1D9202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我们接受贵单位的委托，于202</w:t>
      </w:r>
      <w:r>
        <w:rPr>
          <w:rFonts w:hint="eastAsia" w:ascii="Times New Roman" w:hAnsi="Times New Roman" w:eastAsia="方正仿宋_GBK" w:cstheme="minorBidi"/>
          <w:snapToGrid/>
          <w:kern w:val="2"/>
          <w:sz w:val="32"/>
          <w:szCs w:val="32"/>
          <w:lang w:val="en-US" w:eastAsia="zh-CN"/>
        </w:rPr>
        <w:t>4</w:t>
      </w:r>
      <w:r>
        <w:rPr>
          <w:rFonts w:hint="eastAsia" w:ascii="Times New Roman" w:hAnsi="Times New Roman" w:eastAsia="方正仿宋_GBK" w:cstheme="minorBidi"/>
          <w:snapToGrid/>
          <w:kern w:val="2"/>
          <w:sz w:val="32"/>
          <w:szCs w:val="32"/>
          <w:lang w:eastAsia="zh-CN"/>
        </w:rPr>
        <w:t>年1</w:t>
      </w:r>
      <w:r>
        <w:rPr>
          <w:rFonts w:hint="eastAsia" w:ascii="Times New Roman" w:hAnsi="Times New Roman" w:eastAsia="方正仿宋_GBK" w:cstheme="minorBidi"/>
          <w:snapToGrid/>
          <w:kern w:val="2"/>
          <w:sz w:val="32"/>
          <w:szCs w:val="32"/>
          <w:lang w:val="en-US" w:eastAsia="zh-CN"/>
        </w:rPr>
        <w:t>2</w:t>
      </w:r>
      <w:r>
        <w:rPr>
          <w:rFonts w:hint="eastAsia" w:ascii="Times New Roman" w:hAnsi="Times New Roman" w:eastAsia="方正仿宋_GBK" w:cstheme="minorBidi"/>
          <w:snapToGrid/>
          <w:kern w:val="2"/>
          <w:sz w:val="32"/>
          <w:szCs w:val="32"/>
          <w:lang w:eastAsia="zh-CN"/>
        </w:rPr>
        <w:t>月</w:t>
      </w:r>
      <w:r>
        <w:rPr>
          <w:rFonts w:hint="eastAsia" w:ascii="Times New Roman" w:hAnsi="Times New Roman" w:eastAsia="方正仿宋_GBK" w:cstheme="minorBidi"/>
          <w:snapToGrid/>
          <w:kern w:val="2"/>
          <w:sz w:val="32"/>
          <w:szCs w:val="32"/>
          <w:lang w:val="en-US" w:eastAsia="zh-CN"/>
        </w:rPr>
        <w:t>16</w:t>
      </w:r>
      <w:r>
        <w:rPr>
          <w:rFonts w:hint="eastAsia" w:ascii="Times New Roman" w:hAnsi="Times New Roman" w:eastAsia="方正仿宋_GBK" w:cstheme="minorBidi"/>
          <w:snapToGrid/>
          <w:kern w:val="2"/>
          <w:sz w:val="32"/>
          <w:szCs w:val="32"/>
          <w:lang w:eastAsia="zh-CN"/>
        </w:rPr>
        <w:t>日至</w:t>
      </w:r>
      <w:r>
        <w:rPr>
          <w:rFonts w:hint="eastAsia" w:ascii="Times New Roman" w:hAnsi="Times New Roman" w:eastAsia="方正仿宋_GBK" w:cstheme="minorBidi"/>
          <w:snapToGrid/>
          <w:kern w:val="2"/>
          <w:sz w:val="32"/>
          <w:szCs w:val="32"/>
          <w:lang w:val="en-US" w:eastAsia="zh-CN"/>
        </w:rPr>
        <w:t>2025年1月6日</w:t>
      </w:r>
      <w:r>
        <w:rPr>
          <w:rFonts w:hint="eastAsia" w:ascii="Times New Roman" w:hAnsi="Times New Roman" w:eastAsia="方正仿宋_GBK" w:cstheme="minorBidi"/>
          <w:snapToGrid/>
          <w:kern w:val="2"/>
          <w:sz w:val="32"/>
          <w:szCs w:val="32"/>
          <w:lang w:eastAsia="zh-CN"/>
        </w:rPr>
        <w:t>对保定市徐水区工业和信息化局（以下简称”徐水区工信局”）202</w:t>
      </w:r>
      <w:r>
        <w:rPr>
          <w:rFonts w:hint="eastAsia" w:ascii="Times New Roman" w:hAnsi="Times New Roman" w:eastAsia="方正仿宋_GBK" w:cstheme="minorBidi"/>
          <w:snapToGrid/>
          <w:kern w:val="2"/>
          <w:sz w:val="32"/>
          <w:szCs w:val="32"/>
          <w:lang w:val="en-US" w:eastAsia="zh-CN"/>
        </w:rPr>
        <w:t>3</w:t>
      </w:r>
      <w:r>
        <w:rPr>
          <w:rFonts w:hint="eastAsia" w:ascii="Times New Roman" w:hAnsi="Times New Roman" w:eastAsia="方正仿宋_GBK" w:cstheme="minorBidi"/>
          <w:snapToGrid/>
          <w:kern w:val="2"/>
          <w:sz w:val="32"/>
          <w:szCs w:val="32"/>
          <w:lang w:eastAsia="zh-CN"/>
        </w:rPr>
        <w:t>年部门整体情况进行了绩效评价。徐水区工信局提供与绩效评价有关的资料，并对资料的真实性、完整性、合法性负责，我们的责任是根据相关资料对徐水区工信局202</w:t>
      </w:r>
      <w:r>
        <w:rPr>
          <w:rFonts w:hint="eastAsia" w:ascii="Times New Roman" w:hAnsi="Times New Roman" w:eastAsia="方正仿宋_GBK" w:cstheme="minorBidi"/>
          <w:snapToGrid/>
          <w:kern w:val="2"/>
          <w:sz w:val="32"/>
          <w:szCs w:val="32"/>
          <w:lang w:val="en-US" w:eastAsia="zh-CN"/>
        </w:rPr>
        <w:t>3</w:t>
      </w:r>
      <w:r>
        <w:rPr>
          <w:rFonts w:hint="eastAsia" w:ascii="Times New Roman" w:hAnsi="Times New Roman" w:eastAsia="方正仿宋_GBK" w:cstheme="minorBidi"/>
          <w:snapToGrid/>
          <w:kern w:val="2"/>
          <w:sz w:val="32"/>
          <w:szCs w:val="32"/>
          <w:lang w:eastAsia="zh-CN"/>
        </w:rPr>
        <w:t>年度</w:t>
      </w:r>
      <w:r>
        <w:rPr>
          <w:rFonts w:hint="eastAsia" w:ascii="Times New Roman" w:hAnsi="Times New Roman" w:eastAsia="方正仿宋_GBK" w:cstheme="minorBidi"/>
          <w:snapToGrid/>
          <w:kern w:val="2"/>
          <w:sz w:val="32"/>
          <w:szCs w:val="32"/>
          <w:lang w:val="en-US" w:eastAsia="zh-CN"/>
        </w:rPr>
        <w:t>投入</w:t>
      </w:r>
      <w:r>
        <w:rPr>
          <w:rFonts w:hint="eastAsia" w:ascii="Times New Roman" w:hAnsi="Times New Roman" w:eastAsia="方正仿宋_GBK" w:cstheme="minorBidi"/>
          <w:snapToGrid/>
          <w:kern w:val="2"/>
          <w:sz w:val="32"/>
          <w:szCs w:val="32"/>
          <w:lang w:eastAsia="zh-CN"/>
        </w:rPr>
        <w:t>、</w:t>
      </w:r>
      <w:r>
        <w:rPr>
          <w:rFonts w:hint="eastAsia" w:ascii="Times New Roman" w:hAnsi="Times New Roman" w:eastAsia="方正仿宋_GBK" w:cstheme="minorBidi"/>
          <w:snapToGrid/>
          <w:kern w:val="2"/>
          <w:sz w:val="32"/>
          <w:szCs w:val="32"/>
          <w:lang w:val="en-US" w:eastAsia="zh-CN"/>
        </w:rPr>
        <w:t>过程</w:t>
      </w:r>
      <w:r>
        <w:rPr>
          <w:rFonts w:hint="eastAsia" w:ascii="Times New Roman" w:hAnsi="Times New Roman" w:eastAsia="方正仿宋_GBK" w:cstheme="minorBidi"/>
          <w:snapToGrid/>
          <w:kern w:val="2"/>
          <w:sz w:val="32"/>
          <w:szCs w:val="32"/>
          <w:lang w:eastAsia="zh-CN"/>
        </w:rPr>
        <w:t>、</w:t>
      </w:r>
      <w:r>
        <w:rPr>
          <w:rFonts w:hint="eastAsia" w:ascii="Times New Roman" w:hAnsi="Times New Roman" w:eastAsia="方正仿宋_GBK" w:cstheme="minorBidi"/>
          <w:snapToGrid/>
          <w:kern w:val="2"/>
          <w:sz w:val="32"/>
          <w:szCs w:val="32"/>
          <w:lang w:val="en-US" w:eastAsia="zh-CN"/>
        </w:rPr>
        <w:t>产出、效果四</w:t>
      </w:r>
      <w:r>
        <w:rPr>
          <w:rFonts w:hint="eastAsia" w:ascii="Times New Roman" w:hAnsi="Times New Roman" w:eastAsia="方正仿宋_GBK" w:cstheme="minorBidi"/>
          <w:snapToGrid/>
          <w:kern w:val="2"/>
          <w:sz w:val="32"/>
          <w:szCs w:val="32"/>
          <w:lang w:eastAsia="zh-CN"/>
        </w:rPr>
        <w:t>个方面和执行国家相关法律法规情况发表评价意见。</w:t>
      </w:r>
    </w:p>
    <w:p w14:paraId="134C44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我们的绩效评价工作是依据财政部门的相关规定进行的。在评价工作中，我们结合徐水区工信局的实际情况制定了绩效评价指标体系，实施了包括询问、资料查看、重新计算、问卷调查等我们认为必要的评价手段。绩效评价工作现已完成，具体评价情况汇总如下：</w:t>
      </w:r>
    </w:p>
    <w:p w14:paraId="32443F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黑体_GBK" w:cs="方正黑体_GBK"/>
          <w:snapToGrid/>
          <w:kern w:val="2"/>
          <w:sz w:val="32"/>
          <w:szCs w:val="32"/>
          <w:lang w:val="en-US" w:eastAsia="zh-CN"/>
        </w:rPr>
      </w:pPr>
      <w:bookmarkStart w:id="3" w:name="_Toc14968"/>
      <w:r>
        <w:rPr>
          <w:rFonts w:hint="eastAsia" w:ascii="Times New Roman" w:hAnsi="Times New Roman" w:eastAsia="方正黑体_GBK" w:cs="方正黑体_GBK"/>
          <w:snapToGrid/>
          <w:kern w:val="2"/>
          <w:sz w:val="32"/>
          <w:szCs w:val="32"/>
          <w:lang w:val="en-US" w:eastAsia="zh-CN"/>
        </w:rPr>
        <w:t>一、基本情况</w:t>
      </w:r>
      <w:bookmarkEnd w:id="3"/>
    </w:p>
    <w:p w14:paraId="1600FB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eastAsia="zh-CN"/>
        </w:rPr>
      </w:pPr>
      <w:bookmarkStart w:id="4" w:name="_Toc17570"/>
      <w:r>
        <w:rPr>
          <w:rFonts w:hint="eastAsia" w:ascii="Times New Roman" w:hAnsi="Times New Roman" w:eastAsia="方正楷体_GBK" w:cstheme="minorBidi"/>
          <w:snapToGrid/>
          <w:kern w:val="2"/>
          <w:sz w:val="32"/>
          <w:szCs w:val="32"/>
          <w:lang w:eastAsia="zh-CN"/>
        </w:rPr>
        <w:t>（一）单位概况</w:t>
      </w:r>
      <w:bookmarkEnd w:id="4"/>
    </w:p>
    <w:p w14:paraId="307DD7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根据中共保定市徐水区委办公室关于印发《保定市徐水区工业和信息化局职能配置、内设机构和人员编制规定》的通知（徐办字〔2019〕22号），</w:t>
      </w:r>
      <w:r>
        <w:rPr>
          <w:rFonts w:hint="eastAsia" w:ascii="Times New Roman" w:hAnsi="Times New Roman" w:eastAsia="方正仿宋_GBK" w:cstheme="minorBidi"/>
          <w:snapToGrid/>
          <w:kern w:val="2"/>
          <w:sz w:val="32"/>
          <w:szCs w:val="32"/>
          <w:lang w:val="en-US" w:eastAsia="zh-CN"/>
        </w:rPr>
        <w:t>徐水区工信</w:t>
      </w:r>
      <w:r>
        <w:rPr>
          <w:rFonts w:hint="eastAsia" w:ascii="Times New Roman" w:hAnsi="Times New Roman" w:eastAsia="方正仿宋_GBK" w:cstheme="minorBidi"/>
          <w:snapToGrid/>
          <w:kern w:val="2"/>
          <w:sz w:val="32"/>
          <w:szCs w:val="32"/>
          <w:lang w:eastAsia="zh-CN"/>
        </w:rPr>
        <w:t>局为区政府工作部门。机构规格正科级，对外加挂科学技术局牌子。主要职责是：</w:t>
      </w:r>
    </w:p>
    <w:p w14:paraId="7CB037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w:t>
      </w:r>
      <w:r>
        <w:rPr>
          <w:rFonts w:hint="eastAsia" w:ascii="Times New Roman" w:hAnsi="Times New Roman" w:eastAsia="方正仿宋_GBK" w:cstheme="minorBidi"/>
          <w:snapToGrid/>
          <w:kern w:val="2"/>
          <w:sz w:val="32"/>
          <w:szCs w:val="32"/>
          <w:lang w:eastAsia="zh-CN"/>
        </w:rPr>
        <w:t>提出全区新型工业化发展战略和政策，协调解决新型工业化进程中的重大问题，拟订并组织实施全区工业的发展规划，推进产业结构战略性调整和优化升级，推进信息化和工业化融合。</w:t>
      </w:r>
    </w:p>
    <w:p w14:paraId="7E9795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2.</w:t>
      </w:r>
      <w:r>
        <w:rPr>
          <w:rFonts w:hint="eastAsia" w:ascii="Times New Roman" w:hAnsi="Times New Roman" w:eastAsia="方正仿宋_GBK" w:cstheme="minorBidi"/>
          <w:snapToGrid/>
          <w:kern w:val="2"/>
          <w:sz w:val="32"/>
          <w:szCs w:val="32"/>
          <w:lang w:eastAsia="zh-CN"/>
        </w:rPr>
        <w:t>拟订并组织实施全区工业行业规划、计划和产业政策，提出优化产业布局、结构的政策建议，推进现代产业体系建设，组织实施行业技术规范和标准，指导行业生产质量管理，协调推进工信系统名牌战略工作。</w:t>
      </w:r>
    </w:p>
    <w:p w14:paraId="1713ED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3.</w:t>
      </w:r>
      <w:r>
        <w:rPr>
          <w:rFonts w:hint="eastAsia" w:ascii="Times New Roman" w:hAnsi="Times New Roman" w:eastAsia="方正仿宋_GBK" w:cstheme="minorBidi"/>
          <w:snapToGrid/>
          <w:kern w:val="2"/>
          <w:sz w:val="32"/>
          <w:szCs w:val="32"/>
          <w:lang w:eastAsia="zh-CN"/>
        </w:rPr>
        <w:t>监测、分析全区工业运行态势，统计并发布相关信息，进行预测预警和信息引导，协调解决行业运行发展中的有关问题并提出政策建议；负责工业应急管理、产业安全和国防动员有关工作；负责区医药储备管理的有关工作。</w:t>
      </w:r>
    </w:p>
    <w:p w14:paraId="7DD30C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4.</w:t>
      </w:r>
      <w:r>
        <w:rPr>
          <w:rFonts w:hint="eastAsia" w:ascii="Times New Roman" w:hAnsi="Times New Roman" w:eastAsia="方正仿宋_GBK" w:cstheme="minorBidi"/>
          <w:snapToGrid/>
          <w:kern w:val="2"/>
          <w:sz w:val="32"/>
          <w:szCs w:val="32"/>
          <w:lang w:eastAsia="zh-CN"/>
        </w:rPr>
        <w:t>负责提出全区工业固定资产投资规模和方向（含利用外资和境外投资）、国家和省、市财政性建设资金安排的意见。</w:t>
      </w:r>
    </w:p>
    <w:p w14:paraId="488C70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5.</w:t>
      </w:r>
      <w:r>
        <w:rPr>
          <w:rFonts w:hint="eastAsia" w:ascii="Times New Roman" w:hAnsi="Times New Roman" w:eastAsia="方正仿宋_GBK" w:cstheme="minorBidi"/>
          <w:snapToGrid/>
          <w:kern w:val="2"/>
          <w:sz w:val="32"/>
          <w:szCs w:val="32"/>
          <w:lang w:eastAsia="zh-CN"/>
        </w:rPr>
        <w:t>负责对全区中小企业和民营经济促进工作进行指导、综合协调和监督检查，负责中小企业统计工作，研究拟订全区中小企业发展战略、中长期发展规划、年度计划并组织实施；会同有关部门拟订促进全区发展中小企业和民营经济发展的相关政策并组织实施，协调解决有关重大问题；指导和推进中小企业转变发展方式，推动结构调整优化；拟订中小企业产业集群发展规划及政策措施并组织实施。</w:t>
      </w:r>
    </w:p>
    <w:p w14:paraId="73F08C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6.</w:t>
      </w:r>
      <w:r>
        <w:rPr>
          <w:rFonts w:hint="eastAsia" w:ascii="Times New Roman" w:hAnsi="Times New Roman" w:eastAsia="方正仿宋_GBK" w:cstheme="minorBidi"/>
          <w:snapToGrid/>
          <w:kern w:val="2"/>
          <w:sz w:val="32"/>
          <w:szCs w:val="32"/>
          <w:lang w:eastAsia="zh-CN"/>
        </w:rPr>
        <w:t>拟订和组织实施中小企业发展专项资金年度计划和固定资产投资计划，提出区级中小企业发展专项资金年度预算建议，实施对中小企业发展专项资金使用的监督检查；指导中小企业专项资金的设立和使用；提出中小企业融资的政策措施并组织实施；推动建立中小企业创业风险投资引导资金，确定资金使用方向；负责企业诚信体系建设；组织推进中小企业信用担保体系和信用制度建设；推动建立完善中小企业服务体系，引导各类中介组织为中小企业提供服务。</w:t>
      </w:r>
    </w:p>
    <w:p w14:paraId="07CE1A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7.</w:t>
      </w:r>
      <w:r>
        <w:rPr>
          <w:rFonts w:hint="eastAsia" w:ascii="Times New Roman" w:hAnsi="Times New Roman" w:eastAsia="方正仿宋_GBK" w:cstheme="minorBidi"/>
          <w:snapToGrid/>
          <w:kern w:val="2"/>
          <w:sz w:val="32"/>
          <w:szCs w:val="32"/>
          <w:lang w:eastAsia="zh-CN"/>
        </w:rPr>
        <w:t>贯彻国家政策和标准，拟订高新技术产业中涉及生物医药、新材料、信息产业等规划并组织实施；指导行业技术创新和技术进步，以先进适用技术改造提升传统产业；组织实施有关国家、省、市科技重大专项，推进相关科研成果产业化，推动全区软件业、信息服务业和新兴产业发展。</w:t>
      </w:r>
    </w:p>
    <w:p w14:paraId="4D3BF5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8.</w:t>
      </w:r>
      <w:r>
        <w:rPr>
          <w:rFonts w:hint="eastAsia" w:ascii="Times New Roman" w:hAnsi="Times New Roman" w:eastAsia="方正仿宋_GBK" w:cstheme="minorBidi"/>
          <w:snapToGrid/>
          <w:kern w:val="2"/>
          <w:sz w:val="32"/>
          <w:szCs w:val="32"/>
          <w:lang w:eastAsia="zh-CN"/>
        </w:rPr>
        <w:t>承担全区振兴装备制造业的组织协调，贯彻执行国家、省、市重大技术装备发展和自主创新规划、政策，依托国家、省、市重点工程建设协调有关重大专项的实施，推进重大技术装备国产化，指导引进重大技术装备的消化创新。</w:t>
      </w:r>
    </w:p>
    <w:p w14:paraId="07A99C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9.</w:t>
      </w:r>
      <w:r>
        <w:rPr>
          <w:rFonts w:hint="eastAsia" w:ascii="Times New Roman" w:hAnsi="Times New Roman" w:eastAsia="方正仿宋_GBK" w:cstheme="minorBidi"/>
          <w:snapToGrid/>
          <w:kern w:val="2"/>
          <w:sz w:val="32"/>
          <w:szCs w:val="32"/>
          <w:lang w:eastAsia="zh-CN"/>
        </w:rPr>
        <w:t>组织实施国家、省、市工业能源节约和资源综合利用促进政策，协调相关重大示范工程和新产品、新技术、新设备、新材料的推广应用。</w:t>
      </w:r>
    </w:p>
    <w:p w14:paraId="6A5D20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10.</w:t>
      </w:r>
      <w:r>
        <w:rPr>
          <w:rFonts w:hint="eastAsia" w:ascii="Times New Roman" w:hAnsi="Times New Roman" w:eastAsia="方正仿宋_GBK" w:cstheme="minorBidi"/>
          <w:snapToGrid/>
          <w:kern w:val="2"/>
          <w:sz w:val="32"/>
          <w:szCs w:val="32"/>
          <w:lang w:eastAsia="zh-CN"/>
        </w:rPr>
        <w:t>推进全区工业体制改革和管理创新，提高行业综合素质和核心竞争力，指导工业行业加强安全生产管理；负责证照齐全民用爆炸物品生产、流通企业单位的安全生产监督管理；负责本单位的安全生产和职业健康工作。</w:t>
      </w:r>
    </w:p>
    <w:p w14:paraId="19A8D2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11.</w:t>
      </w:r>
      <w:r>
        <w:rPr>
          <w:rFonts w:hint="eastAsia" w:ascii="Times New Roman" w:hAnsi="Times New Roman" w:eastAsia="方正仿宋_GBK" w:cstheme="minorBidi"/>
          <w:snapToGrid/>
          <w:kern w:val="2"/>
          <w:sz w:val="32"/>
          <w:szCs w:val="32"/>
          <w:lang w:eastAsia="zh-CN"/>
        </w:rPr>
        <w:t>组织开展工业、中小企业的对外合作与交流。</w:t>
      </w:r>
    </w:p>
    <w:p w14:paraId="0A0C83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12.</w:t>
      </w:r>
      <w:r>
        <w:rPr>
          <w:rFonts w:hint="eastAsia" w:ascii="Times New Roman" w:hAnsi="Times New Roman" w:eastAsia="方正仿宋_GBK" w:cstheme="minorBidi"/>
          <w:snapToGrid/>
          <w:kern w:val="2"/>
          <w:sz w:val="32"/>
          <w:szCs w:val="32"/>
          <w:lang w:eastAsia="zh-CN"/>
        </w:rPr>
        <w:t>承担履行《禁止化学武器公约》的组织协调工作。</w:t>
      </w:r>
    </w:p>
    <w:p w14:paraId="26FBE0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13.</w:t>
      </w:r>
      <w:r>
        <w:rPr>
          <w:rFonts w:hint="eastAsia" w:ascii="Times New Roman" w:hAnsi="Times New Roman" w:eastAsia="方正仿宋_GBK" w:cstheme="minorBidi"/>
          <w:snapToGrid/>
          <w:kern w:val="2"/>
          <w:sz w:val="32"/>
          <w:szCs w:val="32"/>
          <w:lang w:eastAsia="zh-CN"/>
        </w:rPr>
        <w:t>贯彻落实创新驱动发展战略方针，拟订科技发展、引进国外智力规划和政策并组织实施。</w:t>
      </w:r>
    </w:p>
    <w:p w14:paraId="7D6818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14.</w:t>
      </w:r>
      <w:r>
        <w:rPr>
          <w:rFonts w:hint="eastAsia" w:ascii="Times New Roman" w:hAnsi="Times New Roman" w:eastAsia="方正仿宋_GBK" w:cstheme="minorBidi"/>
          <w:snapToGrid/>
          <w:kern w:val="2"/>
          <w:sz w:val="32"/>
          <w:szCs w:val="32"/>
          <w:lang w:eastAsia="zh-CN"/>
        </w:rPr>
        <w:t>统筹推进全区创新体系建设和科技体制改革，会同有关部门健全技术创新激励机制；优化科研体系建设，指导科研机构改革发展，推动企业科技创新能力建设，推进区重大科技决策咨询制度建设；拟订科学普及和科学传播规划、政策。</w:t>
      </w:r>
    </w:p>
    <w:p w14:paraId="30AAAC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15.</w:t>
      </w:r>
      <w:r>
        <w:rPr>
          <w:rFonts w:hint="eastAsia" w:ascii="Times New Roman" w:hAnsi="Times New Roman" w:eastAsia="方正仿宋_GBK" w:cstheme="minorBidi"/>
          <w:snapToGrid/>
          <w:kern w:val="2"/>
          <w:sz w:val="32"/>
          <w:szCs w:val="32"/>
          <w:lang w:eastAsia="zh-CN"/>
        </w:rPr>
        <w:t>牵头建立统一的国家、省、市级科研项目资金协调、监管机制；会同有关部门提出优化配置科技资源的政策措施建议，推动多元化科技投入体系建设，协调监督管理上级下达的财政科技计划专项。</w:t>
      </w:r>
    </w:p>
    <w:p w14:paraId="0CB448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16.</w:t>
      </w:r>
      <w:r>
        <w:rPr>
          <w:rFonts w:hint="eastAsia" w:ascii="Times New Roman" w:hAnsi="Times New Roman" w:eastAsia="方正仿宋_GBK" w:cstheme="minorBidi"/>
          <w:snapToGrid/>
          <w:kern w:val="2"/>
          <w:sz w:val="32"/>
          <w:szCs w:val="32"/>
          <w:lang w:eastAsia="zh-CN"/>
        </w:rPr>
        <w:t>监督实施重大科技创新基地建设规划，推动科研条件 保障、科技平台建设和科技资源开放共享。</w:t>
      </w:r>
    </w:p>
    <w:p w14:paraId="2AAEB6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17.</w:t>
      </w:r>
      <w:r>
        <w:rPr>
          <w:rFonts w:hint="eastAsia" w:ascii="Times New Roman" w:hAnsi="Times New Roman" w:eastAsia="方正仿宋_GBK" w:cstheme="minorBidi"/>
          <w:snapToGrid/>
          <w:kern w:val="2"/>
          <w:sz w:val="32"/>
          <w:szCs w:val="32"/>
          <w:lang w:eastAsia="zh-CN"/>
        </w:rPr>
        <w:t>监督实施区重大科技项目规划，统筹关键共性技术、</w:t>
      </w:r>
      <w:bookmarkStart w:id="5" w:name="bookmark20"/>
      <w:bookmarkEnd w:id="5"/>
      <w:r>
        <w:rPr>
          <w:rFonts w:hint="eastAsia" w:ascii="Times New Roman" w:hAnsi="Times New Roman" w:eastAsia="方正仿宋_GBK" w:cstheme="minorBidi"/>
          <w:snapToGrid/>
          <w:kern w:val="2"/>
          <w:sz w:val="32"/>
          <w:szCs w:val="32"/>
          <w:lang w:eastAsia="zh-CN"/>
        </w:rPr>
        <w:t>前沿引领技术、现代工程技术、颠覆性技术研发和创新，牵头组织重大技术攻关和成果应用示范。</w:t>
      </w:r>
    </w:p>
    <w:p w14:paraId="5C96D1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18.</w:t>
      </w:r>
      <w:r>
        <w:rPr>
          <w:rFonts w:hint="eastAsia" w:ascii="Times New Roman" w:hAnsi="Times New Roman" w:eastAsia="方正仿宋_GBK" w:cstheme="minorBidi"/>
          <w:snapToGrid/>
          <w:kern w:val="2"/>
          <w:sz w:val="32"/>
          <w:szCs w:val="32"/>
          <w:lang w:eastAsia="zh-CN"/>
        </w:rPr>
        <w:t>组织拟订高新技术发展及产业化、科技促进农业农村和社会发展的规划、政策和措施；组织开展重点领域技术发展需求分析，提出重大任务并监督实施；指导农业科技园区建设。</w:t>
      </w:r>
    </w:p>
    <w:p w14:paraId="4C358B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19.</w:t>
      </w:r>
      <w:r>
        <w:rPr>
          <w:rFonts w:hint="eastAsia" w:ascii="Times New Roman" w:hAnsi="Times New Roman" w:eastAsia="方正仿宋_GBK" w:cstheme="minorBidi"/>
          <w:snapToGrid/>
          <w:kern w:val="2"/>
          <w:sz w:val="32"/>
          <w:szCs w:val="32"/>
          <w:lang w:eastAsia="zh-CN"/>
        </w:rPr>
        <w:t>牵头技术转移体系建设，拟订科技成果转移转化和促进产学研结合的相关政策措施并监督实施；指导科技服务业、技术市场和科技中介组织发展。</w:t>
      </w:r>
    </w:p>
    <w:p w14:paraId="15AC6E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20.</w:t>
      </w:r>
      <w:r>
        <w:rPr>
          <w:rFonts w:hint="eastAsia" w:ascii="Times New Roman" w:hAnsi="Times New Roman" w:eastAsia="方正仿宋_GBK" w:cstheme="minorBidi"/>
          <w:snapToGrid/>
          <w:kern w:val="2"/>
          <w:sz w:val="32"/>
          <w:szCs w:val="32"/>
          <w:lang w:eastAsia="zh-CN"/>
        </w:rPr>
        <w:t>统筹区域科技创新体系建设，指导区域创新发展、科技资源合理布局和协同创新能力建设。</w:t>
      </w:r>
    </w:p>
    <w:p w14:paraId="7AC3A7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21.</w:t>
      </w:r>
      <w:r>
        <w:rPr>
          <w:rFonts w:hint="eastAsia" w:ascii="Times New Roman" w:hAnsi="Times New Roman" w:eastAsia="方正仿宋_GBK" w:cstheme="minorBidi"/>
          <w:snapToGrid/>
          <w:kern w:val="2"/>
          <w:sz w:val="32"/>
          <w:szCs w:val="32"/>
          <w:lang w:eastAsia="zh-CN"/>
        </w:rPr>
        <w:t>负责科技监督评价体系建设和相关科技评估管理，指导科技评价机制改革，统筹科研诚信建设；组织实施创新调查和科技报告制度，指导全区科技保密工作。</w:t>
      </w:r>
    </w:p>
    <w:p w14:paraId="2AE820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22.</w:t>
      </w:r>
      <w:r>
        <w:rPr>
          <w:rFonts w:hint="eastAsia" w:ascii="Times New Roman" w:hAnsi="Times New Roman" w:eastAsia="方正仿宋_GBK" w:cstheme="minorBidi"/>
          <w:snapToGrid/>
          <w:kern w:val="2"/>
          <w:sz w:val="32"/>
          <w:szCs w:val="32"/>
          <w:lang w:eastAsia="zh-CN"/>
        </w:rPr>
        <w:t>拟订国际科技合作与创新能力开放合作的规划、政策和措施，组织开展国际科技合作交流；指导相关部门开展对外科技合作交流工作，组织科技援外和科技援冀相关事宜。</w:t>
      </w:r>
    </w:p>
    <w:p w14:paraId="1A7007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23.</w:t>
      </w:r>
      <w:r>
        <w:rPr>
          <w:rFonts w:hint="eastAsia" w:ascii="Times New Roman" w:hAnsi="Times New Roman" w:eastAsia="方正仿宋_GBK" w:cstheme="minorBidi"/>
          <w:snapToGrid/>
          <w:kern w:val="2"/>
          <w:sz w:val="32"/>
          <w:szCs w:val="32"/>
          <w:lang w:eastAsia="zh-CN"/>
        </w:rPr>
        <w:t>负责引进国外智力工作。拟订区重点引进外国专家总 体规划、计划并组织实施，建立外国高层次人才吸引集聚机制和重点外国专家联系服务机制；拟订出国（境）培训总体规划、政 策和年度计划并监督实施。</w:t>
      </w:r>
    </w:p>
    <w:p w14:paraId="3255F3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24.</w:t>
      </w:r>
      <w:r>
        <w:rPr>
          <w:rFonts w:hint="eastAsia" w:ascii="Times New Roman" w:hAnsi="Times New Roman" w:eastAsia="方正仿宋_GBK" w:cstheme="minorBidi"/>
          <w:snapToGrid/>
          <w:kern w:val="2"/>
          <w:sz w:val="32"/>
          <w:szCs w:val="32"/>
          <w:lang w:eastAsia="zh-CN"/>
        </w:rPr>
        <w:t>会同有关部门拟订科技人才队伍建设规划和政策，建立健全科技人才评价和激励机制，组织实施科技人才计划，推动高端科技创新人才队伍建设。</w:t>
      </w:r>
    </w:p>
    <w:p w14:paraId="322614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25.</w:t>
      </w:r>
      <w:r>
        <w:rPr>
          <w:rFonts w:hint="eastAsia" w:ascii="Times New Roman" w:hAnsi="Times New Roman" w:eastAsia="方正仿宋_GBK" w:cstheme="minorBidi"/>
          <w:snapToGrid/>
          <w:kern w:val="2"/>
          <w:sz w:val="32"/>
          <w:szCs w:val="32"/>
          <w:lang w:eastAsia="zh-CN"/>
        </w:rPr>
        <w:t>承担国家、省、市科学技术奖、高新技术企业、高新技术产品、科技型中小企业、企业技术创新中心、众创空间等创新平台的组织申报工作。</w:t>
      </w:r>
    </w:p>
    <w:p w14:paraId="310556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26.</w:t>
      </w:r>
      <w:r>
        <w:rPr>
          <w:rFonts w:hint="eastAsia" w:ascii="Times New Roman" w:hAnsi="Times New Roman" w:eastAsia="方正仿宋_GBK" w:cstheme="minorBidi"/>
          <w:snapToGrid/>
          <w:kern w:val="2"/>
          <w:sz w:val="32"/>
          <w:szCs w:val="32"/>
          <w:lang w:eastAsia="zh-CN"/>
        </w:rPr>
        <w:t>完成区委、区政府交办的其他任务。</w:t>
      </w:r>
    </w:p>
    <w:p w14:paraId="416FD1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eastAsia="zh-CN"/>
        </w:rPr>
      </w:pPr>
      <w:bookmarkStart w:id="6" w:name="_Toc5316"/>
      <w:r>
        <w:rPr>
          <w:rFonts w:hint="eastAsia" w:ascii="Times New Roman" w:hAnsi="Times New Roman" w:eastAsia="方正楷体_GBK" w:cstheme="minorBidi"/>
          <w:snapToGrid/>
          <w:kern w:val="2"/>
          <w:sz w:val="32"/>
          <w:szCs w:val="32"/>
          <w:lang w:eastAsia="zh-CN"/>
        </w:rPr>
        <w:t>（二）机构设置</w:t>
      </w:r>
      <w:bookmarkEnd w:id="6"/>
    </w:p>
    <w:p w14:paraId="1713F0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徐水区</w:t>
      </w:r>
      <w:r>
        <w:rPr>
          <w:rFonts w:hint="default" w:ascii="Times New Roman" w:hAnsi="Times New Roman" w:eastAsia="方正仿宋_GBK" w:cstheme="minorBidi"/>
          <w:snapToGrid/>
          <w:kern w:val="2"/>
          <w:sz w:val="32"/>
          <w:szCs w:val="32"/>
          <w:lang w:val="en-US" w:eastAsia="zh-CN"/>
        </w:rPr>
        <w:t>工信局为正科级行政单位，经费保障形式为财政拨款，下设4个股室1个下属事业单位，分别为综合股、工业运行管理股、工业发展规划股、科技股和保定市徐水区盐政执法大队。</w:t>
      </w:r>
    </w:p>
    <w:p w14:paraId="24C8CA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eastAsia="zh-CN"/>
        </w:rPr>
      </w:pPr>
      <w:bookmarkStart w:id="7" w:name="_Toc17322"/>
      <w:r>
        <w:rPr>
          <w:rFonts w:hint="eastAsia" w:ascii="Times New Roman" w:hAnsi="Times New Roman" w:eastAsia="方正楷体_GBK" w:cstheme="minorBidi"/>
          <w:snapToGrid/>
          <w:kern w:val="2"/>
          <w:sz w:val="32"/>
          <w:szCs w:val="32"/>
          <w:lang w:eastAsia="zh-CN"/>
        </w:rPr>
        <w:t>（三）部门人员</w:t>
      </w:r>
      <w:bookmarkEnd w:id="7"/>
    </w:p>
    <w:p w14:paraId="476D71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根据《保定市徐水区工业和信息化局职能配置、内设机构和人员编制规定》的通知</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徐办字〔2019〕22号</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，徐</w:t>
      </w:r>
      <w:r>
        <w:rPr>
          <w:rFonts w:hint="eastAsia" w:ascii="Times New Roman" w:hAnsi="Times New Roman" w:eastAsia="仿宋" w:cs="仿宋"/>
          <w:spacing w:val="6"/>
          <w:sz w:val="32"/>
          <w:szCs w:val="32"/>
          <w:lang w:val="en-US" w:eastAsia="zh-CN"/>
        </w:rPr>
        <w:t>水</w:t>
      </w:r>
      <w:r>
        <w:rPr>
          <w:rFonts w:hint="default" w:ascii="Times New Roman" w:hAnsi="Times New Roman" w:eastAsia="方正仿宋_GBK" w:cstheme="minorBidi"/>
          <w:snapToGrid/>
          <w:kern w:val="2"/>
          <w:sz w:val="32"/>
          <w:szCs w:val="32"/>
          <w:lang w:val="en-US" w:eastAsia="zh-CN"/>
        </w:rPr>
        <w:t>区工信局机关行政编制12名，设局长1名，副局长2名，股级干部职数4名</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2021年8月根据中共保定市徐水区委办公室关于《工业和信息化局增加行政编制》的通知</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徐机编〔2021〕10号</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徐水区工信局增加行政编制1名</w:t>
      </w:r>
      <w:r>
        <w:rPr>
          <w:rFonts w:hint="eastAsia" w:ascii="Times New Roman" w:hAnsi="Times New Roman" w:eastAsia="方正仿宋_GBK" w:cstheme="minorBidi"/>
          <w:snapToGrid/>
          <w:kern w:val="2"/>
          <w:sz w:val="32"/>
          <w:szCs w:val="32"/>
          <w:lang w:val="en-US" w:eastAsia="zh-CN"/>
        </w:rPr>
        <w:t>；2022年3月根据</w:t>
      </w:r>
      <w:r>
        <w:rPr>
          <w:rFonts w:hint="default" w:ascii="Times New Roman" w:hAnsi="Times New Roman" w:eastAsia="方正仿宋_GBK" w:cstheme="minorBidi"/>
          <w:snapToGrid/>
          <w:kern w:val="2"/>
          <w:sz w:val="32"/>
          <w:szCs w:val="32"/>
          <w:lang w:val="en-US" w:eastAsia="zh-CN"/>
        </w:rPr>
        <w:t>《设立保定市徐水区盐政执法大队的通知》</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徐机编〔2022〕5号</w:t>
      </w:r>
      <w:r>
        <w:rPr>
          <w:rFonts w:hint="eastAsia" w:ascii="Times New Roman" w:hAnsi="Times New Roman" w:eastAsia="方正仿宋_GBK" w:cstheme="minorBidi"/>
          <w:snapToGrid/>
          <w:kern w:val="2"/>
          <w:sz w:val="32"/>
          <w:szCs w:val="32"/>
          <w:lang w:val="en-US" w:eastAsia="zh-CN"/>
        </w:rPr>
        <w:t>），增加全额事业编制7人，部门编制数合计20人</w:t>
      </w:r>
      <w:r>
        <w:rPr>
          <w:rFonts w:hint="default" w:ascii="Times New Roman" w:hAnsi="Times New Roman" w:eastAsia="方正仿宋_GBK" w:cstheme="minorBidi"/>
          <w:snapToGrid/>
          <w:kern w:val="2"/>
          <w:sz w:val="32"/>
          <w:szCs w:val="32"/>
          <w:lang w:val="en-US" w:eastAsia="zh-CN"/>
        </w:rPr>
        <w:t>。</w:t>
      </w:r>
      <w:r>
        <w:rPr>
          <w:rFonts w:hint="eastAsia" w:ascii="Times New Roman" w:hAnsi="Times New Roman" w:eastAsia="方正仿宋_GBK" w:cstheme="minorBidi"/>
          <w:snapToGrid/>
          <w:kern w:val="2"/>
          <w:sz w:val="32"/>
          <w:szCs w:val="32"/>
          <w:lang w:val="en-US" w:eastAsia="zh-CN"/>
        </w:rPr>
        <w:t>根据《徐水县人民政府关于落实自收自支人员工资待遇有关问题的通知》（徐政通</w:t>
      </w:r>
      <w:r>
        <w:rPr>
          <w:rFonts w:hint="default" w:ascii="Times New Roman" w:hAnsi="Times New Roman" w:eastAsia="方正仿宋_GBK" w:cstheme="minorBidi"/>
          <w:snapToGrid/>
          <w:kern w:val="2"/>
          <w:sz w:val="32"/>
          <w:szCs w:val="32"/>
          <w:lang w:val="en-US" w:eastAsia="zh-CN"/>
        </w:rPr>
        <w:t>〔20</w:t>
      </w:r>
      <w:r>
        <w:rPr>
          <w:rFonts w:hint="eastAsia" w:ascii="Times New Roman" w:hAnsi="Times New Roman" w:eastAsia="方正仿宋_GBK" w:cstheme="minorBidi"/>
          <w:snapToGrid/>
          <w:kern w:val="2"/>
          <w:sz w:val="32"/>
          <w:szCs w:val="32"/>
          <w:lang w:val="en-US" w:eastAsia="zh-CN"/>
        </w:rPr>
        <w:t>11</w:t>
      </w:r>
      <w:r>
        <w:rPr>
          <w:rFonts w:hint="default" w:ascii="Times New Roman" w:hAnsi="Times New Roman" w:eastAsia="方正仿宋_GBK" w:cstheme="minorBidi"/>
          <w:snapToGrid/>
          <w:kern w:val="2"/>
          <w:sz w:val="32"/>
          <w:szCs w:val="32"/>
          <w:lang w:val="en-US" w:eastAsia="zh-CN"/>
        </w:rPr>
        <w:t>〕5</w:t>
      </w:r>
      <w:r>
        <w:rPr>
          <w:rFonts w:hint="eastAsia" w:ascii="Times New Roman" w:hAnsi="Times New Roman" w:eastAsia="方正仿宋_GBK" w:cstheme="minorBidi"/>
          <w:snapToGrid/>
          <w:kern w:val="2"/>
          <w:sz w:val="32"/>
          <w:szCs w:val="32"/>
          <w:lang w:val="en-US" w:eastAsia="zh-CN"/>
        </w:rPr>
        <w:t>4</w:t>
      </w:r>
      <w:r>
        <w:rPr>
          <w:rFonts w:hint="default" w:ascii="Times New Roman" w:hAnsi="Times New Roman" w:eastAsia="方正仿宋_GBK" w:cstheme="minorBidi"/>
          <w:snapToGrid/>
          <w:kern w:val="2"/>
          <w:sz w:val="32"/>
          <w:szCs w:val="32"/>
          <w:lang w:val="en-US" w:eastAsia="zh-CN"/>
        </w:rPr>
        <w:t>号</w:t>
      </w:r>
      <w:r>
        <w:rPr>
          <w:rFonts w:hint="eastAsia" w:ascii="Times New Roman" w:hAnsi="Times New Roman" w:eastAsia="方正仿宋_GBK" w:cstheme="minorBidi"/>
          <w:snapToGrid/>
          <w:kern w:val="2"/>
          <w:sz w:val="32"/>
          <w:szCs w:val="32"/>
          <w:lang w:val="en-US" w:eastAsia="zh-CN"/>
        </w:rPr>
        <w:t>），自收自支37人经河北省徐水县机构编制委员会审核通过，并依据此文工资全额编入部门预算，此37人因历史遗留问题纳入预算管理，逐年根据退休情况只减不增。</w:t>
      </w:r>
      <w:r>
        <w:rPr>
          <w:rFonts w:hint="default" w:ascii="Times New Roman" w:hAnsi="Times New Roman" w:eastAsia="方正仿宋_GBK" w:cstheme="minorBidi"/>
          <w:snapToGrid/>
          <w:kern w:val="2"/>
          <w:sz w:val="32"/>
          <w:szCs w:val="32"/>
          <w:lang w:val="en-US" w:eastAsia="zh-CN"/>
        </w:rPr>
        <w:t>徐水区工信局实际在职人员4</w:t>
      </w:r>
      <w:r>
        <w:rPr>
          <w:rFonts w:hint="eastAsia" w:ascii="Times New Roman" w:hAnsi="Times New Roman" w:eastAsia="方正仿宋_GBK" w:cstheme="minorBidi"/>
          <w:snapToGrid/>
          <w:kern w:val="2"/>
          <w:sz w:val="32"/>
          <w:szCs w:val="32"/>
          <w:lang w:val="en-US" w:eastAsia="zh-CN"/>
        </w:rPr>
        <w:t>4</w:t>
      </w:r>
      <w:r>
        <w:rPr>
          <w:rFonts w:hint="default" w:ascii="Times New Roman" w:hAnsi="Times New Roman" w:eastAsia="方正仿宋_GBK" w:cstheme="minorBidi"/>
          <w:snapToGrid/>
          <w:kern w:val="2"/>
          <w:sz w:val="32"/>
          <w:szCs w:val="32"/>
          <w:lang w:val="en-US" w:eastAsia="zh-CN"/>
        </w:rPr>
        <w:t>名</w:t>
      </w:r>
      <w:r>
        <w:rPr>
          <w:rFonts w:hint="eastAsia" w:ascii="Times New Roman" w:hAnsi="Times New Roman" w:eastAsia="方正仿宋_GBK" w:cstheme="minorBidi"/>
          <w:snapToGrid/>
          <w:kern w:val="2"/>
          <w:sz w:val="32"/>
          <w:szCs w:val="32"/>
          <w:lang w:val="en-US" w:eastAsia="zh-CN"/>
        </w:rPr>
        <w:t>（包含前述自收自支人员28人）</w:t>
      </w:r>
      <w:r>
        <w:rPr>
          <w:rFonts w:hint="default" w:ascii="Times New Roman" w:hAnsi="Times New Roman" w:eastAsia="方正仿宋_GBK" w:cstheme="minorBidi"/>
          <w:snapToGrid/>
          <w:kern w:val="2"/>
          <w:sz w:val="32"/>
          <w:szCs w:val="32"/>
          <w:lang w:val="en-US" w:eastAsia="zh-CN"/>
        </w:rPr>
        <w:t>，离休人员</w:t>
      </w:r>
      <w:r>
        <w:rPr>
          <w:rFonts w:hint="eastAsia" w:ascii="Times New Roman" w:hAnsi="Times New Roman" w:eastAsia="方正仿宋_GBK" w:cstheme="minorBidi"/>
          <w:snapToGrid/>
          <w:kern w:val="2"/>
          <w:sz w:val="32"/>
          <w:szCs w:val="32"/>
          <w:lang w:val="en-US" w:eastAsia="zh-CN"/>
        </w:rPr>
        <w:t>1</w:t>
      </w:r>
      <w:r>
        <w:rPr>
          <w:rFonts w:hint="default" w:ascii="Times New Roman" w:hAnsi="Times New Roman" w:eastAsia="方正仿宋_GBK" w:cstheme="minorBidi"/>
          <w:snapToGrid/>
          <w:kern w:val="2"/>
          <w:sz w:val="32"/>
          <w:szCs w:val="32"/>
          <w:lang w:val="en-US" w:eastAsia="zh-CN"/>
        </w:rPr>
        <w:t>名，退休人员</w:t>
      </w:r>
      <w:r>
        <w:rPr>
          <w:rFonts w:hint="eastAsia" w:ascii="Times New Roman" w:hAnsi="Times New Roman" w:eastAsia="方正仿宋_GBK" w:cstheme="minorBidi"/>
          <w:snapToGrid/>
          <w:kern w:val="2"/>
          <w:sz w:val="32"/>
          <w:szCs w:val="32"/>
          <w:lang w:val="en-US" w:eastAsia="zh-CN"/>
        </w:rPr>
        <w:t>87</w:t>
      </w:r>
      <w:r>
        <w:rPr>
          <w:rFonts w:hint="default" w:ascii="Times New Roman" w:hAnsi="Times New Roman" w:eastAsia="方正仿宋_GBK" w:cstheme="minorBidi"/>
          <w:snapToGrid/>
          <w:kern w:val="2"/>
          <w:sz w:val="32"/>
          <w:szCs w:val="32"/>
          <w:lang w:val="en-US" w:eastAsia="zh-CN"/>
        </w:rPr>
        <w:t>名。</w:t>
      </w:r>
    </w:p>
    <w:p w14:paraId="58A278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eastAsia="zh-CN"/>
        </w:rPr>
      </w:pPr>
      <w:bookmarkStart w:id="8" w:name="_Toc22402"/>
      <w:r>
        <w:rPr>
          <w:rFonts w:hint="eastAsia" w:ascii="Times New Roman" w:hAnsi="Times New Roman" w:eastAsia="方正楷体_GBK" w:cstheme="minorBidi"/>
          <w:snapToGrid/>
          <w:kern w:val="2"/>
          <w:sz w:val="32"/>
          <w:szCs w:val="32"/>
          <w:lang w:eastAsia="zh-CN"/>
        </w:rPr>
        <w:t>（四）年度总体目标、工作任务</w:t>
      </w:r>
      <w:bookmarkEnd w:id="8"/>
    </w:p>
    <w:p w14:paraId="170ED1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部门绩效目标：保定市徐水区工业和信息化局坚持以习近平新时代中国特色社会主义思想为指导，全面贯彻落实十九届六中全会和二十大、二十届一中全会精神，牢牢把握”疫情要防住、经济要稳住、发展要安全”的总体要求，树牢”四个意识”，坚定”四个自信”，坚决做到”两个维护”，促进徐水工业经济发展，深化工业供给侧结构性改革,发挥财政资金效能，助推徐水工业转型升级、民营经济快速发展。改造提升传统产业，引导实施重点技改项目；发展工业互联网,培育壮大新兴产业；鼓励工业设计与制造业深度融合；发展壮大民营经济，支持振兴县域特色产业；推动全区科技进步、推动高新技术企业做大做强、推动省级科技创新平台体系建设，有效推动省级重大科技成果在我区落地转化，实现工业经济和科技创新再上新台阶。力争2023年推荐申报市级科技创新平台2个；新增高新技术企业4家、科技型中小企业30家；规上企业达到114家；新增省级”专精特新”中小企业3家。</w:t>
      </w:r>
    </w:p>
    <w:p w14:paraId="42C8F9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部门分项绩效目标及绩效指标：</w:t>
      </w:r>
    </w:p>
    <w:p w14:paraId="379D5D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1.促进工业转型升级、促进中小企业发展</w:t>
      </w:r>
    </w:p>
    <w:p w14:paraId="369D1F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绩效目标：改造提升全省传统产业水平。提升两化融合水平。提升规上工业企业技术创新能力。培育壮大新兴产业发展。大力开展工业设计、绿色园区、绿色工厂、专精特新、企业上云等工作，支持实体企业技术革新、设备更新、产品焕新，梯队培育”专精特新”中小企业，引领培育一批小巨人、单项冠军企业和数字平台型企业，加快数字产业布局与平台建设，推动我区工业经济绿色发展、创新发展、高质量发展。</w:t>
      </w:r>
    </w:p>
    <w:p w14:paraId="35DB47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绩效指标：规上工业企业工业增加值增速6%；规上企业达到114家，新增”专精特新”中小企业3家。</w:t>
      </w:r>
    </w:p>
    <w:p w14:paraId="7A7246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2.创新载体建设水平实现新提升</w:t>
      </w:r>
    </w:p>
    <w:p w14:paraId="4E8BD3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绩效目标：提升创新主体数量，引进和培养高层次创新人才，创建一流科技园区，广泛开展科学普及活动，加强国际科技合作，促进平台、机构、园区、基地等科技创新载体提质增效，为提升我区综合科技创新能力提供有力支撑。</w:t>
      </w:r>
    </w:p>
    <w:p w14:paraId="7AB5E4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绩效指标：申报市级科技创新平台2个。</w:t>
      </w:r>
    </w:p>
    <w:p w14:paraId="4D39B4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3.加强创新主体培育，推进创新链与产业链深度融合</w:t>
      </w:r>
    </w:p>
    <w:p w14:paraId="4E6A61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绩效目标：坚持梯度培育、差异化扶持，构建全链条科技企业帮扶工作体系，加快培育壮大科技型中小企业、高新技术企业快速增长。</w:t>
      </w:r>
    </w:p>
    <w:p w14:paraId="5C8A79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绩效指标：高新技术企业新增4家；科技型中小企业新增30家。</w:t>
      </w:r>
    </w:p>
    <w:p w14:paraId="3036D2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徐水区工信局根据部门</w:t>
      </w:r>
      <w:r>
        <w:rPr>
          <w:rFonts w:hint="default" w:ascii="Times New Roman" w:hAnsi="Times New Roman" w:eastAsia="方正仿宋_GBK" w:cstheme="minorBidi"/>
          <w:snapToGrid/>
          <w:kern w:val="2"/>
          <w:sz w:val="32"/>
          <w:szCs w:val="32"/>
          <w:lang w:val="en-US" w:eastAsia="zh-CN"/>
        </w:rPr>
        <w:t>分项绩效目标及设定的绩效指标安排了</w:t>
      </w:r>
      <w:r>
        <w:rPr>
          <w:rFonts w:hint="eastAsia" w:ascii="Times New Roman" w:hAnsi="Times New Roman" w:eastAsia="方正仿宋_GBK" w:cstheme="minorBidi"/>
          <w:snapToGrid/>
          <w:kern w:val="2"/>
          <w:sz w:val="32"/>
          <w:szCs w:val="32"/>
          <w:lang w:val="en-US" w:eastAsia="zh-CN"/>
        </w:rPr>
        <w:t>28</w:t>
      </w:r>
      <w:r>
        <w:rPr>
          <w:rFonts w:hint="default" w:ascii="Times New Roman" w:hAnsi="Times New Roman" w:eastAsia="方正仿宋_GBK" w:cstheme="minorBidi"/>
          <w:snapToGrid/>
          <w:kern w:val="2"/>
          <w:sz w:val="32"/>
          <w:szCs w:val="32"/>
          <w:lang w:val="en-US" w:eastAsia="zh-CN"/>
        </w:rPr>
        <w:t>个项目，均为上级下达的专项资金项目</w:t>
      </w:r>
      <w:r>
        <w:rPr>
          <w:rFonts w:hint="eastAsia" w:ascii="Times New Roman" w:hAnsi="Times New Roman" w:eastAsia="方正仿宋_GBK" w:cstheme="minorBidi"/>
          <w:snapToGrid/>
          <w:kern w:val="2"/>
          <w:sz w:val="32"/>
          <w:szCs w:val="32"/>
          <w:lang w:val="en-US" w:eastAsia="zh-CN"/>
        </w:rPr>
        <w:t>。</w:t>
      </w:r>
    </w:p>
    <w:p w14:paraId="335513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eastAsia="zh-CN"/>
        </w:rPr>
      </w:pPr>
      <w:bookmarkStart w:id="9" w:name="_Toc32526"/>
      <w:r>
        <w:rPr>
          <w:rFonts w:hint="eastAsia" w:ascii="Times New Roman" w:hAnsi="Times New Roman" w:eastAsia="方正楷体_GBK" w:cstheme="minorBidi"/>
          <w:snapToGrid/>
          <w:kern w:val="2"/>
          <w:sz w:val="32"/>
          <w:szCs w:val="32"/>
          <w:lang w:eastAsia="zh-CN"/>
        </w:rPr>
        <w:t>（</w:t>
      </w:r>
      <w:r>
        <w:rPr>
          <w:rFonts w:hint="eastAsia" w:ascii="Times New Roman" w:hAnsi="Times New Roman" w:eastAsia="方正楷体_GBK" w:cstheme="minorBidi"/>
          <w:snapToGrid/>
          <w:kern w:val="2"/>
          <w:sz w:val="32"/>
          <w:szCs w:val="32"/>
          <w:lang w:val="en-US" w:eastAsia="zh-CN"/>
        </w:rPr>
        <w:t>五</w:t>
      </w:r>
      <w:r>
        <w:rPr>
          <w:rFonts w:hint="eastAsia" w:ascii="Times New Roman" w:hAnsi="Times New Roman" w:eastAsia="方正楷体_GBK" w:cstheme="minorBidi"/>
          <w:snapToGrid/>
          <w:kern w:val="2"/>
          <w:sz w:val="32"/>
          <w:szCs w:val="32"/>
          <w:lang w:eastAsia="zh-CN"/>
        </w:rPr>
        <w:t>）</w:t>
      </w:r>
      <w:r>
        <w:rPr>
          <w:rFonts w:hint="eastAsia" w:ascii="Times New Roman" w:hAnsi="Times New Roman" w:eastAsia="方正楷体_GBK" w:cstheme="minorBidi"/>
          <w:snapToGrid/>
          <w:kern w:val="2"/>
          <w:sz w:val="32"/>
          <w:szCs w:val="32"/>
          <w:lang w:val="en-US" w:eastAsia="zh-CN"/>
        </w:rPr>
        <w:t>部门预算及支出情况</w:t>
      </w:r>
      <w:bookmarkEnd w:id="9"/>
    </w:p>
    <w:p w14:paraId="01D6D0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1.预算及执行情况</w:t>
      </w:r>
    </w:p>
    <w:p w14:paraId="203E2D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徐水区工信局2023年年初预算3551.67万元，调整预算数-130.89万元，调整后的预算3420.78万元，年终决算3420.78万元（详见下表）：</w:t>
      </w:r>
    </w:p>
    <w:p w14:paraId="0B7F3E7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4"/>
          <w:szCs w:val="24"/>
          <w:lang w:val="en-US" w:eastAsia="zh-CN"/>
        </w:rPr>
      </w:pPr>
      <w:r>
        <w:rPr>
          <w:rFonts w:hint="eastAsia" w:ascii="Times New Roman" w:hAnsi="Times New Roman" w:eastAsia="方正仿宋_GBK" w:cstheme="minorBidi"/>
          <w:snapToGrid/>
          <w:kern w:val="2"/>
          <w:sz w:val="21"/>
          <w:szCs w:val="21"/>
          <w:lang w:val="en-US" w:eastAsia="zh-CN"/>
        </w:rPr>
        <w:t>单位：万元</w:t>
      </w:r>
    </w:p>
    <w:tbl>
      <w:tblPr>
        <w:tblStyle w:val="11"/>
        <w:tblW w:w="0" w:type="auto"/>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
      <w:tblGrid>
        <w:gridCol w:w="1545"/>
        <w:gridCol w:w="1637"/>
        <w:gridCol w:w="1950"/>
        <w:gridCol w:w="1704"/>
        <w:gridCol w:w="2097"/>
      </w:tblGrid>
      <w:tr w14:paraId="2198C1A9">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00" w:hRule="atLeast"/>
        </w:trPr>
        <w:tc>
          <w:tcPr>
            <w:tcW w:w="3182" w:type="dxa"/>
            <w:gridSpan w:val="2"/>
            <w:tcBorders>
              <w:tl2br w:val="nil"/>
              <w:tr2bl w:val="nil"/>
            </w:tcBorders>
            <w:noWrap/>
            <w:vAlign w:val="center"/>
          </w:tcPr>
          <w:p w14:paraId="15F4500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科目名称</w:t>
            </w:r>
          </w:p>
        </w:tc>
        <w:tc>
          <w:tcPr>
            <w:tcW w:w="1950" w:type="dxa"/>
            <w:tcBorders>
              <w:tl2br w:val="nil"/>
              <w:tr2bl w:val="nil"/>
            </w:tcBorders>
            <w:noWrap/>
            <w:vAlign w:val="center"/>
          </w:tcPr>
          <w:p w14:paraId="483E1B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年初预算数</w:t>
            </w:r>
          </w:p>
        </w:tc>
        <w:tc>
          <w:tcPr>
            <w:tcW w:w="1704" w:type="dxa"/>
            <w:tcBorders>
              <w:tl2br w:val="nil"/>
              <w:tr2bl w:val="nil"/>
            </w:tcBorders>
            <w:noWrap/>
            <w:vAlign w:val="center"/>
          </w:tcPr>
          <w:p w14:paraId="4E6E8A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调整后预算数</w:t>
            </w:r>
          </w:p>
        </w:tc>
        <w:tc>
          <w:tcPr>
            <w:tcW w:w="2097" w:type="dxa"/>
            <w:tcBorders>
              <w:tl2br w:val="nil"/>
              <w:tr2bl w:val="nil"/>
            </w:tcBorders>
            <w:noWrap/>
            <w:vAlign w:val="center"/>
          </w:tcPr>
          <w:p w14:paraId="4B304C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预算执行数</w:t>
            </w:r>
          </w:p>
        </w:tc>
      </w:tr>
      <w:tr w14:paraId="29494F6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00" w:hRule="atLeast"/>
        </w:trPr>
        <w:tc>
          <w:tcPr>
            <w:tcW w:w="1545" w:type="dxa"/>
            <w:vMerge w:val="restart"/>
            <w:tcBorders>
              <w:tl2br w:val="nil"/>
              <w:tr2bl w:val="nil"/>
            </w:tcBorders>
            <w:noWrap/>
            <w:vAlign w:val="center"/>
          </w:tcPr>
          <w:p w14:paraId="540A7C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基本支出</w:t>
            </w:r>
          </w:p>
        </w:tc>
        <w:tc>
          <w:tcPr>
            <w:tcW w:w="1637" w:type="dxa"/>
            <w:tcBorders>
              <w:tl2br w:val="nil"/>
              <w:tr2bl w:val="nil"/>
            </w:tcBorders>
            <w:noWrap/>
            <w:vAlign w:val="center"/>
          </w:tcPr>
          <w:p w14:paraId="285D6B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人员经费</w:t>
            </w:r>
          </w:p>
        </w:tc>
        <w:tc>
          <w:tcPr>
            <w:tcW w:w="1950" w:type="dxa"/>
            <w:tcBorders>
              <w:tl2br w:val="nil"/>
              <w:tr2bl w:val="nil"/>
            </w:tcBorders>
            <w:noWrap/>
            <w:vAlign w:val="center"/>
          </w:tcPr>
          <w:p w14:paraId="75CD36A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1,055.60 </w:t>
            </w:r>
          </w:p>
        </w:tc>
        <w:tc>
          <w:tcPr>
            <w:tcW w:w="1704" w:type="dxa"/>
            <w:tcBorders>
              <w:tl2br w:val="nil"/>
              <w:tr2bl w:val="nil"/>
            </w:tcBorders>
            <w:noWrap/>
            <w:vAlign w:val="center"/>
          </w:tcPr>
          <w:p w14:paraId="5C57855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952.19 </w:t>
            </w:r>
          </w:p>
        </w:tc>
        <w:tc>
          <w:tcPr>
            <w:tcW w:w="2097" w:type="dxa"/>
            <w:tcBorders>
              <w:tl2br w:val="nil"/>
              <w:tr2bl w:val="nil"/>
            </w:tcBorders>
            <w:noWrap/>
            <w:vAlign w:val="center"/>
          </w:tcPr>
          <w:p w14:paraId="36D3A61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952.19 </w:t>
            </w:r>
          </w:p>
        </w:tc>
      </w:tr>
      <w:tr w14:paraId="18DD649A">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00" w:hRule="atLeast"/>
        </w:trPr>
        <w:tc>
          <w:tcPr>
            <w:tcW w:w="1545" w:type="dxa"/>
            <w:vMerge w:val="continue"/>
            <w:tcBorders>
              <w:tl2br w:val="nil"/>
              <w:tr2bl w:val="nil"/>
            </w:tcBorders>
            <w:noWrap/>
            <w:vAlign w:val="center"/>
          </w:tcPr>
          <w:p w14:paraId="4C50675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p>
        </w:tc>
        <w:tc>
          <w:tcPr>
            <w:tcW w:w="1637" w:type="dxa"/>
            <w:tcBorders>
              <w:tl2br w:val="nil"/>
              <w:tr2bl w:val="nil"/>
            </w:tcBorders>
            <w:noWrap/>
            <w:vAlign w:val="center"/>
          </w:tcPr>
          <w:p w14:paraId="56979E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公用经费</w:t>
            </w:r>
          </w:p>
        </w:tc>
        <w:tc>
          <w:tcPr>
            <w:tcW w:w="1950" w:type="dxa"/>
            <w:tcBorders>
              <w:tl2br w:val="nil"/>
              <w:tr2bl w:val="nil"/>
            </w:tcBorders>
            <w:noWrap/>
            <w:vAlign w:val="center"/>
          </w:tcPr>
          <w:p w14:paraId="59FC5BE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92.67 </w:t>
            </w:r>
          </w:p>
        </w:tc>
        <w:tc>
          <w:tcPr>
            <w:tcW w:w="1704" w:type="dxa"/>
            <w:tcBorders>
              <w:tl2br w:val="nil"/>
              <w:tr2bl w:val="nil"/>
            </w:tcBorders>
            <w:noWrap/>
            <w:vAlign w:val="center"/>
          </w:tcPr>
          <w:p w14:paraId="66E2598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88.14 </w:t>
            </w:r>
          </w:p>
        </w:tc>
        <w:tc>
          <w:tcPr>
            <w:tcW w:w="2097" w:type="dxa"/>
            <w:tcBorders>
              <w:tl2br w:val="nil"/>
              <w:tr2bl w:val="nil"/>
            </w:tcBorders>
            <w:noWrap/>
            <w:vAlign w:val="center"/>
          </w:tcPr>
          <w:p w14:paraId="119B9FC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88.14 </w:t>
            </w:r>
          </w:p>
        </w:tc>
      </w:tr>
      <w:tr w14:paraId="6171E298">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00" w:hRule="atLeast"/>
        </w:trPr>
        <w:tc>
          <w:tcPr>
            <w:tcW w:w="1545" w:type="dxa"/>
            <w:vMerge w:val="continue"/>
            <w:tcBorders>
              <w:tl2br w:val="nil"/>
              <w:tr2bl w:val="nil"/>
            </w:tcBorders>
            <w:noWrap/>
            <w:vAlign w:val="center"/>
          </w:tcPr>
          <w:p w14:paraId="0627D45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p>
        </w:tc>
        <w:tc>
          <w:tcPr>
            <w:tcW w:w="1637" w:type="dxa"/>
            <w:tcBorders>
              <w:tl2br w:val="nil"/>
              <w:tr2bl w:val="nil"/>
            </w:tcBorders>
            <w:noWrap/>
            <w:vAlign w:val="center"/>
          </w:tcPr>
          <w:p w14:paraId="494551C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p>
        </w:tc>
        <w:tc>
          <w:tcPr>
            <w:tcW w:w="1950" w:type="dxa"/>
            <w:tcBorders>
              <w:tl2br w:val="nil"/>
              <w:tr2bl w:val="nil"/>
            </w:tcBorders>
            <w:noWrap/>
            <w:vAlign w:val="center"/>
          </w:tcPr>
          <w:p w14:paraId="5FB092F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1,148.27 </w:t>
            </w:r>
          </w:p>
        </w:tc>
        <w:tc>
          <w:tcPr>
            <w:tcW w:w="1704" w:type="dxa"/>
            <w:tcBorders>
              <w:tl2br w:val="nil"/>
              <w:tr2bl w:val="nil"/>
            </w:tcBorders>
            <w:noWrap/>
            <w:vAlign w:val="center"/>
          </w:tcPr>
          <w:p w14:paraId="3853614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1,040.33 </w:t>
            </w:r>
          </w:p>
        </w:tc>
        <w:tc>
          <w:tcPr>
            <w:tcW w:w="2097" w:type="dxa"/>
            <w:tcBorders>
              <w:tl2br w:val="nil"/>
              <w:tr2bl w:val="nil"/>
            </w:tcBorders>
            <w:noWrap/>
            <w:vAlign w:val="center"/>
          </w:tcPr>
          <w:p w14:paraId="4C2783B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1,040.33 </w:t>
            </w:r>
          </w:p>
        </w:tc>
      </w:tr>
      <w:tr w14:paraId="098CB013">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00" w:hRule="atLeast"/>
        </w:trPr>
        <w:tc>
          <w:tcPr>
            <w:tcW w:w="1545" w:type="dxa"/>
            <w:tcBorders>
              <w:tl2br w:val="nil"/>
              <w:tr2bl w:val="nil"/>
            </w:tcBorders>
            <w:noWrap/>
            <w:vAlign w:val="center"/>
          </w:tcPr>
          <w:p w14:paraId="6B4406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项目支出</w:t>
            </w:r>
          </w:p>
        </w:tc>
        <w:tc>
          <w:tcPr>
            <w:tcW w:w="1637" w:type="dxa"/>
            <w:tcBorders>
              <w:tl2br w:val="nil"/>
              <w:tr2bl w:val="nil"/>
            </w:tcBorders>
            <w:noWrap/>
            <w:vAlign w:val="center"/>
          </w:tcPr>
          <w:p w14:paraId="07C71B0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w:t>
            </w:r>
          </w:p>
        </w:tc>
        <w:tc>
          <w:tcPr>
            <w:tcW w:w="1950" w:type="dxa"/>
            <w:tcBorders>
              <w:tl2br w:val="nil"/>
              <w:tr2bl w:val="nil"/>
            </w:tcBorders>
            <w:noWrap/>
            <w:vAlign w:val="center"/>
          </w:tcPr>
          <w:p w14:paraId="6DCD5C9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2,403.40 </w:t>
            </w:r>
          </w:p>
        </w:tc>
        <w:tc>
          <w:tcPr>
            <w:tcW w:w="1704" w:type="dxa"/>
            <w:tcBorders>
              <w:tl2br w:val="nil"/>
              <w:tr2bl w:val="nil"/>
            </w:tcBorders>
            <w:noWrap/>
            <w:vAlign w:val="center"/>
          </w:tcPr>
          <w:p w14:paraId="16A6DC3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2,380.45 </w:t>
            </w:r>
          </w:p>
        </w:tc>
        <w:tc>
          <w:tcPr>
            <w:tcW w:w="2097" w:type="dxa"/>
            <w:tcBorders>
              <w:tl2br w:val="nil"/>
              <w:tr2bl w:val="nil"/>
            </w:tcBorders>
            <w:noWrap/>
            <w:vAlign w:val="center"/>
          </w:tcPr>
          <w:p w14:paraId="6EDAD99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2,380.45 </w:t>
            </w:r>
          </w:p>
        </w:tc>
      </w:tr>
      <w:tr w14:paraId="3F8AA7A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00" w:hRule="atLeast"/>
        </w:trPr>
        <w:tc>
          <w:tcPr>
            <w:tcW w:w="3182" w:type="dxa"/>
            <w:gridSpan w:val="2"/>
            <w:tcBorders>
              <w:tl2br w:val="nil"/>
              <w:tr2bl w:val="nil"/>
            </w:tcBorders>
            <w:noWrap/>
            <w:vAlign w:val="center"/>
          </w:tcPr>
          <w:p w14:paraId="5C978E1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合计</w:t>
            </w:r>
          </w:p>
        </w:tc>
        <w:tc>
          <w:tcPr>
            <w:tcW w:w="1950" w:type="dxa"/>
            <w:tcBorders>
              <w:tl2br w:val="nil"/>
              <w:tr2bl w:val="nil"/>
            </w:tcBorders>
            <w:noWrap/>
            <w:vAlign w:val="center"/>
          </w:tcPr>
          <w:p w14:paraId="776C012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3,551.67 </w:t>
            </w:r>
          </w:p>
        </w:tc>
        <w:tc>
          <w:tcPr>
            <w:tcW w:w="1704" w:type="dxa"/>
            <w:tcBorders>
              <w:tl2br w:val="nil"/>
              <w:tr2bl w:val="nil"/>
            </w:tcBorders>
            <w:noWrap/>
            <w:vAlign w:val="center"/>
          </w:tcPr>
          <w:p w14:paraId="3E97174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3,420.78 </w:t>
            </w:r>
          </w:p>
        </w:tc>
        <w:tc>
          <w:tcPr>
            <w:tcW w:w="2097" w:type="dxa"/>
            <w:tcBorders>
              <w:tl2br w:val="nil"/>
              <w:tr2bl w:val="nil"/>
            </w:tcBorders>
            <w:noWrap/>
            <w:vAlign w:val="center"/>
          </w:tcPr>
          <w:p w14:paraId="7943D10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3,420.78 </w:t>
            </w:r>
          </w:p>
        </w:tc>
      </w:tr>
    </w:tbl>
    <w:p w14:paraId="494895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徐水区工信局2023年度共28个专项项目，年初预算安排18个项目2403.40万元，年中追加10个项目1113.00万元（其中：”2023年单位其他资金”项目0.1万元，除0.03万元支出了办公费，其余资金按要求全部上交；”公务用车租金”项目5万元，已由公用经费支出，年终收回预算指标，未包含在下表中）,年终调整至26个项目，其中2个项目涉及金额823.50万元（支持市县创新和科学普及专项资金-市级农业科技特派员经费23.50万元、下达2023年产业基础再造和制造业高质量发展专项资金800万元）因资金文件下达时间太晚，预算指标年末收回，未纳入2023年度决算，故本次评价范围为24个项目，其度预算调整后执行数为2,380.45万元。具体情况如下：</w:t>
      </w:r>
    </w:p>
    <w:p w14:paraId="740B679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单位：万元</w:t>
      </w:r>
    </w:p>
    <w:tbl>
      <w:tblPr>
        <w:tblStyle w:val="14"/>
        <w:tblpPr w:leftFromText="180" w:rightFromText="180" w:vertAnchor="text" w:horzAnchor="page" w:tblpX="1676" w:tblpY="213"/>
        <w:tblOverlap w:val="never"/>
        <w:tblW w:w="8735" w:type="dxa"/>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0" w:type="dxa"/>
          <w:bottom w:w="0" w:type="dxa"/>
          <w:right w:w="0" w:type="dxa"/>
        </w:tblCellMar>
      </w:tblPr>
      <w:tblGrid>
        <w:gridCol w:w="668"/>
        <w:gridCol w:w="4364"/>
        <w:gridCol w:w="1223"/>
        <w:gridCol w:w="1418"/>
        <w:gridCol w:w="1062"/>
      </w:tblGrid>
      <w:tr w14:paraId="6C54E699">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437" w:hRule="atLeast"/>
          <w:tblHeader/>
        </w:trPr>
        <w:tc>
          <w:tcPr>
            <w:tcW w:w="668" w:type="dxa"/>
            <w:tcBorders>
              <w:tl2br w:val="nil"/>
              <w:tr2bl w:val="nil"/>
            </w:tcBorders>
            <w:vAlign w:val="center"/>
          </w:tcPr>
          <w:p w14:paraId="093A10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序号</w:t>
            </w:r>
          </w:p>
        </w:tc>
        <w:tc>
          <w:tcPr>
            <w:tcW w:w="4364" w:type="dxa"/>
            <w:tcBorders>
              <w:tl2br w:val="nil"/>
              <w:tr2bl w:val="nil"/>
            </w:tcBorders>
            <w:vAlign w:val="center"/>
          </w:tcPr>
          <w:p w14:paraId="2FD0E7C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项目名称</w:t>
            </w:r>
          </w:p>
        </w:tc>
        <w:tc>
          <w:tcPr>
            <w:tcW w:w="1223" w:type="dxa"/>
            <w:tcBorders>
              <w:tl2br w:val="nil"/>
              <w:tr2bl w:val="nil"/>
            </w:tcBorders>
            <w:vAlign w:val="center"/>
          </w:tcPr>
          <w:p w14:paraId="133E37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年初预算数</w:t>
            </w:r>
          </w:p>
        </w:tc>
        <w:tc>
          <w:tcPr>
            <w:tcW w:w="1418" w:type="dxa"/>
            <w:tcBorders>
              <w:tl2br w:val="nil"/>
              <w:tr2bl w:val="nil"/>
            </w:tcBorders>
            <w:vAlign w:val="center"/>
          </w:tcPr>
          <w:p w14:paraId="4B0E7F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调整预算数</w:t>
            </w:r>
          </w:p>
        </w:tc>
        <w:tc>
          <w:tcPr>
            <w:tcW w:w="1062" w:type="dxa"/>
            <w:tcBorders>
              <w:tl2br w:val="nil"/>
              <w:tr2bl w:val="nil"/>
            </w:tcBorders>
            <w:vAlign w:val="center"/>
          </w:tcPr>
          <w:p w14:paraId="1799B9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执行数</w:t>
            </w:r>
          </w:p>
        </w:tc>
      </w:tr>
      <w:tr w14:paraId="20DB6A2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90" w:hRule="atLeast"/>
        </w:trPr>
        <w:tc>
          <w:tcPr>
            <w:tcW w:w="668" w:type="dxa"/>
            <w:tcBorders>
              <w:tl2br w:val="nil"/>
              <w:tr2bl w:val="nil"/>
            </w:tcBorders>
            <w:vAlign w:val="center"/>
          </w:tcPr>
          <w:p w14:paraId="3769EE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w:t>
            </w:r>
          </w:p>
        </w:tc>
        <w:tc>
          <w:tcPr>
            <w:tcW w:w="4364" w:type="dxa"/>
            <w:tcBorders>
              <w:tl2br w:val="nil"/>
              <w:tr2bl w:val="nil"/>
            </w:tcBorders>
            <w:vAlign w:val="center"/>
          </w:tcPr>
          <w:p w14:paraId="5CB752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2022年省级R&amp;D经费投入强度增长奖励资金</w:t>
            </w:r>
          </w:p>
        </w:tc>
        <w:tc>
          <w:tcPr>
            <w:tcW w:w="1223" w:type="dxa"/>
            <w:tcBorders>
              <w:tl2br w:val="nil"/>
              <w:tr2bl w:val="nil"/>
            </w:tcBorders>
            <w:vAlign w:val="center"/>
          </w:tcPr>
          <w:p w14:paraId="3AFEEA7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40.00 </w:t>
            </w:r>
          </w:p>
        </w:tc>
        <w:tc>
          <w:tcPr>
            <w:tcW w:w="1418" w:type="dxa"/>
            <w:tcBorders>
              <w:tl2br w:val="nil"/>
              <w:tr2bl w:val="nil"/>
            </w:tcBorders>
            <w:vAlign w:val="center"/>
          </w:tcPr>
          <w:p w14:paraId="7D8079C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40.00 </w:t>
            </w:r>
          </w:p>
        </w:tc>
        <w:tc>
          <w:tcPr>
            <w:tcW w:w="1062" w:type="dxa"/>
            <w:tcBorders>
              <w:tl2br w:val="nil"/>
              <w:tr2bl w:val="nil"/>
            </w:tcBorders>
            <w:vAlign w:val="center"/>
          </w:tcPr>
          <w:p w14:paraId="4F3777F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40.00 </w:t>
            </w:r>
          </w:p>
        </w:tc>
      </w:tr>
      <w:tr w14:paraId="7488EB7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335" w:hRule="atLeast"/>
        </w:trPr>
        <w:tc>
          <w:tcPr>
            <w:tcW w:w="668" w:type="dxa"/>
            <w:tcBorders>
              <w:tl2br w:val="nil"/>
              <w:tr2bl w:val="nil"/>
            </w:tcBorders>
            <w:vAlign w:val="center"/>
          </w:tcPr>
          <w:p w14:paraId="60BEDE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w:t>
            </w:r>
          </w:p>
        </w:tc>
        <w:tc>
          <w:tcPr>
            <w:tcW w:w="4364" w:type="dxa"/>
            <w:tcBorders>
              <w:tl2br w:val="nil"/>
              <w:tr2bl w:val="nil"/>
            </w:tcBorders>
            <w:vAlign w:val="center"/>
          </w:tcPr>
          <w:p w14:paraId="49311A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保洁费</w:t>
            </w:r>
          </w:p>
        </w:tc>
        <w:tc>
          <w:tcPr>
            <w:tcW w:w="1223" w:type="dxa"/>
            <w:tcBorders>
              <w:tl2br w:val="nil"/>
              <w:tr2bl w:val="nil"/>
            </w:tcBorders>
            <w:vAlign w:val="center"/>
          </w:tcPr>
          <w:p w14:paraId="5EFB64B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3.00 </w:t>
            </w:r>
          </w:p>
        </w:tc>
        <w:tc>
          <w:tcPr>
            <w:tcW w:w="1418" w:type="dxa"/>
            <w:tcBorders>
              <w:tl2br w:val="nil"/>
              <w:tr2bl w:val="nil"/>
            </w:tcBorders>
            <w:vAlign w:val="center"/>
          </w:tcPr>
          <w:p w14:paraId="5F87A8C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3.00 </w:t>
            </w:r>
          </w:p>
        </w:tc>
        <w:tc>
          <w:tcPr>
            <w:tcW w:w="1062" w:type="dxa"/>
            <w:tcBorders>
              <w:tl2br w:val="nil"/>
              <w:tr2bl w:val="nil"/>
            </w:tcBorders>
            <w:vAlign w:val="center"/>
          </w:tcPr>
          <w:p w14:paraId="71D7322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3.00 </w:t>
            </w:r>
          </w:p>
        </w:tc>
      </w:tr>
      <w:tr w14:paraId="3124CD5B">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322" w:hRule="atLeast"/>
        </w:trPr>
        <w:tc>
          <w:tcPr>
            <w:tcW w:w="668" w:type="dxa"/>
            <w:tcBorders>
              <w:tl2br w:val="nil"/>
              <w:tr2bl w:val="nil"/>
            </w:tcBorders>
            <w:vAlign w:val="center"/>
          </w:tcPr>
          <w:p w14:paraId="2134C1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序号</w:t>
            </w:r>
          </w:p>
        </w:tc>
        <w:tc>
          <w:tcPr>
            <w:tcW w:w="4364" w:type="dxa"/>
            <w:tcBorders>
              <w:tl2br w:val="nil"/>
              <w:tr2bl w:val="nil"/>
            </w:tcBorders>
            <w:vAlign w:val="center"/>
          </w:tcPr>
          <w:p w14:paraId="75B9978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项目名称</w:t>
            </w:r>
          </w:p>
        </w:tc>
        <w:tc>
          <w:tcPr>
            <w:tcW w:w="1223" w:type="dxa"/>
            <w:tcBorders>
              <w:tl2br w:val="nil"/>
              <w:tr2bl w:val="nil"/>
            </w:tcBorders>
            <w:vAlign w:val="center"/>
          </w:tcPr>
          <w:p w14:paraId="10D50A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年初预算数</w:t>
            </w:r>
          </w:p>
        </w:tc>
        <w:tc>
          <w:tcPr>
            <w:tcW w:w="1418" w:type="dxa"/>
            <w:tcBorders>
              <w:tl2br w:val="nil"/>
              <w:tr2bl w:val="nil"/>
            </w:tcBorders>
            <w:vAlign w:val="center"/>
          </w:tcPr>
          <w:p w14:paraId="42D621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调整预算数</w:t>
            </w:r>
          </w:p>
        </w:tc>
        <w:tc>
          <w:tcPr>
            <w:tcW w:w="1062" w:type="dxa"/>
            <w:tcBorders>
              <w:tl2br w:val="nil"/>
              <w:tr2bl w:val="nil"/>
            </w:tcBorders>
            <w:vAlign w:val="center"/>
          </w:tcPr>
          <w:p w14:paraId="054A10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执行数</w:t>
            </w:r>
          </w:p>
        </w:tc>
      </w:tr>
      <w:tr w14:paraId="1BBA771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322" w:hRule="atLeast"/>
        </w:trPr>
        <w:tc>
          <w:tcPr>
            <w:tcW w:w="668" w:type="dxa"/>
            <w:tcBorders>
              <w:tl2br w:val="nil"/>
              <w:tr2bl w:val="nil"/>
            </w:tcBorders>
            <w:vAlign w:val="center"/>
          </w:tcPr>
          <w:p w14:paraId="5B5E3B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3</w:t>
            </w:r>
          </w:p>
        </w:tc>
        <w:tc>
          <w:tcPr>
            <w:tcW w:w="4364" w:type="dxa"/>
            <w:tcBorders>
              <w:tl2br w:val="nil"/>
              <w:tr2bl w:val="nil"/>
            </w:tcBorders>
            <w:vAlign w:val="center"/>
          </w:tcPr>
          <w:p w14:paraId="322900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法律顾问费</w:t>
            </w:r>
          </w:p>
        </w:tc>
        <w:tc>
          <w:tcPr>
            <w:tcW w:w="1223" w:type="dxa"/>
            <w:tcBorders>
              <w:tl2br w:val="nil"/>
              <w:tr2bl w:val="nil"/>
            </w:tcBorders>
            <w:vAlign w:val="center"/>
          </w:tcPr>
          <w:p w14:paraId="331A92E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1.63 </w:t>
            </w:r>
          </w:p>
        </w:tc>
        <w:tc>
          <w:tcPr>
            <w:tcW w:w="1418" w:type="dxa"/>
            <w:tcBorders>
              <w:tl2br w:val="nil"/>
              <w:tr2bl w:val="nil"/>
            </w:tcBorders>
            <w:vAlign w:val="center"/>
          </w:tcPr>
          <w:p w14:paraId="05EFCB6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1.63 </w:t>
            </w:r>
          </w:p>
        </w:tc>
        <w:tc>
          <w:tcPr>
            <w:tcW w:w="1062" w:type="dxa"/>
            <w:tcBorders>
              <w:tl2br w:val="nil"/>
              <w:tr2bl w:val="nil"/>
            </w:tcBorders>
            <w:vAlign w:val="center"/>
          </w:tcPr>
          <w:p w14:paraId="12F1ADB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1.63 </w:t>
            </w:r>
          </w:p>
        </w:tc>
      </w:tr>
      <w:tr w14:paraId="154B668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419" w:hRule="atLeast"/>
        </w:trPr>
        <w:tc>
          <w:tcPr>
            <w:tcW w:w="668" w:type="dxa"/>
            <w:tcBorders>
              <w:tl2br w:val="nil"/>
              <w:tr2bl w:val="nil"/>
            </w:tcBorders>
            <w:vAlign w:val="center"/>
          </w:tcPr>
          <w:p w14:paraId="06A854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4</w:t>
            </w:r>
          </w:p>
        </w:tc>
        <w:tc>
          <w:tcPr>
            <w:tcW w:w="4364" w:type="dxa"/>
            <w:tcBorders>
              <w:tl2br w:val="nil"/>
              <w:tr2bl w:val="nil"/>
            </w:tcBorders>
            <w:vAlign w:val="center"/>
          </w:tcPr>
          <w:p w14:paraId="06184B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改制企业留守人员专项费用</w:t>
            </w:r>
          </w:p>
        </w:tc>
        <w:tc>
          <w:tcPr>
            <w:tcW w:w="1223" w:type="dxa"/>
            <w:tcBorders>
              <w:tl2br w:val="nil"/>
              <w:tr2bl w:val="nil"/>
            </w:tcBorders>
            <w:vAlign w:val="center"/>
          </w:tcPr>
          <w:p w14:paraId="2AE449F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5.05 </w:t>
            </w:r>
          </w:p>
        </w:tc>
        <w:tc>
          <w:tcPr>
            <w:tcW w:w="1418" w:type="dxa"/>
            <w:tcBorders>
              <w:tl2br w:val="nil"/>
              <w:tr2bl w:val="nil"/>
            </w:tcBorders>
            <w:vAlign w:val="center"/>
          </w:tcPr>
          <w:p w14:paraId="3CBF53D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5.05 </w:t>
            </w:r>
          </w:p>
        </w:tc>
        <w:tc>
          <w:tcPr>
            <w:tcW w:w="1062" w:type="dxa"/>
            <w:tcBorders>
              <w:tl2br w:val="nil"/>
              <w:tr2bl w:val="nil"/>
            </w:tcBorders>
            <w:vAlign w:val="center"/>
          </w:tcPr>
          <w:p w14:paraId="3E4671C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5.05 </w:t>
            </w:r>
          </w:p>
        </w:tc>
      </w:tr>
      <w:tr w14:paraId="75107071">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501" w:hRule="atLeast"/>
        </w:trPr>
        <w:tc>
          <w:tcPr>
            <w:tcW w:w="668" w:type="dxa"/>
            <w:tcBorders>
              <w:tl2br w:val="nil"/>
              <w:tr2bl w:val="nil"/>
            </w:tcBorders>
            <w:vAlign w:val="center"/>
          </w:tcPr>
          <w:p w14:paraId="01B7CB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5</w:t>
            </w:r>
          </w:p>
        </w:tc>
        <w:tc>
          <w:tcPr>
            <w:tcW w:w="4364" w:type="dxa"/>
            <w:tcBorders>
              <w:tl2br w:val="nil"/>
              <w:tr2bl w:val="nil"/>
            </w:tcBorders>
            <w:vAlign w:val="center"/>
          </w:tcPr>
          <w:p w14:paraId="1404B6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工信系统原改制企业（化工厂和刘伶醉酒厂）退休职工医疗保险费</w:t>
            </w:r>
          </w:p>
        </w:tc>
        <w:tc>
          <w:tcPr>
            <w:tcW w:w="1223" w:type="dxa"/>
            <w:tcBorders>
              <w:tl2br w:val="nil"/>
              <w:tr2bl w:val="nil"/>
            </w:tcBorders>
            <w:vAlign w:val="center"/>
          </w:tcPr>
          <w:p w14:paraId="51FFF7D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11.49 </w:t>
            </w:r>
          </w:p>
        </w:tc>
        <w:tc>
          <w:tcPr>
            <w:tcW w:w="1418" w:type="dxa"/>
            <w:tcBorders>
              <w:tl2br w:val="nil"/>
              <w:tr2bl w:val="nil"/>
            </w:tcBorders>
            <w:vAlign w:val="center"/>
          </w:tcPr>
          <w:p w14:paraId="2DECC70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10.79 </w:t>
            </w:r>
          </w:p>
        </w:tc>
        <w:tc>
          <w:tcPr>
            <w:tcW w:w="1062" w:type="dxa"/>
            <w:tcBorders>
              <w:tl2br w:val="nil"/>
              <w:tr2bl w:val="nil"/>
            </w:tcBorders>
            <w:vAlign w:val="center"/>
          </w:tcPr>
          <w:p w14:paraId="5F05138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10.79 </w:t>
            </w:r>
          </w:p>
        </w:tc>
      </w:tr>
      <w:tr w14:paraId="79EA60B9">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444" w:hRule="atLeast"/>
        </w:trPr>
        <w:tc>
          <w:tcPr>
            <w:tcW w:w="668" w:type="dxa"/>
            <w:tcBorders>
              <w:tl2br w:val="nil"/>
              <w:tr2bl w:val="nil"/>
            </w:tcBorders>
            <w:vAlign w:val="center"/>
          </w:tcPr>
          <w:p w14:paraId="305C5E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6</w:t>
            </w:r>
          </w:p>
        </w:tc>
        <w:tc>
          <w:tcPr>
            <w:tcW w:w="4364" w:type="dxa"/>
            <w:tcBorders>
              <w:tl2br w:val="nil"/>
              <w:tr2bl w:val="nil"/>
            </w:tcBorders>
            <w:vAlign w:val="center"/>
          </w:tcPr>
          <w:p w14:paraId="7BEE2D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化工厂、饮食服务公司专项费用</w:t>
            </w:r>
          </w:p>
        </w:tc>
        <w:tc>
          <w:tcPr>
            <w:tcW w:w="1223" w:type="dxa"/>
            <w:tcBorders>
              <w:tl2br w:val="nil"/>
              <w:tr2bl w:val="nil"/>
            </w:tcBorders>
            <w:vAlign w:val="center"/>
          </w:tcPr>
          <w:p w14:paraId="73E74B6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16.77 </w:t>
            </w:r>
          </w:p>
        </w:tc>
        <w:tc>
          <w:tcPr>
            <w:tcW w:w="1418" w:type="dxa"/>
            <w:tcBorders>
              <w:tl2br w:val="nil"/>
              <w:tr2bl w:val="nil"/>
            </w:tcBorders>
            <w:vAlign w:val="center"/>
          </w:tcPr>
          <w:p w14:paraId="11FF897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13.31 </w:t>
            </w:r>
          </w:p>
        </w:tc>
        <w:tc>
          <w:tcPr>
            <w:tcW w:w="1062" w:type="dxa"/>
            <w:tcBorders>
              <w:tl2br w:val="nil"/>
              <w:tr2bl w:val="nil"/>
            </w:tcBorders>
            <w:vAlign w:val="center"/>
          </w:tcPr>
          <w:p w14:paraId="38B49C5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13.31 </w:t>
            </w:r>
          </w:p>
        </w:tc>
      </w:tr>
      <w:tr w14:paraId="3BFA5AA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485" w:hRule="atLeast"/>
        </w:trPr>
        <w:tc>
          <w:tcPr>
            <w:tcW w:w="668" w:type="dxa"/>
            <w:tcBorders>
              <w:tl2br w:val="nil"/>
              <w:tr2bl w:val="nil"/>
            </w:tcBorders>
            <w:vAlign w:val="center"/>
          </w:tcPr>
          <w:p w14:paraId="7A7B2A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7</w:t>
            </w:r>
          </w:p>
        </w:tc>
        <w:tc>
          <w:tcPr>
            <w:tcW w:w="4364" w:type="dxa"/>
            <w:tcBorders>
              <w:tl2br w:val="nil"/>
              <w:tr2bl w:val="nil"/>
            </w:tcBorders>
            <w:vAlign w:val="center"/>
          </w:tcPr>
          <w:p w14:paraId="61CA3F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提前下达2023年”民参军奖励政策补助资金</w:t>
            </w:r>
          </w:p>
        </w:tc>
        <w:tc>
          <w:tcPr>
            <w:tcW w:w="1223" w:type="dxa"/>
            <w:tcBorders>
              <w:tl2br w:val="nil"/>
              <w:tr2bl w:val="nil"/>
            </w:tcBorders>
            <w:vAlign w:val="center"/>
          </w:tcPr>
          <w:p w14:paraId="1C0F1CD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20.00 </w:t>
            </w:r>
          </w:p>
        </w:tc>
        <w:tc>
          <w:tcPr>
            <w:tcW w:w="1418" w:type="dxa"/>
            <w:tcBorders>
              <w:tl2br w:val="nil"/>
              <w:tr2bl w:val="nil"/>
            </w:tcBorders>
            <w:vAlign w:val="center"/>
          </w:tcPr>
          <w:p w14:paraId="5A9638E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20.00 </w:t>
            </w:r>
          </w:p>
        </w:tc>
        <w:tc>
          <w:tcPr>
            <w:tcW w:w="1062" w:type="dxa"/>
            <w:tcBorders>
              <w:tl2br w:val="nil"/>
              <w:tr2bl w:val="nil"/>
            </w:tcBorders>
            <w:vAlign w:val="center"/>
          </w:tcPr>
          <w:p w14:paraId="63CF0F7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20.00 </w:t>
            </w:r>
          </w:p>
        </w:tc>
      </w:tr>
      <w:tr w14:paraId="3AE373CC">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393" w:hRule="atLeast"/>
        </w:trPr>
        <w:tc>
          <w:tcPr>
            <w:tcW w:w="668" w:type="dxa"/>
            <w:tcBorders>
              <w:tl2br w:val="nil"/>
              <w:tr2bl w:val="nil"/>
            </w:tcBorders>
            <w:vAlign w:val="center"/>
          </w:tcPr>
          <w:p w14:paraId="031C70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8</w:t>
            </w:r>
          </w:p>
        </w:tc>
        <w:tc>
          <w:tcPr>
            <w:tcW w:w="4364" w:type="dxa"/>
            <w:tcBorders>
              <w:tl2br w:val="nil"/>
              <w:tr2bl w:val="nil"/>
            </w:tcBorders>
            <w:vAlign w:val="center"/>
          </w:tcPr>
          <w:p w14:paraId="5429DF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提前下达2023年技术创新引导专项资金预算</w:t>
            </w:r>
          </w:p>
        </w:tc>
        <w:tc>
          <w:tcPr>
            <w:tcW w:w="1223" w:type="dxa"/>
            <w:tcBorders>
              <w:tl2br w:val="nil"/>
              <w:tr2bl w:val="nil"/>
            </w:tcBorders>
            <w:vAlign w:val="center"/>
          </w:tcPr>
          <w:p w14:paraId="42ED6CB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500.00 </w:t>
            </w:r>
          </w:p>
        </w:tc>
        <w:tc>
          <w:tcPr>
            <w:tcW w:w="1418" w:type="dxa"/>
            <w:tcBorders>
              <w:tl2br w:val="nil"/>
              <w:tr2bl w:val="nil"/>
            </w:tcBorders>
            <w:vAlign w:val="center"/>
          </w:tcPr>
          <w:p w14:paraId="5685350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197.59 </w:t>
            </w:r>
          </w:p>
        </w:tc>
        <w:tc>
          <w:tcPr>
            <w:tcW w:w="1062" w:type="dxa"/>
            <w:tcBorders>
              <w:tl2br w:val="nil"/>
              <w:tr2bl w:val="nil"/>
            </w:tcBorders>
            <w:vAlign w:val="center"/>
          </w:tcPr>
          <w:p w14:paraId="441EF94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197.59 </w:t>
            </w:r>
          </w:p>
        </w:tc>
      </w:tr>
      <w:tr w14:paraId="26E559E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35" w:hRule="atLeast"/>
        </w:trPr>
        <w:tc>
          <w:tcPr>
            <w:tcW w:w="668" w:type="dxa"/>
            <w:tcBorders>
              <w:tl2br w:val="nil"/>
              <w:tr2bl w:val="nil"/>
            </w:tcBorders>
            <w:vAlign w:val="center"/>
          </w:tcPr>
          <w:p w14:paraId="019F95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9</w:t>
            </w:r>
          </w:p>
        </w:tc>
        <w:tc>
          <w:tcPr>
            <w:tcW w:w="4364" w:type="dxa"/>
            <w:tcBorders>
              <w:tl2br w:val="nil"/>
              <w:tr2bl w:val="nil"/>
            </w:tcBorders>
            <w:vAlign w:val="center"/>
          </w:tcPr>
          <w:p w14:paraId="0AA605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提前下达2023年省级中小企业发展专项资金（中小企业运行监测）</w:t>
            </w:r>
          </w:p>
        </w:tc>
        <w:tc>
          <w:tcPr>
            <w:tcW w:w="1223" w:type="dxa"/>
            <w:tcBorders>
              <w:tl2br w:val="nil"/>
              <w:tr2bl w:val="nil"/>
            </w:tcBorders>
            <w:vAlign w:val="center"/>
          </w:tcPr>
          <w:p w14:paraId="4224E5E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1.40 </w:t>
            </w:r>
          </w:p>
        </w:tc>
        <w:tc>
          <w:tcPr>
            <w:tcW w:w="1418" w:type="dxa"/>
            <w:tcBorders>
              <w:tl2br w:val="nil"/>
              <w:tr2bl w:val="nil"/>
            </w:tcBorders>
            <w:vAlign w:val="center"/>
          </w:tcPr>
          <w:p w14:paraId="753C265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1.40 </w:t>
            </w:r>
          </w:p>
        </w:tc>
        <w:tc>
          <w:tcPr>
            <w:tcW w:w="1062" w:type="dxa"/>
            <w:tcBorders>
              <w:tl2br w:val="nil"/>
              <w:tr2bl w:val="nil"/>
            </w:tcBorders>
            <w:vAlign w:val="center"/>
          </w:tcPr>
          <w:p w14:paraId="2A5D55E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1.40 </w:t>
            </w:r>
          </w:p>
        </w:tc>
      </w:tr>
      <w:tr w14:paraId="284B4B3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35" w:hRule="atLeast"/>
        </w:trPr>
        <w:tc>
          <w:tcPr>
            <w:tcW w:w="668" w:type="dxa"/>
            <w:tcBorders>
              <w:tl2br w:val="nil"/>
              <w:tr2bl w:val="nil"/>
            </w:tcBorders>
            <w:vAlign w:val="center"/>
          </w:tcPr>
          <w:p w14:paraId="20B90C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10</w:t>
            </w:r>
          </w:p>
        </w:tc>
        <w:tc>
          <w:tcPr>
            <w:tcW w:w="4364" w:type="dxa"/>
            <w:tcBorders>
              <w:tl2br w:val="nil"/>
              <w:tr2bl w:val="nil"/>
            </w:tcBorders>
            <w:vAlign w:val="center"/>
          </w:tcPr>
          <w:p w14:paraId="092AF4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提前下达2023年支持工业互联网创新发展等项目资金预算（工业互联网安全保障体系建设）</w:t>
            </w:r>
          </w:p>
        </w:tc>
        <w:tc>
          <w:tcPr>
            <w:tcW w:w="1223" w:type="dxa"/>
            <w:tcBorders>
              <w:tl2br w:val="nil"/>
              <w:tr2bl w:val="nil"/>
            </w:tcBorders>
            <w:vAlign w:val="center"/>
          </w:tcPr>
          <w:p w14:paraId="4CE94AD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50.00 </w:t>
            </w:r>
          </w:p>
        </w:tc>
        <w:tc>
          <w:tcPr>
            <w:tcW w:w="1418" w:type="dxa"/>
            <w:tcBorders>
              <w:tl2br w:val="nil"/>
              <w:tr2bl w:val="nil"/>
            </w:tcBorders>
            <w:vAlign w:val="center"/>
          </w:tcPr>
          <w:p w14:paraId="004031F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50.00 </w:t>
            </w:r>
          </w:p>
        </w:tc>
        <w:tc>
          <w:tcPr>
            <w:tcW w:w="1062" w:type="dxa"/>
            <w:tcBorders>
              <w:tl2br w:val="nil"/>
              <w:tr2bl w:val="nil"/>
            </w:tcBorders>
            <w:vAlign w:val="center"/>
          </w:tcPr>
          <w:p w14:paraId="3FBB6C1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50.00 </w:t>
            </w:r>
          </w:p>
        </w:tc>
      </w:tr>
      <w:tr w14:paraId="18AD23E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35" w:hRule="atLeast"/>
        </w:trPr>
        <w:tc>
          <w:tcPr>
            <w:tcW w:w="668" w:type="dxa"/>
            <w:tcBorders>
              <w:tl2br w:val="nil"/>
              <w:tr2bl w:val="nil"/>
            </w:tcBorders>
            <w:vAlign w:val="center"/>
          </w:tcPr>
          <w:p w14:paraId="7D9880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11</w:t>
            </w:r>
          </w:p>
        </w:tc>
        <w:tc>
          <w:tcPr>
            <w:tcW w:w="4364" w:type="dxa"/>
            <w:tcBorders>
              <w:tl2br w:val="nil"/>
              <w:tr2bl w:val="nil"/>
            </w:tcBorders>
            <w:vAlign w:val="center"/>
          </w:tcPr>
          <w:p w14:paraId="0C79FF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提前下达2023年支持工业互联网创新发展等项目资金预算（特色产业集群领跑者企业培育项目）</w:t>
            </w:r>
          </w:p>
        </w:tc>
        <w:tc>
          <w:tcPr>
            <w:tcW w:w="1223" w:type="dxa"/>
            <w:tcBorders>
              <w:tl2br w:val="nil"/>
              <w:tr2bl w:val="nil"/>
            </w:tcBorders>
            <w:vAlign w:val="center"/>
          </w:tcPr>
          <w:p w14:paraId="5E2EF52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20.60 </w:t>
            </w:r>
          </w:p>
        </w:tc>
        <w:tc>
          <w:tcPr>
            <w:tcW w:w="1418" w:type="dxa"/>
            <w:tcBorders>
              <w:tl2br w:val="nil"/>
              <w:tr2bl w:val="nil"/>
            </w:tcBorders>
            <w:vAlign w:val="center"/>
          </w:tcPr>
          <w:p w14:paraId="7A6C178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20.60 </w:t>
            </w:r>
          </w:p>
        </w:tc>
        <w:tc>
          <w:tcPr>
            <w:tcW w:w="1062" w:type="dxa"/>
            <w:tcBorders>
              <w:tl2br w:val="nil"/>
              <w:tr2bl w:val="nil"/>
            </w:tcBorders>
            <w:vAlign w:val="center"/>
          </w:tcPr>
          <w:p w14:paraId="3AA33D4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20.60 </w:t>
            </w:r>
          </w:p>
        </w:tc>
      </w:tr>
      <w:tr w14:paraId="2F0F315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35" w:hRule="atLeast"/>
        </w:trPr>
        <w:tc>
          <w:tcPr>
            <w:tcW w:w="668" w:type="dxa"/>
            <w:tcBorders>
              <w:tl2br w:val="nil"/>
              <w:tr2bl w:val="nil"/>
            </w:tcBorders>
            <w:vAlign w:val="center"/>
          </w:tcPr>
          <w:p w14:paraId="111CDC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12</w:t>
            </w:r>
          </w:p>
        </w:tc>
        <w:tc>
          <w:tcPr>
            <w:tcW w:w="4364" w:type="dxa"/>
            <w:tcBorders>
              <w:tl2br w:val="nil"/>
              <w:tr2bl w:val="nil"/>
            </w:tcBorders>
            <w:vAlign w:val="center"/>
          </w:tcPr>
          <w:p w14:paraId="66E811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提前下达2023年支持工业互联网创新发展等项目资金预算（支持工业设计成果转化项目）</w:t>
            </w:r>
          </w:p>
        </w:tc>
        <w:tc>
          <w:tcPr>
            <w:tcW w:w="1223" w:type="dxa"/>
            <w:tcBorders>
              <w:tl2br w:val="nil"/>
              <w:tr2bl w:val="nil"/>
            </w:tcBorders>
            <w:vAlign w:val="center"/>
          </w:tcPr>
          <w:p w14:paraId="28FE6A1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210.81 </w:t>
            </w:r>
          </w:p>
        </w:tc>
        <w:tc>
          <w:tcPr>
            <w:tcW w:w="1418" w:type="dxa"/>
            <w:tcBorders>
              <w:tl2br w:val="nil"/>
              <w:tr2bl w:val="nil"/>
            </w:tcBorders>
            <w:vAlign w:val="center"/>
          </w:tcPr>
          <w:p w14:paraId="004C498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210.81 </w:t>
            </w:r>
          </w:p>
        </w:tc>
        <w:tc>
          <w:tcPr>
            <w:tcW w:w="1062" w:type="dxa"/>
            <w:tcBorders>
              <w:tl2br w:val="nil"/>
              <w:tr2bl w:val="nil"/>
            </w:tcBorders>
            <w:vAlign w:val="center"/>
          </w:tcPr>
          <w:p w14:paraId="7C5C73F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210.81 </w:t>
            </w:r>
          </w:p>
        </w:tc>
      </w:tr>
      <w:tr w14:paraId="069C16B3">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35" w:hRule="atLeast"/>
        </w:trPr>
        <w:tc>
          <w:tcPr>
            <w:tcW w:w="668" w:type="dxa"/>
            <w:tcBorders>
              <w:tl2br w:val="nil"/>
              <w:tr2bl w:val="nil"/>
            </w:tcBorders>
            <w:vAlign w:val="center"/>
          </w:tcPr>
          <w:p w14:paraId="4968FA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13</w:t>
            </w:r>
          </w:p>
        </w:tc>
        <w:tc>
          <w:tcPr>
            <w:tcW w:w="4364" w:type="dxa"/>
            <w:tcBorders>
              <w:tl2br w:val="nil"/>
              <w:tr2bl w:val="nil"/>
            </w:tcBorders>
            <w:vAlign w:val="center"/>
          </w:tcPr>
          <w:p w14:paraId="6522ED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提前下达2023年支持工业互联网创新发展等项目资金预算（支持省级工业设计中心项目）</w:t>
            </w:r>
          </w:p>
        </w:tc>
        <w:tc>
          <w:tcPr>
            <w:tcW w:w="1223" w:type="dxa"/>
            <w:tcBorders>
              <w:tl2br w:val="nil"/>
              <w:tr2bl w:val="nil"/>
            </w:tcBorders>
            <w:vAlign w:val="center"/>
          </w:tcPr>
          <w:p w14:paraId="45B32AC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200.00 </w:t>
            </w:r>
          </w:p>
        </w:tc>
        <w:tc>
          <w:tcPr>
            <w:tcW w:w="1418" w:type="dxa"/>
            <w:tcBorders>
              <w:tl2br w:val="nil"/>
              <w:tr2bl w:val="nil"/>
            </w:tcBorders>
            <w:vAlign w:val="center"/>
          </w:tcPr>
          <w:p w14:paraId="00BC47A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200.00 </w:t>
            </w:r>
          </w:p>
        </w:tc>
        <w:tc>
          <w:tcPr>
            <w:tcW w:w="1062" w:type="dxa"/>
            <w:tcBorders>
              <w:tl2br w:val="nil"/>
              <w:tr2bl w:val="nil"/>
            </w:tcBorders>
            <w:vAlign w:val="center"/>
          </w:tcPr>
          <w:p w14:paraId="4D92B3C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200.00 </w:t>
            </w:r>
          </w:p>
        </w:tc>
      </w:tr>
      <w:tr w14:paraId="289F75E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90" w:hRule="atLeast"/>
        </w:trPr>
        <w:tc>
          <w:tcPr>
            <w:tcW w:w="668" w:type="dxa"/>
            <w:tcBorders>
              <w:tl2br w:val="nil"/>
              <w:tr2bl w:val="nil"/>
            </w:tcBorders>
            <w:vAlign w:val="center"/>
          </w:tcPr>
          <w:p w14:paraId="3157DB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14</w:t>
            </w:r>
          </w:p>
        </w:tc>
        <w:tc>
          <w:tcPr>
            <w:tcW w:w="4364" w:type="dxa"/>
            <w:tcBorders>
              <w:tl2br w:val="nil"/>
              <w:tr2bl w:val="nil"/>
            </w:tcBorders>
            <w:vAlign w:val="center"/>
          </w:tcPr>
          <w:p w14:paraId="754EA6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提前下达2023年支持市县科技创新和科学普及专项资金预算</w:t>
            </w:r>
          </w:p>
        </w:tc>
        <w:tc>
          <w:tcPr>
            <w:tcW w:w="1223" w:type="dxa"/>
            <w:tcBorders>
              <w:tl2br w:val="nil"/>
              <w:tr2bl w:val="nil"/>
            </w:tcBorders>
            <w:vAlign w:val="center"/>
          </w:tcPr>
          <w:p w14:paraId="15BB283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1,214.34 </w:t>
            </w:r>
          </w:p>
        </w:tc>
        <w:tc>
          <w:tcPr>
            <w:tcW w:w="1418" w:type="dxa"/>
            <w:tcBorders>
              <w:tl2br w:val="nil"/>
              <w:tr2bl w:val="nil"/>
            </w:tcBorders>
            <w:vAlign w:val="center"/>
          </w:tcPr>
          <w:p w14:paraId="546635B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1,214.34 </w:t>
            </w:r>
          </w:p>
        </w:tc>
        <w:tc>
          <w:tcPr>
            <w:tcW w:w="1062" w:type="dxa"/>
            <w:tcBorders>
              <w:tl2br w:val="nil"/>
              <w:tr2bl w:val="nil"/>
            </w:tcBorders>
            <w:vAlign w:val="center"/>
          </w:tcPr>
          <w:p w14:paraId="0BA4E3C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1,214.34 </w:t>
            </w:r>
          </w:p>
        </w:tc>
      </w:tr>
      <w:tr w14:paraId="24D3256C">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393" w:hRule="atLeast"/>
        </w:trPr>
        <w:tc>
          <w:tcPr>
            <w:tcW w:w="668" w:type="dxa"/>
            <w:tcBorders>
              <w:tl2br w:val="nil"/>
              <w:tr2bl w:val="nil"/>
            </w:tcBorders>
            <w:vAlign w:val="center"/>
          </w:tcPr>
          <w:p w14:paraId="3BD2ED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15</w:t>
            </w:r>
          </w:p>
        </w:tc>
        <w:tc>
          <w:tcPr>
            <w:tcW w:w="4364" w:type="dxa"/>
            <w:tcBorders>
              <w:tl2br w:val="nil"/>
              <w:tr2bl w:val="nil"/>
            </w:tcBorders>
            <w:vAlign w:val="center"/>
          </w:tcPr>
          <w:p w14:paraId="3E0344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下达2022年省级军民融合发展专项资金预算</w:t>
            </w:r>
          </w:p>
        </w:tc>
        <w:tc>
          <w:tcPr>
            <w:tcW w:w="1223" w:type="dxa"/>
            <w:tcBorders>
              <w:tl2br w:val="nil"/>
              <w:tr2bl w:val="nil"/>
            </w:tcBorders>
            <w:vAlign w:val="center"/>
          </w:tcPr>
          <w:p w14:paraId="5574A70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100.00 </w:t>
            </w:r>
          </w:p>
        </w:tc>
        <w:tc>
          <w:tcPr>
            <w:tcW w:w="1418" w:type="dxa"/>
            <w:tcBorders>
              <w:tl2br w:val="nil"/>
              <w:tr2bl w:val="nil"/>
            </w:tcBorders>
            <w:vAlign w:val="center"/>
          </w:tcPr>
          <w:p w14:paraId="107185A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100.00 </w:t>
            </w:r>
          </w:p>
        </w:tc>
        <w:tc>
          <w:tcPr>
            <w:tcW w:w="1062" w:type="dxa"/>
            <w:tcBorders>
              <w:tl2br w:val="nil"/>
              <w:tr2bl w:val="nil"/>
            </w:tcBorders>
            <w:vAlign w:val="center"/>
          </w:tcPr>
          <w:p w14:paraId="3DA40F4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100.00 </w:t>
            </w:r>
          </w:p>
        </w:tc>
      </w:tr>
      <w:tr w14:paraId="27BD045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35" w:hRule="atLeast"/>
        </w:trPr>
        <w:tc>
          <w:tcPr>
            <w:tcW w:w="668" w:type="dxa"/>
            <w:tcBorders>
              <w:tl2br w:val="nil"/>
              <w:tr2bl w:val="nil"/>
            </w:tcBorders>
            <w:vAlign w:val="center"/>
          </w:tcPr>
          <w:p w14:paraId="289EE3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16</w:t>
            </w:r>
          </w:p>
        </w:tc>
        <w:tc>
          <w:tcPr>
            <w:tcW w:w="4364" w:type="dxa"/>
            <w:tcBorders>
              <w:tl2br w:val="nil"/>
              <w:tr2bl w:val="nil"/>
            </w:tcBorders>
            <w:vAlign w:val="center"/>
          </w:tcPr>
          <w:p w14:paraId="28CBD9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下达2022年省级中小企业发展专项资金（第二批）预算</w:t>
            </w:r>
          </w:p>
        </w:tc>
        <w:tc>
          <w:tcPr>
            <w:tcW w:w="1223" w:type="dxa"/>
            <w:tcBorders>
              <w:tl2br w:val="nil"/>
              <w:tr2bl w:val="nil"/>
            </w:tcBorders>
            <w:vAlign w:val="center"/>
          </w:tcPr>
          <w:p w14:paraId="2CE8749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3.20 </w:t>
            </w:r>
          </w:p>
        </w:tc>
        <w:tc>
          <w:tcPr>
            <w:tcW w:w="1418" w:type="dxa"/>
            <w:tcBorders>
              <w:tl2br w:val="nil"/>
              <w:tr2bl w:val="nil"/>
            </w:tcBorders>
            <w:vAlign w:val="center"/>
          </w:tcPr>
          <w:p w14:paraId="4F16B86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3.20 </w:t>
            </w:r>
          </w:p>
        </w:tc>
        <w:tc>
          <w:tcPr>
            <w:tcW w:w="1062" w:type="dxa"/>
            <w:tcBorders>
              <w:tl2br w:val="nil"/>
              <w:tr2bl w:val="nil"/>
            </w:tcBorders>
            <w:vAlign w:val="center"/>
          </w:tcPr>
          <w:p w14:paraId="3B80C02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3.20 </w:t>
            </w:r>
          </w:p>
        </w:tc>
      </w:tr>
      <w:tr w14:paraId="3DD0F87E">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317" w:hRule="atLeast"/>
        </w:trPr>
        <w:tc>
          <w:tcPr>
            <w:tcW w:w="668" w:type="dxa"/>
            <w:tcBorders>
              <w:tl2br w:val="nil"/>
              <w:tr2bl w:val="nil"/>
            </w:tcBorders>
            <w:vAlign w:val="center"/>
          </w:tcPr>
          <w:p w14:paraId="7A9A2F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17</w:t>
            </w:r>
          </w:p>
        </w:tc>
        <w:tc>
          <w:tcPr>
            <w:tcW w:w="4364" w:type="dxa"/>
            <w:tcBorders>
              <w:tl2br w:val="nil"/>
              <w:tr2bl w:val="nil"/>
            </w:tcBorders>
            <w:vAlign w:val="center"/>
          </w:tcPr>
          <w:p w14:paraId="574F3D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2023年春节慰问重点企业</w:t>
            </w:r>
          </w:p>
        </w:tc>
        <w:tc>
          <w:tcPr>
            <w:tcW w:w="1223" w:type="dxa"/>
            <w:tcBorders>
              <w:tl2br w:val="nil"/>
              <w:tr2bl w:val="nil"/>
            </w:tcBorders>
            <w:vAlign w:val="center"/>
          </w:tcPr>
          <w:p w14:paraId="60B1C02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p>
        </w:tc>
        <w:tc>
          <w:tcPr>
            <w:tcW w:w="1418" w:type="dxa"/>
            <w:tcBorders>
              <w:tl2br w:val="nil"/>
              <w:tr2bl w:val="nil"/>
            </w:tcBorders>
            <w:vAlign w:val="center"/>
          </w:tcPr>
          <w:p w14:paraId="610143B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116.48 </w:t>
            </w:r>
          </w:p>
        </w:tc>
        <w:tc>
          <w:tcPr>
            <w:tcW w:w="1062" w:type="dxa"/>
            <w:tcBorders>
              <w:tl2br w:val="nil"/>
              <w:tr2bl w:val="nil"/>
            </w:tcBorders>
            <w:vAlign w:val="center"/>
          </w:tcPr>
          <w:p w14:paraId="09DA391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116.48 </w:t>
            </w:r>
          </w:p>
        </w:tc>
      </w:tr>
      <w:tr w14:paraId="09D4FC6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324" w:hRule="atLeast"/>
        </w:trPr>
        <w:tc>
          <w:tcPr>
            <w:tcW w:w="668" w:type="dxa"/>
            <w:tcBorders>
              <w:tl2br w:val="nil"/>
              <w:tr2bl w:val="nil"/>
            </w:tcBorders>
            <w:vAlign w:val="center"/>
          </w:tcPr>
          <w:p w14:paraId="4360B3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18</w:t>
            </w:r>
          </w:p>
        </w:tc>
        <w:tc>
          <w:tcPr>
            <w:tcW w:w="4364" w:type="dxa"/>
            <w:tcBorders>
              <w:tl2br w:val="nil"/>
              <w:tr2bl w:val="nil"/>
            </w:tcBorders>
            <w:vAlign w:val="center"/>
          </w:tcPr>
          <w:p w14:paraId="42DCCA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区工信局采购车辆资金</w:t>
            </w:r>
          </w:p>
        </w:tc>
        <w:tc>
          <w:tcPr>
            <w:tcW w:w="1223" w:type="dxa"/>
            <w:tcBorders>
              <w:tl2br w:val="nil"/>
              <w:tr2bl w:val="nil"/>
            </w:tcBorders>
            <w:vAlign w:val="center"/>
          </w:tcPr>
          <w:p w14:paraId="6ABE501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p>
        </w:tc>
        <w:tc>
          <w:tcPr>
            <w:tcW w:w="1418" w:type="dxa"/>
            <w:tcBorders>
              <w:tl2br w:val="nil"/>
              <w:tr2bl w:val="nil"/>
            </w:tcBorders>
            <w:vAlign w:val="center"/>
          </w:tcPr>
          <w:p w14:paraId="07B14B4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17.38 </w:t>
            </w:r>
          </w:p>
        </w:tc>
        <w:tc>
          <w:tcPr>
            <w:tcW w:w="1062" w:type="dxa"/>
            <w:tcBorders>
              <w:tl2br w:val="nil"/>
              <w:tr2bl w:val="nil"/>
            </w:tcBorders>
            <w:vAlign w:val="center"/>
          </w:tcPr>
          <w:p w14:paraId="0A31F28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17.38 </w:t>
            </w:r>
          </w:p>
        </w:tc>
      </w:tr>
      <w:tr w14:paraId="68E3309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366" w:hRule="atLeast"/>
        </w:trPr>
        <w:tc>
          <w:tcPr>
            <w:tcW w:w="668" w:type="dxa"/>
            <w:tcBorders>
              <w:tl2br w:val="nil"/>
              <w:tr2bl w:val="nil"/>
            </w:tcBorders>
            <w:vAlign w:val="center"/>
          </w:tcPr>
          <w:p w14:paraId="6D1071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19</w:t>
            </w:r>
          </w:p>
        </w:tc>
        <w:tc>
          <w:tcPr>
            <w:tcW w:w="4364" w:type="dxa"/>
            <w:tcBorders>
              <w:tl2br w:val="nil"/>
              <w:tr2bl w:val="nil"/>
            </w:tcBorders>
            <w:vAlign w:val="center"/>
          </w:tcPr>
          <w:p w14:paraId="112108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新增会议室及办公用房维修资金</w:t>
            </w:r>
          </w:p>
        </w:tc>
        <w:tc>
          <w:tcPr>
            <w:tcW w:w="1223" w:type="dxa"/>
            <w:tcBorders>
              <w:tl2br w:val="nil"/>
              <w:tr2bl w:val="nil"/>
            </w:tcBorders>
            <w:vAlign w:val="center"/>
          </w:tcPr>
          <w:p w14:paraId="19786C9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p>
        </w:tc>
        <w:tc>
          <w:tcPr>
            <w:tcW w:w="1418" w:type="dxa"/>
            <w:tcBorders>
              <w:tl2br w:val="nil"/>
              <w:tr2bl w:val="nil"/>
            </w:tcBorders>
            <w:vAlign w:val="center"/>
          </w:tcPr>
          <w:p w14:paraId="252DED5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14.53 </w:t>
            </w:r>
          </w:p>
        </w:tc>
        <w:tc>
          <w:tcPr>
            <w:tcW w:w="1062" w:type="dxa"/>
            <w:tcBorders>
              <w:tl2br w:val="nil"/>
              <w:tr2bl w:val="nil"/>
            </w:tcBorders>
            <w:vAlign w:val="center"/>
          </w:tcPr>
          <w:p w14:paraId="51A7509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14.53 </w:t>
            </w:r>
          </w:p>
        </w:tc>
      </w:tr>
      <w:tr w14:paraId="67CC044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495" w:hRule="atLeast"/>
        </w:trPr>
        <w:tc>
          <w:tcPr>
            <w:tcW w:w="668" w:type="dxa"/>
            <w:tcBorders>
              <w:tl2br w:val="nil"/>
              <w:tr2bl w:val="nil"/>
            </w:tcBorders>
            <w:vAlign w:val="center"/>
          </w:tcPr>
          <w:p w14:paraId="13806E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20</w:t>
            </w:r>
          </w:p>
        </w:tc>
        <w:tc>
          <w:tcPr>
            <w:tcW w:w="4364" w:type="dxa"/>
            <w:tcBorders>
              <w:tl2br w:val="nil"/>
              <w:tr2bl w:val="nil"/>
            </w:tcBorders>
            <w:vAlign w:val="center"/>
          </w:tcPr>
          <w:p w14:paraId="786839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下达2022年省级工业转型升级（技改）专项资金（第六批）</w:t>
            </w:r>
          </w:p>
        </w:tc>
        <w:tc>
          <w:tcPr>
            <w:tcW w:w="1223" w:type="dxa"/>
            <w:tcBorders>
              <w:tl2br w:val="nil"/>
              <w:tr2bl w:val="nil"/>
            </w:tcBorders>
            <w:vAlign w:val="center"/>
          </w:tcPr>
          <w:p w14:paraId="4C05EC6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p>
        </w:tc>
        <w:tc>
          <w:tcPr>
            <w:tcW w:w="1418" w:type="dxa"/>
            <w:tcBorders>
              <w:tl2br w:val="nil"/>
              <w:tr2bl w:val="nil"/>
            </w:tcBorders>
            <w:vAlign w:val="center"/>
          </w:tcPr>
          <w:p w14:paraId="3E9A11B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66.00 </w:t>
            </w:r>
          </w:p>
        </w:tc>
        <w:tc>
          <w:tcPr>
            <w:tcW w:w="1062" w:type="dxa"/>
            <w:tcBorders>
              <w:tl2br w:val="nil"/>
              <w:tr2bl w:val="nil"/>
            </w:tcBorders>
            <w:vAlign w:val="center"/>
          </w:tcPr>
          <w:p w14:paraId="7E8BF71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66.00 </w:t>
            </w:r>
          </w:p>
        </w:tc>
      </w:tr>
      <w:tr w14:paraId="3551C1E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35" w:hRule="atLeast"/>
        </w:trPr>
        <w:tc>
          <w:tcPr>
            <w:tcW w:w="668" w:type="dxa"/>
            <w:tcBorders>
              <w:tl2br w:val="nil"/>
              <w:tr2bl w:val="nil"/>
            </w:tcBorders>
            <w:vAlign w:val="center"/>
          </w:tcPr>
          <w:p w14:paraId="1E18E6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21</w:t>
            </w:r>
          </w:p>
        </w:tc>
        <w:tc>
          <w:tcPr>
            <w:tcW w:w="4364" w:type="dxa"/>
            <w:tcBorders>
              <w:tl2br w:val="nil"/>
              <w:tr2bl w:val="nil"/>
            </w:tcBorders>
            <w:vAlign w:val="center"/>
          </w:tcPr>
          <w:p w14:paraId="4E152F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下达财政数字化转型和数字财政建设试点工作专项资金</w:t>
            </w:r>
          </w:p>
        </w:tc>
        <w:tc>
          <w:tcPr>
            <w:tcW w:w="1223" w:type="dxa"/>
            <w:tcBorders>
              <w:tl2br w:val="nil"/>
              <w:tr2bl w:val="nil"/>
            </w:tcBorders>
            <w:vAlign w:val="center"/>
          </w:tcPr>
          <w:p w14:paraId="06083BB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p>
        </w:tc>
        <w:tc>
          <w:tcPr>
            <w:tcW w:w="1418" w:type="dxa"/>
            <w:tcBorders>
              <w:tl2br w:val="nil"/>
              <w:tr2bl w:val="nil"/>
            </w:tcBorders>
            <w:vAlign w:val="center"/>
          </w:tcPr>
          <w:p w14:paraId="65F400D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0.90 </w:t>
            </w:r>
          </w:p>
        </w:tc>
        <w:tc>
          <w:tcPr>
            <w:tcW w:w="1062" w:type="dxa"/>
            <w:tcBorders>
              <w:tl2br w:val="nil"/>
              <w:tr2bl w:val="nil"/>
            </w:tcBorders>
            <w:vAlign w:val="center"/>
          </w:tcPr>
          <w:p w14:paraId="27777FA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0.90 </w:t>
            </w:r>
          </w:p>
        </w:tc>
      </w:tr>
      <w:tr w14:paraId="65DC1DC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45" w:hRule="atLeast"/>
        </w:trPr>
        <w:tc>
          <w:tcPr>
            <w:tcW w:w="668" w:type="dxa"/>
            <w:tcBorders>
              <w:tl2br w:val="nil"/>
              <w:tr2bl w:val="nil"/>
            </w:tcBorders>
            <w:vAlign w:val="center"/>
          </w:tcPr>
          <w:p w14:paraId="1CF5AE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序号</w:t>
            </w:r>
          </w:p>
        </w:tc>
        <w:tc>
          <w:tcPr>
            <w:tcW w:w="4364" w:type="dxa"/>
            <w:tcBorders>
              <w:tl2br w:val="nil"/>
              <w:tr2bl w:val="nil"/>
            </w:tcBorders>
            <w:vAlign w:val="center"/>
          </w:tcPr>
          <w:p w14:paraId="4F711A3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项目名称</w:t>
            </w:r>
          </w:p>
        </w:tc>
        <w:tc>
          <w:tcPr>
            <w:tcW w:w="1223" w:type="dxa"/>
            <w:tcBorders>
              <w:tl2br w:val="nil"/>
              <w:tr2bl w:val="nil"/>
            </w:tcBorders>
            <w:vAlign w:val="center"/>
          </w:tcPr>
          <w:p w14:paraId="3CF8F2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年初预算数</w:t>
            </w:r>
          </w:p>
        </w:tc>
        <w:tc>
          <w:tcPr>
            <w:tcW w:w="1418" w:type="dxa"/>
            <w:tcBorders>
              <w:tl2br w:val="nil"/>
              <w:tr2bl w:val="nil"/>
            </w:tcBorders>
            <w:vAlign w:val="center"/>
          </w:tcPr>
          <w:p w14:paraId="0891A6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调整预算数</w:t>
            </w:r>
          </w:p>
        </w:tc>
        <w:tc>
          <w:tcPr>
            <w:tcW w:w="1062" w:type="dxa"/>
            <w:tcBorders>
              <w:tl2br w:val="nil"/>
              <w:tr2bl w:val="nil"/>
            </w:tcBorders>
            <w:vAlign w:val="center"/>
          </w:tcPr>
          <w:p w14:paraId="7FFC3A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执行数</w:t>
            </w:r>
          </w:p>
        </w:tc>
      </w:tr>
      <w:tr w14:paraId="257ECC6B">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45" w:hRule="atLeast"/>
        </w:trPr>
        <w:tc>
          <w:tcPr>
            <w:tcW w:w="668" w:type="dxa"/>
            <w:tcBorders>
              <w:tl2br w:val="nil"/>
              <w:tr2bl w:val="nil"/>
            </w:tcBorders>
            <w:vAlign w:val="center"/>
          </w:tcPr>
          <w:p w14:paraId="599847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22</w:t>
            </w:r>
          </w:p>
        </w:tc>
        <w:tc>
          <w:tcPr>
            <w:tcW w:w="4364" w:type="dxa"/>
            <w:tcBorders>
              <w:tl2br w:val="nil"/>
              <w:tr2bl w:val="nil"/>
            </w:tcBorders>
            <w:vAlign w:val="center"/>
          </w:tcPr>
          <w:p w14:paraId="0EBF7A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提前下达2023年中央企业军转干部解困补助资金</w:t>
            </w:r>
          </w:p>
        </w:tc>
        <w:tc>
          <w:tcPr>
            <w:tcW w:w="1223" w:type="dxa"/>
            <w:tcBorders>
              <w:tl2br w:val="nil"/>
              <w:tr2bl w:val="nil"/>
            </w:tcBorders>
            <w:vAlign w:val="center"/>
          </w:tcPr>
          <w:p w14:paraId="6637548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p>
        </w:tc>
        <w:tc>
          <w:tcPr>
            <w:tcW w:w="1418" w:type="dxa"/>
            <w:tcBorders>
              <w:tl2br w:val="nil"/>
              <w:tr2bl w:val="nil"/>
            </w:tcBorders>
            <w:vAlign w:val="center"/>
          </w:tcPr>
          <w:p w14:paraId="4B855D1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40.45 </w:t>
            </w:r>
          </w:p>
        </w:tc>
        <w:tc>
          <w:tcPr>
            <w:tcW w:w="1062" w:type="dxa"/>
            <w:tcBorders>
              <w:tl2br w:val="nil"/>
              <w:tr2bl w:val="nil"/>
            </w:tcBorders>
            <w:vAlign w:val="center"/>
          </w:tcPr>
          <w:p w14:paraId="13C3ACC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40.45 </w:t>
            </w:r>
          </w:p>
        </w:tc>
      </w:tr>
      <w:tr w14:paraId="796D5A1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485" w:hRule="atLeast"/>
        </w:trPr>
        <w:tc>
          <w:tcPr>
            <w:tcW w:w="668" w:type="dxa"/>
            <w:tcBorders>
              <w:tl2br w:val="nil"/>
              <w:tr2bl w:val="nil"/>
            </w:tcBorders>
            <w:vAlign w:val="center"/>
          </w:tcPr>
          <w:p w14:paraId="092E68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23</w:t>
            </w:r>
          </w:p>
        </w:tc>
        <w:tc>
          <w:tcPr>
            <w:tcW w:w="4364" w:type="dxa"/>
            <w:tcBorders>
              <w:tl2br w:val="nil"/>
              <w:tr2bl w:val="nil"/>
            </w:tcBorders>
            <w:vAlign w:val="center"/>
          </w:tcPr>
          <w:p w14:paraId="3BA438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下达2023年省级R&amp;D经费投入强度增长奖励资金</w:t>
            </w:r>
          </w:p>
        </w:tc>
        <w:tc>
          <w:tcPr>
            <w:tcW w:w="1223" w:type="dxa"/>
            <w:tcBorders>
              <w:tl2br w:val="nil"/>
              <w:tr2bl w:val="nil"/>
            </w:tcBorders>
            <w:vAlign w:val="center"/>
          </w:tcPr>
          <w:p w14:paraId="265EE32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p>
        </w:tc>
        <w:tc>
          <w:tcPr>
            <w:tcW w:w="1418" w:type="dxa"/>
            <w:tcBorders>
              <w:tl2br w:val="nil"/>
              <w:tr2bl w:val="nil"/>
            </w:tcBorders>
            <w:vAlign w:val="center"/>
          </w:tcPr>
          <w:p w14:paraId="6382C56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25.00 </w:t>
            </w:r>
          </w:p>
        </w:tc>
        <w:tc>
          <w:tcPr>
            <w:tcW w:w="1062" w:type="dxa"/>
            <w:tcBorders>
              <w:tl2br w:val="nil"/>
              <w:tr2bl w:val="nil"/>
            </w:tcBorders>
            <w:vAlign w:val="center"/>
          </w:tcPr>
          <w:p w14:paraId="4B2FE79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25.00 </w:t>
            </w:r>
          </w:p>
        </w:tc>
      </w:tr>
      <w:tr w14:paraId="6E5082D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485" w:hRule="atLeast"/>
        </w:trPr>
        <w:tc>
          <w:tcPr>
            <w:tcW w:w="668" w:type="dxa"/>
            <w:tcBorders>
              <w:tl2br w:val="nil"/>
              <w:tr2bl w:val="nil"/>
            </w:tcBorders>
            <w:vAlign w:val="center"/>
          </w:tcPr>
          <w:p w14:paraId="5EEB4B7F">
            <w:pPr>
              <w:keepNext w:val="0"/>
              <w:keepLines w:val="0"/>
              <w:pageBreakBefore w:val="0"/>
              <w:widowControl/>
              <w:suppressLineNumbers w:val="0"/>
              <w:wordWrap/>
              <w:overflowPunct w:val="0"/>
              <w:topLinePunct w:val="0"/>
              <w:autoSpaceDE/>
              <w:autoSpaceDN/>
              <w:bidi w:val="0"/>
              <w:adjustRightInd/>
              <w:snapToGrid/>
              <w:jc w:val="center"/>
              <w:textAlignment w:val="center"/>
              <w:rPr>
                <w:rFonts w:hint="eastAsia" w:ascii="Times New Roman" w:hAnsi="Times New Roman" w:eastAsiaTheme="minorEastAsia" w:cstheme="minorEastAsia"/>
                <w:sz w:val="21"/>
                <w:szCs w:val="21"/>
              </w:rPr>
            </w:pPr>
            <w:r>
              <w:rPr>
                <w:rFonts w:hint="eastAsia" w:ascii="Times New Roman" w:hAnsi="Times New Roman" w:eastAsiaTheme="minorEastAsia" w:cstheme="minorEastAsia"/>
                <w:i w:val="0"/>
                <w:iCs w:val="0"/>
                <w:snapToGrid w:val="0"/>
                <w:color w:val="000000"/>
                <w:kern w:val="0"/>
                <w:sz w:val="21"/>
                <w:szCs w:val="21"/>
                <w:u w:val="none"/>
                <w:lang w:val="en-US" w:eastAsia="zh-CN" w:bidi="ar"/>
              </w:rPr>
              <w:t>24</w:t>
            </w:r>
          </w:p>
        </w:tc>
        <w:tc>
          <w:tcPr>
            <w:tcW w:w="4364" w:type="dxa"/>
            <w:tcBorders>
              <w:tl2br w:val="nil"/>
              <w:tr2bl w:val="nil"/>
            </w:tcBorders>
            <w:vAlign w:val="center"/>
          </w:tcPr>
          <w:p w14:paraId="507FB9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XXXXXXXX创建规划服务费</w:t>
            </w:r>
          </w:p>
        </w:tc>
        <w:tc>
          <w:tcPr>
            <w:tcW w:w="1223" w:type="dxa"/>
            <w:tcBorders>
              <w:tl2br w:val="nil"/>
              <w:tr2bl w:val="nil"/>
            </w:tcBorders>
            <w:vAlign w:val="center"/>
          </w:tcPr>
          <w:p w14:paraId="2691D40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p>
        </w:tc>
        <w:tc>
          <w:tcPr>
            <w:tcW w:w="1418" w:type="dxa"/>
            <w:tcBorders>
              <w:tl2br w:val="nil"/>
              <w:tr2bl w:val="nil"/>
            </w:tcBorders>
            <w:vAlign w:val="center"/>
          </w:tcPr>
          <w:p w14:paraId="5ECEFF4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8.00 </w:t>
            </w:r>
          </w:p>
        </w:tc>
        <w:tc>
          <w:tcPr>
            <w:tcW w:w="1062" w:type="dxa"/>
            <w:tcBorders>
              <w:tl2br w:val="nil"/>
              <w:tr2bl w:val="nil"/>
            </w:tcBorders>
            <w:vAlign w:val="center"/>
          </w:tcPr>
          <w:p w14:paraId="15543AE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8.00 </w:t>
            </w:r>
          </w:p>
        </w:tc>
      </w:tr>
      <w:tr w14:paraId="207E54D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530" w:hRule="atLeast"/>
        </w:trPr>
        <w:tc>
          <w:tcPr>
            <w:tcW w:w="668" w:type="dxa"/>
            <w:tcBorders>
              <w:tl2br w:val="nil"/>
              <w:tr2bl w:val="nil"/>
            </w:tcBorders>
            <w:vAlign w:val="center"/>
          </w:tcPr>
          <w:p w14:paraId="6A421B35">
            <w:pPr>
              <w:keepNext w:val="0"/>
              <w:keepLines w:val="0"/>
              <w:pageBreakBefore w:val="0"/>
              <w:wordWrap/>
              <w:overflowPunct w:val="0"/>
              <w:topLinePunct w:val="0"/>
              <w:autoSpaceDE/>
              <w:autoSpaceDN/>
              <w:bidi w:val="0"/>
              <w:adjustRightInd/>
              <w:snapToGrid/>
              <w:jc w:val="left"/>
              <w:rPr>
                <w:rFonts w:hint="eastAsia" w:ascii="Times New Roman" w:hAnsi="Times New Roman" w:eastAsiaTheme="minorEastAsia" w:cstheme="minorEastAsia"/>
                <w:sz w:val="21"/>
                <w:szCs w:val="21"/>
              </w:rPr>
            </w:pPr>
          </w:p>
        </w:tc>
        <w:tc>
          <w:tcPr>
            <w:tcW w:w="4364" w:type="dxa"/>
            <w:tcBorders>
              <w:tl2br w:val="nil"/>
              <w:tr2bl w:val="nil"/>
            </w:tcBorders>
            <w:vAlign w:val="center"/>
          </w:tcPr>
          <w:p w14:paraId="3233D7DF">
            <w:pPr>
              <w:keepNext w:val="0"/>
              <w:keepLines w:val="0"/>
              <w:pageBreakBefore w:val="0"/>
              <w:wordWrap/>
              <w:overflowPunct w:val="0"/>
              <w:topLinePunct w:val="0"/>
              <w:autoSpaceDE/>
              <w:autoSpaceDN/>
              <w:bidi w:val="0"/>
              <w:adjustRightInd/>
              <w:snapToGrid/>
              <w:jc w:val="center"/>
              <w:rPr>
                <w:rFonts w:hint="eastAsia" w:ascii="Times New Roman" w:hAnsi="Times New Roman" w:eastAsiaTheme="minorEastAsia" w:cstheme="minorEastAsia"/>
                <w:sz w:val="21"/>
                <w:szCs w:val="21"/>
                <w:lang w:val="en-US" w:eastAsia="zh-CN"/>
              </w:rPr>
            </w:pPr>
            <w:r>
              <w:rPr>
                <w:rFonts w:hint="eastAsia" w:ascii="Times New Roman" w:hAnsi="Times New Roman" w:eastAsia="方正仿宋_GBK" w:cstheme="minorBidi"/>
                <w:snapToGrid/>
                <w:kern w:val="2"/>
                <w:sz w:val="21"/>
                <w:szCs w:val="21"/>
                <w:lang w:val="en-US" w:eastAsia="zh-CN"/>
              </w:rPr>
              <w:t>合计</w:t>
            </w:r>
          </w:p>
        </w:tc>
        <w:tc>
          <w:tcPr>
            <w:tcW w:w="1223" w:type="dxa"/>
            <w:tcBorders>
              <w:tl2br w:val="nil"/>
              <w:tr2bl w:val="nil"/>
            </w:tcBorders>
            <w:vAlign w:val="center"/>
          </w:tcPr>
          <w:p w14:paraId="365F506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2,398.29 </w:t>
            </w:r>
          </w:p>
        </w:tc>
        <w:tc>
          <w:tcPr>
            <w:tcW w:w="1418" w:type="dxa"/>
            <w:tcBorders>
              <w:tl2br w:val="nil"/>
              <w:tr2bl w:val="nil"/>
            </w:tcBorders>
            <w:vAlign w:val="center"/>
          </w:tcPr>
          <w:p w14:paraId="3BFEEAD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2,380.45 </w:t>
            </w:r>
          </w:p>
        </w:tc>
        <w:tc>
          <w:tcPr>
            <w:tcW w:w="1062" w:type="dxa"/>
            <w:tcBorders>
              <w:tl2br w:val="nil"/>
              <w:tr2bl w:val="nil"/>
            </w:tcBorders>
            <w:vAlign w:val="center"/>
          </w:tcPr>
          <w:p w14:paraId="0909135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2,380.45 </w:t>
            </w:r>
          </w:p>
        </w:tc>
      </w:tr>
    </w:tbl>
    <w:p w14:paraId="51D936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2.比上年增减情况</w:t>
      </w:r>
    </w:p>
    <w:p w14:paraId="1BF486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本部门2023年度收、支3420.78万元，与2022年度决算相比，收支各增加666.27万元，增长24.19%,主要为项目经费增加。具体如下：</w:t>
      </w:r>
    </w:p>
    <w:p w14:paraId="3703BE9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单位：万元</w:t>
      </w:r>
    </w:p>
    <w:tbl>
      <w:tblPr>
        <w:tblStyle w:val="11"/>
        <w:tblW w:w="8931" w:type="dxa"/>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Layout w:type="fixed"/>
        <w:tblCellMar>
          <w:top w:w="0" w:type="dxa"/>
          <w:left w:w="108" w:type="dxa"/>
          <w:bottom w:w="0" w:type="dxa"/>
          <w:right w:w="108" w:type="dxa"/>
        </w:tblCellMar>
      </w:tblPr>
      <w:tblGrid>
        <w:gridCol w:w="1204"/>
        <w:gridCol w:w="1277"/>
        <w:gridCol w:w="1338"/>
        <w:gridCol w:w="1108"/>
        <w:gridCol w:w="1108"/>
        <w:gridCol w:w="1038"/>
        <w:gridCol w:w="969"/>
        <w:gridCol w:w="889"/>
      </w:tblGrid>
      <w:tr w14:paraId="1D1F9CCC">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285" w:hRule="atLeast"/>
          <w:tblHeader/>
        </w:trPr>
        <w:tc>
          <w:tcPr>
            <w:tcW w:w="1204" w:type="dxa"/>
            <w:vMerge w:val="restart"/>
            <w:tcBorders>
              <w:tl2br w:val="nil"/>
              <w:tr2bl w:val="nil"/>
            </w:tcBorders>
            <w:shd w:val="clear" w:color="auto" w:fill="auto"/>
            <w:vAlign w:val="center"/>
          </w:tcPr>
          <w:p w14:paraId="2D9052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default" w:ascii="Times New Roman" w:hAnsi="Times New Roman" w:eastAsia="方正仿宋_GBK" w:cstheme="minorBidi"/>
                <w:snapToGrid/>
                <w:kern w:val="2"/>
                <w:sz w:val="21"/>
                <w:szCs w:val="21"/>
                <w:lang w:val="en-US" w:eastAsia="zh-CN"/>
              </w:rPr>
              <w:t>支出科目</w:t>
            </w:r>
          </w:p>
        </w:tc>
        <w:tc>
          <w:tcPr>
            <w:tcW w:w="3723" w:type="dxa"/>
            <w:gridSpan w:val="3"/>
            <w:tcBorders>
              <w:tl2br w:val="nil"/>
              <w:tr2bl w:val="nil"/>
            </w:tcBorders>
            <w:shd w:val="clear" w:color="auto" w:fill="auto"/>
            <w:vAlign w:val="center"/>
          </w:tcPr>
          <w:p w14:paraId="6D1948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2023年</w:t>
            </w:r>
          </w:p>
        </w:tc>
        <w:tc>
          <w:tcPr>
            <w:tcW w:w="3115" w:type="dxa"/>
            <w:gridSpan w:val="3"/>
            <w:tcBorders>
              <w:tl2br w:val="nil"/>
              <w:tr2bl w:val="nil"/>
            </w:tcBorders>
            <w:shd w:val="clear" w:color="auto" w:fill="auto"/>
            <w:vAlign w:val="center"/>
          </w:tcPr>
          <w:p w14:paraId="023FF8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2022年</w:t>
            </w:r>
          </w:p>
        </w:tc>
        <w:tc>
          <w:tcPr>
            <w:tcW w:w="889" w:type="dxa"/>
            <w:vMerge w:val="restart"/>
            <w:tcBorders>
              <w:tl2br w:val="nil"/>
              <w:tr2bl w:val="nil"/>
            </w:tcBorders>
            <w:shd w:val="clear" w:color="auto" w:fill="auto"/>
            <w:vAlign w:val="center"/>
          </w:tcPr>
          <w:p w14:paraId="7FB9C1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heme="minorBidi"/>
                <w:snapToGrid/>
                <w:kern w:val="2"/>
                <w:sz w:val="21"/>
                <w:szCs w:val="21"/>
                <w:lang w:val="en-US" w:eastAsia="zh-CN"/>
              </w:rPr>
            </w:pPr>
            <w:r>
              <w:rPr>
                <w:rFonts w:hint="default" w:ascii="Times New Roman" w:hAnsi="Times New Roman" w:eastAsia="方正仿宋_GBK" w:cstheme="minorBidi"/>
                <w:snapToGrid/>
                <w:kern w:val="2"/>
                <w:sz w:val="21"/>
                <w:szCs w:val="21"/>
                <w:lang w:val="en-US" w:eastAsia="zh-CN"/>
              </w:rPr>
              <w:t>变动值</w:t>
            </w:r>
          </w:p>
        </w:tc>
      </w:tr>
      <w:tr w14:paraId="6A07508A">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285" w:hRule="atLeast"/>
          <w:tblHeader/>
        </w:trPr>
        <w:tc>
          <w:tcPr>
            <w:tcW w:w="1204" w:type="dxa"/>
            <w:vMerge w:val="continue"/>
            <w:tcBorders>
              <w:tl2br w:val="nil"/>
              <w:tr2bl w:val="nil"/>
            </w:tcBorders>
            <w:shd w:val="clear" w:color="auto" w:fill="auto"/>
            <w:vAlign w:val="center"/>
          </w:tcPr>
          <w:p w14:paraId="1A79900A">
            <w:pPr>
              <w:keepNext w:val="0"/>
              <w:keepLines w:val="0"/>
              <w:pageBreakBefore w:val="0"/>
              <w:wordWrap/>
              <w:overflowPunct w:val="0"/>
              <w:topLinePunct w:val="0"/>
              <w:autoSpaceDE/>
              <w:autoSpaceDN/>
              <w:bidi w:val="0"/>
              <w:adjustRightInd/>
              <w:snapToGrid/>
              <w:jc w:val="left"/>
              <w:rPr>
                <w:rFonts w:hint="default" w:ascii="Times New Roman" w:hAnsi="Times New Roman" w:eastAsia="宋体" w:cs="Arial"/>
                <w:i w:val="0"/>
                <w:iCs w:val="0"/>
                <w:color w:val="000000"/>
                <w:sz w:val="20"/>
                <w:szCs w:val="20"/>
                <w:u w:val="none"/>
              </w:rPr>
            </w:pPr>
          </w:p>
        </w:tc>
        <w:tc>
          <w:tcPr>
            <w:tcW w:w="1277" w:type="dxa"/>
            <w:tcBorders>
              <w:tl2br w:val="nil"/>
              <w:tr2bl w:val="nil"/>
            </w:tcBorders>
            <w:shd w:val="clear" w:color="auto" w:fill="auto"/>
            <w:vAlign w:val="center"/>
          </w:tcPr>
          <w:p w14:paraId="337687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年初预算数</w:t>
            </w:r>
          </w:p>
        </w:tc>
        <w:tc>
          <w:tcPr>
            <w:tcW w:w="1338" w:type="dxa"/>
            <w:tcBorders>
              <w:tl2br w:val="nil"/>
              <w:tr2bl w:val="nil"/>
            </w:tcBorders>
            <w:shd w:val="clear" w:color="auto" w:fill="auto"/>
            <w:vAlign w:val="center"/>
          </w:tcPr>
          <w:p w14:paraId="31F96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调整预算数</w:t>
            </w:r>
          </w:p>
        </w:tc>
        <w:tc>
          <w:tcPr>
            <w:tcW w:w="1108" w:type="dxa"/>
            <w:tcBorders>
              <w:tl2br w:val="nil"/>
              <w:tr2bl w:val="nil"/>
            </w:tcBorders>
            <w:shd w:val="clear" w:color="auto" w:fill="auto"/>
            <w:vAlign w:val="center"/>
          </w:tcPr>
          <w:p w14:paraId="54246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决算数</w:t>
            </w:r>
          </w:p>
        </w:tc>
        <w:tc>
          <w:tcPr>
            <w:tcW w:w="1108" w:type="dxa"/>
            <w:tcBorders>
              <w:tl2br w:val="nil"/>
              <w:tr2bl w:val="nil"/>
            </w:tcBorders>
            <w:shd w:val="clear" w:color="auto" w:fill="auto"/>
            <w:vAlign w:val="center"/>
          </w:tcPr>
          <w:p w14:paraId="4557C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年初预算数</w:t>
            </w:r>
          </w:p>
        </w:tc>
        <w:tc>
          <w:tcPr>
            <w:tcW w:w="1038" w:type="dxa"/>
            <w:tcBorders>
              <w:tl2br w:val="nil"/>
              <w:tr2bl w:val="nil"/>
            </w:tcBorders>
            <w:shd w:val="clear" w:color="auto" w:fill="auto"/>
            <w:vAlign w:val="center"/>
          </w:tcPr>
          <w:p w14:paraId="5E2F5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调整预算数</w:t>
            </w:r>
          </w:p>
        </w:tc>
        <w:tc>
          <w:tcPr>
            <w:tcW w:w="969" w:type="dxa"/>
            <w:tcBorders>
              <w:tl2br w:val="nil"/>
              <w:tr2bl w:val="nil"/>
            </w:tcBorders>
            <w:shd w:val="clear" w:color="auto" w:fill="auto"/>
            <w:vAlign w:val="center"/>
          </w:tcPr>
          <w:p w14:paraId="2349F0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决算数</w:t>
            </w:r>
          </w:p>
        </w:tc>
        <w:tc>
          <w:tcPr>
            <w:tcW w:w="889" w:type="dxa"/>
            <w:vMerge w:val="continue"/>
            <w:tcBorders>
              <w:tl2br w:val="nil"/>
              <w:tr2bl w:val="nil"/>
            </w:tcBorders>
            <w:shd w:val="clear" w:color="auto" w:fill="auto"/>
            <w:vAlign w:val="center"/>
          </w:tcPr>
          <w:p w14:paraId="4484EB31">
            <w:pPr>
              <w:keepNext w:val="0"/>
              <w:keepLines w:val="0"/>
              <w:pageBreakBefore w:val="0"/>
              <w:wordWrap/>
              <w:overflowPunct w:val="0"/>
              <w:topLinePunct w:val="0"/>
              <w:autoSpaceDE/>
              <w:autoSpaceDN/>
              <w:bidi w:val="0"/>
              <w:adjustRightInd/>
              <w:snapToGrid/>
              <w:jc w:val="left"/>
              <w:rPr>
                <w:rFonts w:hint="default" w:ascii="Times New Roman" w:hAnsi="Times New Roman" w:eastAsia="宋体" w:cs="Arial"/>
                <w:i w:val="0"/>
                <w:iCs w:val="0"/>
                <w:color w:val="000000"/>
                <w:sz w:val="20"/>
                <w:szCs w:val="20"/>
                <w:u w:val="none"/>
              </w:rPr>
            </w:pPr>
          </w:p>
        </w:tc>
      </w:tr>
      <w:tr w14:paraId="62C9A494">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54" w:hRule="atLeast"/>
          <w:tblHeader/>
        </w:trPr>
        <w:tc>
          <w:tcPr>
            <w:tcW w:w="1204" w:type="dxa"/>
            <w:tcBorders>
              <w:tl2br w:val="nil"/>
              <w:tr2bl w:val="nil"/>
            </w:tcBorders>
            <w:shd w:val="clear" w:color="auto" w:fill="auto"/>
            <w:vAlign w:val="center"/>
          </w:tcPr>
          <w:p w14:paraId="4EA6CC35">
            <w:pPr>
              <w:keepNext w:val="0"/>
              <w:keepLines w:val="0"/>
              <w:pageBreakBefore w:val="0"/>
              <w:widowControl/>
              <w:suppressLineNumbers w:val="0"/>
              <w:wordWrap/>
              <w:overflowPunct w:val="0"/>
              <w:topLinePunct w:val="0"/>
              <w:autoSpaceDE/>
              <w:autoSpaceDN/>
              <w:bidi w:val="0"/>
              <w:adjustRightInd/>
              <w:snapToGrid/>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方正仿宋_GBK" w:cstheme="minorBidi"/>
                <w:snapToGrid/>
                <w:kern w:val="2"/>
                <w:sz w:val="21"/>
                <w:szCs w:val="21"/>
                <w:lang w:val="en-US" w:eastAsia="zh-CN"/>
              </w:rPr>
              <w:t>人员经费</w:t>
            </w:r>
          </w:p>
        </w:tc>
        <w:tc>
          <w:tcPr>
            <w:tcW w:w="1277" w:type="dxa"/>
            <w:tcBorders>
              <w:tl2br w:val="nil"/>
              <w:tr2bl w:val="nil"/>
            </w:tcBorders>
            <w:shd w:val="clear" w:color="auto" w:fill="auto"/>
            <w:vAlign w:val="center"/>
          </w:tcPr>
          <w:p w14:paraId="58B2CECC">
            <w:pPr>
              <w:keepNext w:val="0"/>
              <w:keepLines w:val="0"/>
              <w:pageBreakBefore w:val="0"/>
              <w:widowControl/>
              <w:suppressLineNumbers w:val="0"/>
              <w:wordWrap/>
              <w:overflowPunct w:val="0"/>
              <w:topLinePunct w:val="0"/>
              <w:autoSpaceDE/>
              <w:autoSpaceDN/>
              <w:bidi w:val="0"/>
              <w:adjustRightInd/>
              <w:snapToGrid/>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1,055.60</w:t>
            </w:r>
          </w:p>
        </w:tc>
        <w:tc>
          <w:tcPr>
            <w:tcW w:w="1338" w:type="dxa"/>
            <w:tcBorders>
              <w:tl2br w:val="nil"/>
              <w:tr2bl w:val="nil"/>
            </w:tcBorders>
            <w:shd w:val="clear" w:color="auto" w:fill="auto"/>
            <w:vAlign w:val="center"/>
          </w:tcPr>
          <w:p w14:paraId="11713109">
            <w:pPr>
              <w:keepNext w:val="0"/>
              <w:keepLines w:val="0"/>
              <w:pageBreakBefore w:val="0"/>
              <w:widowControl/>
              <w:suppressLineNumbers w:val="0"/>
              <w:wordWrap/>
              <w:overflowPunct w:val="0"/>
              <w:topLinePunct w:val="0"/>
              <w:autoSpaceDE/>
              <w:autoSpaceDN/>
              <w:bidi w:val="0"/>
              <w:adjustRightInd/>
              <w:snapToGrid/>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952.19</w:t>
            </w:r>
          </w:p>
        </w:tc>
        <w:tc>
          <w:tcPr>
            <w:tcW w:w="1108" w:type="dxa"/>
            <w:tcBorders>
              <w:tl2br w:val="nil"/>
              <w:tr2bl w:val="nil"/>
            </w:tcBorders>
            <w:shd w:val="clear" w:color="auto" w:fill="auto"/>
            <w:vAlign w:val="center"/>
          </w:tcPr>
          <w:p w14:paraId="1555AFFA">
            <w:pPr>
              <w:keepNext w:val="0"/>
              <w:keepLines w:val="0"/>
              <w:pageBreakBefore w:val="0"/>
              <w:widowControl/>
              <w:suppressLineNumbers w:val="0"/>
              <w:wordWrap/>
              <w:overflowPunct w:val="0"/>
              <w:topLinePunct w:val="0"/>
              <w:autoSpaceDE/>
              <w:autoSpaceDN/>
              <w:bidi w:val="0"/>
              <w:adjustRightInd/>
              <w:snapToGrid/>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952.19</w:t>
            </w:r>
          </w:p>
        </w:tc>
        <w:tc>
          <w:tcPr>
            <w:tcW w:w="1108" w:type="dxa"/>
            <w:tcBorders>
              <w:tl2br w:val="nil"/>
              <w:tr2bl w:val="nil"/>
            </w:tcBorders>
            <w:shd w:val="clear" w:color="auto" w:fill="auto"/>
            <w:vAlign w:val="center"/>
          </w:tcPr>
          <w:p w14:paraId="64BBCAC0">
            <w:pPr>
              <w:keepNext w:val="0"/>
              <w:keepLines w:val="0"/>
              <w:pageBreakBefore w:val="0"/>
              <w:widowControl/>
              <w:suppressLineNumbers w:val="0"/>
              <w:wordWrap/>
              <w:overflowPunct w:val="0"/>
              <w:topLinePunct w:val="0"/>
              <w:autoSpaceDE/>
              <w:autoSpaceDN/>
              <w:bidi w:val="0"/>
              <w:adjustRightInd/>
              <w:snapToGrid/>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1,176.62</w:t>
            </w:r>
          </w:p>
        </w:tc>
        <w:tc>
          <w:tcPr>
            <w:tcW w:w="1038" w:type="dxa"/>
            <w:tcBorders>
              <w:tl2br w:val="nil"/>
              <w:tr2bl w:val="nil"/>
            </w:tcBorders>
            <w:shd w:val="clear" w:color="auto" w:fill="auto"/>
            <w:vAlign w:val="center"/>
          </w:tcPr>
          <w:p w14:paraId="0DCA5628">
            <w:pPr>
              <w:keepNext w:val="0"/>
              <w:keepLines w:val="0"/>
              <w:pageBreakBefore w:val="0"/>
              <w:widowControl/>
              <w:suppressLineNumbers w:val="0"/>
              <w:wordWrap/>
              <w:overflowPunct w:val="0"/>
              <w:topLinePunct w:val="0"/>
              <w:autoSpaceDE/>
              <w:autoSpaceDN/>
              <w:bidi w:val="0"/>
              <w:adjustRightInd/>
              <w:snapToGrid/>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1,139.99</w:t>
            </w:r>
          </w:p>
        </w:tc>
        <w:tc>
          <w:tcPr>
            <w:tcW w:w="969" w:type="dxa"/>
            <w:tcBorders>
              <w:tl2br w:val="nil"/>
              <w:tr2bl w:val="nil"/>
            </w:tcBorders>
            <w:shd w:val="clear" w:color="auto" w:fill="auto"/>
            <w:vAlign w:val="center"/>
          </w:tcPr>
          <w:p w14:paraId="2DFC41CB">
            <w:pPr>
              <w:keepNext w:val="0"/>
              <w:keepLines w:val="0"/>
              <w:pageBreakBefore w:val="0"/>
              <w:widowControl/>
              <w:suppressLineNumbers w:val="0"/>
              <w:wordWrap/>
              <w:overflowPunct w:val="0"/>
              <w:topLinePunct w:val="0"/>
              <w:autoSpaceDE/>
              <w:autoSpaceDN/>
              <w:bidi w:val="0"/>
              <w:adjustRightInd/>
              <w:snapToGrid/>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1,139.99</w:t>
            </w:r>
          </w:p>
        </w:tc>
        <w:tc>
          <w:tcPr>
            <w:tcW w:w="889" w:type="dxa"/>
            <w:tcBorders>
              <w:tl2br w:val="nil"/>
              <w:tr2bl w:val="nil"/>
            </w:tcBorders>
            <w:shd w:val="clear" w:color="auto" w:fill="auto"/>
            <w:vAlign w:val="center"/>
          </w:tcPr>
          <w:p w14:paraId="3A509E12">
            <w:pPr>
              <w:keepNext w:val="0"/>
              <w:keepLines w:val="0"/>
              <w:pageBreakBefore w:val="0"/>
              <w:widowControl/>
              <w:suppressLineNumbers w:val="0"/>
              <w:wordWrap/>
              <w:overflowPunct w:val="0"/>
              <w:topLinePunct w:val="0"/>
              <w:autoSpaceDE/>
              <w:autoSpaceDN/>
              <w:bidi w:val="0"/>
              <w:adjustRightInd/>
              <w:snapToGrid/>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-187.8</w:t>
            </w:r>
          </w:p>
        </w:tc>
      </w:tr>
      <w:tr w14:paraId="42F89BF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54" w:hRule="atLeast"/>
          <w:tblHeader/>
        </w:trPr>
        <w:tc>
          <w:tcPr>
            <w:tcW w:w="1204" w:type="dxa"/>
            <w:tcBorders>
              <w:tl2br w:val="nil"/>
              <w:tr2bl w:val="nil"/>
            </w:tcBorders>
            <w:shd w:val="clear" w:color="auto" w:fill="auto"/>
            <w:vAlign w:val="center"/>
          </w:tcPr>
          <w:p w14:paraId="79F73B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日常公用经费</w:t>
            </w:r>
          </w:p>
        </w:tc>
        <w:tc>
          <w:tcPr>
            <w:tcW w:w="1277" w:type="dxa"/>
            <w:tcBorders>
              <w:tl2br w:val="nil"/>
              <w:tr2bl w:val="nil"/>
            </w:tcBorders>
            <w:shd w:val="clear" w:color="auto" w:fill="auto"/>
            <w:vAlign w:val="center"/>
          </w:tcPr>
          <w:p w14:paraId="3A02A24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92.67</w:t>
            </w:r>
          </w:p>
        </w:tc>
        <w:tc>
          <w:tcPr>
            <w:tcW w:w="1338" w:type="dxa"/>
            <w:tcBorders>
              <w:tl2br w:val="nil"/>
              <w:tr2bl w:val="nil"/>
            </w:tcBorders>
            <w:shd w:val="clear" w:color="auto" w:fill="auto"/>
            <w:vAlign w:val="center"/>
          </w:tcPr>
          <w:p w14:paraId="17F1321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88.14</w:t>
            </w:r>
          </w:p>
        </w:tc>
        <w:tc>
          <w:tcPr>
            <w:tcW w:w="1108" w:type="dxa"/>
            <w:tcBorders>
              <w:tl2br w:val="nil"/>
              <w:tr2bl w:val="nil"/>
            </w:tcBorders>
            <w:shd w:val="clear" w:color="auto" w:fill="auto"/>
            <w:vAlign w:val="center"/>
          </w:tcPr>
          <w:p w14:paraId="28C2695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88.14</w:t>
            </w:r>
          </w:p>
        </w:tc>
        <w:tc>
          <w:tcPr>
            <w:tcW w:w="1108" w:type="dxa"/>
            <w:tcBorders>
              <w:tl2br w:val="nil"/>
              <w:tr2bl w:val="nil"/>
            </w:tcBorders>
            <w:shd w:val="clear" w:color="auto" w:fill="auto"/>
            <w:vAlign w:val="center"/>
          </w:tcPr>
          <w:p w14:paraId="613C32D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115.62</w:t>
            </w:r>
          </w:p>
        </w:tc>
        <w:tc>
          <w:tcPr>
            <w:tcW w:w="1038" w:type="dxa"/>
            <w:tcBorders>
              <w:tl2br w:val="nil"/>
              <w:tr2bl w:val="nil"/>
            </w:tcBorders>
            <w:shd w:val="clear" w:color="auto" w:fill="auto"/>
            <w:vAlign w:val="center"/>
          </w:tcPr>
          <w:p w14:paraId="233AEC0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113.37</w:t>
            </w:r>
          </w:p>
        </w:tc>
        <w:tc>
          <w:tcPr>
            <w:tcW w:w="969" w:type="dxa"/>
            <w:tcBorders>
              <w:tl2br w:val="nil"/>
              <w:tr2bl w:val="nil"/>
            </w:tcBorders>
            <w:shd w:val="clear" w:color="auto" w:fill="auto"/>
            <w:vAlign w:val="center"/>
          </w:tcPr>
          <w:p w14:paraId="5780164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113.37</w:t>
            </w:r>
          </w:p>
        </w:tc>
        <w:tc>
          <w:tcPr>
            <w:tcW w:w="889" w:type="dxa"/>
            <w:tcBorders>
              <w:tl2br w:val="nil"/>
              <w:tr2bl w:val="nil"/>
            </w:tcBorders>
            <w:shd w:val="clear" w:color="auto" w:fill="auto"/>
            <w:vAlign w:val="center"/>
          </w:tcPr>
          <w:p w14:paraId="0FC63C9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-25.23</w:t>
            </w:r>
          </w:p>
        </w:tc>
      </w:tr>
      <w:tr w14:paraId="4AB9C8E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54" w:hRule="atLeast"/>
          <w:tblHeader/>
        </w:trPr>
        <w:tc>
          <w:tcPr>
            <w:tcW w:w="1204" w:type="dxa"/>
            <w:tcBorders>
              <w:tl2br w:val="nil"/>
              <w:tr2bl w:val="nil"/>
            </w:tcBorders>
            <w:shd w:val="clear" w:color="auto" w:fill="auto"/>
            <w:vAlign w:val="center"/>
          </w:tcPr>
          <w:p w14:paraId="317B3E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专项项目支出</w:t>
            </w:r>
          </w:p>
        </w:tc>
        <w:tc>
          <w:tcPr>
            <w:tcW w:w="1277" w:type="dxa"/>
            <w:tcBorders>
              <w:tl2br w:val="nil"/>
              <w:tr2bl w:val="nil"/>
            </w:tcBorders>
            <w:shd w:val="clear" w:color="auto" w:fill="auto"/>
            <w:vAlign w:val="center"/>
          </w:tcPr>
          <w:p w14:paraId="6DF54A9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2,403.40</w:t>
            </w:r>
          </w:p>
        </w:tc>
        <w:tc>
          <w:tcPr>
            <w:tcW w:w="1338" w:type="dxa"/>
            <w:tcBorders>
              <w:tl2br w:val="nil"/>
              <w:tr2bl w:val="nil"/>
            </w:tcBorders>
            <w:shd w:val="clear" w:color="auto" w:fill="auto"/>
            <w:vAlign w:val="center"/>
          </w:tcPr>
          <w:p w14:paraId="1CF7055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2,380.45</w:t>
            </w:r>
          </w:p>
        </w:tc>
        <w:tc>
          <w:tcPr>
            <w:tcW w:w="1108" w:type="dxa"/>
            <w:tcBorders>
              <w:tl2br w:val="nil"/>
              <w:tr2bl w:val="nil"/>
            </w:tcBorders>
            <w:shd w:val="clear" w:color="auto" w:fill="auto"/>
            <w:vAlign w:val="center"/>
          </w:tcPr>
          <w:p w14:paraId="79EC7C0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2,380.45</w:t>
            </w:r>
          </w:p>
        </w:tc>
        <w:tc>
          <w:tcPr>
            <w:tcW w:w="1108" w:type="dxa"/>
            <w:tcBorders>
              <w:tl2br w:val="nil"/>
              <w:tr2bl w:val="nil"/>
            </w:tcBorders>
            <w:shd w:val="clear" w:color="auto" w:fill="auto"/>
            <w:vAlign w:val="center"/>
          </w:tcPr>
          <w:p w14:paraId="3442166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20.59</w:t>
            </w:r>
          </w:p>
        </w:tc>
        <w:tc>
          <w:tcPr>
            <w:tcW w:w="1038" w:type="dxa"/>
            <w:tcBorders>
              <w:tl2br w:val="nil"/>
              <w:tr2bl w:val="nil"/>
            </w:tcBorders>
            <w:shd w:val="clear" w:color="auto" w:fill="auto"/>
            <w:vAlign w:val="center"/>
          </w:tcPr>
          <w:p w14:paraId="09FB61E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1,501.16</w:t>
            </w:r>
          </w:p>
        </w:tc>
        <w:tc>
          <w:tcPr>
            <w:tcW w:w="969" w:type="dxa"/>
            <w:tcBorders>
              <w:tl2br w:val="nil"/>
              <w:tr2bl w:val="nil"/>
            </w:tcBorders>
            <w:shd w:val="clear" w:color="auto" w:fill="auto"/>
            <w:vAlign w:val="center"/>
          </w:tcPr>
          <w:p w14:paraId="1D34898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1,501.16</w:t>
            </w:r>
          </w:p>
        </w:tc>
        <w:tc>
          <w:tcPr>
            <w:tcW w:w="889" w:type="dxa"/>
            <w:tcBorders>
              <w:tl2br w:val="nil"/>
              <w:tr2bl w:val="nil"/>
            </w:tcBorders>
            <w:shd w:val="clear" w:color="auto" w:fill="auto"/>
            <w:vAlign w:val="center"/>
          </w:tcPr>
          <w:p w14:paraId="4EFF7FC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879.29</w:t>
            </w:r>
          </w:p>
        </w:tc>
      </w:tr>
      <w:tr w14:paraId="46D2B2E8">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54" w:hRule="atLeast"/>
          <w:tblHeader/>
        </w:trPr>
        <w:tc>
          <w:tcPr>
            <w:tcW w:w="1204" w:type="dxa"/>
            <w:tcBorders>
              <w:tl2br w:val="nil"/>
              <w:tr2bl w:val="nil"/>
            </w:tcBorders>
            <w:shd w:val="clear" w:color="auto" w:fill="auto"/>
            <w:vAlign w:val="center"/>
          </w:tcPr>
          <w:p w14:paraId="306C6A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本年支出合计</w:t>
            </w:r>
          </w:p>
        </w:tc>
        <w:tc>
          <w:tcPr>
            <w:tcW w:w="1277" w:type="dxa"/>
            <w:tcBorders>
              <w:tl2br w:val="nil"/>
              <w:tr2bl w:val="nil"/>
            </w:tcBorders>
            <w:shd w:val="clear" w:color="auto" w:fill="auto"/>
            <w:vAlign w:val="center"/>
          </w:tcPr>
          <w:p w14:paraId="1931423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3,551.67</w:t>
            </w:r>
          </w:p>
        </w:tc>
        <w:tc>
          <w:tcPr>
            <w:tcW w:w="1338" w:type="dxa"/>
            <w:tcBorders>
              <w:tl2br w:val="nil"/>
              <w:tr2bl w:val="nil"/>
            </w:tcBorders>
            <w:shd w:val="clear" w:color="auto" w:fill="auto"/>
            <w:vAlign w:val="center"/>
          </w:tcPr>
          <w:p w14:paraId="64446EF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3,420.78</w:t>
            </w:r>
          </w:p>
        </w:tc>
        <w:tc>
          <w:tcPr>
            <w:tcW w:w="1108" w:type="dxa"/>
            <w:tcBorders>
              <w:tl2br w:val="nil"/>
              <w:tr2bl w:val="nil"/>
            </w:tcBorders>
            <w:shd w:val="clear" w:color="auto" w:fill="auto"/>
            <w:vAlign w:val="center"/>
          </w:tcPr>
          <w:p w14:paraId="25491A9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3,420.78</w:t>
            </w:r>
          </w:p>
        </w:tc>
        <w:tc>
          <w:tcPr>
            <w:tcW w:w="1108" w:type="dxa"/>
            <w:tcBorders>
              <w:tl2br w:val="nil"/>
              <w:tr2bl w:val="nil"/>
            </w:tcBorders>
            <w:shd w:val="clear" w:color="auto" w:fill="auto"/>
            <w:vAlign w:val="center"/>
          </w:tcPr>
          <w:p w14:paraId="4F47BF4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1,312.83</w:t>
            </w:r>
          </w:p>
        </w:tc>
        <w:tc>
          <w:tcPr>
            <w:tcW w:w="1038" w:type="dxa"/>
            <w:tcBorders>
              <w:tl2br w:val="nil"/>
              <w:tr2bl w:val="nil"/>
            </w:tcBorders>
            <w:shd w:val="clear" w:color="auto" w:fill="auto"/>
            <w:vAlign w:val="center"/>
          </w:tcPr>
          <w:p w14:paraId="63F9A57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2,754.51</w:t>
            </w:r>
          </w:p>
        </w:tc>
        <w:tc>
          <w:tcPr>
            <w:tcW w:w="969" w:type="dxa"/>
            <w:tcBorders>
              <w:tl2br w:val="nil"/>
              <w:tr2bl w:val="nil"/>
            </w:tcBorders>
            <w:shd w:val="clear" w:color="auto" w:fill="auto"/>
            <w:vAlign w:val="center"/>
          </w:tcPr>
          <w:p w14:paraId="5DD72A8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2,754.51</w:t>
            </w:r>
          </w:p>
        </w:tc>
        <w:tc>
          <w:tcPr>
            <w:tcW w:w="889" w:type="dxa"/>
            <w:tcBorders>
              <w:tl2br w:val="nil"/>
              <w:tr2bl w:val="nil"/>
            </w:tcBorders>
            <w:shd w:val="clear" w:color="auto" w:fill="auto"/>
            <w:vAlign w:val="center"/>
          </w:tcPr>
          <w:p w14:paraId="6231BEF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666.27</w:t>
            </w:r>
          </w:p>
        </w:tc>
      </w:tr>
    </w:tbl>
    <w:p w14:paraId="2EFF17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3.”三公”经费情况</w:t>
      </w:r>
    </w:p>
    <w:p w14:paraId="17A3C7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2023年底徐水区工信局车辆合计3辆，其中机要通信用车1辆、应急保障用车1辆、其他用车1辆。2023年徐水区工信局”三公”经费年初预算9.78万元，决算22.35万元。具体如下：</w:t>
      </w:r>
    </w:p>
    <w:p w14:paraId="006C1B6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单位：万元</w:t>
      </w:r>
    </w:p>
    <w:tbl>
      <w:tblPr>
        <w:tblStyle w:val="11"/>
        <w:tblW w:w="8942" w:type="dxa"/>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Layout w:type="fixed"/>
        <w:tblCellMar>
          <w:top w:w="0" w:type="dxa"/>
          <w:left w:w="108" w:type="dxa"/>
          <w:bottom w:w="0" w:type="dxa"/>
          <w:right w:w="108" w:type="dxa"/>
        </w:tblCellMar>
      </w:tblPr>
      <w:tblGrid>
        <w:gridCol w:w="2927"/>
        <w:gridCol w:w="962"/>
        <w:gridCol w:w="1003"/>
        <w:gridCol w:w="1039"/>
        <w:gridCol w:w="981"/>
        <w:gridCol w:w="1015"/>
        <w:gridCol w:w="1015"/>
      </w:tblGrid>
      <w:tr w14:paraId="3CCC2629">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285" w:hRule="atLeast"/>
          <w:tblHeader/>
        </w:trPr>
        <w:tc>
          <w:tcPr>
            <w:tcW w:w="2927" w:type="dxa"/>
            <w:vMerge w:val="restart"/>
            <w:tcBorders>
              <w:tl2br w:val="nil"/>
              <w:tr2bl w:val="nil"/>
            </w:tcBorders>
            <w:shd w:val="clear" w:color="auto" w:fill="auto"/>
            <w:vAlign w:val="center"/>
          </w:tcPr>
          <w:p w14:paraId="217CE6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heme="minorBidi"/>
                <w:snapToGrid/>
                <w:kern w:val="2"/>
                <w:sz w:val="21"/>
                <w:szCs w:val="21"/>
                <w:lang w:val="en-US" w:eastAsia="zh-CN"/>
              </w:rPr>
            </w:pPr>
            <w:r>
              <w:rPr>
                <w:rFonts w:hint="default" w:ascii="Times New Roman" w:hAnsi="Times New Roman" w:eastAsia="方正仿宋_GBK" w:cstheme="minorBidi"/>
                <w:snapToGrid/>
                <w:kern w:val="2"/>
                <w:sz w:val="21"/>
                <w:szCs w:val="21"/>
                <w:lang w:val="en-US" w:eastAsia="zh-CN"/>
              </w:rPr>
              <w:t>支出科目</w:t>
            </w:r>
          </w:p>
        </w:tc>
        <w:tc>
          <w:tcPr>
            <w:tcW w:w="3004" w:type="dxa"/>
            <w:gridSpan w:val="3"/>
            <w:tcBorders>
              <w:tl2br w:val="nil"/>
              <w:tr2bl w:val="nil"/>
            </w:tcBorders>
            <w:shd w:val="clear" w:color="auto" w:fill="auto"/>
            <w:vAlign w:val="center"/>
          </w:tcPr>
          <w:p w14:paraId="74AB9E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2023年</w:t>
            </w:r>
          </w:p>
        </w:tc>
        <w:tc>
          <w:tcPr>
            <w:tcW w:w="3011" w:type="dxa"/>
            <w:gridSpan w:val="3"/>
            <w:tcBorders>
              <w:tl2br w:val="nil"/>
              <w:tr2bl w:val="nil"/>
            </w:tcBorders>
            <w:shd w:val="clear" w:color="auto" w:fill="auto"/>
            <w:vAlign w:val="center"/>
          </w:tcPr>
          <w:p w14:paraId="4B3172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2022年</w:t>
            </w:r>
          </w:p>
        </w:tc>
      </w:tr>
      <w:tr w14:paraId="0578C2ED">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20" w:hRule="atLeast"/>
          <w:tblHeader/>
        </w:trPr>
        <w:tc>
          <w:tcPr>
            <w:tcW w:w="2927" w:type="dxa"/>
            <w:vMerge w:val="continue"/>
            <w:tcBorders>
              <w:tl2br w:val="nil"/>
              <w:tr2bl w:val="nil"/>
            </w:tcBorders>
            <w:shd w:val="clear" w:color="auto" w:fill="auto"/>
            <w:vAlign w:val="center"/>
          </w:tcPr>
          <w:p w14:paraId="55C813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heme="minorBidi"/>
                <w:snapToGrid/>
                <w:kern w:val="2"/>
                <w:sz w:val="21"/>
                <w:szCs w:val="21"/>
                <w:lang w:val="en-US" w:eastAsia="zh-CN"/>
              </w:rPr>
            </w:pPr>
          </w:p>
        </w:tc>
        <w:tc>
          <w:tcPr>
            <w:tcW w:w="962" w:type="dxa"/>
            <w:tcBorders>
              <w:tl2br w:val="nil"/>
              <w:tr2bl w:val="nil"/>
            </w:tcBorders>
            <w:shd w:val="clear" w:color="auto" w:fill="auto"/>
            <w:vAlign w:val="center"/>
          </w:tcPr>
          <w:p w14:paraId="38304B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年初预算数</w:t>
            </w:r>
          </w:p>
        </w:tc>
        <w:tc>
          <w:tcPr>
            <w:tcW w:w="1003" w:type="dxa"/>
            <w:tcBorders>
              <w:tl2br w:val="nil"/>
              <w:tr2bl w:val="nil"/>
            </w:tcBorders>
            <w:shd w:val="clear" w:color="auto" w:fill="auto"/>
            <w:vAlign w:val="center"/>
          </w:tcPr>
          <w:p w14:paraId="4B44FB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调整预算数</w:t>
            </w:r>
          </w:p>
        </w:tc>
        <w:tc>
          <w:tcPr>
            <w:tcW w:w="1039" w:type="dxa"/>
            <w:tcBorders>
              <w:tl2br w:val="nil"/>
              <w:tr2bl w:val="nil"/>
            </w:tcBorders>
            <w:shd w:val="clear" w:color="auto" w:fill="auto"/>
            <w:vAlign w:val="center"/>
          </w:tcPr>
          <w:p w14:paraId="1D159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决算数</w:t>
            </w:r>
          </w:p>
        </w:tc>
        <w:tc>
          <w:tcPr>
            <w:tcW w:w="981" w:type="dxa"/>
            <w:tcBorders>
              <w:tl2br w:val="nil"/>
              <w:tr2bl w:val="nil"/>
            </w:tcBorders>
            <w:shd w:val="clear" w:color="auto" w:fill="auto"/>
            <w:vAlign w:val="center"/>
          </w:tcPr>
          <w:p w14:paraId="3F8A56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年初预算数</w:t>
            </w:r>
          </w:p>
        </w:tc>
        <w:tc>
          <w:tcPr>
            <w:tcW w:w="1015" w:type="dxa"/>
            <w:tcBorders>
              <w:tl2br w:val="nil"/>
              <w:tr2bl w:val="nil"/>
            </w:tcBorders>
            <w:shd w:val="clear" w:color="auto" w:fill="auto"/>
            <w:vAlign w:val="center"/>
          </w:tcPr>
          <w:p w14:paraId="1BF7F0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调整预算数</w:t>
            </w:r>
          </w:p>
        </w:tc>
        <w:tc>
          <w:tcPr>
            <w:tcW w:w="1015" w:type="dxa"/>
            <w:tcBorders>
              <w:tl2br w:val="nil"/>
              <w:tr2bl w:val="nil"/>
            </w:tcBorders>
            <w:shd w:val="clear" w:color="auto" w:fill="auto"/>
            <w:vAlign w:val="center"/>
          </w:tcPr>
          <w:p w14:paraId="17F2C6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决算数</w:t>
            </w:r>
          </w:p>
        </w:tc>
      </w:tr>
      <w:tr w14:paraId="039028D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285" w:hRule="atLeast"/>
        </w:trPr>
        <w:tc>
          <w:tcPr>
            <w:tcW w:w="2927" w:type="dxa"/>
            <w:tcBorders>
              <w:tl2br w:val="nil"/>
              <w:tr2bl w:val="nil"/>
            </w:tcBorders>
            <w:shd w:val="clear" w:color="auto" w:fill="auto"/>
            <w:vAlign w:val="center"/>
          </w:tcPr>
          <w:p w14:paraId="2BA9648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一、”三公”经费</w:t>
            </w:r>
          </w:p>
        </w:tc>
        <w:tc>
          <w:tcPr>
            <w:tcW w:w="962" w:type="dxa"/>
            <w:tcBorders>
              <w:tl2br w:val="nil"/>
              <w:tr2bl w:val="nil"/>
            </w:tcBorders>
            <w:shd w:val="clear" w:color="auto" w:fill="auto"/>
            <w:vAlign w:val="center"/>
          </w:tcPr>
          <w:p w14:paraId="381287D6">
            <w:pPr>
              <w:pStyle w:val="15"/>
              <w:keepNext w:val="0"/>
              <w:keepLines w:val="0"/>
              <w:pageBreakBefore w:val="0"/>
              <w:wordWrap/>
              <w:overflowPunct w:val="0"/>
              <w:topLinePunct w:val="0"/>
              <w:autoSpaceDE/>
              <w:autoSpaceDN/>
              <w:bidi w:val="0"/>
              <w:adjustRightInd/>
              <w:snapToGrid/>
              <w:spacing w:before="190" w:line="183" w:lineRule="auto"/>
              <w:ind w:left="333" w:leftChars="0"/>
              <w:jc w:val="left"/>
              <w:rPr>
                <w:rFonts w:hint="eastAsia" w:ascii="Times New Roman" w:hAnsi="Times New Roman" w:eastAsia="宋体" w:cs="宋体"/>
                <w:spacing w:val="-2"/>
                <w:sz w:val="21"/>
                <w:szCs w:val="21"/>
              </w:rPr>
            </w:pPr>
          </w:p>
        </w:tc>
        <w:tc>
          <w:tcPr>
            <w:tcW w:w="1003" w:type="dxa"/>
            <w:tcBorders>
              <w:tl2br w:val="nil"/>
              <w:tr2bl w:val="nil"/>
            </w:tcBorders>
            <w:shd w:val="clear" w:color="auto" w:fill="auto"/>
            <w:vAlign w:val="center"/>
          </w:tcPr>
          <w:p w14:paraId="4F6911A4">
            <w:pPr>
              <w:pStyle w:val="15"/>
              <w:keepNext w:val="0"/>
              <w:keepLines w:val="0"/>
              <w:pageBreakBefore w:val="0"/>
              <w:wordWrap/>
              <w:overflowPunct w:val="0"/>
              <w:topLinePunct w:val="0"/>
              <w:autoSpaceDE/>
              <w:autoSpaceDN/>
              <w:bidi w:val="0"/>
              <w:adjustRightInd/>
              <w:snapToGrid/>
              <w:spacing w:before="190" w:line="183" w:lineRule="auto"/>
              <w:ind w:left="333" w:leftChars="0"/>
              <w:jc w:val="left"/>
              <w:rPr>
                <w:rFonts w:hint="eastAsia" w:ascii="Times New Roman" w:hAnsi="Times New Roman" w:eastAsia="宋体" w:cs="宋体"/>
                <w:spacing w:val="-2"/>
                <w:sz w:val="21"/>
                <w:szCs w:val="21"/>
              </w:rPr>
            </w:pPr>
          </w:p>
        </w:tc>
        <w:tc>
          <w:tcPr>
            <w:tcW w:w="1039" w:type="dxa"/>
            <w:tcBorders>
              <w:tl2br w:val="nil"/>
              <w:tr2bl w:val="nil"/>
            </w:tcBorders>
            <w:shd w:val="clear" w:color="auto" w:fill="auto"/>
            <w:vAlign w:val="center"/>
          </w:tcPr>
          <w:p w14:paraId="59126443">
            <w:pPr>
              <w:pStyle w:val="15"/>
              <w:keepNext w:val="0"/>
              <w:keepLines w:val="0"/>
              <w:pageBreakBefore w:val="0"/>
              <w:wordWrap/>
              <w:overflowPunct w:val="0"/>
              <w:topLinePunct w:val="0"/>
              <w:autoSpaceDE/>
              <w:autoSpaceDN/>
              <w:bidi w:val="0"/>
              <w:adjustRightInd/>
              <w:snapToGrid/>
              <w:spacing w:before="190" w:line="183" w:lineRule="auto"/>
              <w:ind w:left="333" w:leftChars="0"/>
              <w:jc w:val="left"/>
              <w:rPr>
                <w:rFonts w:hint="eastAsia" w:ascii="Times New Roman" w:hAnsi="Times New Roman" w:eastAsia="宋体" w:cs="宋体"/>
                <w:spacing w:val="-2"/>
                <w:sz w:val="21"/>
                <w:szCs w:val="21"/>
              </w:rPr>
            </w:pPr>
          </w:p>
        </w:tc>
        <w:tc>
          <w:tcPr>
            <w:tcW w:w="981" w:type="dxa"/>
            <w:tcBorders>
              <w:tl2br w:val="nil"/>
              <w:tr2bl w:val="nil"/>
            </w:tcBorders>
            <w:shd w:val="clear" w:color="auto" w:fill="auto"/>
            <w:vAlign w:val="center"/>
          </w:tcPr>
          <w:p w14:paraId="45970DAC">
            <w:pPr>
              <w:pStyle w:val="15"/>
              <w:keepNext w:val="0"/>
              <w:keepLines w:val="0"/>
              <w:pageBreakBefore w:val="0"/>
              <w:wordWrap/>
              <w:overflowPunct w:val="0"/>
              <w:topLinePunct w:val="0"/>
              <w:autoSpaceDE/>
              <w:autoSpaceDN/>
              <w:bidi w:val="0"/>
              <w:adjustRightInd/>
              <w:snapToGrid/>
              <w:spacing w:before="190" w:line="183" w:lineRule="auto"/>
              <w:ind w:left="333" w:leftChars="0"/>
              <w:jc w:val="left"/>
              <w:rPr>
                <w:rFonts w:hint="eastAsia" w:ascii="Times New Roman" w:hAnsi="Times New Roman" w:eastAsia="宋体" w:cs="宋体"/>
                <w:spacing w:val="-2"/>
                <w:sz w:val="21"/>
                <w:szCs w:val="21"/>
              </w:rPr>
            </w:pPr>
          </w:p>
        </w:tc>
        <w:tc>
          <w:tcPr>
            <w:tcW w:w="1015" w:type="dxa"/>
            <w:tcBorders>
              <w:tl2br w:val="nil"/>
              <w:tr2bl w:val="nil"/>
            </w:tcBorders>
            <w:shd w:val="clear" w:color="auto" w:fill="auto"/>
            <w:vAlign w:val="center"/>
          </w:tcPr>
          <w:p w14:paraId="046EDD92">
            <w:pPr>
              <w:pStyle w:val="15"/>
              <w:keepNext w:val="0"/>
              <w:keepLines w:val="0"/>
              <w:pageBreakBefore w:val="0"/>
              <w:wordWrap/>
              <w:overflowPunct w:val="0"/>
              <w:topLinePunct w:val="0"/>
              <w:autoSpaceDE/>
              <w:autoSpaceDN/>
              <w:bidi w:val="0"/>
              <w:adjustRightInd/>
              <w:snapToGrid/>
              <w:spacing w:before="190" w:line="183" w:lineRule="auto"/>
              <w:ind w:left="333" w:leftChars="0"/>
              <w:jc w:val="left"/>
              <w:rPr>
                <w:rFonts w:hint="eastAsia" w:ascii="Times New Roman" w:hAnsi="Times New Roman" w:eastAsia="宋体" w:cs="宋体"/>
                <w:spacing w:val="-2"/>
                <w:sz w:val="21"/>
                <w:szCs w:val="21"/>
              </w:rPr>
            </w:pPr>
          </w:p>
        </w:tc>
        <w:tc>
          <w:tcPr>
            <w:tcW w:w="1015" w:type="dxa"/>
            <w:tcBorders>
              <w:tl2br w:val="nil"/>
              <w:tr2bl w:val="nil"/>
            </w:tcBorders>
            <w:shd w:val="clear" w:color="auto" w:fill="auto"/>
            <w:vAlign w:val="center"/>
          </w:tcPr>
          <w:p w14:paraId="0FCC9CD8">
            <w:pPr>
              <w:pStyle w:val="15"/>
              <w:keepNext w:val="0"/>
              <w:keepLines w:val="0"/>
              <w:pageBreakBefore w:val="0"/>
              <w:wordWrap/>
              <w:overflowPunct w:val="0"/>
              <w:topLinePunct w:val="0"/>
              <w:autoSpaceDE/>
              <w:autoSpaceDN/>
              <w:bidi w:val="0"/>
              <w:adjustRightInd/>
              <w:snapToGrid/>
              <w:spacing w:before="190" w:line="183" w:lineRule="auto"/>
              <w:ind w:left="333" w:leftChars="0"/>
              <w:jc w:val="left"/>
              <w:rPr>
                <w:rFonts w:hint="eastAsia" w:ascii="Times New Roman" w:hAnsi="Times New Roman" w:eastAsia="宋体" w:cs="宋体"/>
                <w:spacing w:val="-2"/>
                <w:sz w:val="21"/>
                <w:szCs w:val="21"/>
              </w:rPr>
            </w:pPr>
          </w:p>
        </w:tc>
      </w:tr>
      <w:tr w14:paraId="40223238">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285" w:hRule="atLeast"/>
        </w:trPr>
        <w:tc>
          <w:tcPr>
            <w:tcW w:w="2927" w:type="dxa"/>
            <w:tcBorders>
              <w:tl2br w:val="nil"/>
              <w:tr2bl w:val="nil"/>
            </w:tcBorders>
            <w:shd w:val="clear" w:color="auto" w:fill="auto"/>
            <w:vAlign w:val="center"/>
          </w:tcPr>
          <w:p w14:paraId="255AB6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（一）合计</w:t>
            </w:r>
          </w:p>
        </w:tc>
        <w:tc>
          <w:tcPr>
            <w:tcW w:w="962" w:type="dxa"/>
            <w:tcBorders>
              <w:tl2br w:val="nil"/>
              <w:tr2bl w:val="nil"/>
            </w:tcBorders>
            <w:shd w:val="clear" w:color="auto" w:fill="auto"/>
            <w:vAlign w:val="center"/>
          </w:tcPr>
          <w:p w14:paraId="7DAA4C05">
            <w:pPr>
              <w:keepNext w:val="0"/>
              <w:keepLines w:val="0"/>
              <w:widowControl/>
              <w:suppressLineNumbers w:val="0"/>
              <w:jc w:val="right"/>
              <w:textAlignment w:val="center"/>
              <w:rPr>
                <w:rFonts w:hint="default" w:ascii="Times New Roman" w:hAnsi="Times New Roman" w:eastAsia="宋体" w:cs="宋体"/>
                <w:spacing w:val="-2"/>
                <w:sz w:val="21"/>
                <w:szCs w:val="21"/>
                <w:lang w:val="en-US" w:eastAsia="zh-CN"/>
              </w:rPr>
            </w:pPr>
            <w:r>
              <w:rPr>
                <w:rFonts w:hint="eastAsia" w:ascii="Times New Roman" w:hAnsi="Times New Roman" w:eastAsia="宋体" w:cs="宋体"/>
                <w:i w:val="0"/>
                <w:iCs w:val="0"/>
                <w:snapToGrid w:val="0"/>
                <w:color w:val="000000"/>
                <w:kern w:val="0"/>
                <w:sz w:val="21"/>
                <w:szCs w:val="21"/>
                <w:u w:val="none"/>
                <w:lang w:val="en-US" w:eastAsia="zh-CN" w:bidi="ar"/>
              </w:rPr>
              <w:t xml:space="preserve"> 9.78 </w:t>
            </w:r>
          </w:p>
        </w:tc>
        <w:tc>
          <w:tcPr>
            <w:tcW w:w="1003" w:type="dxa"/>
            <w:tcBorders>
              <w:tl2br w:val="nil"/>
              <w:tr2bl w:val="nil"/>
            </w:tcBorders>
            <w:shd w:val="clear" w:color="auto" w:fill="auto"/>
            <w:vAlign w:val="center"/>
          </w:tcPr>
          <w:p w14:paraId="63D5285F">
            <w:pPr>
              <w:keepNext w:val="0"/>
              <w:keepLines w:val="0"/>
              <w:widowControl/>
              <w:suppressLineNumbers w:val="0"/>
              <w:jc w:val="right"/>
              <w:textAlignment w:val="center"/>
              <w:rPr>
                <w:rFonts w:hint="default" w:ascii="Times New Roman" w:hAnsi="Times New Roman" w:eastAsia="宋体" w:cs="宋体"/>
                <w:spacing w:val="-2"/>
                <w:sz w:val="21"/>
                <w:szCs w:val="21"/>
                <w:lang w:val="en-US" w:eastAsia="zh-CN"/>
              </w:rPr>
            </w:pPr>
            <w:r>
              <w:rPr>
                <w:rFonts w:hint="eastAsia" w:ascii="Times New Roman" w:hAnsi="Times New Roman" w:eastAsia="宋体" w:cs="宋体"/>
                <w:i w:val="0"/>
                <w:iCs w:val="0"/>
                <w:snapToGrid w:val="0"/>
                <w:color w:val="000000"/>
                <w:kern w:val="0"/>
                <w:sz w:val="21"/>
                <w:szCs w:val="21"/>
                <w:u w:val="none"/>
                <w:lang w:val="en-US" w:eastAsia="zh-CN" w:bidi="ar"/>
              </w:rPr>
              <w:t xml:space="preserve"> 22.35 </w:t>
            </w:r>
          </w:p>
        </w:tc>
        <w:tc>
          <w:tcPr>
            <w:tcW w:w="1039" w:type="dxa"/>
            <w:tcBorders>
              <w:tl2br w:val="nil"/>
              <w:tr2bl w:val="nil"/>
            </w:tcBorders>
            <w:shd w:val="clear" w:color="auto" w:fill="auto"/>
            <w:vAlign w:val="center"/>
          </w:tcPr>
          <w:p w14:paraId="6A1FD85C">
            <w:pPr>
              <w:keepNext w:val="0"/>
              <w:keepLines w:val="0"/>
              <w:widowControl/>
              <w:suppressLineNumbers w:val="0"/>
              <w:jc w:val="right"/>
              <w:textAlignment w:val="center"/>
              <w:rPr>
                <w:rFonts w:hint="default" w:ascii="Times New Roman" w:hAnsi="Times New Roman" w:eastAsia="宋体" w:cs="宋体"/>
                <w:spacing w:val="-2"/>
                <w:sz w:val="21"/>
                <w:szCs w:val="21"/>
                <w:lang w:val="en-US" w:eastAsia="zh-CN"/>
              </w:rPr>
            </w:pPr>
            <w:r>
              <w:rPr>
                <w:rFonts w:hint="eastAsia" w:ascii="Times New Roman" w:hAnsi="Times New Roman" w:eastAsia="宋体" w:cs="宋体"/>
                <w:i w:val="0"/>
                <w:iCs w:val="0"/>
                <w:snapToGrid w:val="0"/>
                <w:color w:val="000000"/>
                <w:kern w:val="0"/>
                <w:sz w:val="21"/>
                <w:szCs w:val="21"/>
                <w:u w:val="none"/>
                <w:lang w:val="en-US" w:eastAsia="zh-CN" w:bidi="ar"/>
              </w:rPr>
              <w:t xml:space="preserve"> 22.35 </w:t>
            </w:r>
          </w:p>
        </w:tc>
        <w:tc>
          <w:tcPr>
            <w:tcW w:w="981" w:type="dxa"/>
            <w:tcBorders>
              <w:tl2br w:val="nil"/>
              <w:tr2bl w:val="nil"/>
            </w:tcBorders>
            <w:shd w:val="clear" w:color="auto" w:fill="auto"/>
            <w:vAlign w:val="center"/>
          </w:tcPr>
          <w:p w14:paraId="3AB931DC">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9.78 </w:t>
            </w:r>
          </w:p>
        </w:tc>
        <w:tc>
          <w:tcPr>
            <w:tcW w:w="1015" w:type="dxa"/>
            <w:tcBorders>
              <w:tl2br w:val="nil"/>
              <w:tr2bl w:val="nil"/>
            </w:tcBorders>
            <w:shd w:val="clear" w:color="auto" w:fill="auto"/>
            <w:vAlign w:val="center"/>
          </w:tcPr>
          <w:p w14:paraId="3748878F">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6.00 </w:t>
            </w:r>
          </w:p>
        </w:tc>
        <w:tc>
          <w:tcPr>
            <w:tcW w:w="1015" w:type="dxa"/>
            <w:tcBorders>
              <w:tl2br w:val="nil"/>
              <w:tr2bl w:val="nil"/>
            </w:tcBorders>
            <w:shd w:val="clear" w:color="auto" w:fill="auto"/>
            <w:vAlign w:val="center"/>
          </w:tcPr>
          <w:p w14:paraId="702859F7">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6.00 </w:t>
            </w:r>
          </w:p>
        </w:tc>
      </w:tr>
      <w:tr w14:paraId="0FA5A9E1">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270" w:hRule="atLeast"/>
        </w:trPr>
        <w:tc>
          <w:tcPr>
            <w:tcW w:w="2927" w:type="dxa"/>
            <w:tcBorders>
              <w:tl2br w:val="nil"/>
              <w:tr2bl w:val="nil"/>
            </w:tcBorders>
            <w:shd w:val="clear" w:color="auto" w:fill="auto"/>
            <w:vAlign w:val="center"/>
          </w:tcPr>
          <w:p w14:paraId="65FB13A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1.因公出国（境）费</w:t>
            </w:r>
          </w:p>
        </w:tc>
        <w:tc>
          <w:tcPr>
            <w:tcW w:w="962" w:type="dxa"/>
            <w:tcBorders>
              <w:tl2br w:val="nil"/>
              <w:tr2bl w:val="nil"/>
            </w:tcBorders>
            <w:shd w:val="clear" w:color="auto" w:fill="auto"/>
            <w:vAlign w:val="center"/>
          </w:tcPr>
          <w:p w14:paraId="5510A06B">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 </w:t>
            </w:r>
          </w:p>
        </w:tc>
        <w:tc>
          <w:tcPr>
            <w:tcW w:w="1003" w:type="dxa"/>
            <w:tcBorders>
              <w:tl2br w:val="nil"/>
              <w:tr2bl w:val="nil"/>
            </w:tcBorders>
            <w:shd w:val="clear" w:color="auto" w:fill="auto"/>
            <w:vAlign w:val="center"/>
          </w:tcPr>
          <w:p w14:paraId="6957745F">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 </w:t>
            </w:r>
          </w:p>
        </w:tc>
        <w:tc>
          <w:tcPr>
            <w:tcW w:w="1039" w:type="dxa"/>
            <w:tcBorders>
              <w:tl2br w:val="nil"/>
              <w:tr2bl w:val="nil"/>
            </w:tcBorders>
            <w:shd w:val="clear" w:color="auto" w:fill="auto"/>
            <w:vAlign w:val="center"/>
          </w:tcPr>
          <w:p w14:paraId="0A0FE620">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 </w:t>
            </w:r>
          </w:p>
        </w:tc>
        <w:tc>
          <w:tcPr>
            <w:tcW w:w="981" w:type="dxa"/>
            <w:tcBorders>
              <w:tl2br w:val="nil"/>
              <w:tr2bl w:val="nil"/>
            </w:tcBorders>
            <w:shd w:val="clear" w:color="auto" w:fill="auto"/>
            <w:vAlign w:val="center"/>
          </w:tcPr>
          <w:p w14:paraId="0863D2C6">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 </w:t>
            </w:r>
          </w:p>
        </w:tc>
        <w:tc>
          <w:tcPr>
            <w:tcW w:w="1015" w:type="dxa"/>
            <w:tcBorders>
              <w:tl2br w:val="nil"/>
              <w:tr2bl w:val="nil"/>
            </w:tcBorders>
            <w:shd w:val="clear" w:color="auto" w:fill="auto"/>
            <w:vAlign w:val="center"/>
          </w:tcPr>
          <w:p w14:paraId="71733586">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 </w:t>
            </w:r>
          </w:p>
        </w:tc>
        <w:tc>
          <w:tcPr>
            <w:tcW w:w="1015" w:type="dxa"/>
            <w:tcBorders>
              <w:tl2br w:val="nil"/>
              <w:tr2bl w:val="nil"/>
            </w:tcBorders>
            <w:shd w:val="clear" w:color="auto" w:fill="auto"/>
            <w:vAlign w:val="center"/>
          </w:tcPr>
          <w:p w14:paraId="6207A062">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 </w:t>
            </w:r>
          </w:p>
        </w:tc>
      </w:tr>
      <w:tr w14:paraId="7E8FAF4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495" w:hRule="atLeast"/>
        </w:trPr>
        <w:tc>
          <w:tcPr>
            <w:tcW w:w="2927" w:type="dxa"/>
            <w:tcBorders>
              <w:tl2br w:val="nil"/>
              <w:tr2bl w:val="nil"/>
            </w:tcBorders>
            <w:shd w:val="clear" w:color="auto" w:fill="auto"/>
            <w:vAlign w:val="center"/>
          </w:tcPr>
          <w:p w14:paraId="589751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2.公务用车购置及运行维护费</w:t>
            </w:r>
          </w:p>
        </w:tc>
        <w:tc>
          <w:tcPr>
            <w:tcW w:w="962" w:type="dxa"/>
            <w:tcBorders>
              <w:tl2br w:val="nil"/>
              <w:tr2bl w:val="nil"/>
            </w:tcBorders>
            <w:shd w:val="clear" w:color="auto" w:fill="auto"/>
            <w:vAlign w:val="center"/>
          </w:tcPr>
          <w:p w14:paraId="588082B8">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9.72 </w:t>
            </w:r>
          </w:p>
        </w:tc>
        <w:tc>
          <w:tcPr>
            <w:tcW w:w="1003" w:type="dxa"/>
            <w:tcBorders>
              <w:tl2br w:val="nil"/>
              <w:tr2bl w:val="nil"/>
            </w:tcBorders>
            <w:shd w:val="clear" w:color="auto" w:fill="auto"/>
            <w:vAlign w:val="center"/>
          </w:tcPr>
          <w:p w14:paraId="56AC03E9">
            <w:pPr>
              <w:keepNext w:val="0"/>
              <w:keepLines w:val="0"/>
              <w:widowControl/>
              <w:suppressLineNumbers w:val="0"/>
              <w:jc w:val="right"/>
              <w:textAlignment w:val="center"/>
              <w:rPr>
                <w:rFonts w:hint="default" w:ascii="Times New Roman" w:hAnsi="Times New Roman" w:eastAsia="宋体" w:cs="宋体"/>
                <w:spacing w:val="-2"/>
                <w:sz w:val="21"/>
                <w:szCs w:val="21"/>
                <w:lang w:val="en-US" w:eastAsia="zh-CN"/>
              </w:rPr>
            </w:pPr>
            <w:r>
              <w:rPr>
                <w:rFonts w:hint="eastAsia" w:ascii="Times New Roman" w:hAnsi="Times New Roman" w:eastAsia="宋体" w:cs="宋体"/>
                <w:i w:val="0"/>
                <w:iCs w:val="0"/>
                <w:snapToGrid w:val="0"/>
                <w:color w:val="000000"/>
                <w:kern w:val="0"/>
                <w:sz w:val="21"/>
                <w:szCs w:val="21"/>
                <w:u w:val="none"/>
                <w:lang w:val="en-US" w:eastAsia="zh-CN" w:bidi="ar"/>
              </w:rPr>
              <w:t xml:space="preserve"> 22.35 </w:t>
            </w:r>
          </w:p>
        </w:tc>
        <w:tc>
          <w:tcPr>
            <w:tcW w:w="1039" w:type="dxa"/>
            <w:tcBorders>
              <w:tl2br w:val="nil"/>
              <w:tr2bl w:val="nil"/>
            </w:tcBorders>
            <w:shd w:val="clear" w:color="auto" w:fill="auto"/>
            <w:vAlign w:val="center"/>
          </w:tcPr>
          <w:p w14:paraId="621B6714">
            <w:pPr>
              <w:keepNext w:val="0"/>
              <w:keepLines w:val="0"/>
              <w:widowControl/>
              <w:suppressLineNumbers w:val="0"/>
              <w:jc w:val="right"/>
              <w:textAlignment w:val="center"/>
              <w:rPr>
                <w:rFonts w:hint="eastAsia" w:ascii="Times New Roman" w:hAnsi="Times New Roman" w:eastAsia="宋体" w:cs="宋体"/>
                <w:spacing w:val="-2"/>
                <w:sz w:val="21"/>
                <w:szCs w:val="21"/>
                <w:lang w:val="en-US"/>
              </w:rPr>
            </w:pPr>
            <w:r>
              <w:rPr>
                <w:rFonts w:hint="eastAsia" w:ascii="Times New Roman" w:hAnsi="Times New Roman" w:eastAsia="宋体" w:cs="宋体"/>
                <w:i w:val="0"/>
                <w:iCs w:val="0"/>
                <w:snapToGrid w:val="0"/>
                <w:color w:val="000000"/>
                <w:kern w:val="0"/>
                <w:sz w:val="21"/>
                <w:szCs w:val="21"/>
                <w:u w:val="none"/>
                <w:lang w:val="en-US" w:eastAsia="zh-CN" w:bidi="ar"/>
              </w:rPr>
              <w:t xml:space="preserve"> 22.35 </w:t>
            </w:r>
          </w:p>
        </w:tc>
        <w:tc>
          <w:tcPr>
            <w:tcW w:w="981" w:type="dxa"/>
            <w:tcBorders>
              <w:tl2br w:val="nil"/>
              <w:tr2bl w:val="nil"/>
            </w:tcBorders>
            <w:shd w:val="clear" w:color="auto" w:fill="auto"/>
            <w:vAlign w:val="center"/>
          </w:tcPr>
          <w:p w14:paraId="2BE4E7A1">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9.72 </w:t>
            </w:r>
          </w:p>
        </w:tc>
        <w:tc>
          <w:tcPr>
            <w:tcW w:w="1015" w:type="dxa"/>
            <w:tcBorders>
              <w:tl2br w:val="nil"/>
              <w:tr2bl w:val="nil"/>
            </w:tcBorders>
            <w:shd w:val="clear" w:color="auto" w:fill="auto"/>
            <w:vAlign w:val="center"/>
          </w:tcPr>
          <w:p w14:paraId="1DA90D4B">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6.00 </w:t>
            </w:r>
          </w:p>
        </w:tc>
        <w:tc>
          <w:tcPr>
            <w:tcW w:w="1015" w:type="dxa"/>
            <w:tcBorders>
              <w:tl2br w:val="nil"/>
              <w:tr2bl w:val="nil"/>
            </w:tcBorders>
            <w:shd w:val="clear" w:color="auto" w:fill="auto"/>
            <w:vAlign w:val="center"/>
          </w:tcPr>
          <w:p w14:paraId="6292459B">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6.00 </w:t>
            </w:r>
          </w:p>
        </w:tc>
      </w:tr>
      <w:tr w14:paraId="79DD41FB">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270" w:hRule="atLeast"/>
        </w:trPr>
        <w:tc>
          <w:tcPr>
            <w:tcW w:w="2927" w:type="dxa"/>
            <w:tcBorders>
              <w:tl2br w:val="nil"/>
              <w:tr2bl w:val="nil"/>
            </w:tcBorders>
            <w:shd w:val="clear" w:color="auto" w:fill="auto"/>
            <w:vAlign w:val="center"/>
          </w:tcPr>
          <w:p w14:paraId="1D3F5AB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（1）公务用车购置费</w:t>
            </w:r>
          </w:p>
        </w:tc>
        <w:tc>
          <w:tcPr>
            <w:tcW w:w="962" w:type="dxa"/>
            <w:tcBorders>
              <w:tl2br w:val="nil"/>
              <w:tr2bl w:val="nil"/>
            </w:tcBorders>
            <w:shd w:val="clear" w:color="auto" w:fill="auto"/>
            <w:vAlign w:val="center"/>
          </w:tcPr>
          <w:p w14:paraId="0B184793">
            <w:pPr>
              <w:keepNext w:val="0"/>
              <w:keepLines w:val="0"/>
              <w:widowControl/>
              <w:suppressLineNumbers w:val="0"/>
              <w:jc w:val="right"/>
              <w:textAlignment w:val="center"/>
              <w:rPr>
                <w:rFonts w:hint="default" w:ascii="Times New Roman" w:hAnsi="Times New Roman" w:eastAsia="宋体" w:cs="宋体"/>
                <w:spacing w:val="-2"/>
                <w:sz w:val="21"/>
                <w:szCs w:val="21"/>
                <w:lang w:val="en-US" w:eastAsia="zh-CN"/>
              </w:rPr>
            </w:pPr>
            <w:r>
              <w:rPr>
                <w:rFonts w:hint="eastAsia" w:ascii="Times New Roman" w:hAnsi="Times New Roman" w:eastAsia="宋体" w:cs="宋体"/>
                <w:i w:val="0"/>
                <w:iCs w:val="0"/>
                <w:snapToGrid w:val="0"/>
                <w:color w:val="000000"/>
                <w:kern w:val="0"/>
                <w:sz w:val="21"/>
                <w:szCs w:val="21"/>
                <w:u w:val="none"/>
                <w:lang w:val="en-US" w:eastAsia="zh-CN" w:bidi="ar"/>
              </w:rPr>
              <w:t xml:space="preserve"> -   </w:t>
            </w:r>
          </w:p>
        </w:tc>
        <w:tc>
          <w:tcPr>
            <w:tcW w:w="1003" w:type="dxa"/>
            <w:tcBorders>
              <w:tl2br w:val="nil"/>
              <w:tr2bl w:val="nil"/>
            </w:tcBorders>
            <w:shd w:val="clear" w:color="auto" w:fill="auto"/>
            <w:vAlign w:val="center"/>
          </w:tcPr>
          <w:p w14:paraId="0BC4E2A8">
            <w:pPr>
              <w:keepNext w:val="0"/>
              <w:keepLines w:val="0"/>
              <w:widowControl/>
              <w:suppressLineNumbers w:val="0"/>
              <w:jc w:val="right"/>
              <w:textAlignment w:val="center"/>
              <w:rPr>
                <w:rFonts w:hint="default" w:ascii="Times New Roman" w:hAnsi="Times New Roman" w:eastAsia="宋体" w:cs="宋体"/>
                <w:spacing w:val="-2"/>
                <w:sz w:val="21"/>
                <w:szCs w:val="21"/>
                <w:lang w:val="en-US" w:eastAsia="zh-CN"/>
              </w:rPr>
            </w:pPr>
            <w:r>
              <w:rPr>
                <w:rFonts w:hint="eastAsia" w:ascii="Times New Roman" w:hAnsi="Times New Roman" w:eastAsia="宋体" w:cs="宋体"/>
                <w:i w:val="0"/>
                <w:iCs w:val="0"/>
                <w:snapToGrid w:val="0"/>
                <w:color w:val="000000"/>
                <w:kern w:val="0"/>
                <w:sz w:val="21"/>
                <w:szCs w:val="21"/>
                <w:u w:val="none"/>
                <w:lang w:val="en-US" w:eastAsia="zh-CN" w:bidi="ar"/>
              </w:rPr>
              <w:t xml:space="preserve"> 17.38 </w:t>
            </w:r>
          </w:p>
        </w:tc>
        <w:tc>
          <w:tcPr>
            <w:tcW w:w="1039" w:type="dxa"/>
            <w:tcBorders>
              <w:tl2br w:val="nil"/>
              <w:tr2bl w:val="nil"/>
            </w:tcBorders>
            <w:shd w:val="clear" w:color="auto" w:fill="auto"/>
            <w:vAlign w:val="center"/>
          </w:tcPr>
          <w:p w14:paraId="7A58269C">
            <w:pPr>
              <w:keepNext w:val="0"/>
              <w:keepLines w:val="0"/>
              <w:widowControl/>
              <w:suppressLineNumbers w:val="0"/>
              <w:jc w:val="right"/>
              <w:textAlignment w:val="center"/>
              <w:rPr>
                <w:rFonts w:hint="eastAsia" w:ascii="Times New Roman" w:hAnsi="Times New Roman" w:eastAsia="宋体" w:cs="宋体"/>
                <w:spacing w:val="-2"/>
                <w:sz w:val="21"/>
                <w:szCs w:val="21"/>
                <w:lang w:val="en-US"/>
              </w:rPr>
            </w:pPr>
            <w:r>
              <w:rPr>
                <w:rFonts w:hint="eastAsia" w:ascii="Times New Roman" w:hAnsi="Times New Roman" w:eastAsia="宋体" w:cs="宋体"/>
                <w:i w:val="0"/>
                <w:iCs w:val="0"/>
                <w:snapToGrid w:val="0"/>
                <w:color w:val="000000"/>
                <w:kern w:val="0"/>
                <w:sz w:val="21"/>
                <w:szCs w:val="21"/>
                <w:u w:val="none"/>
                <w:lang w:val="en-US" w:eastAsia="zh-CN" w:bidi="ar"/>
              </w:rPr>
              <w:t xml:space="preserve"> 17.38 </w:t>
            </w:r>
          </w:p>
        </w:tc>
        <w:tc>
          <w:tcPr>
            <w:tcW w:w="981" w:type="dxa"/>
            <w:tcBorders>
              <w:tl2br w:val="nil"/>
              <w:tr2bl w:val="nil"/>
            </w:tcBorders>
            <w:shd w:val="clear" w:color="auto" w:fill="auto"/>
            <w:vAlign w:val="center"/>
          </w:tcPr>
          <w:p w14:paraId="21995752">
            <w:pPr>
              <w:jc w:val="right"/>
              <w:rPr>
                <w:rFonts w:hint="eastAsia" w:ascii="Times New Roman" w:hAnsi="Times New Roman" w:eastAsia="宋体" w:cs="宋体"/>
                <w:spacing w:val="-2"/>
                <w:sz w:val="21"/>
                <w:szCs w:val="21"/>
              </w:rPr>
            </w:pPr>
          </w:p>
        </w:tc>
        <w:tc>
          <w:tcPr>
            <w:tcW w:w="1015" w:type="dxa"/>
            <w:tcBorders>
              <w:tl2br w:val="nil"/>
              <w:tr2bl w:val="nil"/>
            </w:tcBorders>
            <w:shd w:val="clear" w:color="auto" w:fill="auto"/>
            <w:vAlign w:val="center"/>
          </w:tcPr>
          <w:p w14:paraId="4695510C">
            <w:pPr>
              <w:jc w:val="right"/>
              <w:rPr>
                <w:rFonts w:hint="eastAsia" w:ascii="Times New Roman" w:hAnsi="Times New Roman" w:eastAsia="宋体" w:cs="宋体"/>
                <w:spacing w:val="-2"/>
                <w:sz w:val="21"/>
                <w:szCs w:val="21"/>
              </w:rPr>
            </w:pPr>
          </w:p>
        </w:tc>
        <w:tc>
          <w:tcPr>
            <w:tcW w:w="1015" w:type="dxa"/>
            <w:tcBorders>
              <w:tl2br w:val="nil"/>
              <w:tr2bl w:val="nil"/>
            </w:tcBorders>
            <w:shd w:val="clear" w:color="auto" w:fill="auto"/>
            <w:vAlign w:val="center"/>
          </w:tcPr>
          <w:p w14:paraId="02CBB313">
            <w:pPr>
              <w:jc w:val="right"/>
              <w:rPr>
                <w:rFonts w:hint="eastAsia" w:ascii="Times New Roman" w:hAnsi="Times New Roman" w:eastAsia="宋体" w:cs="宋体"/>
                <w:spacing w:val="-2"/>
                <w:sz w:val="21"/>
                <w:szCs w:val="21"/>
              </w:rPr>
            </w:pPr>
          </w:p>
        </w:tc>
      </w:tr>
      <w:tr w14:paraId="4F162953">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495" w:hRule="atLeast"/>
        </w:trPr>
        <w:tc>
          <w:tcPr>
            <w:tcW w:w="2927" w:type="dxa"/>
            <w:tcBorders>
              <w:tl2br w:val="nil"/>
              <w:tr2bl w:val="nil"/>
            </w:tcBorders>
            <w:shd w:val="clear" w:color="auto" w:fill="auto"/>
            <w:vAlign w:val="center"/>
          </w:tcPr>
          <w:p w14:paraId="49C0FB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（2）公务用车运行维护费</w:t>
            </w:r>
          </w:p>
        </w:tc>
        <w:tc>
          <w:tcPr>
            <w:tcW w:w="962" w:type="dxa"/>
            <w:tcBorders>
              <w:tl2br w:val="nil"/>
              <w:tr2bl w:val="nil"/>
            </w:tcBorders>
            <w:shd w:val="clear" w:color="auto" w:fill="auto"/>
            <w:vAlign w:val="center"/>
          </w:tcPr>
          <w:p w14:paraId="53281CED">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9.72 </w:t>
            </w:r>
          </w:p>
        </w:tc>
        <w:tc>
          <w:tcPr>
            <w:tcW w:w="1003" w:type="dxa"/>
            <w:tcBorders>
              <w:tl2br w:val="nil"/>
              <w:tr2bl w:val="nil"/>
            </w:tcBorders>
            <w:shd w:val="clear" w:color="auto" w:fill="auto"/>
            <w:vAlign w:val="center"/>
          </w:tcPr>
          <w:p w14:paraId="2282B5B2">
            <w:pPr>
              <w:keepNext w:val="0"/>
              <w:keepLines w:val="0"/>
              <w:widowControl/>
              <w:suppressLineNumbers w:val="0"/>
              <w:jc w:val="right"/>
              <w:textAlignment w:val="center"/>
              <w:rPr>
                <w:rFonts w:hint="default" w:ascii="Times New Roman" w:hAnsi="Times New Roman" w:eastAsia="宋体" w:cs="宋体"/>
                <w:spacing w:val="-2"/>
                <w:sz w:val="21"/>
                <w:szCs w:val="21"/>
                <w:lang w:val="en-US" w:eastAsia="zh-CN"/>
              </w:rPr>
            </w:pPr>
            <w:r>
              <w:rPr>
                <w:rFonts w:hint="eastAsia" w:ascii="Times New Roman" w:hAnsi="Times New Roman" w:eastAsia="宋体" w:cs="宋体"/>
                <w:i w:val="0"/>
                <w:iCs w:val="0"/>
                <w:snapToGrid w:val="0"/>
                <w:color w:val="000000"/>
                <w:kern w:val="0"/>
                <w:sz w:val="21"/>
                <w:szCs w:val="21"/>
                <w:u w:val="none"/>
                <w:lang w:val="en-US" w:eastAsia="zh-CN" w:bidi="ar"/>
              </w:rPr>
              <w:t xml:space="preserve"> 4.97 </w:t>
            </w:r>
          </w:p>
        </w:tc>
        <w:tc>
          <w:tcPr>
            <w:tcW w:w="1039" w:type="dxa"/>
            <w:tcBorders>
              <w:tl2br w:val="nil"/>
              <w:tr2bl w:val="nil"/>
            </w:tcBorders>
            <w:shd w:val="clear" w:color="auto" w:fill="auto"/>
            <w:vAlign w:val="center"/>
          </w:tcPr>
          <w:p w14:paraId="5DA7E3FB">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4.97 </w:t>
            </w:r>
          </w:p>
        </w:tc>
        <w:tc>
          <w:tcPr>
            <w:tcW w:w="981" w:type="dxa"/>
            <w:tcBorders>
              <w:tl2br w:val="nil"/>
              <w:tr2bl w:val="nil"/>
            </w:tcBorders>
            <w:shd w:val="clear" w:color="auto" w:fill="auto"/>
            <w:vAlign w:val="center"/>
          </w:tcPr>
          <w:p w14:paraId="0B772448">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9.72 </w:t>
            </w:r>
          </w:p>
        </w:tc>
        <w:tc>
          <w:tcPr>
            <w:tcW w:w="1015" w:type="dxa"/>
            <w:tcBorders>
              <w:tl2br w:val="nil"/>
              <w:tr2bl w:val="nil"/>
            </w:tcBorders>
            <w:shd w:val="clear" w:color="auto" w:fill="auto"/>
            <w:vAlign w:val="center"/>
          </w:tcPr>
          <w:p w14:paraId="68C651B4">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6.00 </w:t>
            </w:r>
          </w:p>
        </w:tc>
        <w:tc>
          <w:tcPr>
            <w:tcW w:w="1015" w:type="dxa"/>
            <w:tcBorders>
              <w:tl2br w:val="nil"/>
              <w:tr2bl w:val="nil"/>
            </w:tcBorders>
            <w:shd w:val="clear" w:color="auto" w:fill="auto"/>
            <w:vAlign w:val="center"/>
          </w:tcPr>
          <w:p w14:paraId="396A73B5">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6.00 </w:t>
            </w:r>
          </w:p>
        </w:tc>
      </w:tr>
      <w:tr w14:paraId="13A6B9B6">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270" w:hRule="atLeast"/>
        </w:trPr>
        <w:tc>
          <w:tcPr>
            <w:tcW w:w="2927" w:type="dxa"/>
            <w:tcBorders>
              <w:tl2br w:val="nil"/>
              <w:tr2bl w:val="nil"/>
            </w:tcBorders>
            <w:shd w:val="clear" w:color="auto" w:fill="auto"/>
            <w:vAlign w:val="center"/>
          </w:tcPr>
          <w:p w14:paraId="0947C1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3.公务接待费</w:t>
            </w:r>
          </w:p>
        </w:tc>
        <w:tc>
          <w:tcPr>
            <w:tcW w:w="962" w:type="dxa"/>
            <w:tcBorders>
              <w:tl2br w:val="nil"/>
              <w:tr2bl w:val="nil"/>
            </w:tcBorders>
            <w:shd w:val="clear" w:color="auto" w:fill="auto"/>
            <w:vAlign w:val="center"/>
          </w:tcPr>
          <w:p w14:paraId="56D8BCE5">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0.06 </w:t>
            </w:r>
          </w:p>
        </w:tc>
        <w:tc>
          <w:tcPr>
            <w:tcW w:w="1003" w:type="dxa"/>
            <w:tcBorders>
              <w:tl2br w:val="nil"/>
              <w:tr2bl w:val="nil"/>
            </w:tcBorders>
            <w:shd w:val="clear" w:color="auto" w:fill="auto"/>
            <w:vAlign w:val="center"/>
          </w:tcPr>
          <w:p w14:paraId="462B4408">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 </w:t>
            </w:r>
          </w:p>
        </w:tc>
        <w:tc>
          <w:tcPr>
            <w:tcW w:w="1039" w:type="dxa"/>
            <w:tcBorders>
              <w:tl2br w:val="nil"/>
              <w:tr2bl w:val="nil"/>
            </w:tcBorders>
            <w:shd w:val="clear" w:color="auto" w:fill="auto"/>
            <w:vAlign w:val="center"/>
          </w:tcPr>
          <w:p w14:paraId="2F9624FB">
            <w:pPr>
              <w:keepNext w:val="0"/>
              <w:keepLines w:val="0"/>
              <w:widowControl/>
              <w:suppressLineNumbers w:val="0"/>
              <w:jc w:val="right"/>
              <w:textAlignment w:val="center"/>
              <w:rPr>
                <w:rFonts w:hint="default" w:ascii="Times New Roman" w:hAnsi="Times New Roman" w:eastAsia="宋体" w:cs="宋体"/>
                <w:spacing w:val="-2"/>
                <w:sz w:val="21"/>
                <w:szCs w:val="21"/>
                <w:lang w:val="en-US" w:eastAsia="zh-CN"/>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w:t>
            </w:r>
          </w:p>
        </w:tc>
        <w:tc>
          <w:tcPr>
            <w:tcW w:w="981" w:type="dxa"/>
            <w:tcBorders>
              <w:tl2br w:val="nil"/>
              <w:tr2bl w:val="nil"/>
            </w:tcBorders>
            <w:shd w:val="clear" w:color="auto" w:fill="auto"/>
            <w:vAlign w:val="center"/>
          </w:tcPr>
          <w:p w14:paraId="0464D9A1">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0.06 </w:t>
            </w:r>
          </w:p>
        </w:tc>
        <w:tc>
          <w:tcPr>
            <w:tcW w:w="1015" w:type="dxa"/>
            <w:tcBorders>
              <w:tl2br w:val="nil"/>
              <w:tr2bl w:val="nil"/>
            </w:tcBorders>
            <w:shd w:val="clear" w:color="auto" w:fill="auto"/>
            <w:vAlign w:val="center"/>
          </w:tcPr>
          <w:p w14:paraId="517F7D38">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 </w:t>
            </w:r>
          </w:p>
        </w:tc>
        <w:tc>
          <w:tcPr>
            <w:tcW w:w="1015" w:type="dxa"/>
            <w:tcBorders>
              <w:tl2br w:val="nil"/>
              <w:tr2bl w:val="nil"/>
            </w:tcBorders>
            <w:shd w:val="clear" w:color="auto" w:fill="auto"/>
            <w:vAlign w:val="center"/>
          </w:tcPr>
          <w:p w14:paraId="1E996887">
            <w:pPr>
              <w:jc w:val="right"/>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w:t>
            </w:r>
          </w:p>
        </w:tc>
      </w:tr>
    </w:tbl>
    <w:p w14:paraId="1B8E58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4.部门资产情况</w:t>
      </w:r>
    </w:p>
    <w:p w14:paraId="1B95A0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截至 2023年12月31日，徐水工信局自用固定资产净值为44.18万元，其中：业务用房原值为20万元，车辆原值为33.63万元。</w:t>
      </w:r>
    </w:p>
    <w:p w14:paraId="57E912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5.政府采购情况</w:t>
      </w:r>
    </w:p>
    <w:p w14:paraId="06FB6D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徐水区工信局2023年度政府采购年初预算102.16万元，其中货物支出22.98万元，服务支出79.18万元；年底决算政府采购金额为96.31万元，其中货物支出22.36万元，服务支出73.95万元。</w:t>
      </w:r>
    </w:p>
    <w:p w14:paraId="341BF4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黑体_GBK" w:cs="方正黑体_GBK"/>
          <w:snapToGrid/>
          <w:kern w:val="2"/>
          <w:sz w:val="32"/>
          <w:szCs w:val="32"/>
          <w:lang w:val="en-US" w:eastAsia="zh-CN"/>
        </w:rPr>
      </w:pPr>
      <w:bookmarkStart w:id="10" w:name="bookmark23"/>
      <w:bookmarkEnd w:id="10"/>
      <w:bookmarkStart w:id="11" w:name="_Toc20767"/>
      <w:r>
        <w:rPr>
          <w:rFonts w:hint="eastAsia" w:ascii="Times New Roman" w:hAnsi="Times New Roman" w:eastAsia="方正黑体_GBK" w:cs="方正黑体_GBK"/>
          <w:snapToGrid/>
          <w:kern w:val="2"/>
          <w:sz w:val="32"/>
          <w:szCs w:val="32"/>
          <w:lang w:val="en-US" w:eastAsia="zh-CN"/>
        </w:rPr>
        <w:t>二、评价工作基本情况</w:t>
      </w:r>
      <w:bookmarkEnd w:id="11"/>
    </w:p>
    <w:p w14:paraId="2592F8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eastAsia="zh-CN"/>
        </w:rPr>
      </w:pPr>
      <w:bookmarkStart w:id="12" w:name="_Toc27391"/>
      <w:r>
        <w:rPr>
          <w:rFonts w:hint="eastAsia" w:ascii="Times New Roman" w:hAnsi="Times New Roman" w:eastAsia="方正楷体_GBK" w:cstheme="minorBidi"/>
          <w:snapToGrid/>
          <w:kern w:val="2"/>
          <w:sz w:val="32"/>
          <w:szCs w:val="32"/>
          <w:lang w:eastAsia="zh-CN"/>
        </w:rPr>
        <w:t>（一）</w:t>
      </w:r>
      <w:r>
        <w:rPr>
          <w:rFonts w:hint="eastAsia" w:ascii="Times New Roman" w:hAnsi="Times New Roman" w:eastAsia="方正楷体_GBK" w:cstheme="minorBidi"/>
          <w:snapToGrid/>
          <w:kern w:val="2"/>
          <w:sz w:val="32"/>
          <w:szCs w:val="32"/>
          <w:lang w:val="en-US" w:eastAsia="zh-CN"/>
        </w:rPr>
        <w:t>绩效</w:t>
      </w:r>
      <w:r>
        <w:rPr>
          <w:rFonts w:hint="eastAsia" w:ascii="Times New Roman" w:hAnsi="Times New Roman" w:eastAsia="方正楷体_GBK" w:cstheme="minorBidi"/>
          <w:snapToGrid/>
          <w:kern w:val="2"/>
          <w:sz w:val="32"/>
          <w:szCs w:val="32"/>
          <w:lang w:eastAsia="zh-CN"/>
        </w:rPr>
        <w:t>评价目的</w:t>
      </w:r>
      <w:bookmarkEnd w:id="12"/>
    </w:p>
    <w:p w14:paraId="2BAFE8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一是通过对徐水区工信局2023年部门整体的绩效评价，了解部门整体资金预算情况、实际收支情况及结转结余情况；计划绩效目标、绩效指标及完成情况；部门履职对社会发展所带来的直接或间接影响及服务对象对部门履职效果的满意程度。二是促使相关部门根据绩效评价过程中发现的问题，认真加以整改，提高管理水平，进一步规范财政资金管理，牢固树立预算绩效理念，强化部门支出责任，提高预算执行效率和财政资金使用效益。</w:t>
      </w:r>
    </w:p>
    <w:p w14:paraId="2B4062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heme="minorBidi"/>
          <w:snapToGrid/>
          <w:kern w:val="2"/>
          <w:sz w:val="32"/>
          <w:szCs w:val="32"/>
          <w:lang w:val="en-US" w:eastAsia="zh-CN"/>
        </w:rPr>
      </w:pPr>
      <w:bookmarkStart w:id="13" w:name="_Toc28312"/>
      <w:r>
        <w:rPr>
          <w:rFonts w:hint="default" w:ascii="Times New Roman" w:hAnsi="Times New Roman" w:eastAsia="方正楷体_GBK" w:cstheme="minorBidi"/>
          <w:snapToGrid/>
          <w:kern w:val="2"/>
          <w:sz w:val="32"/>
          <w:szCs w:val="32"/>
          <w:lang w:val="en-US" w:eastAsia="zh-CN"/>
        </w:rPr>
        <w:t>（二）评价依据</w:t>
      </w:r>
      <w:bookmarkEnd w:id="13"/>
    </w:p>
    <w:p w14:paraId="696156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1.《中华人民共和国预算法》</w:t>
      </w:r>
      <w:r>
        <w:rPr>
          <w:rFonts w:hint="eastAsia" w:ascii="Times New Roman" w:hAnsi="Times New Roman" w:eastAsia="方正仿宋_GBK" w:cstheme="minorBidi"/>
          <w:snapToGrid/>
          <w:kern w:val="2"/>
          <w:sz w:val="32"/>
          <w:szCs w:val="32"/>
          <w:lang w:val="en-US" w:eastAsia="zh-CN"/>
        </w:rPr>
        <w:t>；</w:t>
      </w:r>
    </w:p>
    <w:p w14:paraId="09C39B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2.财政部《关于印发〈预算绩效评价共性指标体系框架〉的通知》（财预〔2013</w:t>
      </w:r>
      <w:r>
        <w:rPr>
          <w:rFonts w:hint="default" w:ascii="Times New Roman" w:hAnsi="Times New Roman" w:eastAsia="方正仿宋_GBK" w:cstheme="minorBidi"/>
          <w:snapToGrid/>
          <w:kern w:val="2"/>
          <w:sz w:val="32"/>
          <w:szCs w:val="32"/>
          <w:lang w:val="en-US" w:eastAsia="zh-CN"/>
        </w:rPr>
        <w:t>〕</w:t>
      </w:r>
      <w:r>
        <w:rPr>
          <w:rFonts w:hint="eastAsia" w:ascii="Times New Roman" w:hAnsi="Times New Roman" w:eastAsia="方正仿宋_GBK" w:cstheme="minorBidi"/>
          <w:snapToGrid/>
          <w:kern w:val="2"/>
          <w:sz w:val="32"/>
          <w:szCs w:val="32"/>
          <w:lang w:val="en-US" w:eastAsia="zh-CN"/>
        </w:rPr>
        <w:t>53号）；</w:t>
      </w:r>
    </w:p>
    <w:p w14:paraId="774FC6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w:t>
      </w:r>
      <w:r>
        <w:rPr>
          <w:rFonts w:hint="default" w:ascii="Times New Roman" w:hAnsi="Times New Roman" w:eastAsia="方正仿宋_GBK" w:cstheme="minorBidi"/>
          <w:snapToGrid/>
          <w:kern w:val="2"/>
          <w:sz w:val="32"/>
          <w:szCs w:val="32"/>
          <w:lang w:val="en-US" w:eastAsia="zh-CN"/>
        </w:rPr>
        <w:t>《中共中央国务院关于全面实施预算绩效管理的意见》（中发〔2018〕34号）；</w:t>
      </w:r>
    </w:p>
    <w:p w14:paraId="291F09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w:t>
      </w:r>
      <w:r>
        <w:rPr>
          <w:rFonts w:hint="default" w:ascii="Times New Roman" w:hAnsi="Times New Roman" w:eastAsia="方正仿宋_GBK" w:cstheme="minorBidi"/>
          <w:snapToGrid/>
          <w:kern w:val="2"/>
          <w:sz w:val="32"/>
          <w:szCs w:val="32"/>
          <w:lang w:val="en-US" w:eastAsia="zh-CN"/>
        </w:rPr>
        <w:t>财政部《关于贯彻落实&lt;中共中央国务院关于全面实施预算绩效管理的意见&gt;的通知》（财预〔2018〕167号）；</w:t>
      </w:r>
    </w:p>
    <w:p w14:paraId="49081B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5.中共河北省委河北省人民政府《关于全面实施预算绩效管理的实施意见》（冀发〔2018〕54号）；</w:t>
      </w:r>
    </w:p>
    <w:p w14:paraId="1080DD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6.河北省财政厅《关于印发全面实施预算绩效管理推进工作方案〉的通知》（冀财预〔2019〕21号）；</w:t>
      </w:r>
    </w:p>
    <w:p w14:paraId="72F941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7.</w:t>
      </w:r>
      <w:r>
        <w:rPr>
          <w:rFonts w:hint="default" w:ascii="Times New Roman" w:hAnsi="Times New Roman" w:eastAsia="方正仿宋_GBK" w:cstheme="minorBidi"/>
          <w:snapToGrid/>
          <w:kern w:val="2"/>
          <w:sz w:val="32"/>
          <w:szCs w:val="32"/>
          <w:lang w:val="en-US" w:eastAsia="zh-CN"/>
        </w:rPr>
        <w:t>其他与绩效评价相关的文件资料等。</w:t>
      </w:r>
    </w:p>
    <w:p w14:paraId="460E65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heme="minorBidi"/>
          <w:snapToGrid/>
          <w:kern w:val="2"/>
          <w:sz w:val="32"/>
          <w:szCs w:val="32"/>
          <w:lang w:val="en-US" w:eastAsia="zh-CN"/>
        </w:rPr>
      </w:pPr>
      <w:bookmarkStart w:id="14" w:name="_Toc11213"/>
      <w:r>
        <w:rPr>
          <w:rFonts w:hint="default" w:ascii="Times New Roman" w:hAnsi="Times New Roman" w:eastAsia="方正楷体_GBK" w:cstheme="minorBidi"/>
          <w:snapToGrid/>
          <w:kern w:val="2"/>
          <w:sz w:val="32"/>
          <w:szCs w:val="32"/>
          <w:lang w:val="en-US" w:eastAsia="zh-CN"/>
        </w:rPr>
        <w:t>（三）评价对象和资金范围</w:t>
      </w:r>
      <w:bookmarkEnd w:id="14"/>
    </w:p>
    <w:p w14:paraId="1C6F4D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1.评价对象：</w:t>
      </w:r>
      <w:r>
        <w:rPr>
          <w:rFonts w:hint="eastAsia" w:ascii="Times New Roman" w:hAnsi="Times New Roman" w:eastAsia="方正仿宋_GBK" w:cstheme="minorBidi"/>
          <w:snapToGrid/>
          <w:kern w:val="2"/>
          <w:sz w:val="32"/>
          <w:szCs w:val="32"/>
          <w:lang w:val="en-US" w:eastAsia="zh-CN"/>
        </w:rPr>
        <w:t>徐水区工信局2023年部门整体。</w:t>
      </w:r>
    </w:p>
    <w:p w14:paraId="6FEDE3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2.资金范围：202</w:t>
      </w:r>
      <w:r>
        <w:rPr>
          <w:rFonts w:hint="eastAsia" w:ascii="Times New Roman" w:hAnsi="Times New Roman" w:eastAsia="方正仿宋_GBK" w:cstheme="minorBidi"/>
          <w:snapToGrid/>
          <w:kern w:val="2"/>
          <w:sz w:val="32"/>
          <w:szCs w:val="32"/>
          <w:lang w:val="en-US" w:eastAsia="zh-CN"/>
        </w:rPr>
        <w:t>3</w:t>
      </w:r>
      <w:r>
        <w:rPr>
          <w:rFonts w:hint="default" w:ascii="Times New Roman" w:hAnsi="Times New Roman" w:eastAsia="方正仿宋_GBK" w:cstheme="minorBidi"/>
          <w:snapToGrid/>
          <w:kern w:val="2"/>
          <w:sz w:val="32"/>
          <w:szCs w:val="32"/>
          <w:lang w:val="en-US" w:eastAsia="zh-CN"/>
        </w:rPr>
        <w:t>年度</w:t>
      </w:r>
      <w:r>
        <w:rPr>
          <w:rFonts w:hint="eastAsia" w:ascii="Times New Roman" w:hAnsi="Times New Roman" w:eastAsia="方正仿宋_GBK" w:cstheme="minorBidi"/>
          <w:snapToGrid/>
          <w:kern w:val="2"/>
          <w:sz w:val="32"/>
          <w:szCs w:val="32"/>
          <w:lang w:val="en-US" w:eastAsia="zh-CN"/>
        </w:rPr>
        <w:t>保定市徐水区</w:t>
      </w:r>
      <w:r>
        <w:rPr>
          <w:rFonts w:hint="default" w:ascii="Times New Roman" w:hAnsi="Times New Roman" w:eastAsia="方正仿宋_GBK" w:cstheme="minorBidi"/>
          <w:snapToGrid/>
          <w:kern w:val="2"/>
          <w:sz w:val="32"/>
          <w:szCs w:val="32"/>
          <w:lang w:val="en-US" w:eastAsia="zh-CN"/>
        </w:rPr>
        <w:t>工业和信息化局整体支出资金</w:t>
      </w:r>
      <w:r>
        <w:rPr>
          <w:rFonts w:hint="eastAsia" w:ascii="Times New Roman" w:hAnsi="Times New Roman" w:eastAsia="方正仿宋_GBK" w:cstheme="minorBidi"/>
          <w:snapToGrid/>
          <w:kern w:val="2"/>
          <w:sz w:val="32"/>
          <w:szCs w:val="32"/>
          <w:lang w:val="en-US" w:eastAsia="zh-CN"/>
        </w:rPr>
        <w:t>3420.78</w:t>
      </w:r>
      <w:r>
        <w:rPr>
          <w:rFonts w:hint="default" w:ascii="Times New Roman" w:hAnsi="Times New Roman" w:eastAsia="方正仿宋_GBK" w:cstheme="minorBidi"/>
          <w:snapToGrid/>
          <w:kern w:val="2"/>
          <w:sz w:val="32"/>
          <w:szCs w:val="32"/>
          <w:lang w:val="en-US" w:eastAsia="zh-CN"/>
        </w:rPr>
        <w:t>万元，其中：基本支出</w:t>
      </w:r>
      <w:r>
        <w:rPr>
          <w:rFonts w:hint="eastAsia" w:ascii="Times New Roman" w:hAnsi="Times New Roman" w:eastAsia="方正仿宋_GBK" w:cstheme="minorBidi"/>
          <w:snapToGrid/>
          <w:kern w:val="2"/>
          <w:sz w:val="32"/>
          <w:szCs w:val="32"/>
          <w:lang w:val="en-US" w:eastAsia="zh-CN"/>
        </w:rPr>
        <w:t>1040.33</w:t>
      </w:r>
      <w:r>
        <w:rPr>
          <w:rFonts w:hint="default" w:ascii="Times New Roman" w:hAnsi="Times New Roman" w:eastAsia="方正仿宋_GBK" w:cstheme="minorBidi"/>
          <w:snapToGrid/>
          <w:kern w:val="2"/>
          <w:sz w:val="32"/>
          <w:szCs w:val="32"/>
          <w:lang w:val="en-US" w:eastAsia="zh-CN"/>
        </w:rPr>
        <w:t>万元，项目支出</w:t>
      </w:r>
      <w:r>
        <w:rPr>
          <w:rFonts w:hint="eastAsia" w:ascii="Times New Roman" w:hAnsi="Times New Roman" w:eastAsia="方正仿宋_GBK" w:cstheme="minorBidi"/>
          <w:snapToGrid/>
          <w:kern w:val="2"/>
          <w:sz w:val="32"/>
          <w:szCs w:val="32"/>
          <w:lang w:val="en-US" w:eastAsia="zh-CN"/>
        </w:rPr>
        <w:t>2380.45</w:t>
      </w:r>
      <w:r>
        <w:rPr>
          <w:rFonts w:hint="default" w:ascii="Times New Roman" w:hAnsi="Times New Roman" w:eastAsia="方正仿宋_GBK" w:cstheme="minorBidi"/>
          <w:snapToGrid/>
          <w:kern w:val="2"/>
          <w:sz w:val="32"/>
          <w:szCs w:val="32"/>
          <w:lang w:val="en-US" w:eastAsia="zh-CN"/>
        </w:rPr>
        <w:t>万元。</w:t>
      </w:r>
    </w:p>
    <w:p w14:paraId="778259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heme="minorBidi"/>
          <w:snapToGrid/>
          <w:kern w:val="2"/>
          <w:sz w:val="32"/>
          <w:szCs w:val="32"/>
          <w:lang w:val="en-US" w:eastAsia="zh-CN"/>
        </w:rPr>
      </w:pPr>
      <w:bookmarkStart w:id="15" w:name="_Toc10531"/>
      <w:r>
        <w:rPr>
          <w:rFonts w:hint="default" w:ascii="Times New Roman" w:hAnsi="Times New Roman" w:eastAsia="方正楷体_GBK" w:cstheme="minorBidi"/>
          <w:snapToGrid/>
          <w:kern w:val="2"/>
          <w:sz w:val="32"/>
          <w:szCs w:val="32"/>
          <w:lang w:val="en-US" w:eastAsia="zh-CN"/>
        </w:rPr>
        <w:t>（四）评价原则</w:t>
      </w:r>
      <w:r>
        <w:rPr>
          <w:rFonts w:hint="eastAsia" w:ascii="Times New Roman" w:hAnsi="Times New Roman" w:eastAsia="方正楷体_GBK" w:cstheme="minorBidi"/>
          <w:snapToGrid/>
          <w:kern w:val="2"/>
          <w:sz w:val="32"/>
          <w:szCs w:val="32"/>
          <w:lang w:val="en-US" w:eastAsia="zh-CN"/>
        </w:rPr>
        <w:t>、</w:t>
      </w:r>
      <w:r>
        <w:rPr>
          <w:rFonts w:hint="default" w:ascii="Times New Roman" w:hAnsi="Times New Roman" w:eastAsia="方正楷体_GBK" w:cstheme="minorBidi"/>
          <w:snapToGrid/>
          <w:kern w:val="2"/>
          <w:sz w:val="32"/>
          <w:szCs w:val="32"/>
          <w:lang w:val="en-US" w:eastAsia="zh-CN"/>
        </w:rPr>
        <w:t>评价方法</w:t>
      </w:r>
      <w:r>
        <w:rPr>
          <w:rFonts w:hint="eastAsia" w:ascii="Times New Roman" w:hAnsi="Times New Roman" w:eastAsia="方正楷体_GBK" w:cstheme="minorBidi"/>
          <w:snapToGrid/>
          <w:kern w:val="2"/>
          <w:sz w:val="32"/>
          <w:szCs w:val="32"/>
          <w:lang w:val="en-US" w:eastAsia="zh-CN"/>
        </w:rPr>
        <w:t>及标准</w:t>
      </w:r>
      <w:bookmarkEnd w:id="15"/>
    </w:p>
    <w:p w14:paraId="0DCB44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1.评价基本原则</w:t>
      </w:r>
    </w:p>
    <w:p w14:paraId="59524B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绩效评价应当遵循以下基本原则：</w:t>
      </w:r>
    </w:p>
    <w:p w14:paraId="20B17C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（1）科学公正。绩效评价应当运用科学合理的方法，按照规范的程序，对项目绩效进行客观、公正的反映。</w:t>
      </w:r>
    </w:p>
    <w:p w14:paraId="00E790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（2）统筹兼顾。单位自评、部门评价和财政评价应职责明确，各有侧重，相互衔接。单位自评应由项目单位自主实施，即</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谁支出、谁自评</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。部门评价和财政评价应在单位自评的基础上开展，必要时可委托第三方机构实施。</w:t>
      </w:r>
    </w:p>
    <w:p w14:paraId="4308C1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（3）激励约束。绩效评价结果应与预算安排、政策调整、改进管理实质性挂钩，体现奖优罚劣和激励相容导向，有效要安排、低效要压减、无效要问责。</w:t>
      </w:r>
    </w:p>
    <w:p w14:paraId="170848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（4）公开透明。绩效评价结果应依法依规公开，并自觉接受社会监督。</w:t>
      </w:r>
    </w:p>
    <w:p w14:paraId="445231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2.评价方式方法</w:t>
      </w:r>
    </w:p>
    <w:p w14:paraId="5B2BEF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本次绩效评价选取成本效益分析法、因素分析法、比较法、公众评判法。</w:t>
      </w:r>
    </w:p>
    <w:p w14:paraId="50AE06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（1）成本效益分析法。是指将一定时期内的支出与效益进行对比分析，以评价绩效目标实现程度。</w:t>
      </w:r>
    </w:p>
    <w:p w14:paraId="1C7C03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（2）比较法。是指通过对绩效目标与实施效果、历史与当期情况的比较，综合分析绩效目标实现程度。</w:t>
      </w:r>
    </w:p>
    <w:p w14:paraId="3C96DB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（3）因素分析法。是指通过综合分析影响绩效目标实现、实施效果的内外因素，评价绩效目标实现程度。</w:t>
      </w:r>
    </w:p>
    <w:p w14:paraId="5EBDFD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（4）公众评判法。是指通过专家评估、公众问卷及抽样调查等对财政支出效果进行评判，评价绩效目标实现程度。</w:t>
      </w:r>
    </w:p>
    <w:p w14:paraId="575590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w:t>
      </w:r>
      <w:r>
        <w:rPr>
          <w:rFonts w:hint="default" w:ascii="Times New Roman" w:hAnsi="Times New Roman" w:eastAsia="方正仿宋_GBK" w:cstheme="minorBidi"/>
          <w:snapToGrid/>
          <w:kern w:val="2"/>
          <w:sz w:val="32"/>
          <w:szCs w:val="32"/>
          <w:lang w:val="en-US" w:eastAsia="zh-CN"/>
        </w:rPr>
        <w:t>.评价标准</w:t>
      </w:r>
    </w:p>
    <w:p w14:paraId="6E8DC3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本次评价运用计划标准、行业标准、历史标准等对绩效指标 完成情况进行评价。</w:t>
      </w:r>
    </w:p>
    <w:p w14:paraId="249910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1</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计划标准：是指以预先制定的目标、计划、定额等作为评价标准。</w:t>
      </w:r>
    </w:p>
    <w:p w14:paraId="2250A0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2</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行业标准：是指参照国家公布的行业指标数据制定的评价标准。</w:t>
      </w:r>
    </w:p>
    <w:p w14:paraId="3C806E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3</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历史标准：是指参照历史数据制定的评价标准，为体现绩效改进的原则，在可实现的条件下应当确定相对较高的评价标准。</w:t>
      </w:r>
    </w:p>
    <w:p w14:paraId="7C3827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仿宋"/>
          <w:spacing w:val="4"/>
          <w:sz w:val="32"/>
          <w:szCs w:val="32"/>
          <w:lang w:val="en-US" w:eastAsia="zh-CN"/>
        </w:rPr>
      </w:pP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4</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其他标准：其他有参考价值的标准</w:t>
      </w:r>
      <w:r>
        <w:rPr>
          <w:rFonts w:hint="default" w:ascii="Times New Roman" w:hAnsi="Times New Roman" w:eastAsia="仿宋" w:cs="仿宋"/>
          <w:spacing w:val="4"/>
          <w:sz w:val="32"/>
          <w:szCs w:val="32"/>
          <w:lang w:val="en-US" w:eastAsia="zh-CN"/>
        </w:rPr>
        <w:t>。</w:t>
      </w:r>
    </w:p>
    <w:p w14:paraId="385F30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heme="minorBidi"/>
          <w:snapToGrid/>
          <w:kern w:val="2"/>
          <w:sz w:val="32"/>
          <w:szCs w:val="32"/>
          <w:lang w:val="en-US" w:eastAsia="zh-CN"/>
        </w:rPr>
      </w:pPr>
      <w:bookmarkStart w:id="16" w:name="_Toc11122"/>
      <w:r>
        <w:rPr>
          <w:rFonts w:hint="eastAsia" w:ascii="Times New Roman" w:hAnsi="Times New Roman" w:eastAsia="方正楷体_GBK" w:cstheme="minorBidi"/>
          <w:snapToGrid/>
          <w:kern w:val="2"/>
          <w:sz w:val="32"/>
          <w:szCs w:val="32"/>
          <w:lang w:val="en-US" w:eastAsia="zh-CN"/>
        </w:rPr>
        <w:t>（五）</w:t>
      </w:r>
      <w:r>
        <w:rPr>
          <w:rFonts w:hint="default" w:ascii="Times New Roman" w:hAnsi="Times New Roman" w:eastAsia="方正楷体_GBK" w:cstheme="minorBidi"/>
          <w:snapToGrid/>
          <w:kern w:val="2"/>
          <w:sz w:val="32"/>
          <w:szCs w:val="32"/>
          <w:lang w:val="en-US" w:eastAsia="zh-CN"/>
        </w:rPr>
        <w:t>绩效评价指标体系及设计思路</w:t>
      </w:r>
      <w:bookmarkEnd w:id="16"/>
    </w:p>
    <w:p w14:paraId="0D01F7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绩效评价框架是开展绩效评价的核心。绩效评价框架包括评价准则、关键评价问题、评价指标、证据、证据来源、证据收集方法等。指标体系建立过程如下：</w:t>
      </w:r>
    </w:p>
    <w:p w14:paraId="5B17DB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1.确定评价指标</w:t>
      </w:r>
    </w:p>
    <w:p w14:paraId="04F566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绩效评价将指标分为投入、过程、产出和效果四个层次，最终形成一个由多个相互联系的指标组成的多层次指标体系。在 202</w:t>
      </w:r>
      <w:r>
        <w:rPr>
          <w:rFonts w:hint="eastAsia" w:ascii="Times New Roman" w:hAnsi="Times New Roman" w:eastAsia="方正仿宋_GBK" w:cstheme="minorBidi"/>
          <w:snapToGrid/>
          <w:kern w:val="2"/>
          <w:sz w:val="32"/>
          <w:szCs w:val="32"/>
          <w:lang w:val="en-US" w:eastAsia="zh-CN"/>
        </w:rPr>
        <w:t>3</w:t>
      </w:r>
      <w:r>
        <w:rPr>
          <w:rFonts w:hint="default" w:ascii="Times New Roman" w:hAnsi="Times New Roman" w:eastAsia="方正仿宋_GBK" w:cstheme="minorBidi"/>
          <w:snapToGrid/>
          <w:kern w:val="2"/>
          <w:sz w:val="32"/>
          <w:szCs w:val="32"/>
          <w:lang w:val="en-US" w:eastAsia="zh-CN"/>
        </w:rPr>
        <w:t>年</w:t>
      </w:r>
      <w:r>
        <w:rPr>
          <w:rFonts w:hint="eastAsia" w:ascii="Times New Roman" w:hAnsi="Times New Roman" w:eastAsia="方正仿宋_GBK" w:cstheme="minorBidi"/>
          <w:snapToGrid/>
          <w:kern w:val="2"/>
          <w:sz w:val="32"/>
          <w:szCs w:val="32"/>
          <w:lang w:val="en-US" w:eastAsia="zh-CN"/>
        </w:rPr>
        <w:t>保定市徐水区</w:t>
      </w:r>
      <w:r>
        <w:rPr>
          <w:rFonts w:hint="default" w:ascii="Times New Roman" w:hAnsi="Times New Roman" w:eastAsia="方正仿宋_GBK" w:cstheme="minorBidi"/>
          <w:snapToGrid/>
          <w:kern w:val="2"/>
          <w:sz w:val="32"/>
          <w:szCs w:val="32"/>
          <w:lang w:val="en-US" w:eastAsia="zh-CN"/>
        </w:rPr>
        <w:t>工业和信息化局部门整体支出绩效评价体系框架下，重点关注产出及效益等指标。</w:t>
      </w:r>
    </w:p>
    <w:p w14:paraId="74E218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2.确定权重</w:t>
      </w:r>
    </w:p>
    <w:p w14:paraId="2A3D2A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根据实际情况，确定各个指标相对于项目总体绩效的权重分值。</w:t>
      </w:r>
    </w:p>
    <w:p w14:paraId="1585F5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3.确定指标标准值</w:t>
      </w:r>
    </w:p>
    <w:p w14:paraId="7FC979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指标标准值是绩效评价指标的尺度，依据计划标准和历史标准确定指标标准值，既要反映同类项目的先进水平，又要符合项目的实际绩效水平。</w:t>
      </w:r>
    </w:p>
    <w:p w14:paraId="24E0E8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w:t>
      </w:r>
      <w:r>
        <w:rPr>
          <w:rFonts w:hint="default" w:ascii="Times New Roman" w:hAnsi="Times New Roman" w:eastAsia="方正仿宋_GBK" w:cstheme="minorBidi"/>
          <w:snapToGrid/>
          <w:kern w:val="2"/>
          <w:sz w:val="32"/>
          <w:szCs w:val="32"/>
          <w:lang w:val="en-US" w:eastAsia="zh-CN"/>
        </w:rPr>
        <w:t>部门整体绩效评价指标体系</w:t>
      </w:r>
    </w:p>
    <w:p w14:paraId="13EF2A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根据预算绩效管理改革的有关政策和文件规定，经与徐水区工信局沟通，以绩效预算架构为指导，以单位预算文本及相关资料为基础，制定了部门整体绩效评价指标体系</w:t>
      </w:r>
      <w:r>
        <w:rPr>
          <w:rFonts w:hint="eastAsia" w:ascii="Times New Roman" w:hAnsi="Times New Roman" w:eastAsia="方正仿宋_GBK" w:cstheme="minorBidi"/>
          <w:snapToGrid/>
          <w:kern w:val="2"/>
          <w:sz w:val="32"/>
          <w:szCs w:val="32"/>
          <w:lang w:val="en-US" w:eastAsia="zh-CN"/>
        </w:rPr>
        <w:t>。</w:t>
      </w:r>
    </w:p>
    <w:p w14:paraId="0A8D64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绩效评价指标体系设置一级指标</w:t>
      </w:r>
      <w:r>
        <w:rPr>
          <w:rFonts w:hint="eastAsia" w:ascii="Times New Roman" w:hAnsi="Times New Roman" w:eastAsia="方正仿宋_GBK" w:cstheme="minorBidi"/>
          <w:snapToGrid/>
          <w:kern w:val="2"/>
          <w:sz w:val="32"/>
          <w:szCs w:val="32"/>
          <w:lang w:val="en-US" w:eastAsia="zh-CN"/>
        </w:rPr>
        <w:t>4</w:t>
      </w:r>
      <w:r>
        <w:rPr>
          <w:rFonts w:hint="default" w:ascii="Times New Roman" w:hAnsi="Times New Roman" w:eastAsia="方正仿宋_GBK" w:cstheme="minorBidi"/>
          <w:snapToGrid/>
          <w:kern w:val="2"/>
          <w:sz w:val="32"/>
          <w:szCs w:val="32"/>
          <w:lang w:val="en-US" w:eastAsia="zh-CN"/>
        </w:rPr>
        <w:t>个，二级指标</w:t>
      </w:r>
      <w:r>
        <w:rPr>
          <w:rFonts w:hint="eastAsia" w:ascii="Times New Roman" w:hAnsi="Times New Roman" w:eastAsia="方正仿宋_GBK" w:cstheme="minorBidi"/>
          <w:snapToGrid/>
          <w:kern w:val="2"/>
          <w:sz w:val="32"/>
          <w:szCs w:val="32"/>
          <w:lang w:val="en-US" w:eastAsia="zh-CN"/>
        </w:rPr>
        <w:t>8</w:t>
      </w:r>
      <w:r>
        <w:rPr>
          <w:rFonts w:hint="default" w:ascii="Times New Roman" w:hAnsi="Times New Roman" w:eastAsia="方正仿宋_GBK" w:cstheme="minorBidi"/>
          <w:snapToGrid/>
          <w:kern w:val="2"/>
          <w:sz w:val="32"/>
          <w:szCs w:val="32"/>
          <w:lang w:val="en-US" w:eastAsia="zh-CN"/>
        </w:rPr>
        <w:t>个，三级指标</w:t>
      </w:r>
      <w:r>
        <w:rPr>
          <w:rFonts w:hint="eastAsia" w:ascii="Times New Roman" w:hAnsi="Times New Roman" w:eastAsia="方正仿宋_GBK" w:cstheme="minorBidi"/>
          <w:snapToGrid/>
          <w:kern w:val="2"/>
          <w:sz w:val="32"/>
          <w:szCs w:val="32"/>
          <w:lang w:val="en-US" w:eastAsia="zh-CN"/>
        </w:rPr>
        <w:t>30</w:t>
      </w:r>
      <w:r>
        <w:rPr>
          <w:rFonts w:hint="default" w:ascii="Times New Roman" w:hAnsi="Times New Roman" w:eastAsia="方正仿宋_GBK" w:cstheme="minorBidi"/>
          <w:snapToGrid/>
          <w:kern w:val="2"/>
          <w:sz w:val="32"/>
          <w:szCs w:val="32"/>
          <w:lang w:val="en-US" w:eastAsia="zh-CN"/>
        </w:rPr>
        <w:t>个。其中一级指标分为</w:t>
      </w:r>
      <w:r>
        <w:rPr>
          <w:rFonts w:hint="eastAsia" w:ascii="Times New Roman" w:hAnsi="Times New Roman" w:eastAsia="方正仿宋_GBK" w:cstheme="minorBidi"/>
          <w:snapToGrid/>
          <w:kern w:val="2"/>
          <w:sz w:val="32"/>
          <w:szCs w:val="32"/>
          <w:lang w:val="en-US" w:eastAsia="zh-CN"/>
        </w:rPr>
        <w:t>投入</w:t>
      </w:r>
      <w:r>
        <w:rPr>
          <w:rFonts w:hint="default" w:ascii="Times New Roman" w:hAnsi="Times New Roman" w:eastAsia="方正仿宋_GBK" w:cstheme="minorBidi"/>
          <w:snapToGrid/>
          <w:kern w:val="2"/>
          <w:sz w:val="32"/>
          <w:szCs w:val="32"/>
          <w:lang w:val="en-US" w:eastAsia="zh-CN"/>
        </w:rPr>
        <w:t>、</w:t>
      </w:r>
      <w:r>
        <w:rPr>
          <w:rFonts w:hint="eastAsia" w:ascii="Times New Roman" w:hAnsi="Times New Roman" w:eastAsia="方正仿宋_GBK" w:cstheme="minorBidi"/>
          <w:snapToGrid/>
          <w:kern w:val="2"/>
          <w:sz w:val="32"/>
          <w:szCs w:val="32"/>
          <w:lang w:val="en-US" w:eastAsia="zh-CN"/>
        </w:rPr>
        <w:t>过程</w:t>
      </w:r>
      <w:r>
        <w:rPr>
          <w:rFonts w:hint="default" w:ascii="Times New Roman" w:hAnsi="Times New Roman" w:eastAsia="方正仿宋_GBK" w:cstheme="minorBidi"/>
          <w:snapToGrid/>
          <w:kern w:val="2"/>
          <w:sz w:val="32"/>
          <w:szCs w:val="32"/>
          <w:lang w:val="en-US" w:eastAsia="zh-CN"/>
        </w:rPr>
        <w:t>、</w:t>
      </w:r>
      <w:r>
        <w:rPr>
          <w:rFonts w:hint="eastAsia" w:ascii="Times New Roman" w:hAnsi="Times New Roman" w:eastAsia="方正仿宋_GBK" w:cstheme="minorBidi"/>
          <w:snapToGrid/>
          <w:kern w:val="2"/>
          <w:sz w:val="32"/>
          <w:szCs w:val="32"/>
          <w:lang w:val="en-US" w:eastAsia="zh-CN"/>
        </w:rPr>
        <w:t>产出、效果四</w:t>
      </w:r>
      <w:r>
        <w:rPr>
          <w:rFonts w:hint="default" w:ascii="Times New Roman" w:hAnsi="Times New Roman" w:eastAsia="方正仿宋_GBK" w:cstheme="minorBidi"/>
          <w:snapToGrid/>
          <w:kern w:val="2"/>
          <w:sz w:val="32"/>
          <w:szCs w:val="32"/>
          <w:lang w:val="en-US" w:eastAsia="zh-CN"/>
        </w:rPr>
        <w:t>个维度，二级指标从</w:t>
      </w:r>
      <w:r>
        <w:rPr>
          <w:rFonts w:hint="eastAsia" w:ascii="Times New Roman" w:hAnsi="Times New Roman" w:eastAsia="方正仿宋_GBK" w:cstheme="minorBidi"/>
          <w:snapToGrid/>
          <w:kern w:val="2"/>
          <w:sz w:val="32"/>
          <w:szCs w:val="32"/>
          <w:lang w:val="en-US" w:eastAsia="zh-CN"/>
        </w:rPr>
        <w:t>目标设定</w:t>
      </w:r>
      <w:r>
        <w:rPr>
          <w:rFonts w:hint="default" w:ascii="Times New Roman" w:hAnsi="Times New Roman" w:eastAsia="方正仿宋_GBK" w:cstheme="minorBidi"/>
          <w:snapToGrid/>
          <w:kern w:val="2"/>
          <w:sz w:val="32"/>
          <w:szCs w:val="32"/>
          <w:lang w:val="en-US" w:eastAsia="zh-CN"/>
        </w:rPr>
        <w:t>、</w:t>
      </w:r>
      <w:r>
        <w:rPr>
          <w:rFonts w:hint="eastAsia" w:ascii="Times New Roman" w:hAnsi="Times New Roman" w:eastAsia="方正仿宋_GBK" w:cstheme="minorBidi"/>
          <w:snapToGrid/>
          <w:kern w:val="2"/>
          <w:sz w:val="32"/>
          <w:szCs w:val="32"/>
          <w:lang w:val="en-US" w:eastAsia="zh-CN"/>
        </w:rPr>
        <w:t>资金投入、预算配置、预算执行、预算管理、资产管理、履行职责、履职效益8</w:t>
      </w:r>
      <w:r>
        <w:rPr>
          <w:rFonts w:hint="default" w:ascii="Times New Roman" w:hAnsi="Times New Roman" w:eastAsia="方正仿宋_GBK" w:cstheme="minorBidi"/>
          <w:snapToGrid/>
          <w:kern w:val="2"/>
          <w:sz w:val="32"/>
          <w:szCs w:val="32"/>
          <w:lang w:val="en-US" w:eastAsia="zh-CN"/>
        </w:rPr>
        <w:t>个方面进行了细化分解，三级指标是在结合单位具体情况基础上，对二级指标进行细化，突出可量化、可评价。</w:t>
      </w:r>
    </w:p>
    <w:p w14:paraId="0AF99F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5</w:t>
      </w:r>
      <w:r>
        <w:rPr>
          <w:rFonts w:hint="default" w:ascii="Times New Roman" w:hAnsi="Times New Roman" w:eastAsia="方正仿宋_GBK" w:cstheme="minorBidi"/>
          <w:snapToGrid/>
          <w:kern w:val="2"/>
          <w:sz w:val="32"/>
          <w:szCs w:val="32"/>
          <w:lang w:val="en-US" w:eastAsia="zh-CN"/>
        </w:rPr>
        <w:t>.综合绩效评价级次评定标准</w:t>
      </w:r>
    </w:p>
    <w:p w14:paraId="6EF295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绩效评价结果采取评分和评级相结合的方式，具体分值和等级可根据不同评价内容设定。绩效评价指标体系设定满分100分，绩效评价分值≥90为</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优</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80≤分值&lt;90为</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良</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60≤分值&lt;80为</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中</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60分以下为</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差</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具体指标体系详见附件</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w:t>
      </w:r>
    </w:p>
    <w:p w14:paraId="78480D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heme="minorBidi"/>
          <w:snapToGrid/>
          <w:kern w:val="2"/>
          <w:sz w:val="32"/>
          <w:szCs w:val="32"/>
          <w:lang w:val="en-US" w:eastAsia="zh-CN"/>
        </w:rPr>
      </w:pPr>
      <w:bookmarkStart w:id="17" w:name="_Toc10749"/>
      <w:r>
        <w:rPr>
          <w:rFonts w:hint="eastAsia" w:ascii="Times New Roman" w:hAnsi="Times New Roman" w:eastAsia="方正楷体_GBK" w:cstheme="minorBidi"/>
          <w:snapToGrid/>
          <w:kern w:val="2"/>
          <w:sz w:val="32"/>
          <w:szCs w:val="32"/>
          <w:lang w:val="en-US" w:eastAsia="zh-CN"/>
        </w:rPr>
        <w:t>（六）绩效</w:t>
      </w:r>
      <w:r>
        <w:rPr>
          <w:rFonts w:hint="default" w:ascii="Times New Roman" w:hAnsi="Times New Roman" w:eastAsia="方正楷体_GBK" w:cstheme="minorBidi"/>
          <w:snapToGrid/>
          <w:kern w:val="2"/>
          <w:sz w:val="32"/>
          <w:szCs w:val="32"/>
          <w:lang w:val="en-US" w:eastAsia="zh-CN"/>
        </w:rPr>
        <w:t>评价工作过程</w:t>
      </w:r>
      <w:bookmarkEnd w:id="17"/>
    </w:p>
    <w:p w14:paraId="00E929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本次绩效评价工作经过了前期准备、绩效评价指标体系制定、组织实施、绩效评价报告撰写四个阶段。</w:t>
      </w:r>
    </w:p>
    <w:p w14:paraId="60F714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1.前期准备阶段</w:t>
      </w:r>
    </w:p>
    <w:p w14:paraId="023FBB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经与徐水区工信局充分沟通，并充分收集相关资料，主要包括部门职责、工作活动、预决算报表、相关管理制度、资金使用等相关资料，为制定绩效评价指标体系奠定基础。</w:t>
      </w:r>
    </w:p>
    <w:p w14:paraId="0D8E26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bookmarkStart w:id="18" w:name="bookmark26"/>
      <w:bookmarkEnd w:id="18"/>
      <w:r>
        <w:rPr>
          <w:rFonts w:hint="default" w:ascii="Times New Roman" w:hAnsi="Times New Roman" w:eastAsia="方正仿宋_GBK" w:cstheme="minorBidi"/>
          <w:snapToGrid/>
          <w:kern w:val="2"/>
          <w:sz w:val="32"/>
          <w:szCs w:val="32"/>
          <w:lang w:val="en-US" w:eastAsia="zh-CN"/>
        </w:rPr>
        <w:t>2.制定绩效评价指标体系</w:t>
      </w:r>
    </w:p>
    <w:p w14:paraId="71B504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基于对徐水区工信局的沟通了解及相关资料的收集，制定绩效评价指标体系，由保定市徐水区财政局相关人员对评价体系进行修正，确定最终绩效评价体系。</w:t>
      </w:r>
    </w:p>
    <w:p w14:paraId="1ED48C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3.组织实施阶段</w:t>
      </w:r>
    </w:p>
    <w:p w14:paraId="2D92BB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根据绩效评价指标体系，对徐水区工信局开展现场评价工作，包括查看预决算报表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进行评分。</w:t>
      </w:r>
    </w:p>
    <w:p w14:paraId="6A8C0F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4.撰写绩效评价报告</w:t>
      </w:r>
    </w:p>
    <w:p w14:paraId="4CE38F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在完成对各评价指标评分定级的基础上，开始进行报告撰写工作。在该阶段，我们对所有的指标评分值进行了重新复核，确保其一致性。报告撰写完成后经过内部讨论、与委托方交换沟通、审核修改报告，最终形成正式报告。</w:t>
      </w:r>
    </w:p>
    <w:p w14:paraId="246CFD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黑体_GBK" w:cs="方正黑体_GBK"/>
          <w:snapToGrid/>
          <w:kern w:val="2"/>
          <w:sz w:val="32"/>
          <w:szCs w:val="32"/>
          <w:lang w:val="en-US" w:eastAsia="zh-CN"/>
        </w:rPr>
      </w:pPr>
      <w:bookmarkStart w:id="19" w:name="_Toc162"/>
      <w:r>
        <w:rPr>
          <w:rFonts w:hint="eastAsia" w:ascii="Times New Roman" w:hAnsi="Times New Roman" w:eastAsia="方正黑体_GBK" w:cs="方正黑体_GBK"/>
          <w:snapToGrid/>
          <w:kern w:val="2"/>
          <w:sz w:val="32"/>
          <w:szCs w:val="32"/>
          <w:lang w:val="en-US" w:eastAsia="zh-CN"/>
        </w:rPr>
        <w:t>三、综合评价情况及评价结论</w:t>
      </w:r>
      <w:bookmarkEnd w:id="19"/>
    </w:p>
    <w:p w14:paraId="4C33DA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经评价，徐水区工信局202</w:t>
      </w:r>
      <w:r>
        <w:rPr>
          <w:rFonts w:hint="eastAsia" w:ascii="Times New Roman" w:hAnsi="Times New Roman" w:eastAsia="方正仿宋_GBK" w:cstheme="minorBidi"/>
          <w:snapToGrid/>
          <w:kern w:val="2"/>
          <w:sz w:val="32"/>
          <w:szCs w:val="32"/>
          <w:lang w:val="en-US" w:eastAsia="zh-CN"/>
        </w:rPr>
        <w:t>3</w:t>
      </w:r>
      <w:r>
        <w:rPr>
          <w:rFonts w:hint="default" w:ascii="Times New Roman" w:hAnsi="Times New Roman" w:eastAsia="方正仿宋_GBK" w:cstheme="minorBidi"/>
          <w:snapToGrid/>
          <w:kern w:val="2"/>
          <w:sz w:val="32"/>
          <w:szCs w:val="32"/>
          <w:lang w:val="en-US" w:eastAsia="zh-CN"/>
        </w:rPr>
        <w:t>年部门整体绩效评价总得分为</w:t>
      </w:r>
      <w:r>
        <w:rPr>
          <w:rFonts w:hint="eastAsia" w:ascii="Times New Roman" w:hAnsi="Times New Roman" w:eastAsia="方正仿宋_GBK" w:cstheme="minorBidi"/>
          <w:snapToGrid/>
          <w:kern w:val="2"/>
          <w:sz w:val="32"/>
          <w:szCs w:val="32"/>
          <w:lang w:val="en-US" w:eastAsia="zh-CN"/>
        </w:rPr>
        <w:t>92.68</w:t>
      </w:r>
      <w:r>
        <w:rPr>
          <w:rFonts w:hint="default" w:ascii="Times New Roman" w:hAnsi="Times New Roman" w:eastAsia="方正仿宋_GBK" w:cstheme="minorBidi"/>
          <w:snapToGrid/>
          <w:kern w:val="2"/>
          <w:sz w:val="32"/>
          <w:szCs w:val="32"/>
          <w:lang w:val="en-US" w:eastAsia="zh-CN"/>
        </w:rPr>
        <w:t>分，评价等级为</w:t>
      </w:r>
      <w:r>
        <w:rPr>
          <w:rFonts w:hint="eastAsia" w:ascii="Times New Roman" w:hAnsi="Times New Roman" w:eastAsia="方正仿宋_GBK" w:cstheme="minorBidi"/>
          <w:snapToGrid/>
          <w:kern w:val="2"/>
          <w:sz w:val="32"/>
          <w:szCs w:val="32"/>
          <w:lang w:val="en-US" w:eastAsia="zh-CN"/>
        </w:rPr>
        <w:t>”优”</w:t>
      </w:r>
      <w:r>
        <w:rPr>
          <w:rFonts w:hint="default" w:ascii="Times New Roman" w:hAnsi="Times New Roman" w:eastAsia="方正仿宋_GBK" w:cstheme="minorBidi"/>
          <w:snapToGrid/>
          <w:kern w:val="2"/>
          <w:sz w:val="32"/>
          <w:szCs w:val="32"/>
          <w:lang w:val="en-US" w:eastAsia="zh-CN"/>
        </w:rPr>
        <w:t>。结合单位职责、年初预算及绩效评价指标体系等内容，对徐水区工信局作出如下评价：</w:t>
      </w:r>
    </w:p>
    <w:p w14:paraId="4BEF2E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一是预算绩效管理水平不断完善。徐水区工信局紧紧围绕”三定”方案规定的部门职责开展工作活动，并按部门职责在相应工作活动下，由财务人员与项目管理人员共同设立绩效目标，对年初预算项目设定分项绩效目标及绩效指标，绩效目标设立依据充分，符合客观实际，与部门职责、工作规划和重点工作相关，绩效指标清晰、细化、可衡量、可评价。</w:t>
      </w:r>
    </w:p>
    <w:p w14:paraId="628142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二是业务管理水平逐渐规范。从预算情况看，徐水区工信局按预算编制要求在年初对所有项目预算进行细化，及时上报，预算编制合规；从部门履职情况看，积极履职，强化管理，制定了项目、财务、资产等相关管理制度，按”三重一大”政策要求，对申报预算的项目认真进行前期论证，按制度要求对各项业务进行规范管理；从项目完成情况看，大部分项目按设定的目标计划按时完成，充分发挥了财政资金使用效益。</w:t>
      </w:r>
    </w:p>
    <w:p w14:paraId="2EA626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三是部门整体效益情况良好。徐水区工信局较好地完成了2023年的绩效目标。一是通过补助资金的发放，调动了企业生产积极性、进一步扩大了生产经营、促进了技能转型升级、提升了企业科技创新能力、推动了企业稳定发展，在承接产业转移、助推经济转型升级，在推动全市建设中发挥重要作用；二是按照政府决策部署，足额保障”三保”政策落实、不折不扣落实政府”过紧日子”要求，严格控制”三公经费”、从紧安排项目支出，重大政策落实较好。三是通过完成政府交办任务，支付企业改制后人员社保工资、支付中央企业军转干部解困补助等经费，保障了企业改制的稳定衔接，减少了人员上访，有助于社会和谐稳定发展。</w:t>
      </w:r>
    </w:p>
    <w:p w14:paraId="49641A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通过本次绩效评价工作，我们也发现徐水区工信局在绩效管理、项目管理、预算监控等方面仍存在一些不足之处：（1）预算编制、绩效管理和指标设置有待进一步提高；（2）项目管理有待加强；（3）三公经费变动幅度大；（4）未及时跟踪项目进度，开展预算绩效运行监控分析，导致个别项目预算执行未完成。</w:t>
      </w:r>
    </w:p>
    <w:p w14:paraId="7A383C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黑体_GBK" w:cs="方正黑体_GBK"/>
          <w:snapToGrid/>
          <w:kern w:val="2"/>
          <w:sz w:val="32"/>
          <w:szCs w:val="32"/>
          <w:lang w:val="en-US" w:eastAsia="zh-CN"/>
        </w:rPr>
      </w:pPr>
      <w:bookmarkStart w:id="20" w:name="_Toc7637"/>
      <w:r>
        <w:rPr>
          <w:rFonts w:hint="eastAsia" w:ascii="Times New Roman" w:hAnsi="Times New Roman" w:eastAsia="方正黑体_GBK" w:cs="方正黑体_GBK"/>
          <w:snapToGrid/>
          <w:kern w:val="2"/>
          <w:sz w:val="32"/>
          <w:szCs w:val="32"/>
          <w:lang w:val="en-US" w:eastAsia="zh-CN"/>
        </w:rPr>
        <w:t>四、绩效评价指标分析</w:t>
      </w:r>
      <w:bookmarkEnd w:id="20"/>
    </w:p>
    <w:p w14:paraId="35168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通过对徐水区工信局2023年部门整体进行评价，徐水区工信局2023年部门整体绩效评价总得分为92.68分，综合绩效评</w:t>
      </w:r>
      <w:bookmarkStart w:id="21" w:name="bookmark27"/>
      <w:bookmarkEnd w:id="21"/>
      <w:r>
        <w:rPr>
          <w:rFonts w:hint="eastAsia" w:ascii="Times New Roman" w:hAnsi="Times New Roman" w:eastAsia="方正仿宋_GBK" w:cstheme="minorBidi"/>
          <w:snapToGrid/>
          <w:kern w:val="2"/>
          <w:sz w:val="32"/>
          <w:szCs w:val="32"/>
          <w:lang w:val="en-US" w:eastAsia="zh-CN"/>
        </w:rPr>
        <w:t>价等级为”优”。具体如下：</w:t>
      </w:r>
    </w:p>
    <w:tbl>
      <w:tblPr>
        <w:tblStyle w:val="11"/>
        <w:tblW w:w="0" w:type="auto"/>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Layout w:type="fixed"/>
        <w:tblCellMar>
          <w:top w:w="0" w:type="dxa"/>
          <w:left w:w="108" w:type="dxa"/>
          <w:bottom w:w="0" w:type="dxa"/>
          <w:right w:w="108" w:type="dxa"/>
        </w:tblCellMar>
      </w:tblPr>
      <w:tblGrid>
        <w:gridCol w:w="1559"/>
        <w:gridCol w:w="1459"/>
        <w:gridCol w:w="2477"/>
        <w:gridCol w:w="1232"/>
        <w:gridCol w:w="1142"/>
        <w:gridCol w:w="1062"/>
      </w:tblGrid>
      <w:tr w14:paraId="06E72FB4">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315" w:hRule="atLeast"/>
          <w:tblHeader/>
        </w:trPr>
        <w:tc>
          <w:tcPr>
            <w:tcW w:w="1559" w:type="dxa"/>
            <w:vMerge w:val="restart"/>
            <w:tcBorders>
              <w:tl2br w:val="nil"/>
              <w:tr2bl w:val="nil"/>
            </w:tcBorders>
            <w:shd w:val="clear" w:color="auto" w:fill="auto"/>
            <w:vAlign w:val="center"/>
          </w:tcPr>
          <w:p w14:paraId="24B948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一级指标</w:t>
            </w:r>
          </w:p>
        </w:tc>
        <w:tc>
          <w:tcPr>
            <w:tcW w:w="1459" w:type="dxa"/>
            <w:vMerge w:val="restart"/>
            <w:tcBorders>
              <w:tl2br w:val="nil"/>
              <w:tr2bl w:val="nil"/>
            </w:tcBorders>
            <w:shd w:val="clear" w:color="auto" w:fill="auto"/>
            <w:vAlign w:val="center"/>
          </w:tcPr>
          <w:p w14:paraId="187D40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二级指标</w:t>
            </w:r>
          </w:p>
        </w:tc>
        <w:tc>
          <w:tcPr>
            <w:tcW w:w="3709" w:type="dxa"/>
            <w:gridSpan w:val="2"/>
            <w:tcBorders>
              <w:tl2br w:val="nil"/>
              <w:tr2bl w:val="nil"/>
            </w:tcBorders>
            <w:shd w:val="clear" w:color="auto" w:fill="auto"/>
            <w:vAlign w:val="center"/>
          </w:tcPr>
          <w:p w14:paraId="1BF5D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三级指标</w:t>
            </w:r>
          </w:p>
        </w:tc>
        <w:tc>
          <w:tcPr>
            <w:tcW w:w="1142" w:type="dxa"/>
            <w:vMerge w:val="restart"/>
            <w:tcBorders>
              <w:tl2br w:val="nil"/>
              <w:tr2bl w:val="nil"/>
            </w:tcBorders>
            <w:shd w:val="clear" w:color="auto" w:fill="auto"/>
            <w:vAlign w:val="center"/>
          </w:tcPr>
          <w:p w14:paraId="3B8CED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评价得分</w:t>
            </w:r>
          </w:p>
        </w:tc>
        <w:tc>
          <w:tcPr>
            <w:tcW w:w="1062" w:type="dxa"/>
            <w:vMerge w:val="restart"/>
            <w:tcBorders>
              <w:tl2br w:val="nil"/>
              <w:tr2bl w:val="nil"/>
            </w:tcBorders>
            <w:shd w:val="clear" w:color="auto" w:fill="auto"/>
            <w:vAlign w:val="center"/>
          </w:tcPr>
          <w:p w14:paraId="682242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得分率</w:t>
            </w:r>
          </w:p>
        </w:tc>
      </w:tr>
      <w:tr w14:paraId="19C66AF8">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315" w:hRule="atLeast"/>
          <w:tblHeader/>
        </w:trPr>
        <w:tc>
          <w:tcPr>
            <w:tcW w:w="1559" w:type="dxa"/>
            <w:vMerge w:val="continue"/>
            <w:tcBorders>
              <w:tl2br w:val="nil"/>
              <w:tr2bl w:val="nil"/>
            </w:tcBorders>
            <w:shd w:val="clear" w:color="auto" w:fill="auto"/>
            <w:vAlign w:val="center"/>
          </w:tcPr>
          <w:p w14:paraId="57BCEC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0AB0BB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13BE8F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指标名称</w:t>
            </w:r>
          </w:p>
        </w:tc>
        <w:tc>
          <w:tcPr>
            <w:tcW w:w="1232" w:type="dxa"/>
            <w:tcBorders>
              <w:tl2br w:val="nil"/>
              <w:tr2bl w:val="nil"/>
            </w:tcBorders>
            <w:shd w:val="clear" w:color="auto" w:fill="auto"/>
            <w:vAlign w:val="center"/>
          </w:tcPr>
          <w:p w14:paraId="3EE606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分值</w:t>
            </w:r>
          </w:p>
        </w:tc>
        <w:tc>
          <w:tcPr>
            <w:tcW w:w="1142" w:type="dxa"/>
            <w:vMerge w:val="continue"/>
            <w:tcBorders>
              <w:tl2br w:val="nil"/>
              <w:tr2bl w:val="nil"/>
            </w:tcBorders>
            <w:shd w:val="clear" w:color="auto" w:fill="auto"/>
            <w:vAlign w:val="center"/>
          </w:tcPr>
          <w:p w14:paraId="43504A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062" w:type="dxa"/>
            <w:vMerge w:val="continue"/>
            <w:tcBorders>
              <w:tl2br w:val="nil"/>
              <w:tr2bl w:val="nil"/>
            </w:tcBorders>
            <w:shd w:val="clear" w:color="auto" w:fill="auto"/>
            <w:vAlign w:val="center"/>
          </w:tcPr>
          <w:p w14:paraId="56FA19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r>
      <w:tr w14:paraId="4573AC5B">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0" w:hRule="atLeast"/>
        </w:trPr>
        <w:tc>
          <w:tcPr>
            <w:tcW w:w="1559" w:type="dxa"/>
            <w:vMerge w:val="restart"/>
            <w:tcBorders>
              <w:tl2br w:val="nil"/>
              <w:tr2bl w:val="nil"/>
            </w:tcBorders>
            <w:shd w:val="clear" w:color="auto" w:fill="auto"/>
            <w:noWrap/>
            <w:vAlign w:val="center"/>
          </w:tcPr>
          <w:p w14:paraId="3C388A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投入</w:t>
            </w:r>
          </w:p>
        </w:tc>
        <w:tc>
          <w:tcPr>
            <w:tcW w:w="1459" w:type="dxa"/>
            <w:vMerge w:val="restart"/>
            <w:tcBorders>
              <w:tl2br w:val="nil"/>
              <w:tr2bl w:val="nil"/>
            </w:tcBorders>
            <w:shd w:val="clear" w:color="auto" w:fill="auto"/>
            <w:vAlign w:val="center"/>
          </w:tcPr>
          <w:p w14:paraId="248CD7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目标设定</w:t>
            </w:r>
          </w:p>
        </w:tc>
        <w:tc>
          <w:tcPr>
            <w:tcW w:w="2477" w:type="dxa"/>
            <w:tcBorders>
              <w:tl2br w:val="nil"/>
              <w:tr2bl w:val="nil"/>
            </w:tcBorders>
            <w:shd w:val="clear" w:color="auto" w:fill="auto"/>
            <w:vAlign w:val="center"/>
          </w:tcPr>
          <w:p w14:paraId="748AE8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绩效目标合理性</w:t>
            </w:r>
          </w:p>
        </w:tc>
        <w:tc>
          <w:tcPr>
            <w:tcW w:w="1232" w:type="dxa"/>
            <w:tcBorders>
              <w:tl2br w:val="nil"/>
              <w:tr2bl w:val="nil"/>
            </w:tcBorders>
            <w:shd w:val="clear" w:color="auto" w:fill="auto"/>
            <w:vAlign w:val="center"/>
          </w:tcPr>
          <w:p w14:paraId="46251DB6">
            <w:pPr>
              <w:keepNext w:val="0"/>
              <w:keepLines w:val="0"/>
              <w:widowControl/>
              <w:suppressLineNumbers w:val="0"/>
              <w:jc w:val="center"/>
              <w:textAlignment w:val="center"/>
              <w:rPr>
                <w:rFonts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noWrap/>
            <w:vAlign w:val="center"/>
          </w:tcPr>
          <w:p w14:paraId="1E77291D">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211DAD50">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0EB317ED">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0" w:hRule="atLeast"/>
        </w:trPr>
        <w:tc>
          <w:tcPr>
            <w:tcW w:w="1559" w:type="dxa"/>
            <w:vMerge w:val="continue"/>
            <w:tcBorders>
              <w:tl2br w:val="nil"/>
              <w:tr2bl w:val="nil"/>
            </w:tcBorders>
            <w:shd w:val="clear" w:color="auto" w:fill="auto"/>
            <w:noWrap/>
            <w:vAlign w:val="center"/>
          </w:tcPr>
          <w:p w14:paraId="5C8B5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3E0E27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57E1AF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绩效指标明确性</w:t>
            </w:r>
          </w:p>
        </w:tc>
        <w:tc>
          <w:tcPr>
            <w:tcW w:w="1232" w:type="dxa"/>
            <w:tcBorders>
              <w:tl2br w:val="nil"/>
              <w:tr2bl w:val="nil"/>
            </w:tcBorders>
            <w:shd w:val="clear" w:color="auto" w:fill="auto"/>
            <w:vAlign w:val="center"/>
          </w:tcPr>
          <w:p w14:paraId="0147E462">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5EA18E8D">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38F71254">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75.00%</w:t>
            </w:r>
          </w:p>
        </w:tc>
      </w:tr>
      <w:tr w14:paraId="45876EB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0" w:hRule="atLeast"/>
        </w:trPr>
        <w:tc>
          <w:tcPr>
            <w:tcW w:w="1559" w:type="dxa"/>
            <w:vMerge w:val="continue"/>
            <w:tcBorders>
              <w:tl2br w:val="nil"/>
              <w:tr2bl w:val="nil"/>
            </w:tcBorders>
            <w:shd w:val="clear" w:color="auto" w:fill="auto"/>
            <w:noWrap/>
            <w:vAlign w:val="center"/>
          </w:tcPr>
          <w:p w14:paraId="2ED44E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restart"/>
            <w:tcBorders>
              <w:tl2br w:val="nil"/>
              <w:tr2bl w:val="nil"/>
            </w:tcBorders>
            <w:shd w:val="clear" w:color="auto" w:fill="auto"/>
            <w:vAlign w:val="center"/>
          </w:tcPr>
          <w:p w14:paraId="6E1CA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资金投入</w:t>
            </w:r>
          </w:p>
        </w:tc>
        <w:tc>
          <w:tcPr>
            <w:tcW w:w="2477" w:type="dxa"/>
            <w:tcBorders>
              <w:tl2br w:val="nil"/>
              <w:tr2bl w:val="nil"/>
            </w:tcBorders>
            <w:shd w:val="clear" w:color="auto" w:fill="auto"/>
            <w:vAlign w:val="center"/>
          </w:tcPr>
          <w:p w14:paraId="25B64F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预算编制科学性</w:t>
            </w:r>
          </w:p>
        </w:tc>
        <w:tc>
          <w:tcPr>
            <w:tcW w:w="1232" w:type="dxa"/>
            <w:tcBorders>
              <w:tl2br w:val="nil"/>
              <w:tr2bl w:val="nil"/>
            </w:tcBorders>
            <w:shd w:val="clear" w:color="auto" w:fill="auto"/>
            <w:vAlign w:val="center"/>
          </w:tcPr>
          <w:p w14:paraId="4CC73B48">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6F5F1794">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2652E7C0">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75.00%</w:t>
            </w:r>
          </w:p>
        </w:tc>
      </w:tr>
      <w:tr w14:paraId="7FC99AE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0" w:hRule="atLeast"/>
        </w:trPr>
        <w:tc>
          <w:tcPr>
            <w:tcW w:w="1559" w:type="dxa"/>
            <w:vMerge w:val="continue"/>
            <w:tcBorders>
              <w:tl2br w:val="nil"/>
              <w:tr2bl w:val="nil"/>
            </w:tcBorders>
            <w:shd w:val="clear" w:color="auto" w:fill="auto"/>
            <w:noWrap/>
            <w:vAlign w:val="center"/>
          </w:tcPr>
          <w:p w14:paraId="1866B1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45D934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33E609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资金分配合理性</w:t>
            </w:r>
          </w:p>
        </w:tc>
        <w:tc>
          <w:tcPr>
            <w:tcW w:w="1232" w:type="dxa"/>
            <w:tcBorders>
              <w:tl2br w:val="nil"/>
              <w:tr2bl w:val="nil"/>
            </w:tcBorders>
            <w:shd w:val="clear" w:color="auto" w:fill="auto"/>
            <w:vAlign w:val="center"/>
          </w:tcPr>
          <w:p w14:paraId="6DEBFFA7">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vAlign w:val="center"/>
          </w:tcPr>
          <w:p w14:paraId="61D121FA">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1228E4ED">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606CE03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0" w:hRule="atLeast"/>
        </w:trPr>
        <w:tc>
          <w:tcPr>
            <w:tcW w:w="1559" w:type="dxa"/>
            <w:vMerge w:val="continue"/>
            <w:tcBorders>
              <w:tl2br w:val="nil"/>
              <w:tr2bl w:val="nil"/>
            </w:tcBorders>
            <w:shd w:val="clear" w:color="auto" w:fill="auto"/>
            <w:noWrap/>
            <w:vAlign w:val="center"/>
          </w:tcPr>
          <w:p w14:paraId="14177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restart"/>
            <w:tcBorders>
              <w:tl2br w:val="nil"/>
              <w:tr2bl w:val="nil"/>
            </w:tcBorders>
            <w:shd w:val="clear" w:color="auto" w:fill="auto"/>
            <w:vAlign w:val="center"/>
          </w:tcPr>
          <w:p w14:paraId="0637CB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预算配置</w:t>
            </w:r>
          </w:p>
        </w:tc>
        <w:tc>
          <w:tcPr>
            <w:tcW w:w="2477" w:type="dxa"/>
            <w:tcBorders>
              <w:tl2br w:val="nil"/>
              <w:tr2bl w:val="nil"/>
            </w:tcBorders>
            <w:shd w:val="clear" w:color="auto" w:fill="auto"/>
            <w:vAlign w:val="center"/>
          </w:tcPr>
          <w:p w14:paraId="29E1A3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在职人员控制率</w:t>
            </w:r>
          </w:p>
        </w:tc>
        <w:tc>
          <w:tcPr>
            <w:tcW w:w="1232" w:type="dxa"/>
            <w:tcBorders>
              <w:tl2br w:val="nil"/>
              <w:tr2bl w:val="nil"/>
            </w:tcBorders>
            <w:shd w:val="clear" w:color="auto" w:fill="auto"/>
            <w:vAlign w:val="center"/>
          </w:tcPr>
          <w:p w14:paraId="1EA50C5C">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vAlign w:val="center"/>
          </w:tcPr>
          <w:p w14:paraId="1D4F6B5F">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eastAsia" w:ascii="Times New Roman" w:hAnsi="Times New Roman" w:eastAsia="方正仿宋" w:cs="方正仿宋"/>
                <w:i w:val="0"/>
                <w:iCs w:val="0"/>
                <w:snapToGrid w:val="0"/>
                <w:color w:val="000000"/>
                <w:kern w:val="0"/>
                <w:sz w:val="21"/>
                <w:szCs w:val="21"/>
                <w:u w:val="none"/>
                <w:lang w:val="en-US" w:eastAsia="zh-CN" w:bidi="ar"/>
              </w:rPr>
              <w:t>1</w:t>
            </w:r>
          </w:p>
        </w:tc>
        <w:tc>
          <w:tcPr>
            <w:tcW w:w="1062" w:type="dxa"/>
            <w:tcBorders>
              <w:tl2br w:val="nil"/>
              <w:tr2bl w:val="nil"/>
            </w:tcBorders>
            <w:shd w:val="clear" w:color="auto" w:fill="auto"/>
            <w:vAlign w:val="center"/>
          </w:tcPr>
          <w:p w14:paraId="09C5F11D">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66.67%</w:t>
            </w:r>
          </w:p>
        </w:tc>
      </w:tr>
      <w:tr w14:paraId="38010DD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7A006E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49E88F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175869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”三公经费”变动率</w:t>
            </w:r>
          </w:p>
        </w:tc>
        <w:tc>
          <w:tcPr>
            <w:tcW w:w="1232" w:type="dxa"/>
            <w:tcBorders>
              <w:tl2br w:val="nil"/>
              <w:tr2bl w:val="nil"/>
            </w:tcBorders>
            <w:shd w:val="clear" w:color="auto" w:fill="auto"/>
            <w:vAlign w:val="center"/>
          </w:tcPr>
          <w:p w14:paraId="5C548A1E">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vAlign w:val="center"/>
          </w:tcPr>
          <w:p w14:paraId="27197A80">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0</w:t>
            </w:r>
          </w:p>
        </w:tc>
        <w:tc>
          <w:tcPr>
            <w:tcW w:w="1062" w:type="dxa"/>
            <w:tcBorders>
              <w:tl2br w:val="nil"/>
              <w:tr2bl w:val="nil"/>
            </w:tcBorders>
            <w:shd w:val="clear" w:color="auto" w:fill="auto"/>
            <w:vAlign w:val="center"/>
          </w:tcPr>
          <w:p w14:paraId="04D038DA">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0.00%</w:t>
            </w:r>
          </w:p>
        </w:tc>
      </w:tr>
      <w:tr w14:paraId="5FFD4844">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22EEF1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5C6C69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2D58D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重点支出安排率</w:t>
            </w:r>
          </w:p>
        </w:tc>
        <w:tc>
          <w:tcPr>
            <w:tcW w:w="1232" w:type="dxa"/>
            <w:tcBorders>
              <w:tl2br w:val="nil"/>
              <w:tr2bl w:val="nil"/>
            </w:tcBorders>
            <w:shd w:val="clear" w:color="auto" w:fill="auto"/>
            <w:vAlign w:val="center"/>
          </w:tcPr>
          <w:p w14:paraId="283C766F">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vAlign w:val="center"/>
          </w:tcPr>
          <w:p w14:paraId="359DF7E6">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6F2B3651">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0AFC479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2B6984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3936" w:type="dxa"/>
            <w:gridSpan w:val="2"/>
            <w:tcBorders>
              <w:tl2br w:val="nil"/>
              <w:tr2bl w:val="nil"/>
            </w:tcBorders>
            <w:shd w:val="clear" w:color="auto" w:fill="auto"/>
            <w:vAlign w:val="center"/>
          </w:tcPr>
          <w:p w14:paraId="6BC1D0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小计</w:t>
            </w:r>
          </w:p>
        </w:tc>
        <w:tc>
          <w:tcPr>
            <w:tcW w:w="1232" w:type="dxa"/>
            <w:tcBorders>
              <w:tl2br w:val="nil"/>
              <w:tr2bl w:val="nil"/>
            </w:tcBorders>
            <w:shd w:val="clear" w:color="auto" w:fill="auto"/>
            <w:vAlign w:val="center"/>
          </w:tcPr>
          <w:p w14:paraId="733ED707">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11.5</w:t>
            </w:r>
          </w:p>
        </w:tc>
        <w:tc>
          <w:tcPr>
            <w:tcW w:w="1142" w:type="dxa"/>
            <w:tcBorders>
              <w:tl2br w:val="nil"/>
              <w:tr2bl w:val="nil"/>
            </w:tcBorders>
            <w:shd w:val="clear" w:color="auto" w:fill="auto"/>
            <w:vAlign w:val="center"/>
          </w:tcPr>
          <w:p w14:paraId="2ADF9214">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8.5</w:t>
            </w:r>
          </w:p>
        </w:tc>
        <w:tc>
          <w:tcPr>
            <w:tcW w:w="1062" w:type="dxa"/>
            <w:tcBorders>
              <w:tl2br w:val="nil"/>
              <w:tr2bl w:val="nil"/>
            </w:tcBorders>
            <w:shd w:val="clear" w:color="auto" w:fill="auto"/>
            <w:vAlign w:val="center"/>
          </w:tcPr>
          <w:p w14:paraId="0A6EB15D">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73.91%</w:t>
            </w:r>
          </w:p>
        </w:tc>
      </w:tr>
      <w:tr w14:paraId="4FF442B6">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restart"/>
            <w:tcBorders>
              <w:tl2br w:val="nil"/>
              <w:tr2bl w:val="nil"/>
            </w:tcBorders>
            <w:shd w:val="clear" w:color="auto" w:fill="auto"/>
            <w:noWrap/>
            <w:vAlign w:val="center"/>
          </w:tcPr>
          <w:p w14:paraId="4D76C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过程</w:t>
            </w:r>
          </w:p>
        </w:tc>
        <w:tc>
          <w:tcPr>
            <w:tcW w:w="1459" w:type="dxa"/>
            <w:vMerge w:val="restart"/>
            <w:tcBorders>
              <w:tl2br w:val="nil"/>
              <w:tr2bl w:val="nil"/>
            </w:tcBorders>
            <w:shd w:val="clear" w:color="auto" w:fill="auto"/>
            <w:vAlign w:val="center"/>
          </w:tcPr>
          <w:p w14:paraId="096330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预算执行</w:t>
            </w:r>
          </w:p>
        </w:tc>
        <w:tc>
          <w:tcPr>
            <w:tcW w:w="2477" w:type="dxa"/>
            <w:tcBorders>
              <w:tl2br w:val="nil"/>
              <w:tr2bl w:val="nil"/>
            </w:tcBorders>
            <w:shd w:val="clear" w:color="auto" w:fill="auto"/>
            <w:vAlign w:val="center"/>
          </w:tcPr>
          <w:p w14:paraId="1B6C6C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预算完成率</w:t>
            </w:r>
          </w:p>
        </w:tc>
        <w:tc>
          <w:tcPr>
            <w:tcW w:w="1232" w:type="dxa"/>
            <w:tcBorders>
              <w:tl2br w:val="nil"/>
              <w:tr2bl w:val="nil"/>
            </w:tcBorders>
            <w:shd w:val="clear" w:color="auto" w:fill="auto"/>
            <w:vAlign w:val="center"/>
          </w:tcPr>
          <w:p w14:paraId="63DA24DE">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44246EA4">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1.78</w:t>
            </w:r>
          </w:p>
        </w:tc>
        <w:tc>
          <w:tcPr>
            <w:tcW w:w="1062" w:type="dxa"/>
            <w:tcBorders>
              <w:tl2br w:val="nil"/>
              <w:tr2bl w:val="nil"/>
            </w:tcBorders>
            <w:shd w:val="clear" w:color="auto" w:fill="auto"/>
            <w:vAlign w:val="center"/>
          </w:tcPr>
          <w:p w14:paraId="5EE59498">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89.00%</w:t>
            </w:r>
          </w:p>
        </w:tc>
      </w:tr>
      <w:tr w14:paraId="68515E3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58833D29">
            <w:pPr>
              <w:jc w:val="center"/>
              <w:rPr>
                <w:rFonts w:hint="eastAsia" w:ascii="Times New Roman" w:hAnsi="Times New Roman" w:eastAsia="宋体" w:cs="宋体"/>
                <w:i w:val="0"/>
                <w:iCs w:val="0"/>
                <w:color w:val="000000"/>
                <w:sz w:val="20"/>
                <w:szCs w:val="20"/>
                <w:u w:val="none"/>
              </w:rPr>
            </w:pPr>
          </w:p>
        </w:tc>
        <w:tc>
          <w:tcPr>
            <w:tcW w:w="1459" w:type="dxa"/>
            <w:vMerge w:val="continue"/>
            <w:tcBorders>
              <w:tl2br w:val="nil"/>
              <w:tr2bl w:val="nil"/>
            </w:tcBorders>
            <w:shd w:val="clear" w:color="auto" w:fill="auto"/>
            <w:vAlign w:val="center"/>
          </w:tcPr>
          <w:p w14:paraId="373372D7">
            <w:pPr>
              <w:jc w:val="center"/>
              <w:rPr>
                <w:rFonts w:hint="eastAsia" w:ascii="Times New Roman" w:hAnsi="Times New Roman" w:eastAsia="宋体" w:cs="宋体"/>
                <w:i w:val="0"/>
                <w:iCs w:val="0"/>
                <w:color w:val="000000"/>
                <w:sz w:val="20"/>
                <w:szCs w:val="20"/>
                <w:u w:val="none"/>
              </w:rPr>
            </w:pPr>
          </w:p>
        </w:tc>
        <w:tc>
          <w:tcPr>
            <w:tcW w:w="2477" w:type="dxa"/>
            <w:tcBorders>
              <w:tl2br w:val="nil"/>
              <w:tr2bl w:val="nil"/>
            </w:tcBorders>
            <w:shd w:val="clear" w:color="auto" w:fill="auto"/>
            <w:vAlign w:val="center"/>
          </w:tcPr>
          <w:p w14:paraId="2E514C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预算调整率</w:t>
            </w:r>
          </w:p>
        </w:tc>
        <w:tc>
          <w:tcPr>
            <w:tcW w:w="1232" w:type="dxa"/>
            <w:tcBorders>
              <w:tl2br w:val="nil"/>
              <w:tr2bl w:val="nil"/>
            </w:tcBorders>
            <w:shd w:val="clear" w:color="auto" w:fill="auto"/>
            <w:vAlign w:val="center"/>
          </w:tcPr>
          <w:p w14:paraId="4F8B0937">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2B2881D3">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062" w:type="dxa"/>
            <w:tcBorders>
              <w:tl2br w:val="nil"/>
              <w:tr2bl w:val="nil"/>
            </w:tcBorders>
            <w:shd w:val="clear" w:color="auto" w:fill="auto"/>
            <w:vAlign w:val="center"/>
          </w:tcPr>
          <w:p w14:paraId="0F861DDB">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68C7E51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466268EB">
            <w:pPr>
              <w:jc w:val="center"/>
              <w:rPr>
                <w:rFonts w:hint="eastAsia" w:ascii="Times New Roman" w:hAnsi="Times New Roman" w:eastAsia="宋体" w:cs="宋体"/>
                <w:i w:val="0"/>
                <w:iCs w:val="0"/>
                <w:color w:val="000000"/>
                <w:sz w:val="20"/>
                <w:szCs w:val="20"/>
                <w:u w:val="none"/>
              </w:rPr>
            </w:pPr>
          </w:p>
        </w:tc>
        <w:tc>
          <w:tcPr>
            <w:tcW w:w="1459" w:type="dxa"/>
            <w:vMerge w:val="continue"/>
            <w:tcBorders>
              <w:tl2br w:val="nil"/>
              <w:tr2bl w:val="nil"/>
            </w:tcBorders>
            <w:shd w:val="clear" w:color="auto" w:fill="auto"/>
            <w:vAlign w:val="center"/>
          </w:tcPr>
          <w:p w14:paraId="5830865D">
            <w:pPr>
              <w:jc w:val="center"/>
              <w:rPr>
                <w:rFonts w:hint="eastAsia" w:ascii="Times New Roman" w:hAnsi="Times New Roman" w:eastAsia="宋体" w:cs="宋体"/>
                <w:i w:val="0"/>
                <w:iCs w:val="0"/>
                <w:color w:val="000000"/>
                <w:sz w:val="20"/>
                <w:szCs w:val="20"/>
                <w:u w:val="none"/>
              </w:rPr>
            </w:pPr>
          </w:p>
        </w:tc>
        <w:tc>
          <w:tcPr>
            <w:tcW w:w="2477" w:type="dxa"/>
            <w:tcBorders>
              <w:tl2br w:val="nil"/>
              <w:tr2bl w:val="nil"/>
            </w:tcBorders>
            <w:shd w:val="clear" w:color="auto" w:fill="auto"/>
            <w:vAlign w:val="center"/>
          </w:tcPr>
          <w:p w14:paraId="1AA8C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支付进度率</w:t>
            </w:r>
          </w:p>
        </w:tc>
        <w:tc>
          <w:tcPr>
            <w:tcW w:w="1232" w:type="dxa"/>
            <w:tcBorders>
              <w:tl2br w:val="nil"/>
              <w:tr2bl w:val="nil"/>
            </w:tcBorders>
            <w:shd w:val="clear" w:color="auto" w:fill="auto"/>
            <w:vAlign w:val="center"/>
          </w:tcPr>
          <w:p w14:paraId="5803939A">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7E506249">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062" w:type="dxa"/>
            <w:tcBorders>
              <w:tl2br w:val="nil"/>
              <w:tr2bl w:val="nil"/>
            </w:tcBorders>
            <w:shd w:val="clear" w:color="auto" w:fill="auto"/>
            <w:vAlign w:val="center"/>
          </w:tcPr>
          <w:p w14:paraId="5EA93AAA">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5F63FEB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41541A60">
            <w:pPr>
              <w:jc w:val="center"/>
              <w:rPr>
                <w:rFonts w:hint="eastAsia" w:ascii="Times New Roman" w:hAnsi="Times New Roman" w:eastAsia="宋体" w:cs="宋体"/>
                <w:i w:val="0"/>
                <w:iCs w:val="0"/>
                <w:color w:val="000000"/>
                <w:sz w:val="20"/>
                <w:szCs w:val="20"/>
                <w:u w:val="none"/>
              </w:rPr>
            </w:pPr>
          </w:p>
        </w:tc>
        <w:tc>
          <w:tcPr>
            <w:tcW w:w="1459" w:type="dxa"/>
            <w:vMerge w:val="continue"/>
            <w:tcBorders>
              <w:tl2br w:val="nil"/>
              <w:tr2bl w:val="nil"/>
            </w:tcBorders>
            <w:shd w:val="clear" w:color="auto" w:fill="auto"/>
            <w:vAlign w:val="center"/>
          </w:tcPr>
          <w:p w14:paraId="345D5BD7">
            <w:pPr>
              <w:jc w:val="center"/>
              <w:rPr>
                <w:rFonts w:hint="eastAsia" w:ascii="Times New Roman" w:hAnsi="Times New Roman" w:eastAsia="宋体" w:cs="宋体"/>
                <w:i w:val="0"/>
                <w:iCs w:val="0"/>
                <w:color w:val="000000"/>
                <w:sz w:val="20"/>
                <w:szCs w:val="20"/>
                <w:u w:val="none"/>
              </w:rPr>
            </w:pPr>
          </w:p>
        </w:tc>
        <w:tc>
          <w:tcPr>
            <w:tcW w:w="2477" w:type="dxa"/>
            <w:tcBorders>
              <w:tl2br w:val="nil"/>
              <w:tr2bl w:val="nil"/>
            </w:tcBorders>
            <w:shd w:val="clear" w:color="auto" w:fill="auto"/>
            <w:vAlign w:val="center"/>
          </w:tcPr>
          <w:p w14:paraId="75908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结转结余率</w:t>
            </w:r>
          </w:p>
        </w:tc>
        <w:tc>
          <w:tcPr>
            <w:tcW w:w="1232" w:type="dxa"/>
            <w:tcBorders>
              <w:tl2br w:val="nil"/>
              <w:tr2bl w:val="nil"/>
            </w:tcBorders>
            <w:shd w:val="clear" w:color="auto" w:fill="auto"/>
            <w:vAlign w:val="center"/>
          </w:tcPr>
          <w:p w14:paraId="0A99F99A">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noWrap/>
            <w:vAlign w:val="center"/>
          </w:tcPr>
          <w:p w14:paraId="5BAB491F">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327B4CDC">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077A060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3E1D07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4E9DC2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0F85DE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结转结余变动率</w:t>
            </w:r>
          </w:p>
        </w:tc>
        <w:tc>
          <w:tcPr>
            <w:tcW w:w="1232" w:type="dxa"/>
            <w:tcBorders>
              <w:tl2br w:val="nil"/>
              <w:tr2bl w:val="nil"/>
            </w:tcBorders>
            <w:shd w:val="clear" w:color="auto" w:fill="auto"/>
            <w:vAlign w:val="center"/>
          </w:tcPr>
          <w:p w14:paraId="4D2E6386">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noWrap/>
            <w:vAlign w:val="center"/>
          </w:tcPr>
          <w:p w14:paraId="2357D99D">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5109A531">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0A83FC21">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09A70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41EAE8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10B0EA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公用经费控制率</w:t>
            </w:r>
          </w:p>
        </w:tc>
        <w:tc>
          <w:tcPr>
            <w:tcW w:w="1232" w:type="dxa"/>
            <w:tcBorders>
              <w:tl2br w:val="nil"/>
              <w:tr2bl w:val="nil"/>
            </w:tcBorders>
            <w:shd w:val="clear" w:color="auto" w:fill="auto"/>
            <w:vAlign w:val="center"/>
          </w:tcPr>
          <w:p w14:paraId="0E47182C">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5EBFF02D">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 xml:space="preserve">2 </w:t>
            </w:r>
          </w:p>
        </w:tc>
        <w:tc>
          <w:tcPr>
            <w:tcW w:w="1062" w:type="dxa"/>
            <w:tcBorders>
              <w:tl2br w:val="nil"/>
              <w:tr2bl w:val="nil"/>
            </w:tcBorders>
            <w:shd w:val="clear" w:color="auto" w:fill="auto"/>
            <w:vAlign w:val="center"/>
          </w:tcPr>
          <w:p w14:paraId="6186599D">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5CDF2D9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64B8C1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15870F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0D9F4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”三公经费”控制率</w:t>
            </w:r>
          </w:p>
        </w:tc>
        <w:tc>
          <w:tcPr>
            <w:tcW w:w="1232" w:type="dxa"/>
            <w:tcBorders>
              <w:tl2br w:val="nil"/>
              <w:tr2bl w:val="nil"/>
            </w:tcBorders>
            <w:shd w:val="clear" w:color="auto" w:fill="auto"/>
            <w:vAlign w:val="center"/>
          </w:tcPr>
          <w:p w14:paraId="23A69F82">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7FC2AD19">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062" w:type="dxa"/>
            <w:tcBorders>
              <w:tl2br w:val="nil"/>
              <w:tr2bl w:val="nil"/>
            </w:tcBorders>
            <w:shd w:val="clear" w:color="auto" w:fill="auto"/>
            <w:vAlign w:val="center"/>
          </w:tcPr>
          <w:p w14:paraId="78CCE9A3">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1DAE36A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67E9D8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0CD654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7A3F77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政府采购执行率</w:t>
            </w:r>
          </w:p>
        </w:tc>
        <w:tc>
          <w:tcPr>
            <w:tcW w:w="1232" w:type="dxa"/>
            <w:tcBorders>
              <w:tl2br w:val="nil"/>
              <w:tr2bl w:val="nil"/>
            </w:tcBorders>
            <w:shd w:val="clear" w:color="auto" w:fill="auto"/>
            <w:vAlign w:val="center"/>
          </w:tcPr>
          <w:p w14:paraId="26937E3F">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4BD8EB86">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062" w:type="dxa"/>
            <w:tcBorders>
              <w:tl2br w:val="nil"/>
              <w:tr2bl w:val="nil"/>
            </w:tcBorders>
            <w:shd w:val="clear" w:color="auto" w:fill="auto"/>
            <w:vAlign w:val="center"/>
          </w:tcPr>
          <w:p w14:paraId="0CA189AF">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2CA09D76">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705318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restart"/>
            <w:tcBorders>
              <w:tl2br w:val="nil"/>
              <w:tr2bl w:val="nil"/>
            </w:tcBorders>
            <w:shd w:val="clear" w:color="auto" w:fill="auto"/>
            <w:vAlign w:val="center"/>
          </w:tcPr>
          <w:p w14:paraId="351AE4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预算管理</w:t>
            </w:r>
          </w:p>
        </w:tc>
        <w:tc>
          <w:tcPr>
            <w:tcW w:w="2477" w:type="dxa"/>
            <w:tcBorders>
              <w:tl2br w:val="nil"/>
              <w:tr2bl w:val="nil"/>
            </w:tcBorders>
            <w:shd w:val="clear" w:color="auto" w:fill="auto"/>
            <w:vAlign w:val="center"/>
          </w:tcPr>
          <w:p w14:paraId="12024C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管理制度健全性</w:t>
            </w:r>
          </w:p>
        </w:tc>
        <w:tc>
          <w:tcPr>
            <w:tcW w:w="1232" w:type="dxa"/>
            <w:tcBorders>
              <w:tl2br w:val="nil"/>
              <w:tr2bl w:val="nil"/>
            </w:tcBorders>
            <w:shd w:val="clear" w:color="auto" w:fill="auto"/>
            <w:vAlign w:val="center"/>
          </w:tcPr>
          <w:p w14:paraId="64F4A0BD">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noWrap/>
            <w:vAlign w:val="center"/>
          </w:tcPr>
          <w:p w14:paraId="41D8E1EB">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5D28781E">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3219E24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249F71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4A263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23B5E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资金使用合规性</w:t>
            </w:r>
          </w:p>
        </w:tc>
        <w:tc>
          <w:tcPr>
            <w:tcW w:w="1232" w:type="dxa"/>
            <w:tcBorders>
              <w:tl2br w:val="nil"/>
              <w:tr2bl w:val="nil"/>
            </w:tcBorders>
            <w:shd w:val="clear" w:color="auto" w:fill="auto"/>
            <w:vAlign w:val="center"/>
          </w:tcPr>
          <w:p w14:paraId="335B99F8">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 xml:space="preserve">2.5 </w:t>
            </w:r>
          </w:p>
        </w:tc>
        <w:tc>
          <w:tcPr>
            <w:tcW w:w="1142" w:type="dxa"/>
            <w:tcBorders>
              <w:tl2br w:val="nil"/>
              <w:tr2bl w:val="nil"/>
            </w:tcBorders>
            <w:shd w:val="clear" w:color="auto" w:fill="auto"/>
            <w:vAlign w:val="center"/>
          </w:tcPr>
          <w:p w14:paraId="63CB79F9">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 xml:space="preserve">2.5 </w:t>
            </w:r>
          </w:p>
        </w:tc>
        <w:tc>
          <w:tcPr>
            <w:tcW w:w="1062" w:type="dxa"/>
            <w:tcBorders>
              <w:tl2br w:val="nil"/>
              <w:tr2bl w:val="nil"/>
            </w:tcBorders>
            <w:shd w:val="clear" w:color="auto" w:fill="auto"/>
            <w:vAlign w:val="center"/>
          </w:tcPr>
          <w:p w14:paraId="521FFC15">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14D0D4FA">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40E2C5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0D143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7B44C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预决算信息公开性</w:t>
            </w:r>
          </w:p>
        </w:tc>
        <w:tc>
          <w:tcPr>
            <w:tcW w:w="1232" w:type="dxa"/>
            <w:tcBorders>
              <w:tl2br w:val="nil"/>
              <w:tr2bl w:val="nil"/>
            </w:tcBorders>
            <w:shd w:val="clear" w:color="auto" w:fill="auto"/>
            <w:vAlign w:val="center"/>
          </w:tcPr>
          <w:p w14:paraId="2509B894">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vAlign w:val="center"/>
          </w:tcPr>
          <w:p w14:paraId="25340620">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 xml:space="preserve">2 </w:t>
            </w:r>
          </w:p>
        </w:tc>
        <w:tc>
          <w:tcPr>
            <w:tcW w:w="1062" w:type="dxa"/>
            <w:tcBorders>
              <w:tl2br w:val="nil"/>
              <w:tr2bl w:val="nil"/>
            </w:tcBorders>
            <w:shd w:val="clear" w:color="auto" w:fill="auto"/>
            <w:vAlign w:val="center"/>
          </w:tcPr>
          <w:p w14:paraId="777DB967">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1356C39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5CB2C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13B57F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7C1FD4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基础信息完善性</w:t>
            </w:r>
          </w:p>
        </w:tc>
        <w:tc>
          <w:tcPr>
            <w:tcW w:w="1232" w:type="dxa"/>
            <w:tcBorders>
              <w:tl2br w:val="nil"/>
              <w:tr2bl w:val="nil"/>
            </w:tcBorders>
            <w:shd w:val="clear" w:color="auto" w:fill="auto"/>
            <w:vAlign w:val="center"/>
          </w:tcPr>
          <w:p w14:paraId="23269CFB">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vAlign w:val="center"/>
          </w:tcPr>
          <w:p w14:paraId="12D7A88B">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42E8A335">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559273AE">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17219E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restart"/>
            <w:tcBorders>
              <w:tl2br w:val="nil"/>
              <w:tr2bl w:val="nil"/>
            </w:tcBorders>
            <w:shd w:val="clear" w:color="auto" w:fill="auto"/>
            <w:vAlign w:val="center"/>
          </w:tcPr>
          <w:p w14:paraId="353E1E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资产管理</w:t>
            </w:r>
          </w:p>
        </w:tc>
        <w:tc>
          <w:tcPr>
            <w:tcW w:w="2477" w:type="dxa"/>
            <w:tcBorders>
              <w:tl2br w:val="nil"/>
              <w:tr2bl w:val="nil"/>
            </w:tcBorders>
            <w:shd w:val="clear" w:color="auto" w:fill="auto"/>
            <w:vAlign w:val="center"/>
          </w:tcPr>
          <w:p w14:paraId="446F11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管理制度健全性</w:t>
            </w:r>
          </w:p>
        </w:tc>
        <w:tc>
          <w:tcPr>
            <w:tcW w:w="1232" w:type="dxa"/>
            <w:tcBorders>
              <w:tl2br w:val="nil"/>
              <w:tr2bl w:val="nil"/>
            </w:tcBorders>
            <w:shd w:val="clear" w:color="auto" w:fill="auto"/>
            <w:vAlign w:val="center"/>
          </w:tcPr>
          <w:p w14:paraId="179A17D1">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noWrap/>
            <w:vAlign w:val="center"/>
          </w:tcPr>
          <w:p w14:paraId="452F30FD">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7F1A150F">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785E734D">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3E0BD8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77C152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084D9B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资产管理安全性</w:t>
            </w:r>
          </w:p>
        </w:tc>
        <w:tc>
          <w:tcPr>
            <w:tcW w:w="1232" w:type="dxa"/>
            <w:tcBorders>
              <w:tl2br w:val="nil"/>
              <w:tr2bl w:val="nil"/>
            </w:tcBorders>
            <w:shd w:val="clear" w:color="auto" w:fill="auto"/>
            <w:vAlign w:val="center"/>
          </w:tcPr>
          <w:p w14:paraId="70C3D9AE">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 xml:space="preserve">2.5 </w:t>
            </w:r>
          </w:p>
        </w:tc>
        <w:tc>
          <w:tcPr>
            <w:tcW w:w="1142" w:type="dxa"/>
            <w:tcBorders>
              <w:tl2br w:val="nil"/>
              <w:tr2bl w:val="nil"/>
            </w:tcBorders>
            <w:shd w:val="clear" w:color="auto" w:fill="auto"/>
            <w:noWrap/>
            <w:vAlign w:val="center"/>
          </w:tcPr>
          <w:p w14:paraId="0CBF7E03">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2.5</w:t>
            </w:r>
          </w:p>
        </w:tc>
        <w:tc>
          <w:tcPr>
            <w:tcW w:w="1062" w:type="dxa"/>
            <w:tcBorders>
              <w:tl2br w:val="nil"/>
              <w:tr2bl w:val="nil"/>
            </w:tcBorders>
            <w:shd w:val="clear" w:color="auto" w:fill="auto"/>
            <w:vAlign w:val="center"/>
          </w:tcPr>
          <w:p w14:paraId="729BC45A">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73645F08">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309B84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5DE8C6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4BABD6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固定资产利用率</w:t>
            </w:r>
          </w:p>
        </w:tc>
        <w:tc>
          <w:tcPr>
            <w:tcW w:w="1232" w:type="dxa"/>
            <w:tcBorders>
              <w:tl2br w:val="nil"/>
              <w:tr2bl w:val="nil"/>
            </w:tcBorders>
            <w:shd w:val="clear" w:color="auto" w:fill="auto"/>
            <w:vAlign w:val="center"/>
          </w:tcPr>
          <w:p w14:paraId="65012CC4">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13A2B181">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062" w:type="dxa"/>
            <w:tcBorders>
              <w:tl2br w:val="nil"/>
              <w:tr2bl w:val="nil"/>
            </w:tcBorders>
            <w:shd w:val="clear" w:color="auto" w:fill="auto"/>
            <w:vAlign w:val="center"/>
          </w:tcPr>
          <w:p w14:paraId="348DC9A5">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74F197FA">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22A392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3936" w:type="dxa"/>
            <w:gridSpan w:val="2"/>
            <w:tcBorders>
              <w:tl2br w:val="nil"/>
              <w:tr2bl w:val="nil"/>
            </w:tcBorders>
            <w:shd w:val="clear" w:color="auto" w:fill="auto"/>
            <w:vAlign w:val="center"/>
          </w:tcPr>
          <w:p w14:paraId="2F9518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小计</w:t>
            </w:r>
          </w:p>
        </w:tc>
        <w:tc>
          <w:tcPr>
            <w:tcW w:w="1232" w:type="dxa"/>
            <w:tcBorders>
              <w:tl2br w:val="nil"/>
              <w:tr2bl w:val="nil"/>
            </w:tcBorders>
            <w:shd w:val="clear" w:color="auto" w:fill="auto"/>
            <w:vAlign w:val="center"/>
          </w:tcPr>
          <w:p w14:paraId="62B261FA">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28.5</w:t>
            </w:r>
          </w:p>
        </w:tc>
        <w:tc>
          <w:tcPr>
            <w:tcW w:w="1142" w:type="dxa"/>
            <w:tcBorders>
              <w:tl2br w:val="nil"/>
              <w:tr2bl w:val="nil"/>
            </w:tcBorders>
            <w:shd w:val="clear" w:color="auto" w:fill="auto"/>
            <w:vAlign w:val="center"/>
          </w:tcPr>
          <w:p w14:paraId="2FAB8206">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28.28</w:t>
            </w:r>
          </w:p>
        </w:tc>
        <w:tc>
          <w:tcPr>
            <w:tcW w:w="1062" w:type="dxa"/>
            <w:tcBorders>
              <w:tl2br w:val="nil"/>
              <w:tr2bl w:val="nil"/>
            </w:tcBorders>
            <w:shd w:val="clear" w:color="auto" w:fill="auto"/>
            <w:vAlign w:val="center"/>
          </w:tcPr>
          <w:p w14:paraId="7002DA78">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99.23%</w:t>
            </w:r>
          </w:p>
        </w:tc>
      </w:tr>
      <w:tr w14:paraId="6392A5F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restart"/>
            <w:tcBorders>
              <w:tl2br w:val="nil"/>
              <w:tr2bl w:val="nil"/>
            </w:tcBorders>
            <w:shd w:val="clear" w:color="auto" w:fill="auto"/>
            <w:noWrap/>
            <w:vAlign w:val="center"/>
          </w:tcPr>
          <w:p w14:paraId="2AA590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产出</w:t>
            </w:r>
          </w:p>
        </w:tc>
        <w:tc>
          <w:tcPr>
            <w:tcW w:w="1459" w:type="dxa"/>
            <w:vMerge w:val="restart"/>
            <w:tcBorders>
              <w:tl2br w:val="nil"/>
              <w:tr2bl w:val="nil"/>
            </w:tcBorders>
            <w:shd w:val="clear" w:color="auto" w:fill="auto"/>
            <w:vAlign w:val="center"/>
          </w:tcPr>
          <w:p w14:paraId="6EF2B7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职责履行</w:t>
            </w:r>
          </w:p>
        </w:tc>
        <w:tc>
          <w:tcPr>
            <w:tcW w:w="2477" w:type="dxa"/>
            <w:tcBorders>
              <w:tl2br w:val="nil"/>
              <w:tr2bl w:val="nil"/>
            </w:tcBorders>
            <w:shd w:val="clear" w:color="auto" w:fill="auto"/>
            <w:vAlign w:val="center"/>
          </w:tcPr>
          <w:p w14:paraId="795834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实际完成率</w:t>
            </w:r>
          </w:p>
        </w:tc>
        <w:tc>
          <w:tcPr>
            <w:tcW w:w="1232" w:type="dxa"/>
            <w:tcBorders>
              <w:tl2br w:val="nil"/>
              <w:tr2bl w:val="nil"/>
            </w:tcBorders>
            <w:shd w:val="clear" w:color="auto" w:fill="auto"/>
            <w:vAlign w:val="center"/>
          </w:tcPr>
          <w:p w14:paraId="3EF98418">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10</w:t>
            </w:r>
          </w:p>
        </w:tc>
        <w:tc>
          <w:tcPr>
            <w:tcW w:w="1142" w:type="dxa"/>
            <w:tcBorders>
              <w:tl2br w:val="nil"/>
              <w:tr2bl w:val="nil"/>
            </w:tcBorders>
            <w:shd w:val="clear" w:color="auto" w:fill="auto"/>
            <w:noWrap/>
            <w:vAlign w:val="center"/>
          </w:tcPr>
          <w:p w14:paraId="4F057C57">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9.58</w:t>
            </w:r>
          </w:p>
        </w:tc>
        <w:tc>
          <w:tcPr>
            <w:tcW w:w="1062" w:type="dxa"/>
            <w:tcBorders>
              <w:tl2br w:val="nil"/>
              <w:tr2bl w:val="nil"/>
            </w:tcBorders>
            <w:shd w:val="clear" w:color="auto" w:fill="auto"/>
            <w:vAlign w:val="center"/>
          </w:tcPr>
          <w:p w14:paraId="7F3048C8">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95.80%</w:t>
            </w:r>
          </w:p>
        </w:tc>
      </w:tr>
      <w:tr w14:paraId="0AA4215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37223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587EC5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011189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完成及时率</w:t>
            </w:r>
          </w:p>
        </w:tc>
        <w:tc>
          <w:tcPr>
            <w:tcW w:w="1232" w:type="dxa"/>
            <w:tcBorders>
              <w:tl2br w:val="nil"/>
              <w:tr2bl w:val="nil"/>
            </w:tcBorders>
            <w:shd w:val="clear" w:color="auto" w:fill="auto"/>
            <w:vAlign w:val="center"/>
          </w:tcPr>
          <w:p w14:paraId="42E4F962">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10</w:t>
            </w:r>
          </w:p>
        </w:tc>
        <w:tc>
          <w:tcPr>
            <w:tcW w:w="1142" w:type="dxa"/>
            <w:tcBorders>
              <w:tl2br w:val="nil"/>
              <w:tr2bl w:val="nil"/>
            </w:tcBorders>
            <w:shd w:val="clear" w:color="auto" w:fill="auto"/>
            <w:noWrap/>
            <w:vAlign w:val="center"/>
          </w:tcPr>
          <w:p w14:paraId="3CB6F73B">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9.58</w:t>
            </w:r>
          </w:p>
        </w:tc>
        <w:tc>
          <w:tcPr>
            <w:tcW w:w="1062" w:type="dxa"/>
            <w:tcBorders>
              <w:tl2br w:val="nil"/>
              <w:tr2bl w:val="nil"/>
            </w:tcBorders>
            <w:shd w:val="clear" w:color="auto" w:fill="auto"/>
            <w:vAlign w:val="center"/>
          </w:tcPr>
          <w:p w14:paraId="3BB75813">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95.80%</w:t>
            </w:r>
          </w:p>
        </w:tc>
      </w:tr>
      <w:tr w14:paraId="17CC5F0B">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4E1F4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7EA9B4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23B35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质量达标率</w:t>
            </w:r>
          </w:p>
        </w:tc>
        <w:tc>
          <w:tcPr>
            <w:tcW w:w="1232" w:type="dxa"/>
            <w:tcBorders>
              <w:tl2br w:val="nil"/>
              <w:tr2bl w:val="nil"/>
            </w:tcBorders>
            <w:shd w:val="clear" w:color="auto" w:fill="auto"/>
            <w:vAlign w:val="center"/>
          </w:tcPr>
          <w:p w14:paraId="261FC07B">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10</w:t>
            </w:r>
          </w:p>
        </w:tc>
        <w:tc>
          <w:tcPr>
            <w:tcW w:w="1142" w:type="dxa"/>
            <w:tcBorders>
              <w:tl2br w:val="nil"/>
              <w:tr2bl w:val="nil"/>
            </w:tcBorders>
            <w:shd w:val="clear" w:color="auto" w:fill="auto"/>
            <w:noWrap/>
            <w:vAlign w:val="center"/>
          </w:tcPr>
          <w:p w14:paraId="70459EDC">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8.33</w:t>
            </w:r>
          </w:p>
        </w:tc>
        <w:tc>
          <w:tcPr>
            <w:tcW w:w="1062" w:type="dxa"/>
            <w:tcBorders>
              <w:tl2br w:val="nil"/>
              <w:tr2bl w:val="nil"/>
            </w:tcBorders>
            <w:shd w:val="clear" w:color="auto" w:fill="auto"/>
            <w:vAlign w:val="center"/>
          </w:tcPr>
          <w:p w14:paraId="60C5CEB3">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83.30%</w:t>
            </w:r>
          </w:p>
        </w:tc>
      </w:tr>
      <w:tr w14:paraId="1DC3DFE1">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6574EA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7C077D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4B4875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重点工作办结率</w:t>
            </w:r>
          </w:p>
        </w:tc>
        <w:tc>
          <w:tcPr>
            <w:tcW w:w="1232" w:type="dxa"/>
            <w:tcBorders>
              <w:tl2br w:val="nil"/>
              <w:tr2bl w:val="nil"/>
            </w:tcBorders>
            <w:shd w:val="clear" w:color="auto" w:fill="auto"/>
            <w:vAlign w:val="center"/>
          </w:tcPr>
          <w:p w14:paraId="10A6252C">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10</w:t>
            </w:r>
          </w:p>
        </w:tc>
        <w:tc>
          <w:tcPr>
            <w:tcW w:w="1142" w:type="dxa"/>
            <w:tcBorders>
              <w:tl2br w:val="nil"/>
              <w:tr2bl w:val="nil"/>
            </w:tcBorders>
            <w:shd w:val="clear" w:color="auto" w:fill="auto"/>
            <w:noWrap/>
            <w:vAlign w:val="center"/>
          </w:tcPr>
          <w:p w14:paraId="20C46C19">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9.41</w:t>
            </w:r>
          </w:p>
        </w:tc>
        <w:tc>
          <w:tcPr>
            <w:tcW w:w="1062" w:type="dxa"/>
            <w:tcBorders>
              <w:tl2br w:val="nil"/>
              <w:tr2bl w:val="nil"/>
            </w:tcBorders>
            <w:shd w:val="clear" w:color="auto" w:fill="auto"/>
            <w:vAlign w:val="center"/>
          </w:tcPr>
          <w:p w14:paraId="58FF36D3">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94.10%</w:t>
            </w:r>
          </w:p>
        </w:tc>
      </w:tr>
      <w:tr w14:paraId="58F8B69A">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7BA58B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3936" w:type="dxa"/>
            <w:gridSpan w:val="2"/>
            <w:tcBorders>
              <w:tl2br w:val="nil"/>
              <w:tr2bl w:val="nil"/>
            </w:tcBorders>
            <w:shd w:val="clear" w:color="auto" w:fill="auto"/>
            <w:vAlign w:val="center"/>
          </w:tcPr>
          <w:p w14:paraId="199BA7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小计</w:t>
            </w:r>
          </w:p>
        </w:tc>
        <w:tc>
          <w:tcPr>
            <w:tcW w:w="1232" w:type="dxa"/>
            <w:tcBorders>
              <w:tl2br w:val="nil"/>
              <w:tr2bl w:val="nil"/>
            </w:tcBorders>
            <w:shd w:val="clear" w:color="auto" w:fill="auto"/>
            <w:vAlign w:val="center"/>
          </w:tcPr>
          <w:p w14:paraId="03716257">
            <w:pPr>
              <w:keepNext w:val="0"/>
              <w:keepLines w:val="0"/>
              <w:widowControl/>
              <w:suppressLineNumbers w:val="0"/>
              <w:jc w:val="center"/>
              <w:textAlignment w:val="center"/>
              <w:rPr>
                <w:rFonts w:hint="eastAsia" w:ascii="Times New Roman" w:hAnsi="Times New Roman" w:eastAsia="宋体" w:cs="宋体"/>
                <w:i w:val="0"/>
                <w:iCs w:val="0"/>
                <w:snapToGrid w:val="0"/>
                <w:color w:val="000000"/>
                <w:kern w:val="0"/>
                <w:sz w:val="21"/>
                <w:szCs w:val="21"/>
                <w:u w:val="none"/>
                <w:lang w:val="en-US" w:eastAsia="zh-CN" w:bidi="ar"/>
              </w:rPr>
            </w:pPr>
            <w:r>
              <w:rPr>
                <w:rFonts w:hint="eastAsia" w:ascii="Times New Roman" w:hAnsi="Times New Roman" w:eastAsia="宋体" w:cs="宋体"/>
                <w:i w:val="0"/>
                <w:iCs w:val="0"/>
                <w:snapToGrid w:val="0"/>
                <w:color w:val="000000"/>
                <w:kern w:val="0"/>
                <w:sz w:val="21"/>
                <w:szCs w:val="21"/>
                <w:u w:val="none"/>
                <w:lang w:val="en-US" w:eastAsia="zh-CN" w:bidi="ar"/>
              </w:rPr>
              <w:t>40</w:t>
            </w:r>
          </w:p>
        </w:tc>
        <w:tc>
          <w:tcPr>
            <w:tcW w:w="1142" w:type="dxa"/>
            <w:tcBorders>
              <w:tl2br w:val="nil"/>
              <w:tr2bl w:val="nil"/>
            </w:tcBorders>
            <w:shd w:val="clear" w:color="auto" w:fill="auto"/>
            <w:vAlign w:val="center"/>
          </w:tcPr>
          <w:p w14:paraId="7EBAFC2A">
            <w:pPr>
              <w:keepNext w:val="0"/>
              <w:keepLines w:val="0"/>
              <w:widowControl/>
              <w:suppressLineNumbers w:val="0"/>
              <w:jc w:val="center"/>
              <w:textAlignment w:val="center"/>
              <w:rPr>
                <w:rFonts w:hint="eastAsia" w:ascii="Times New Roman" w:hAnsi="Times New Roman" w:eastAsia="宋体" w:cs="宋体"/>
                <w:i w:val="0"/>
                <w:iCs w:val="0"/>
                <w:snapToGrid w:val="0"/>
                <w:color w:val="000000"/>
                <w:kern w:val="0"/>
                <w:sz w:val="21"/>
                <w:szCs w:val="21"/>
                <w:u w:val="none"/>
                <w:lang w:val="en-US" w:eastAsia="zh-CN" w:bidi="ar"/>
              </w:rPr>
            </w:pPr>
            <w:r>
              <w:rPr>
                <w:rFonts w:hint="eastAsia" w:ascii="Times New Roman" w:hAnsi="Times New Roman" w:eastAsia="宋体" w:cs="宋体"/>
                <w:i w:val="0"/>
                <w:iCs w:val="0"/>
                <w:snapToGrid w:val="0"/>
                <w:color w:val="000000"/>
                <w:kern w:val="0"/>
                <w:sz w:val="21"/>
                <w:szCs w:val="21"/>
                <w:u w:val="none"/>
                <w:lang w:val="en-US" w:eastAsia="zh-CN" w:bidi="ar"/>
              </w:rPr>
              <w:t>36.9</w:t>
            </w:r>
          </w:p>
        </w:tc>
        <w:tc>
          <w:tcPr>
            <w:tcW w:w="1062" w:type="dxa"/>
            <w:tcBorders>
              <w:tl2br w:val="nil"/>
              <w:tr2bl w:val="nil"/>
            </w:tcBorders>
            <w:shd w:val="clear" w:color="auto" w:fill="auto"/>
            <w:vAlign w:val="center"/>
          </w:tcPr>
          <w:p w14:paraId="72B47D71">
            <w:pPr>
              <w:keepNext w:val="0"/>
              <w:keepLines w:val="0"/>
              <w:widowControl/>
              <w:suppressLineNumbers w:val="0"/>
              <w:jc w:val="right"/>
              <w:textAlignment w:val="center"/>
              <w:rPr>
                <w:rFonts w:hint="eastAsia" w:ascii="Times New Roman" w:hAnsi="Times New Roman" w:eastAsia="宋体" w:cs="宋体"/>
                <w:i w:val="0"/>
                <w:iCs w:val="0"/>
                <w:snapToGrid w:val="0"/>
                <w:color w:val="000000"/>
                <w:kern w:val="0"/>
                <w:sz w:val="21"/>
                <w:szCs w:val="21"/>
                <w:u w:val="none"/>
                <w:lang w:val="en-US" w:eastAsia="zh-CN" w:bidi="ar"/>
              </w:rPr>
            </w:pPr>
            <w:r>
              <w:rPr>
                <w:rFonts w:hint="eastAsia" w:ascii="Times New Roman" w:hAnsi="Times New Roman" w:eastAsia="宋体" w:cs="宋体"/>
                <w:i w:val="0"/>
                <w:iCs w:val="0"/>
                <w:snapToGrid w:val="0"/>
                <w:color w:val="000000"/>
                <w:kern w:val="0"/>
                <w:sz w:val="21"/>
                <w:szCs w:val="21"/>
                <w:u w:val="none"/>
                <w:lang w:val="en-US" w:eastAsia="zh-CN" w:bidi="ar"/>
              </w:rPr>
              <w:t>92.25%</w:t>
            </w:r>
          </w:p>
        </w:tc>
      </w:tr>
      <w:tr w14:paraId="03F81481">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restart"/>
            <w:tcBorders>
              <w:tl2br w:val="nil"/>
              <w:tr2bl w:val="nil"/>
            </w:tcBorders>
            <w:shd w:val="clear" w:color="auto" w:fill="auto"/>
            <w:noWrap/>
            <w:vAlign w:val="center"/>
          </w:tcPr>
          <w:p w14:paraId="051DB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效果</w:t>
            </w:r>
          </w:p>
        </w:tc>
        <w:tc>
          <w:tcPr>
            <w:tcW w:w="1459" w:type="dxa"/>
            <w:vMerge w:val="restart"/>
            <w:tcBorders>
              <w:tl2br w:val="nil"/>
              <w:tr2bl w:val="nil"/>
            </w:tcBorders>
            <w:shd w:val="clear" w:color="auto" w:fill="auto"/>
            <w:vAlign w:val="center"/>
          </w:tcPr>
          <w:p w14:paraId="335B56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履职效益</w:t>
            </w:r>
          </w:p>
        </w:tc>
        <w:tc>
          <w:tcPr>
            <w:tcW w:w="2477" w:type="dxa"/>
            <w:tcBorders>
              <w:tl2br w:val="nil"/>
              <w:tr2bl w:val="nil"/>
            </w:tcBorders>
            <w:shd w:val="clear" w:color="auto" w:fill="auto"/>
            <w:vAlign w:val="center"/>
          </w:tcPr>
          <w:p w14:paraId="47EF54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社会效益</w:t>
            </w:r>
          </w:p>
        </w:tc>
        <w:tc>
          <w:tcPr>
            <w:tcW w:w="1232" w:type="dxa"/>
            <w:tcBorders>
              <w:tl2br w:val="nil"/>
              <w:tr2bl w:val="nil"/>
            </w:tcBorders>
            <w:shd w:val="clear" w:color="auto" w:fill="auto"/>
            <w:vAlign w:val="center"/>
          </w:tcPr>
          <w:p w14:paraId="4F299A2A">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5</w:t>
            </w:r>
          </w:p>
        </w:tc>
        <w:tc>
          <w:tcPr>
            <w:tcW w:w="1142" w:type="dxa"/>
            <w:tcBorders>
              <w:tl2br w:val="nil"/>
              <w:tr2bl w:val="nil"/>
            </w:tcBorders>
            <w:shd w:val="clear" w:color="auto" w:fill="auto"/>
            <w:noWrap/>
            <w:vAlign w:val="center"/>
          </w:tcPr>
          <w:p w14:paraId="399A171A">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4</w:t>
            </w:r>
          </w:p>
        </w:tc>
        <w:tc>
          <w:tcPr>
            <w:tcW w:w="1062" w:type="dxa"/>
            <w:tcBorders>
              <w:tl2br w:val="nil"/>
              <w:tr2bl w:val="nil"/>
            </w:tcBorders>
            <w:shd w:val="clear" w:color="auto" w:fill="auto"/>
            <w:vAlign w:val="center"/>
          </w:tcPr>
          <w:p w14:paraId="3BDC10A8">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80.00%</w:t>
            </w:r>
          </w:p>
        </w:tc>
      </w:tr>
      <w:tr w14:paraId="7C56D43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422875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2496BF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1C704A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经济效益</w:t>
            </w:r>
          </w:p>
        </w:tc>
        <w:tc>
          <w:tcPr>
            <w:tcW w:w="1232" w:type="dxa"/>
            <w:tcBorders>
              <w:tl2br w:val="nil"/>
              <w:tr2bl w:val="nil"/>
            </w:tcBorders>
            <w:shd w:val="clear" w:color="auto" w:fill="auto"/>
            <w:vAlign w:val="center"/>
          </w:tcPr>
          <w:p w14:paraId="12C12337">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5</w:t>
            </w:r>
          </w:p>
        </w:tc>
        <w:tc>
          <w:tcPr>
            <w:tcW w:w="1142" w:type="dxa"/>
            <w:tcBorders>
              <w:tl2br w:val="nil"/>
              <w:tr2bl w:val="nil"/>
            </w:tcBorders>
            <w:shd w:val="clear" w:color="auto" w:fill="auto"/>
            <w:noWrap/>
            <w:vAlign w:val="center"/>
          </w:tcPr>
          <w:p w14:paraId="7A0B5871">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5</w:t>
            </w:r>
          </w:p>
        </w:tc>
        <w:tc>
          <w:tcPr>
            <w:tcW w:w="1062" w:type="dxa"/>
            <w:tcBorders>
              <w:tl2br w:val="nil"/>
              <w:tr2bl w:val="nil"/>
            </w:tcBorders>
            <w:shd w:val="clear" w:color="auto" w:fill="auto"/>
            <w:vAlign w:val="center"/>
          </w:tcPr>
          <w:p w14:paraId="0266B2BC">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60677E96">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48BE2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2EAC07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35C26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可持续发展</w:t>
            </w:r>
          </w:p>
        </w:tc>
        <w:tc>
          <w:tcPr>
            <w:tcW w:w="1232" w:type="dxa"/>
            <w:tcBorders>
              <w:tl2br w:val="nil"/>
              <w:tr2bl w:val="nil"/>
            </w:tcBorders>
            <w:shd w:val="clear" w:color="auto" w:fill="auto"/>
            <w:vAlign w:val="center"/>
          </w:tcPr>
          <w:p w14:paraId="445CF9AE">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5</w:t>
            </w:r>
          </w:p>
        </w:tc>
        <w:tc>
          <w:tcPr>
            <w:tcW w:w="1142" w:type="dxa"/>
            <w:tcBorders>
              <w:tl2br w:val="nil"/>
              <w:tr2bl w:val="nil"/>
            </w:tcBorders>
            <w:shd w:val="clear" w:color="auto" w:fill="auto"/>
            <w:noWrap/>
            <w:vAlign w:val="center"/>
          </w:tcPr>
          <w:p w14:paraId="2AE98846">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5</w:t>
            </w:r>
          </w:p>
        </w:tc>
        <w:tc>
          <w:tcPr>
            <w:tcW w:w="1062" w:type="dxa"/>
            <w:tcBorders>
              <w:tl2br w:val="nil"/>
              <w:tr2bl w:val="nil"/>
            </w:tcBorders>
            <w:shd w:val="clear" w:color="auto" w:fill="auto"/>
            <w:vAlign w:val="center"/>
          </w:tcPr>
          <w:p w14:paraId="78F07E45">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5D2D0EC3">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60034B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6654F6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55CE70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满意度</w:t>
            </w:r>
          </w:p>
        </w:tc>
        <w:tc>
          <w:tcPr>
            <w:tcW w:w="1232" w:type="dxa"/>
            <w:tcBorders>
              <w:tl2br w:val="nil"/>
              <w:tr2bl w:val="nil"/>
            </w:tcBorders>
            <w:shd w:val="clear" w:color="auto" w:fill="auto"/>
            <w:vAlign w:val="center"/>
          </w:tcPr>
          <w:p w14:paraId="1138E533">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5</w:t>
            </w:r>
          </w:p>
        </w:tc>
        <w:tc>
          <w:tcPr>
            <w:tcW w:w="1142" w:type="dxa"/>
            <w:tcBorders>
              <w:tl2br w:val="nil"/>
              <w:tr2bl w:val="nil"/>
            </w:tcBorders>
            <w:shd w:val="clear" w:color="auto" w:fill="auto"/>
            <w:noWrap/>
            <w:vAlign w:val="center"/>
          </w:tcPr>
          <w:p w14:paraId="1BFC1B7F">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5</w:t>
            </w:r>
          </w:p>
        </w:tc>
        <w:tc>
          <w:tcPr>
            <w:tcW w:w="1062" w:type="dxa"/>
            <w:tcBorders>
              <w:tl2br w:val="nil"/>
              <w:tr2bl w:val="nil"/>
            </w:tcBorders>
            <w:shd w:val="clear" w:color="auto" w:fill="auto"/>
            <w:vAlign w:val="center"/>
          </w:tcPr>
          <w:p w14:paraId="137FE3DA">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52AA2F4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1F6485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3936" w:type="dxa"/>
            <w:gridSpan w:val="2"/>
            <w:tcBorders>
              <w:tl2br w:val="nil"/>
              <w:tr2bl w:val="nil"/>
            </w:tcBorders>
            <w:shd w:val="clear" w:color="auto" w:fill="auto"/>
            <w:noWrap/>
            <w:vAlign w:val="center"/>
          </w:tcPr>
          <w:p w14:paraId="0EE96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小计</w:t>
            </w:r>
          </w:p>
        </w:tc>
        <w:tc>
          <w:tcPr>
            <w:tcW w:w="1232" w:type="dxa"/>
            <w:tcBorders>
              <w:tl2br w:val="nil"/>
              <w:tr2bl w:val="nil"/>
            </w:tcBorders>
            <w:shd w:val="clear" w:color="auto" w:fill="auto"/>
            <w:noWrap/>
            <w:vAlign w:val="center"/>
          </w:tcPr>
          <w:p w14:paraId="5131CD3C">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20</w:t>
            </w:r>
          </w:p>
        </w:tc>
        <w:tc>
          <w:tcPr>
            <w:tcW w:w="1142" w:type="dxa"/>
            <w:tcBorders>
              <w:tl2br w:val="nil"/>
              <w:tr2bl w:val="nil"/>
            </w:tcBorders>
            <w:shd w:val="clear" w:color="auto" w:fill="auto"/>
            <w:noWrap/>
            <w:vAlign w:val="center"/>
          </w:tcPr>
          <w:p w14:paraId="184286DB">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19</w:t>
            </w:r>
          </w:p>
        </w:tc>
        <w:tc>
          <w:tcPr>
            <w:tcW w:w="1062" w:type="dxa"/>
            <w:tcBorders>
              <w:tl2br w:val="nil"/>
              <w:tr2bl w:val="nil"/>
            </w:tcBorders>
            <w:shd w:val="clear" w:color="auto" w:fill="auto"/>
            <w:vAlign w:val="center"/>
          </w:tcPr>
          <w:p w14:paraId="3BA79FF5">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95.00%</w:t>
            </w:r>
          </w:p>
        </w:tc>
      </w:tr>
      <w:tr w14:paraId="68778A5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5495" w:type="dxa"/>
            <w:gridSpan w:val="3"/>
            <w:tcBorders>
              <w:tl2br w:val="nil"/>
              <w:tr2bl w:val="nil"/>
            </w:tcBorders>
            <w:shd w:val="clear" w:color="auto" w:fill="auto"/>
            <w:noWrap/>
            <w:vAlign w:val="center"/>
          </w:tcPr>
          <w:p w14:paraId="3731E0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综合得分</w:t>
            </w:r>
          </w:p>
        </w:tc>
        <w:tc>
          <w:tcPr>
            <w:tcW w:w="1232" w:type="dxa"/>
            <w:tcBorders>
              <w:tl2br w:val="nil"/>
              <w:tr2bl w:val="nil"/>
            </w:tcBorders>
            <w:shd w:val="clear" w:color="auto" w:fill="auto"/>
            <w:noWrap/>
            <w:vAlign w:val="center"/>
          </w:tcPr>
          <w:p w14:paraId="6516F7FC">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w:t>
            </w:r>
          </w:p>
        </w:tc>
        <w:tc>
          <w:tcPr>
            <w:tcW w:w="1142" w:type="dxa"/>
            <w:tcBorders>
              <w:tl2br w:val="nil"/>
              <w:tr2bl w:val="nil"/>
            </w:tcBorders>
            <w:shd w:val="clear" w:color="auto" w:fill="auto"/>
            <w:noWrap/>
            <w:vAlign w:val="center"/>
          </w:tcPr>
          <w:p w14:paraId="06B925E5">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92.68</w:t>
            </w:r>
          </w:p>
        </w:tc>
        <w:tc>
          <w:tcPr>
            <w:tcW w:w="1062" w:type="dxa"/>
            <w:tcBorders>
              <w:tl2br w:val="nil"/>
              <w:tr2bl w:val="nil"/>
            </w:tcBorders>
            <w:shd w:val="clear" w:color="auto" w:fill="auto"/>
            <w:vAlign w:val="center"/>
          </w:tcPr>
          <w:p w14:paraId="372E49C3">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92.68%</w:t>
            </w:r>
          </w:p>
        </w:tc>
      </w:tr>
    </w:tbl>
    <w:p w14:paraId="555C92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val="en-US" w:eastAsia="zh-CN"/>
        </w:rPr>
      </w:pPr>
      <w:bookmarkStart w:id="22" w:name="_Toc23306"/>
      <w:r>
        <w:rPr>
          <w:rFonts w:hint="eastAsia" w:ascii="Times New Roman" w:hAnsi="Times New Roman" w:eastAsia="方正楷体_GBK" w:cstheme="minorBidi"/>
          <w:snapToGrid/>
          <w:kern w:val="2"/>
          <w:sz w:val="32"/>
          <w:szCs w:val="32"/>
          <w:lang w:val="en-US" w:eastAsia="zh-CN"/>
        </w:rPr>
        <w:t>（一）投入</w:t>
      </w:r>
      <w:bookmarkEnd w:id="22"/>
    </w:p>
    <w:p w14:paraId="10EEFA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投入指标满分11.5分，评价得分8.5分，得分率为73.91%，主要扣分原因为绩效指标设置不可衡量、预算编制没有充分依据。</w:t>
      </w:r>
    </w:p>
    <w:p w14:paraId="00A13F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1.目标设定</w:t>
      </w:r>
    </w:p>
    <w:p w14:paraId="4100CC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绩效目标合理性。通过检查《保定市徐水区工业和信息化局职能配置、内设机构和人员编制规定》的通知（徐办字〔2019〕22号）和徐水区工信局2023年预算绩效文本相关内容，徐水区工信局设定的部门绩效目标符合”三定”方案中所赋予的职责；部门分项绩效目标较科学，分项绩效目标与部门履职、年度工作任务相符，与部门职责及政府安排任务密切相关。</w:t>
      </w:r>
    </w:p>
    <w:p w14:paraId="54781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该指标满分1.5分，实际得分1.5分，得分率100.00%。</w:t>
      </w:r>
    </w:p>
    <w:p w14:paraId="180A55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绩效指标明确性。徐水区工信局按照部门分项绩效目标和各项目绩效目标分别设置绩效指标，部分专项资金涉及到的指标设置与资金下达文件中的分区域绩效目标表中的指标相匹配。同时发现部分项目的可持续影响指标值设置为100%、大于95%，时效指标值设置为100%，生态效益指标设置为促进研发投入的科技企业数量，指标值设置不清晰或不可衡量，扣0.5分。</w:t>
      </w:r>
    </w:p>
    <w:p w14:paraId="08E98D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该指标满分2分，实际得分1.5分，得分率75.00%。</w:t>
      </w:r>
    </w:p>
    <w:p w14:paraId="456036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2.资金投入</w:t>
      </w:r>
    </w:p>
    <w:p w14:paraId="5BA439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预算编制科学性。徐水区工信局预算编制经科学论证，预算内容与基本支出、项目内容匹配，预算确定的资金量与工作任务相匹配。常年法律顾问费2万元，法律顾问费项目预算1.63万元，预算编制没有综合考虑费用发生的持续稳定性，项目预算资金测算依据不充分，扣0.5分。</w:t>
      </w:r>
    </w:p>
    <w:p w14:paraId="715654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该指标满分2分，实际得分1.5分，得分率75.00%。</w:t>
      </w:r>
    </w:p>
    <w:p w14:paraId="733EA6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（2）资金分配合理性。徐水区工信局预算资金分配依据充分，资金安排与部门职能之间相匹配，与重点任务、政策规划相匹配，部门预算资金分配结果、支出结构在不同项目、不同用途之间合理分配。</w:t>
      </w:r>
    </w:p>
    <w:p w14:paraId="369970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该指标满分1.5分，实际得分1.5分，得分率100%。</w:t>
      </w:r>
    </w:p>
    <w:p w14:paraId="3EC884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3.预算配置</w:t>
      </w:r>
    </w:p>
    <w:p w14:paraId="407545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highlight w:val="yellow"/>
          <w:lang w:val="en-US" w:eastAsia="zh-CN"/>
        </w:rPr>
      </w:pPr>
      <w:r>
        <w:rPr>
          <w:rFonts w:hint="eastAsia" w:ascii="Times New Roman" w:hAnsi="Times New Roman" w:eastAsia="方正仿宋_GBK" w:cstheme="minorBidi"/>
          <w:snapToGrid/>
          <w:kern w:val="2"/>
          <w:sz w:val="32"/>
          <w:szCs w:val="32"/>
          <w:highlight w:val="yellow"/>
          <w:lang w:val="en-US" w:eastAsia="zh-CN"/>
        </w:rPr>
        <w:t>（1）在职人员控制率。根据徐水区工信局”三定”方案在职人员编制数20人，决算编制内在职人员数16人，在职人员控制率=（16÷20）×100%=80%，控制率大于80%（含）小于90%，得1分。</w:t>
      </w:r>
    </w:p>
    <w:p w14:paraId="5A0685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highlight w:val="yellow"/>
          <w:lang w:val="en-US" w:eastAsia="zh-CN"/>
        </w:rPr>
      </w:pPr>
      <w:r>
        <w:rPr>
          <w:rFonts w:hint="eastAsia" w:ascii="Times New Roman" w:hAnsi="Times New Roman" w:eastAsia="方正仿宋_GBK" w:cstheme="minorBidi"/>
          <w:snapToGrid/>
          <w:kern w:val="2"/>
          <w:sz w:val="32"/>
          <w:szCs w:val="32"/>
          <w:highlight w:val="yellow"/>
          <w:lang w:val="en-US" w:eastAsia="zh-CN"/>
        </w:rPr>
        <w:t>该指标满分1.5分，实际得分1分，得分率66.67%。</w:t>
      </w:r>
    </w:p>
    <w:p w14:paraId="5EA417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三公经费”变动率。本年度”三公经费”年初预算数为9.78万元，年中增加购车预算17.38万元，本年度”三公经费”调整后预算数27.16万元，上年度”三公经费”预算数为9.78万元，本年度”三公经费”总额高于上年度”三公经费”总额，变动率=（27.16-9.78）/9.78=177.71%，变动率大于0，扣1.5分。</w:t>
      </w:r>
    </w:p>
    <w:p w14:paraId="7B25FC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该指标满分1.5分，实际得分0分，得分率0.00%。</w:t>
      </w:r>
    </w:p>
    <w:p w14:paraId="4A0B2B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（3）重点支出安排率</w:t>
      </w:r>
    </w:p>
    <w:p w14:paraId="1FB5F9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部门（单位）年度预算安排的，与本部门履职和发展密切相关、具有明显社会和经济影响、党委政府关心或社会比较关注的项目共17个，预算支出总额2525.87万元。重点支出安排率=17个重点项目预算支出/24个项目总预算支出=2525.87/2687.80=93.98%，大于90%，得1.5分。</w:t>
      </w:r>
    </w:p>
    <w:p w14:paraId="0074E9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该指标满分1.5分，实际得分1.5分，得分率100.00%。</w:t>
      </w:r>
    </w:p>
    <w:p w14:paraId="26E1F2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val="en-US" w:eastAsia="zh-CN"/>
        </w:rPr>
      </w:pPr>
      <w:bookmarkStart w:id="23" w:name="_Toc15469"/>
      <w:r>
        <w:rPr>
          <w:rFonts w:hint="eastAsia" w:ascii="Times New Roman" w:hAnsi="Times New Roman" w:eastAsia="方正楷体_GBK" w:cstheme="minorBidi"/>
          <w:snapToGrid/>
          <w:kern w:val="2"/>
          <w:sz w:val="32"/>
          <w:szCs w:val="32"/>
          <w:lang w:val="en-US" w:eastAsia="zh-CN"/>
        </w:rPr>
        <w:t>（二）过程</w:t>
      </w:r>
      <w:bookmarkEnd w:id="23"/>
    </w:p>
    <w:p w14:paraId="609A66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过程指标满分28.5分，评价得分28.28分，得分率为99.23%, 主要扣分原因为预算完成率较低。</w:t>
      </w:r>
    </w:p>
    <w:p w14:paraId="1724EE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1.预算执行</w:t>
      </w:r>
    </w:p>
    <w:p w14:paraId="729954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（1）预算完成率</w:t>
      </w:r>
    </w:p>
    <w:p w14:paraId="0727C8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基本支出和24个计划项目的预算数3836.10万元，预算完成数3420.78万元，预算完成率=3420.78/3836.10×100%=89.17%，得1.78分，扣0.22分。</w:t>
      </w:r>
    </w:p>
    <w:p w14:paraId="546C80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该指标满分2分，实际得分1.78分，得分率89.00%。</w:t>
      </w:r>
    </w:p>
    <w:p w14:paraId="319A28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（2）预算调整率</w:t>
      </w:r>
    </w:p>
    <w:p w14:paraId="052597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预算调整数107.97万元，预算数3836.10万元，预算调率数=（107.97/3836.10）×100%=2.81%，预算调整率小于5%，得2分。</w:t>
      </w:r>
    </w:p>
    <w:p w14:paraId="1E079A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该指标满分2分，实际得分2分，得分率100.00%。</w:t>
      </w:r>
    </w:p>
    <w:p w14:paraId="553160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（3）支付进度率。单位在财政资金拨付后及时转拨付企业，资金拨付及时，得2分。</w:t>
      </w:r>
    </w:p>
    <w:p w14:paraId="45C8BD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该指标满分2分，实际得分2分，得分率100.00%</w:t>
      </w:r>
    </w:p>
    <w:p w14:paraId="30A1E3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（4）结转结余率。根据徐水区工信局提供的预算指标文件、预算文本和决算报表，2023年底结转结余为0元，结转结余率为0%。</w:t>
      </w:r>
    </w:p>
    <w:p w14:paraId="2DA2A9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该指标满分1.5分，实际得分1.5分，得分率100.00%。</w:t>
      </w:r>
    </w:p>
    <w:p w14:paraId="523AFF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（5）结转结余变动率。上年度累计结转结余资金总额143.2万元，本年度累计结转结余资金总额0万元，结转结余变动率小于0，得1.5分。</w:t>
      </w:r>
    </w:p>
    <w:p w14:paraId="1E2DD4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该指标满分1.5分，实际得分1.5分，得分率100.00%。</w:t>
      </w:r>
    </w:p>
    <w:p w14:paraId="6B9E9E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（6）公用经费控制率。本年度实际支出公用经费总额88.14万元，预算安排公用经费总额92.67万元，公用经费控制率=（88.14÷92.67）×100%=95.11%，指标变动在5%内，得2分。</w:t>
      </w:r>
    </w:p>
    <w:p w14:paraId="2F8907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该指标满分2分，实际得分2分，得分率100.00%。</w:t>
      </w:r>
    </w:p>
    <w:p w14:paraId="3B9710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7）”三公经费”控制率。本年度”三公经费”实际支出数22.35万元，本年度”三公经费”年初预算数为9.78万元，年中增加购车预算17.38万元，本年度”三公经费”预算数27.16万元，”三公经费”控制率=22.35÷27.16×100%=82.29%，控制率小于100%，得2分。</w:t>
      </w:r>
    </w:p>
    <w:p w14:paraId="6B8FE2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该指标满分2分，实际得分2分，得分率100.00%。</w:t>
      </w:r>
    </w:p>
    <w:p w14:paraId="028B31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8）政府采购执行率。通过检查徐水区工信局预算文本及政府采购信息统计报表2023年报，徐水区工信局2023年度政府采购年初预算102.16万元，其中货物支出22.98万元，服务支出79.18万元；年底决算政府采购金额为96.31万元，其中货物支出22.36万元，服务支出73.95万元，政府采购执行率=96.31/102.16=94.27%，执行率大于90%小于100%，得2分。</w:t>
      </w:r>
    </w:p>
    <w:p w14:paraId="0D4921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该指标满分2分，实际得分2分，得分率100.00%。</w:t>
      </w:r>
    </w:p>
    <w:p w14:paraId="487017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2.预算管理</w:t>
      </w:r>
    </w:p>
    <w:p w14:paraId="77ED8B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（1）管理制度健全性。已制定预算资金管理办法、内部财务管理制度、会计核算制度等管理制度；制度合法、合规、完整；制度得到有效执行。</w:t>
      </w:r>
    </w:p>
    <w:p w14:paraId="78E0A6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该指标满分1.5分，实际得分1.5分，得分率100%。</w:t>
      </w:r>
    </w:p>
    <w:p w14:paraId="1D450D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资金使用合规性。2023年度徐水区工信局资金使用符合国家财经法规和财务管理制度规定以及有关专项资金管理办法的规定资金的拨付有完整的审批程序和手续；项目的重大开支经过评估论证；符合部门预算批复的用途；不存在截留、挤占、挪用、虚列支出等情况。</w:t>
      </w:r>
    </w:p>
    <w:p w14:paraId="35CB43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该指标满分2.5分，实际得分2.5分，得分率100.00%。</w:t>
      </w:r>
    </w:p>
    <w:p w14:paraId="53D599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（3）预决算信息公开性。通过查看保定市徐水区财政局对徐水区工信局预决算的通知及部门网站，预算公开时间为2023年2月1日；决算公开时间为2024年11月29日，预决算均在规定时间内予以公开。</w:t>
      </w:r>
    </w:p>
    <w:p w14:paraId="12AABF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该指标满分2分，实际得分2分，得分率100.00%。</w:t>
      </w:r>
    </w:p>
    <w:p w14:paraId="5E09AD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（4）基础信息完善性。2023年度徐水区工信局基础数据信息和会计信息资料真实，完整，准确。</w:t>
      </w:r>
    </w:p>
    <w:p w14:paraId="76CA9D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该指标满分1.5分，实际得分1.5分，得分率100.00%。</w:t>
      </w:r>
    </w:p>
    <w:p w14:paraId="6EA0F1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3.资产管理</w:t>
      </w:r>
    </w:p>
    <w:p w14:paraId="59E8B3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（1）管理制度健全性。徐水区工信局已制定或具有资产管理制度；有相关制度，合法、合规、完整；资产管理制度得到执行。</w:t>
      </w:r>
    </w:p>
    <w:p w14:paraId="1669F7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该指标满分1.5分，实际得分1.5分，得分率100.00%。</w:t>
      </w:r>
    </w:p>
    <w:p w14:paraId="340445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（2）资产管理安全性。徐水区工信局资产保存完整，配置合理，账务管理合规，账实相符，处置规范，资产处置收入及时足额上缴。</w:t>
      </w:r>
    </w:p>
    <w:p w14:paraId="3CB818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该指标满分2.5分，实际得分2.5分，得分率100.00%。</w:t>
      </w:r>
    </w:p>
    <w:p w14:paraId="1A5D3C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（3）固定资产利用率。本指标用以反映和考核部门固定资产使用效率程度。固定资产利用率=（实际在用固定资产总额/全部固定资产总额）×100%=（44.18/44.18）*100%=100%，得2分。</w:t>
      </w:r>
    </w:p>
    <w:p w14:paraId="623708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该指标满分2分，实际得分2分，得分率100.00%。</w:t>
      </w:r>
    </w:p>
    <w:p w14:paraId="1FE38A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val="en-US" w:eastAsia="zh-CN"/>
        </w:rPr>
      </w:pPr>
      <w:bookmarkStart w:id="24" w:name="bookmark28"/>
      <w:bookmarkEnd w:id="24"/>
      <w:bookmarkStart w:id="25" w:name="_Toc1772"/>
      <w:r>
        <w:rPr>
          <w:rFonts w:hint="eastAsia" w:ascii="Times New Roman" w:hAnsi="Times New Roman" w:eastAsia="方正楷体_GBK" w:cstheme="minorBidi"/>
          <w:snapToGrid/>
          <w:kern w:val="2"/>
          <w:sz w:val="32"/>
          <w:szCs w:val="32"/>
          <w:lang w:val="en-US" w:eastAsia="zh-CN"/>
        </w:rPr>
        <w:t>（三）产出</w:t>
      </w:r>
      <w:bookmarkEnd w:id="25"/>
    </w:p>
    <w:p w14:paraId="43A0B3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bookmarkStart w:id="26" w:name="bookmark29"/>
      <w:bookmarkEnd w:id="26"/>
      <w:r>
        <w:rPr>
          <w:rFonts w:hint="eastAsia" w:ascii="Times New Roman" w:hAnsi="Times New Roman" w:eastAsia="方正仿宋_GBK" w:cstheme="minorBidi"/>
          <w:snapToGrid/>
          <w:kern w:val="2"/>
          <w:sz w:val="32"/>
          <w:szCs w:val="32"/>
          <w:lang w:val="en-US" w:eastAsia="zh-CN"/>
        </w:rPr>
        <w:t>产出指标满分40分，评价得分36.9分，得分率92.25%。主要扣分原因个别产出指标未完成，质量达标率较低。</w:t>
      </w:r>
    </w:p>
    <w:p w14:paraId="2AF7B6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实际完成率。从分项指标来看，部门分项指标共有28个项目，4个项目因预算收回为无效项目，不纳入本次评价范围。有效实施项目24个，实际完成23个项目。“提前下达2023年技术创新引导专项资金预算项目”未完成，经了解为实施方案向省厅报备后，答复时间较晚，部分方案没完成实施。其余23个项目按年初设定的绩效目标值完成。工作实际完成率为23/24×100%=95.83%。</w:t>
      </w:r>
    </w:p>
    <w:p w14:paraId="71FB79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该指标满分10分，实际得分9.58分，得分率95.80%。</w:t>
      </w:r>
    </w:p>
    <w:p w14:paraId="562863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2.完成及时率。徐水区工信局2023年度共实施24个项目，除提前下达2023年技术创新引导专项资金预算项目外，其余23个项目全部按年初设定的时限完成了工作。工作完成及时率为23/24×100%=95.83%。</w:t>
      </w:r>
    </w:p>
    <w:p w14:paraId="3CB1AD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该指标满分10分，实际得分9.58分，得分率95.80%。</w:t>
      </w:r>
    </w:p>
    <w:p w14:paraId="7B424C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质量达标率。徐水区工信局2023年24个项目中，有4个项目分别为提前下达2023年技术创新引导专项资金预算、下达2022年省级工业转型升级（技改）专项资金（第六批）、提前下达2023年省级中小企业发展专项资金（中小企业运行监测）、下达2022年省级中小企业发展专项资金（第二批）预算的绩效指标没有全部达标，其余20个项目工作质量全部符合年初设定的绩效目标值。工作质量达标率20/24×100%=83.33%。</w:t>
      </w:r>
    </w:p>
    <w:p w14:paraId="58DD3E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该指标满分10分，实际得分8.33分，得分率83.33%。</w:t>
      </w:r>
    </w:p>
    <w:p w14:paraId="36E173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4.重点工作办结率。徐水区工信局2023年度24个项目中，重点项目17件，除提前下达2023年技术创新引导专项资金预算项目外，其中16件重点项目已全部完成，重点工作办结率=16/17×100%=94.12%，</w:t>
      </w:r>
    </w:p>
    <w:p w14:paraId="7CBF6D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该指标满分10分，实际得分9.41分，得分率94.10%。</w:t>
      </w:r>
    </w:p>
    <w:p w14:paraId="4EDAA1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val="en-US" w:eastAsia="zh-CN"/>
        </w:rPr>
      </w:pPr>
      <w:bookmarkStart w:id="27" w:name="_Toc28265"/>
      <w:r>
        <w:rPr>
          <w:rFonts w:hint="eastAsia" w:ascii="Times New Roman" w:hAnsi="Times New Roman" w:eastAsia="方正楷体_GBK" w:cstheme="minorBidi"/>
          <w:snapToGrid/>
          <w:kern w:val="2"/>
          <w:sz w:val="32"/>
          <w:szCs w:val="32"/>
          <w:lang w:val="en-US" w:eastAsia="zh-CN"/>
        </w:rPr>
        <w:t>（四）效果</w:t>
      </w:r>
      <w:bookmarkEnd w:id="27"/>
    </w:p>
    <w:p w14:paraId="1F6E57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效果指标满分20分，评价得分19分，得分率95.00%，主要扣分原因个别项目效益指标未完成。</w:t>
      </w:r>
    </w:p>
    <w:p w14:paraId="37AF87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1.社会效益</w:t>
      </w:r>
    </w:p>
    <w:p w14:paraId="154910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徐水区工信局2023年度慰问纳税重点企业142家、对留守人员、化工厂饮食服务、享受困难补助的企业军转干部等专项项目进行实施，解决了企业改制过程中人员的后续社保工资补助等问题，未发生一起上访事件，维护了社会稳定和谐。引导更多企业向”专精特新”发展，新增科技中小企业的数量5家，国家级科技中小企业88家。但徐水区工信局新增市级以上产业技术创新战略联盟数量绩效目标1个，实际完成为0个，扣0.5分；专项资金实现拉动社会投资倍数绩效目标40倍，实际完成23.5倍，目标未完成扣0.5分。</w:t>
      </w:r>
    </w:p>
    <w:p w14:paraId="7039E5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该指标满分5分，实际得分4分，得分率80.00%。</w:t>
      </w:r>
    </w:p>
    <w:p w14:paraId="45A2F7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2.经济效益</w:t>
      </w:r>
    </w:p>
    <w:p w14:paraId="031130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通过查看徐水区工信局相关资料，专项项目2023年度的实施指标基本完成，实现产值增长，项目的实施推动了企业的经济发展。</w:t>
      </w:r>
    </w:p>
    <w:p w14:paraId="60D7D3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该指标满分5分，实际得分5分，得分率100.00%。</w:t>
      </w:r>
    </w:p>
    <w:p w14:paraId="6A2C7F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3.可持续发展</w:t>
      </w:r>
    </w:p>
    <w:p w14:paraId="6E88A9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徐水区工信局2023年度下达支持市县科技创新和科学普及专项资金1214.3411万元，补助企业44家；省级工业设计发展专项资金200万元，补助企业2家；支持工业互联网创新发展专项资金210.81万元，补助企业3家；省级工业转型升级（技改）专项资66万元，补助企业1家；通过项目的实施，能够推进高新技术与传统工业改造结合，提高企业研发投入，新增研发投入的科技企业的数量达22家，帮助企业降低经营成本，推进全区工业园区的建设与发展。</w:t>
      </w:r>
    </w:p>
    <w:p w14:paraId="447771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该指标满分5分，实际得分5分，得分率100.00%。</w:t>
      </w:r>
    </w:p>
    <w:p w14:paraId="4B93EF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4.服务对象满意度。针对该指标，我们随机选取30名受益对象进行了满意度问卷调查，经计算总体满意度为100%。</w:t>
      </w:r>
    </w:p>
    <w:p w14:paraId="2565AE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该指标满分5分，实际得分5分，得分率100.00%。</w:t>
      </w:r>
    </w:p>
    <w:p w14:paraId="4FCCE6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黑体_GBK" w:cs="方正黑体_GBK"/>
          <w:snapToGrid/>
          <w:kern w:val="2"/>
          <w:sz w:val="32"/>
          <w:szCs w:val="32"/>
          <w:lang w:val="en-US" w:eastAsia="zh-CN"/>
        </w:rPr>
      </w:pPr>
      <w:bookmarkStart w:id="28" w:name="_Toc27194"/>
      <w:r>
        <w:rPr>
          <w:rFonts w:hint="eastAsia" w:ascii="Times New Roman" w:hAnsi="Times New Roman" w:eastAsia="方正黑体_GBK" w:cs="方正黑体_GBK"/>
          <w:snapToGrid/>
          <w:kern w:val="2"/>
          <w:sz w:val="32"/>
          <w:szCs w:val="32"/>
          <w:lang w:val="en-US" w:eastAsia="zh-CN"/>
        </w:rPr>
        <w:t>五、绩效评价发现的问题</w:t>
      </w:r>
      <w:bookmarkEnd w:id="28"/>
    </w:p>
    <w:p w14:paraId="39C4FB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通过此次绩效评价，我们发现徐水区工信局在预算绩效管理和项目管理、预算监控等方面还存在一些不足之处，具体情况如下：</w:t>
      </w:r>
    </w:p>
    <w:p w14:paraId="5D8C3C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1.绩效管理有待进一步提高。一是预算编制没有考虑持续稳定发生的项目金额的稳定性因素，导致预算编制没有充分的依据；二是个别绩效指标值设置不合理，指标值的设置不清晰或不可衡量。</w:t>
      </w:r>
    </w:p>
    <w:p w14:paraId="32E52D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项目管理有待加强。一是个别项目实施进度较慢，提前下达2023年技术创新引导专项资金预算项目500万元，截至2023年底仅支付197.5917万元进度较慢；二是徐水区工信局对项目实施效果开展相关满意度调查力度有待加强。经查看相关资料，未见工信局对受补助企业和享受补助人员发放调查问卷，仅通过打电话方式对满意度进行调查，调查力度不够，满意度测评结果的真实性有待商確。</w:t>
      </w:r>
    </w:p>
    <w:p w14:paraId="769BB5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3.未对所有的项目开展绩效自评。一是未对政府采购执行情况进行自评；二是自评报告中多处出现2022年度的表述，表述不准确。</w:t>
      </w:r>
    </w:p>
    <w:p w14:paraId="237FE7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4.未及时跟踪项目进度，未开展预算绩效运行监控分析，导致个别项目预算执行率较低。如提前下达2023年技术创新引导专项资金项目，预算额度500万元，实际支出197.5917万元，预算执行率39.52%。</w:t>
      </w:r>
    </w:p>
    <w:p w14:paraId="74657B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黑体_GBK" w:cs="方正黑体_GBK"/>
          <w:snapToGrid/>
          <w:kern w:val="2"/>
          <w:sz w:val="32"/>
          <w:szCs w:val="32"/>
          <w:lang w:val="en-US" w:eastAsia="zh-CN"/>
        </w:rPr>
      </w:pPr>
      <w:bookmarkStart w:id="29" w:name="_Toc2654"/>
      <w:r>
        <w:rPr>
          <w:rFonts w:hint="eastAsia" w:ascii="Times New Roman" w:hAnsi="Times New Roman" w:eastAsia="方正黑体_GBK" w:cs="方正黑体_GBK"/>
          <w:snapToGrid/>
          <w:kern w:val="2"/>
          <w:sz w:val="32"/>
          <w:szCs w:val="32"/>
          <w:lang w:val="en-US" w:eastAsia="zh-CN"/>
        </w:rPr>
        <w:t>六、绩效评价意见及建议</w:t>
      </w:r>
      <w:bookmarkEnd w:id="29"/>
    </w:p>
    <w:p w14:paraId="250066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针对此次绩效评价过程中发现的问题，我们建议：</w:t>
      </w:r>
    </w:p>
    <w:p w14:paraId="7E97CB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1.科学合理编制预算，提高资金使用效率。</w:t>
      </w:r>
    </w:p>
    <w:p w14:paraId="4CF404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提高预算编制的准确性，参照往年收支情况，结合经济社会发展和政策变化等增减变动因素，实事求是、科学合理地编制预算，提高预算执行效率。</w:t>
      </w:r>
    </w:p>
    <w:p w14:paraId="2747BA3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提升绩效指标填报质量。</w:t>
      </w:r>
    </w:p>
    <w:p w14:paraId="6C2C1A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提升绩效指标设立的科学性、准确性及指标值设置的清晰可量化，根据项目的实际情况和预算绩效管理的要求，科学设计绩效指标，确保指标与项目目标紧密相关，能够真实反映项目的绩效水平。</w:t>
      </w:r>
    </w:p>
    <w:p w14:paraId="1D58AF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3.着力提升绩效自评质量，发挥自评使用作用。</w:t>
      </w:r>
    </w:p>
    <w:p w14:paraId="15A4AF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不断提升对预算绩效评价工作的重视程度，转变思想观念，从“要我做绩效”到“我要做绩效”，聚焦财政整体绩效和核心业务实施效果，以实际工作完成情况为基础真实性、完整性、准确性、规范性开展绩效自评工作。</w:t>
      </w:r>
    </w:p>
    <w:p w14:paraId="3DF4E0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4.开展项目支出绩效运行监控工作。</w:t>
      </w:r>
    </w:p>
    <w:p w14:paraId="30CB12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绩效监控是绩效评价有效实施的重要前提，也是绩效目标得以实现的重要保障。建议被评价单位根据自身项目实施情况，制定预算资金绩效运行监控机制，按照监控机制对年度项目支出绩效目标执行绩效运行监控，促进绩效目标实现。</w:t>
      </w:r>
    </w:p>
    <w:p w14:paraId="05E68B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1FD44A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附件：2023年保定市徐水区工业和信息化局部门整体支出绩效评价</w:t>
      </w:r>
      <w:r>
        <w:rPr>
          <w:rFonts w:hint="eastAsia" w:ascii="Times New Roman" w:hAnsi="Times New Roman" w:eastAsia="方正仿宋_GBK" w:cstheme="minorBidi"/>
          <w:snapToGrid/>
          <w:kern w:val="2"/>
          <w:sz w:val="32"/>
          <w:szCs w:val="32"/>
          <w:lang w:val="en-US" w:eastAsia="zh-CN"/>
        </w:rPr>
        <w:t>得分表</w:t>
      </w:r>
    </w:p>
    <w:p w14:paraId="74C4B6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544867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08D491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241ECE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130295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1A8BC39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heme="minorBidi"/>
          <w:snapToGrid/>
          <w:kern w:val="2"/>
          <w:sz w:val="32"/>
          <w:szCs w:val="32"/>
          <w:lang w:val="en-US" w:eastAsia="zh-CN"/>
        </w:rPr>
      </w:pPr>
      <w:bookmarkStart w:id="30" w:name="_GoBack"/>
      <w:bookmarkEnd w:id="30"/>
    </w:p>
    <w:p w14:paraId="66CA3E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77F84F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113B33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73F686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40929CD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heme="minorBidi"/>
          <w:snapToGrid/>
          <w:kern w:val="2"/>
          <w:sz w:val="32"/>
          <w:szCs w:val="32"/>
          <w:lang w:val="en-US" w:eastAsia="zh-CN"/>
        </w:rPr>
      </w:pPr>
    </w:p>
    <w:p w14:paraId="50E38F3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河北蓝天会计师事务所有限公司     中国注册会计师：</w:t>
      </w:r>
    </w:p>
    <w:p w14:paraId="19EE39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p>
    <w:p w14:paraId="6BB4F711">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中国   保定                      中国注册会计师：</w:t>
      </w:r>
    </w:p>
    <w:p w14:paraId="3D3736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heme="minorBidi"/>
          <w:snapToGrid/>
          <w:kern w:val="2"/>
          <w:sz w:val="32"/>
          <w:szCs w:val="32"/>
          <w:lang w:val="en-US" w:eastAsia="zh-CN"/>
        </w:rPr>
      </w:pPr>
    </w:p>
    <w:p w14:paraId="0B7575F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 xml:space="preserve">2025年1月15日           </w:t>
      </w:r>
    </w:p>
    <w:sectPr>
      <w:footerReference r:id="rId9" w:type="default"/>
      <w:pgSz w:w="11900" w:h="16830"/>
      <w:pgMar w:top="2098" w:right="1474" w:bottom="1984" w:left="1587" w:header="0" w:footer="850" w:gutter="0"/>
      <w:pgBorders>
        <w:top w:val="single" w:color="FFFFFF" w:themeColor="background1" w:sz="12" w:space="1"/>
        <w:left w:val="single" w:color="FFFFFF" w:themeColor="background1" w:sz="12" w:space="4"/>
        <w:bottom w:val="single" w:color="FFFFFF" w:themeColor="background1" w:sz="12" w:space="1"/>
        <w:right w:val="single" w:color="FFFFFF" w:themeColor="background1" w:sz="12" w:space="4"/>
      </w:pgBorders>
      <w:pgNumType w:fmt="numberInDash" w:start="1"/>
      <w:cols w:equalWidth="0" w:num="1">
        <w:col w:w="1683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楷体_GBK">
    <w:altName w:val="微软雅黑"/>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47215">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A79EF">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1A79EF">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6F78F">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0B27A">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80B27A">
                    <w:pPr>
                      <w:pStyle w:val="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CBC8">
    <w:pPr>
      <w:pStyle w:val="4"/>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0C341">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3D0C341">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D13AE">
    <w:pPr>
      <w:pStyle w:val="4"/>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posOffset>4987290</wp:posOffset>
              </wp:positionH>
              <wp:positionV relativeFrom="paragraph">
                <wp:posOffset>-390525</wp:posOffset>
              </wp:positionV>
              <wp:extent cx="1828800" cy="1803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0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C231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2.7pt;margin-top:-30.75pt;height:14.2pt;width:144pt;mso-position-horizontal-relative:margin;mso-wrap-style:none;z-index:251659264;mso-width-relative:page;mso-height-relative:page;" filled="f" stroked="f" coordsize="21600,21600" o:gfxdata="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5N2ALbAAAADAEAAA8AAAAAAAAAAQAgAAAAIgAAAGRycy9kb3du&#10;cmV2LnhtbFBLAQIUABQAAAAIAIdO4kBFPy/rNQIAAGAEAAAOAAAAAAAAAAEAIAAAACoBAABkcnMv&#10;ZTJvRG9jLnhtbFBLBQYAAAAABgAGAFkBAADRBQAAAAA=&#10;">
              <v:fill on="f" focussize="0,0"/>
              <v:stroke on="f" weight="0.5pt"/>
              <v:imagedata o:title=""/>
              <o:lock v:ext="edit" aspectratio="f"/>
              <v:textbox inset="0mm,0mm,0mm,0mm">
                <w:txbxContent>
                  <w:p w14:paraId="488C231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78B61">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4B9B0"/>
    <w:multiLevelType w:val="singleLevel"/>
    <w:tmpl w:val="EF84B9B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8B73C2"/>
    <w:rsid w:val="016248D9"/>
    <w:rsid w:val="01D6466C"/>
    <w:rsid w:val="01FC185F"/>
    <w:rsid w:val="020E2058"/>
    <w:rsid w:val="023D318D"/>
    <w:rsid w:val="02B26E88"/>
    <w:rsid w:val="0334737C"/>
    <w:rsid w:val="041651F4"/>
    <w:rsid w:val="04236C1A"/>
    <w:rsid w:val="0514603E"/>
    <w:rsid w:val="05CF7D50"/>
    <w:rsid w:val="05F11B6D"/>
    <w:rsid w:val="05FD2B10"/>
    <w:rsid w:val="06E31D05"/>
    <w:rsid w:val="073562D9"/>
    <w:rsid w:val="07F615C4"/>
    <w:rsid w:val="084D31AF"/>
    <w:rsid w:val="08EA743D"/>
    <w:rsid w:val="08FF0AF3"/>
    <w:rsid w:val="091066B6"/>
    <w:rsid w:val="09526CCE"/>
    <w:rsid w:val="09546EAB"/>
    <w:rsid w:val="096E162E"/>
    <w:rsid w:val="09903C9B"/>
    <w:rsid w:val="09E12E58"/>
    <w:rsid w:val="0A0F5B04"/>
    <w:rsid w:val="0AD019C3"/>
    <w:rsid w:val="0AF10769"/>
    <w:rsid w:val="0B0628BE"/>
    <w:rsid w:val="0B27418B"/>
    <w:rsid w:val="0B7E674B"/>
    <w:rsid w:val="0BC35C62"/>
    <w:rsid w:val="0C0544CC"/>
    <w:rsid w:val="0C77474B"/>
    <w:rsid w:val="0CD2268A"/>
    <w:rsid w:val="0D680039"/>
    <w:rsid w:val="0F8A6A96"/>
    <w:rsid w:val="0FB443A3"/>
    <w:rsid w:val="0FD2175C"/>
    <w:rsid w:val="0FD60CF8"/>
    <w:rsid w:val="0FDD289F"/>
    <w:rsid w:val="101E5B5C"/>
    <w:rsid w:val="10262C63"/>
    <w:rsid w:val="10CA1F81"/>
    <w:rsid w:val="11335637"/>
    <w:rsid w:val="11376D5D"/>
    <w:rsid w:val="118045F5"/>
    <w:rsid w:val="11B5581C"/>
    <w:rsid w:val="124F5746"/>
    <w:rsid w:val="12F86B39"/>
    <w:rsid w:val="1304536D"/>
    <w:rsid w:val="13581385"/>
    <w:rsid w:val="137E0C01"/>
    <w:rsid w:val="13CA1492"/>
    <w:rsid w:val="13CD70D5"/>
    <w:rsid w:val="13FA41EA"/>
    <w:rsid w:val="14064ABA"/>
    <w:rsid w:val="14943566"/>
    <w:rsid w:val="14A44835"/>
    <w:rsid w:val="14B6561E"/>
    <w:rsid w:val="14FB2910"/>
    <w:rsid w:val="150A2605"/>
    <w:rsid w:val="150B3A74"/>
    <w:rsid w:val="15574278"/>
    <w:rsid w:val="161A0B74"/>
    <w:rsid w:val="166E0EC0"/>
    <w:rsid w:val="172B3662"/>
    <w:rsid w:val="17FD6785"/>
    <w:rsid w:val="18B276D5"/>
    <w:rsid w:val="1907367E"/>
    <w:rsid w:val="19761236"/>
    <w:rsid w:val="19A5109C"/>
    <w:rsid w:val="1A0505BD"/>
    <w:rsid w:val="1A7E7CDF"/>
    <w:rsid w:val="1AA14654"/>
    <w:rsid w:val="1ABC48F0"/>
    <w:rsid w:val="1BCF7695"/>
    <w:rsid w:val="1BEB2CE0"/>
    <w:rsid w:val="1C25290F"/>
    <w:rsid w:val="1C5D74E8"/>
    <w:rsid w:val="1CEB326A"/>
    <w:rsid w:val="1D295A04"/>
    <w:rsid w:val="1DEA7E9E"/>
    <w:rsid w:val="1E0E54C6"/>
    <w:rsid w:val="1E303662"/>
    <w:rsid w:val="1E42335E"/>
    <w:rsid w:val="1E6F3F54"/>
    <w:rsid w:val="1EF74148"/>
    <w:rsid w:val="1F1D16D5"/>
    <w:rsid w:val="1FA912D2"/>
    <w:rsid w:val="20771DB2"/>
    <w:rsid w:val="2096173F"/>
    <w:rsid w:val="20B41BC5"/>
    <w:rsid w:val="2127683B"/>
    <w:rsid w:val="212C2162"/>
    <w:rsid w:val="21845A3B"/>
    <w:rsid w:val="218D6BC2"/>
    <w:rsid w:val="21CB71C6"/>
    <w:rsid w:val="226001E9"/>
    <w:rsid w:val="22FA68A5"/>
    <w:rsid w:val="23853035"/>
    <w:rsid w:val="249266C1"/>
    <w:rsid w:val="249D7540"/>
    <w:rsid w:val="251175E6"/>
    <w:rsid w:val="25241042"/>
    <w:rsid w:val="255F52DD"/>
    <w:rsid w:val="258129BE"/>
    <w:rsid w:val="25AA086D"/>
    <w:rsid w:val="260029B4"/>
    <w:rsid w:val="26082058"/>
    <w:rsid w:val="26492DAF"/>
    <w:rsid w:val="277B2A6E"/>
    <w:rsid w:val="27F60D15"/>
    <w:rsid w:val="281C4C20"/>
    <w:rsid w:val="286949D5"/>
    <w:rsid w:val="287E6CF3"/>
    <w:rsid w:val="289B3D96"/>
    <w:rsid w:val="28EF40E2"/>
    <w:rsid w:val="290D6115"/>
    <w:rsid w:val="292D69B8"/>
    <w:rsid w:val="29C46D28"/>
    <w:rsid w:val="2AA50C7B"/>
    <w:rsid w:val="2AED28A3"/>
    <w:rsid w:val="2AF23A16"/>
    <w:rsid w:val="2AFF7566"/>
    <w:rsid w:val="2B1670BE"/>
    <w:rsid w:val="2B8E01D9"/>
    <w:rsid w:val="2BD450AD"/>
    <w:rsid w:val="2C065E2C"/>
    <w:rsid w:val="2C397357"/>
    <w:rsid w:val="2C736DD8"/>
    <w:rsid w:val="2C8D7E9A"/>
    <w:rsid w:val="2CCB2770"/>
    <w:rsid w:val="2D184542"/>
    <w:rsid w:val="2DDC5444"/>
    <w:rsid w:val="2E3A5DFF"/>
    <w:rsid w:val="2E4C37F6"/>
    <w:rsid w:val="2EAB72E4"/>
    <w:rsid w:val="2EE269F4"/>
    <w:rsid w:val="2EE96122"/>
    <w:rsid w:val="2F0E4B96"/>
    <w:rsid w:val="2F391C13"/>
    <w:rsid w:val="2F65137B"/>
    <w:rsid w:val="2F861802"/>
    <w:rsid w:val="2FCE2CA3"/>
    <w:rsid w:val="2FF41FDE"/>
    <w:rsid w:val="30100DB7"/>
    <w:rsid w:val="30B5525E"/>
    <w:rsid w:val="30D014FD"/>
    <w:rsid w:val="30E47124"/>
    <w:rsid w:val="313308E4"/>
    <w:rsid w:val="3152520E"/>
    <w:rsid w:val="317E4255"/>
    <w:rsid w:val="31D34CFE"/>
    <w:rsid w:val="32004C6A"/>
    <w:rsid w:val="32D61E6F"/>
    <w:rsid w:val="33984DE1"/>
    <w:rsid w:val="33E605F5"/>
    <w:rsid w:val="340F388A"/>
    <w:rsid w:val="34330CC9"/>
    <w:rsid w:val="35234E2B"/>
    <w:rsid w:val="35582C86"/>
    <w:rsid w:val="35734D1C"/>
    <w:rsid w:val="360D2990"/>
    <w:rsid w:val="361231BE"/>
    <w:rsid w:val="36472C31"/>
    <w:rsid w:val="3680259B"/>
    <w:rsid w:val="36AE1B85"/>
    <w:rsid w:val="36F80606"/>
    <w:rsid w:val="36FF3742"/>
    <w:rsid w:val="375A76DE"/>
    <w:rsid w:val="388A1D3C"/>
    <w:rsid w:val="38A64043"/>
    <w:rsid w:val="38AF73EA"/>
    <w:rsid w:val="38B844F1"/>
    <w:rsid w:val="398C3287"/>
    <w:rsid w:val="39965EB4"/>
    <w:rsid w:val="3A541FF7"/>
    <w:rsid w:val="3A753C27"/>
    <w:rsid w:val="3AD273C0"/>
    <w:rsid w:val="3AE74C19"/>
    <w:rsid w:val="3AF92B9E"/>
    <w:rsid w:val="3B6A70A6"/>
    <w:rsid w:val="3B857B69"/>
    <w:rsid w:val="3B90705F"/>
    <w:rsid w:val="3BAE7806"/>
    <w:rsid w:val="3C0E2679"/>
    <w:rsid w:val="3C9E1C4F"/>
    <w:rsid w:val="3CB72D11"/>
    <w:rsid w:val="3D146CD2"/>
    <w:rsid w:val="3D2D5CF8"/>
    <w:rsid w:val="3E412892"/>
    <w:rsid w:val="3E455216"/>
    <w:rsid w:val="3E7064AC"/>
    <w:rsid w:val="3EF05143"/>
    <w:rsid w:val="3F9561C4"/>
    <w:rsid w:val="3FA1126E"/>
    <w:rsid w:val="3FFF2A05"/>
    <w:rsid w:val="405368AD"/>
    <w:rsid w:val="405D42D4"/>
    <w:rsid w:val="40603CC0"/>
    <w:rsid w:val="40642868"/>
    <w:rsid w:val="407A02DD"/>
    <w:rsid w:val="40810B30"/>
    <w:rsid w:val="40B05AAD"/>
    <w:rsid w:val="40E37C31"/>
    <w:rsid w:val="41151DB4"/>
    <w:rsid w:val="41E55C2A"/>
    <w:rsid w:val="421502BE"/>
    <w:rsid w:val="42FF4201"/>
    <w:rsid w:val="43E74CEE"/>
    <w:rsid w:val="444C3D3F"/>
    <w:rsid w:val="4461572C"/>
    <w:rsid w:val="446A2417"/>
    <w:rsid w:val="447C5CA1"/>
    <w:rsid w:val="45035F88"/>
    <w:rsid w:val="45327DE5"/>
    <w:rsid w:val="45605CF4"/>
    <w:rsid w:val="4624107D"/>
    <w:rsid w:val="462E7BA0"/>
    <w:rsid w:val="46364CA7"/>
    <w:rsid w:val="466E2692"/>
    <w:rsid w:val="46EE655F"/>
    <w:rsid w:val="46F51703"/>
    <w:rsid w:val="48B94A25"/>
    <w:rsid w:val="48BF71D5"/>
    <w:rsid w:val="49016A01"/>
    <w:rsid w:val="496D4E83"/>
    <w:rsid w:val="4A8A55C1"/>
    <w:rsid w:val="4A8B6CBC"/>
    <w:rsid w:val="4AA00BC5"/>
    <w:rsid w:val="4ADB5E1D"/>
    <w:rsid w:val="4B2A0B72"/>
    <w:rsid w:val="4B8C5079"/>
    <w:rsid w:val="4BE13907"/>
    <w:rsid w:val="4BE90BA4"/>
    <w:rsid w:val="4C01421D"/>
    <w:rsid w:val="4C150F1C"/>
    <w:rsid w:val="4C160075"/>
    <w:rsid w:val="4C6E4454"/>
    <w:rsid w:val="4CF51418"/>
    <w:rsid w:val="4D0F1DCA"/>
    <w:rsid w:val="4D190A16"/>
    <w:rsid w:val="4D201912"/>
    <w:rsid w:val="4D3857A8"/>
    <w:rsid w:val="4E500BE5"/>
    <w:rsid w:val="4EA11120"/>
    <w:rsid w:val="4EA533B8"/>
    <w:rsid w:val="4EF867EB"/>
    <w:rsid w:val="4F0022F6"/>
    <w:rsid w:val="4F251D5C"/>
    <w:rsid w:val="4FC82E13"/>
    <w:rsid w:val="50210776"/>
    <w:rsid w:val="5060514F"/>
    <w:rsid w:val="50963262"/>
    <w:rsid w:val="50B45FED"/>
    <w:rsid w:val="5116257D"/>
    <w:rsid w:val="516B614C"/>
    <w:rsid w:val="5278105F"/>
    <w:rsid w:val="5290425D"/>
    <w:rsid w:val="52D7511B"/>
    <w:rsid w:val="536B0C3C"/>
    <w:rsid w:val="538928BA"/>
    <w:rsid w:val="53E126F6"/>
    <w:rsid w:val="53F7629E"/>
    <w:rsid w:val="53F817ED"/>
    <w:rsid w:val="54153D27"/>
    <w:rsid w:val="5473040A"/>
    <w:rsid w:val="54C82D61"/>
    <w:rsid w:val="54D45DB6"/>
    <w:rsid w:val="54E13814"/>
    <w:rsid w:val="554A245F"/>
    <w:rsid w:val="55653051"/>
    <w:rsid w:val="5679044C"/>
    <w:rsid w:val="56863942"/>
    <w:rsid w:val="56C5310C"/>
    <w:rsid w:val="57F860EE"/>
    <w:rsid w:val="581867B7"/>
    <w:rsid w:val="586456A3"/>
    <w:rsid w:val="58EE4DF0"/>
    <w:rsid w:val="59486D73"/>
    <w:rsid w:val="59577BD8"/>
    <w:rsid w:val="5980475F"/>
    <w:rsid w:val="598C17B9"/>
    <w:rsid w:val="59EE56C6"/>
    <w:rsid w:val="5A26196F"/>
    <w:rsid w:val="5B8F1748"/>
    <w:rsid w:val="5BEC1C38"/>
    <w:rsid w:val="5BF52A25"/>
    <w:rsid w:val="5BFC41DC"/>
    <w:rsid w:val="5C4E1935"/>
    <w:rsid w:val="5C621EFA"/>
    <w:rsid w:val="5C6E0C8B"/>
    <w:rsid w:val="5C9E454D"/>
    <w:rsid w:val="5D211DB5"/>
    <w:rsid w:val="5E7737AF"/>
    <w:rsid w:val="5E785A05"/>
    <w:rsid w:val="5ED74F3B"/>
    <w:rsid w:val="5FE315A4"/>
    <w:rsid w:val="5FF21613"/>
    <w:rsid w:val="60B92304"/>
    <w:rsid w:val="60D72EB3"/>
    <w:rsid w:val="60F12B9F"/>
    <w:rsid w:val="610619ED"/>
    <w:rsid w:val="610A2B60"/>
    <w:rsid w:val="61214E22"/>
    <w:rsid w:val="61447094"/>
    <w:rsid w:val="61802450"/>
    <w:rsid w:val="62847B23"/>
    <w:rsid w:val="646627A3"/>
    <w:rsid w:val="646C600B"/>
    <w:rsid w:val="64813139"/>
    <w:rsid w:val="64A01811"/>
    <w:rsid w:val="64D30B07"/>
    <w:rsid w:val="64E04C97"/>
    <w:rsid w:val="653F0E3D"/>
    <w:rsid w:val="654152E7"/>
    <w:rsid w:val="659375C8"/>
    <w:rsid w:val="65B006F3"/>
    <w:rsid w:val="65CE6852"/>
    <w:rsid w:val="660C6657"/>
    <w:rsid w:val="66C11670"/>
    <w:rsid w:val="66D87988"/>
    <w:rsid w:val="67FB1363"/>
    <w:rsid w:val="6826668B"/>
    <w:rsid w:val="68466B73"/>
    <w:rsid w:val="68660FC4"/>
    <w:rsid w:val="689E1495"/>
    <w:rsid w:val="68C70647"/>
    <w:rsid w:val="68EF4B15"/>
    <w:rsid w:val="69066450"/>
    <w:rsid w:val="69566F57"/>
    <w:rsid w:val="69AF4AE9"/>
    <w:rsid w:val="69BE75E7"/>
    <w:rsid w:val="6A050CA1"/>
    <w:rsid w:val="6A771266"/>
    <w:rsid w:val="6AE34B4E"/>
    <w:rsid w:val="6AFD4571"/>
    <w:rsid w:val="6B3E2FB3"/>
    <w:rsid w:val="6C4433CA"/>
    <w:rsid w:val="6C445178"/>
    <w:rsid w:val="6C873EEA"/>
    <w:rsid w:val="6D761CA9"/>
    <w:rsid w:val="6D77332B"/>
    <w:rsid w:val="6D9D31FB"/>
    <w:rsid w:val="6E25131E"/>
    <w:rsid w:val="6E3D7F5A"/>
    <w:rsid w:val="6E586E26"/>
    <w:rsid w:val="6F173018"/>
    <w:rsid w:val="6F35524C"/>
    <w:rsid w:val="6FAC3760"/>
    <w:rsid w:val="6FF375E1"/>
    <w:rsid w:val="707F70C6"/>
    <w:rsid w:val="70A817D5"/>
    <w:rsid w:val="713559D7"/>
    <w:rsid w:val="715F0560"/>
    <w:rsid w:val="71D64AC4"/>
    <w:rsid w:val="72BC63B0"/>
    <w:rsid w:val="72CA0BA9"/>
    <w:rsid w:val="72F9402A"/>
    <w:rsid w:val="733F0D8F"/>
    <w:rsid w:val="734F5758"/>
    <w:rsid w:val="73B9644B"/>
    <w:rsid w:val="742A23B0"/>
    <w:rsid w:val="743F4532"/>
    <w:rsid w:val="744245F4"/>
    <w:rsid w:val="7463285B"/>
    <w:rsid w:val="746F2FAE"/>
    <w:rsid w:val="74783628"/>
    <w:rsid w:val="747E212E"/>
    <w:rsid w:val="749D3FBF"/>
    <w:rsid w:val="74F60138"/>
    <w:rsid w:val="75086702"/>
    <w:rsid w:val="7541494A"/>
    <w:rsid w:val="755C1784"/>
    <w:rsid w:val="761A519B"/>
    <w:rsid w:val="76281214"/>
    <w:rsid w:val="766926EE"/>
    <w:rsid w:val="76B4114C"/>
    <w:rsid w:val="77416E84"/>
    <w:rsid w:val="77972F48"/>
    <w:rsid w:val="783E63F5"/>
    <w:rsid w:val="78632E2A"/>
    <w:rsid w:val="79200D1B"/>
    <w:rsid w:val="79344461"/>
    <w:rsid w:val="7A0D5743"/>
    <w:rsid w:val="7A1C14E2"/>
    <w:rsid w:val="7A397B3B"/>
    <w:rsid w:val="7A405045"/>
    <w:rsid w:val="7A886B78"/>
    <w:rsid w:val="7B65510B"/>
    <w:rsid w:val="7C917EA0"/>
    <w:rsid w:val="7CB97A60"/>
    <w:rsid w:val="7D677A1F"/>
    <w:rsid w:val="7D80229F"/>
    <w:rsid w:val="7DD26B2A"/>
    <w:rsid w:val="7E006FD9"/>
    <w:rsid w:val="7E1626EC"/>
    <w:rsid w:val="7E71420E"/>
    <w:rsid w:val="7EEB5927"/>
    <w:rsid w:val="7F211349"/>
    <w:rsid w:val="7F21759B"/>
    <w:rsid w:val="7F8836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toc 3"/>
    <w:basedOn w:val="1"/>
    <w:next w:val="1"/>
    <w:qFormat/>
    <w:uiPriority w:val="0"/>
    <w:pPr>
      <w:ind w:left="840" w:leftChars="4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1"/>
      <w:szCs w:val="21"/>
      <w:lang w:val="en-US" w:eastAsia="en-US" w:bidi="ar-SA"/>
    </w:rPr>
  </w:style>
  <w:style w:type="paragraph" w:customStyle="1" w:styleId="1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378</Words>
  <Characters>406</Characters>
  <TotalTime>44</TotalTime>
  <ScaleCrop>false</ScaleCrop>
  <LinksUpToDate>false</LinksUpToDate>
  <CharactersWithSpaces>475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2024-12-27T15:08:00Z</dcterms:created>
  <dc:creator>Kingsoft-PDF</dc:creator>
  <cp:lastModifiedBy>李李</cp:lastModifiedBy>
  <dcterms:modified xsi:type="dcterms:W3CDTF">2025-01-27T01:41:02Z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2024-12-27T15:08:56Z</vt:filetime>
  </property>
  <property fmtid="{D5CDD505-2E9C-101B-9397-08002B2CF9AE}" pid="4" name="UsrData">
    <vt:lpwstr>676e5274e9f72c001fe7b175wl</vt:lpwstr>
  </property>
  <property fmtid="{D5CDD505-2E9C-101B-9397-08002B2CF9AE}" pid="5" name="KSOTemplateDocerSaveRecord">
    <vt:lpwstr>eyJoZGlkIjoiOWNkOTVlOWY4M2ExZWVkMGI0ODRmN2NlYzg1ZjE1ZGEiLCJ1c2VySWQiOiIzMjY1MTQ0NzcifQ==</vt:lpwstr>
  </property>
  <property fmtid="{D5CDD505-2E9C-101B-9397-08002B2CF9AE}" pid="6" name="KSOProductBuildVer">
    <vt:lpwstr>2052-12.1.0.19770</vt:lpwstr>
  </property>
  <property fmtid="{D5CDD505-2E9C-101B-9397-08002B2CF9AE}" pid="7" name="ICV">
    <vt:lpwstr>0C9CF50E6059493A807EF2D20538EE1D_13</vt:lpwstr>
  </property>
</Properties>
</file>