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DF948">
      <w:pPr>
        <w:pStyle w:val="2"/>
        <w:ind w:left="0"/>
        <w:rPr>
          <w:rFonts w:ascii="Times New Roman"/>
          <w:color w:val="auto"/>
          <w:sz w:val="20"/>
        </w:rPr>
      </w:pPr>
    </w:p>
    <w:p w14:paraId="147ECEC5">
      <w:pPr>
        <w:pStyle w:val="2"/>
        <w:ind w:left="0"/>
        <w:rPr>
          <w:rFonts w:ascii="Times New Roman"/>
          <w:color w:val="auto"/>
          <w:sz w:val="20"/>
        </w:rPr>
      </w:pPr>
    </w:p>
    <w:p w14:paraId="2DFA88FD">
      <w:pPr>
        <w:pStyle w:val="2"/>
        <w:ind w:left="0"/>
        <w:rPr>
          <w:rFonts w:ascii="Times New Roman"/>
          <w:color w:val="auto"/>
          <w:sz w:val="20"/>
        </w:rPr>
      </w:pPr>
    </w:p>
    <w:p w14:paraId="792B5CF5">
      <w:pPr>
        <w:pStyle w:val="2"/>
        <w:ind w:left="0"/>
        <w:rPr>
          <w:rFonts w:ascii="Times New Roman"/>
          <w:color w:val="auto"/>
          <w:sz w:val="20"/>
        </w:rPr>
      </w:pPr>
      <w:bookmarkStart w:id="1" w:name="_GoBack"/>
      <w:bookmarkEnd w:id="1"/>
    </w:p>
    <w:p w14:paraId="2184A805">
      <w:pPr>
        <w:pStyle w:val="2"/>
        <w:ind w:left="0"/>
        <w:rPr>
          <w:rFonts w:ascii="Times New Roman"/>
          <w:color w:val="auto"/>
          <w:sz w:val="20"/>
        </w:rPr>
      </w:pPr>
    </w:p>
    <w:p w14:paraId="6F723B97">
      <w:pPr>
        <w:pStyle w:val="2"/>
        <w:ind w:left="0"/>
        <w:rPr>
          <w:rFonts w:ascii="Times New Roman"/>
          <w:color w:val="auto"/>
          <w:sz w:val="20"/>
        </w:rPr>
      </w:pPr>
    </w:p>
    <w:p w14:paraId="67FADA9D">
      <w:pPr>
        <w:pStyle w:val="2"/>
        <w:ind w:left="0"/>
        <w:rPr>
          <w:rFonts w:ascii="Times New Roman"/>
          <w:color w:val="auto"/>
          <w:sz w:val="20"/>
        </w:rPr>
      </w:pPr>
    </w:p>
    <w:p w14:paraId="2E4DF17A">
      <w:pPr>
        <w:pStyle w:val="2"/>
        <w:ind w:left="0"/>
        <w:rPr>
          <w:rFonts w:ascii="Times New Roman"/>
          <w:color w:val="auto"/>
          <w:sz w:val="20"/>
        </w:rPr>
      </w:pPr>
    </w:p>
    <w:p w14:paraId="7692DD74">
      <w:pPr>
        <w:pStyle w:val="2"/>
        <w:ind w:left="0"/>
        <w:rPr>
          <w:rFonts w:ascii="Times New Roman"/>
          <w:color w:val="auto"/>
          <w:sz w:val="20"/>
        </w:rPr>
      </w:pPr>
    </w:p>
    <w:p w14:paraId="306207E5">
      <w:pPr>
        <w:pStyle w:val="2"/>
        <w:ind w:left="0"/>
        <w:rPr>
          <w:rFonts w:ascii="Times New Roman"/>
          <w:color w:val="auto"/>
          <w:sz w:val="20"/>
        </w:rPr>
      </w:pPr>
    </w:p>
    <w:p w14:paraId="18AA1985">
      <w:pPr>
        <w:pStyle w:val="2"/>
        <w:ind w:left="0"/>
        <w:rPr>
          <w:rFonts w:ascii="Times New Roman"/>
          <w:color w:val="auto"/>
          <w:sz w:val="20"/>
        </w:rPr>
      </w:pPr>
    </w:p>
    <w:p w14:paraId="0275ED17">
      <w:pPr>
        <w:pStyle w:val="2"/>
        <w:ind w:left="0"/>
        <w:rPr>
          <w:rFonts w:ascii="Times New Roman"/>
          <w:color w:val="auto"/>
          <w:sz w:val="20"/>
        </w:rPr>
      </w:pPr>
    </w:p>
    <w:p w14:paraId="4B32158A">
      <w:pPr>
        <w:pStyle w:val="2"/>
        <w:ind w:left="0"/>
        <w:rPr>
          <w:rFonts w:ascii="Times New Roman"/>
          <w:color w:val="auto"/>
          <w:sz w:val="20"/>
        </w:rPr>
      </w:pPr>
    </w:p>
    <w:p w14:paraId="357BA694">
      <w:pPr>
        <w:pStyle w:val="2"/>
        <w:ind w:left="0"/>
        <w:rPr>
          <w:rFonts w:ascii="Times New Roman"/>
          <w:color w:val="auto"/>
          <w:sz w:val="20"/>
        </w:rPr>
      </w:pPr>
    </w:p>
    <w:p w14:paraId="2744CB97">
      <w:pPr>
        <w:pStyle w:val="2"/>
        <w:ind w:left="0"/>
        <w:rPr>
          <w:rFonts w:ascii="Times New Roman"/>
          <w:color w:val="auto"/>
          <w:sz w:val="20"/>
        </w:rPr>
      </w:pPr>
    </w:p>
    <w:p w14:paraId="299E7FF0">
      <w:pPr>
        <w:spacing w:before="55"/>
        <w:ind w:left="311" w:right="451"/>
        <w:jc w:val="center"/>
        <w:rPr>
          <w:color w:val="auto"/>
          <w:sz w:val="32"/>
        </w:rPr>
      </w:pPr>
      <w:r>
        <w:rPr>
          <w:color w:val="auto"/>
          <w:sz w:val="32"/>
        </w:rPr>
        <w:t>徐审环表字〔20</w:t>
      </w:r>
      <w:r>
        <w:rPr>
          <w:rFonts w:hint="eastAsia"/>
          <w:color w:val="auto"/>
          <w:sz w:val="32"/>
          <w:lang w:val="en-US" w:eastAsia="zh-CN"/>
        </w:rPr>
        <w:t>23</w:t>
      </w:r>
      <w:r>
        <w:rPr>
          <w:color w:val="auto"/>
          <w:sz w:val="32"/>
        </w:rPr>
        <w:t>〕</w:t>
      </w:r>
      <w:r>
        <w:rPr>
          <w:rFonts w:hint="eastAsia"/>
          <w:color w:val="auto"/>
          <w:sz w:val="32"/>
          <w:lang w:val="en-US" w:eastAsia="zh-CN"/>
        </w:rPr>
        <w:t>1</w:t>
      </w:r>
      <w:r>
        <w:rPr>
          <w:color w:val="auto"/>
          <w:sz w:val="32"/>
        </w:rPr>
        <w:t xml:space="preserve"> 号</w:t>
      </w:r>
    </w:p>
    <w:p w14:paraId="6980C402">
      <w:pPr>
        <w:pStyle w:val="2"/>
        <w:ind w:left="0"/>
        <w:rPr>
          <w:color w:val="auto"/>
          <w:sz w:val="32"/>
        </w:rPr>
      </w:pPr>
    </w:p>
    <w:p w14:paraId="2F703DAA">
      <w:pPr>
        <w:pStyle w:val="2"/>
        <w:spacing w:before="3"/>
        <w:ind w:left="0"/>
        <w:rPr>
          <w:color w:val="auto"/>
          <w:sz w:val="32"/>
          <w:szCs w:val="40"/>
        </w:rPr>
      </w:pPr>
    </w:p>
    <w:p w14:paraId="77DEF5C8">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bookmarkStart w:id="0" w:name="保定市徐水区行政审批局"/>
      <w:bookmarkEnd w:id="0"/>
      <w:r>
        <w:rPr>
          <w:rFonts w:hint="eastAsia" w:ascii="方正小标宋简体" w:hAnsi="宋体" w:eastAsia="方正小标宋简体" w:cs="Times New Roman"/>
          <w:bCs/>
          <w:color w:val="auto"/>
          <w:kern w:val="2"/>
          <w:sz w:val="44"/>
          <w:szCs w:val="44"/>
          <w:lang w:val="en-US" w:eastAsia="zh-CN" w:bidi="ar-SA"/>
        </w:rPr>
        <w:t>保定市徐水区行政审批局</w:t>
      </w:r>
    </w:p>
    <w:p w14:paraId="4F23418A">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r>
        <w:rPr>
          <w:rFonts w:hint="eastAsia" w:ascii="方正小标宋简体" w:hAnsi="宋体" w:eastAsia="方正小标宋简体" w:cs="Times New Roman"/>
          <w:bCs/>
          <w:color w:val="auto"/>
          <w:kern w:val="2"/>
          <w:sz w:val="44"/>
          <w:szCs w:val="44"/>
          <w:lang w:val="en-US" w:eastAsia="zh-CN" w:bidi="ar-SA"/>
        </w:rPr>
        <w:t xml:space="preserve"> 关于保定伊能环保科技有限公司医疗废物节能环保无害化智能处置扩建项目</w:t>
      </w:r>
    </w:p>
    <w:p w14:paraId="661A2060">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r>
        <w:rPr>
          <w:rFonts w:hint="eastAsia" w:ascii="方正小标宋简体" w:hAnsi="宋体" w:eastAsia="方正小标宋简体" w:cs="Times New Roman"/>
          <w:bCs/>
          <w:color w:val="auto"/>
          <w:kern w:val="2"/>
          <w:sz w:val="44"/>
          <w:szCs w:val="44"/>
          <w:lang w:val="en-US" w:eastAsia="zh-CN" w:bidi="ar-SA"/>
        </w:rPr>
        <w:t>环境影响报告表的批复</w:t>
      </w:r>
    </w:p>
    <w:p w14:paraId="2748474B">
      <w:pPr>
        <w:autoSpaceDE/>
        <w:autoSpaceDN/>
        <w:snapToGrid w:val="0"/>
        <w:spacing w:line="660" w:lineRule="exact"/>
        <w:jc w:val="both"/>
        <w:outlineLvl w:val="0"/>
        <w:rPr>
          <w:color w:val="auto"/>
        </w:rPr>
      </w:pPr>
    </w:p>
    <w:p w14:paraId="599A1BDA">
      <w:pPr>
        <w:pStyle w:val="2"/>
        <w:keepNext w:val="0"/>
        <w:keepLines w:val="0"/>
        <w:pageBreakBefore w:val="0"/>
        <w:widowControl w:val="0"/>
        <w:kinsoku/>
        <w:wordWrap/>
        <w:overflowPunct/>
        <w:topLinePunct w:val="0"/>
        <w:autoSpaceDE w:val="0"/>
        <w:autoSpaceDN w:val="0"/>
        <w:bidi w:val="0"/>
        <w:adjustRightInd/>
        <w:snapToGrid/>
        <w:spacing w:before="40" w:line="560" w:lineRule="exact"/>
        <w:ind w:right="115"/>
        <w:textAlignment w:val="auto"/>
        <w:outlineLvl w:val="9"/>
        <w:rPr>
          <w:color w:val="auto"/>
          <w:sz w:val="32"/>
          <w:szCs w:val="32"/>
        </w:rPr>
      </w:pPr>
      <w:r>
        <w:rPr>
          <w:rFonts w:hint="eastAsia"/>
          <w:color w:val="auto"/>
          <w:sz w:val="32"/>
          <w:szCs w:val="32"/>
          <w:lang w:val="en-US" w:eastAsia="zh-CN"/>
        </w:rPr>
        <w:t>保定伊能环保科技有限公司</w:t>
      </w:r>
      <w:r>
        <w:rPr>
          <w:rFonts w:hint="eastAsia"/>
          <w:color w:val="auto"/>
          <w:sz w:val="32"/>
          <w:szCs w:val="32"/>
          <w:lang w:val="en-US"/>
        </w:rPr>
        <w:t xml:space="preserve"> </w:t>
      </w:r>
      <w:r>
        <w:rPr>
          <w:color w:val="auto"/>
          <w:sz w:val="32"/>
          <w:szCs w:val="32"/>
        </w:rPr>
        <w:t>：</w:t>
      </w:r>
    </w:p>
    <w:p w14:paraId="6C87AECD">
      <w:pPr>
        <w:pStyle w:val="2"/>
        <w:keepNext w:val="0"/>
        <w:keepLines w:val="0"/>
        <w:pageBreakBefore w:val="0"/>
        <w:widowControl w:val="0"/>
        <w:kinsoku/>
        <w:wordWrap/>
        <w:overflowPunct/>
        <w:topLinePunct w:val="0"/>
        <w:autoSpaceDE w:val="0"/>
        <w:autoSpaceDN w:val="0"/>
        <w:bidi w:val="0"/>
        <w:adjustRightInd/>
        <w:snapToGrid/>
        <w:spacing w:before="40" w:line="560" w:lineRule="exact"/>
        <w:ind w:right="115" w:firstLine="559"/>
        <w:textAlignment w:val="auto"/>
        <w:outlineLvl w:val="9"/>
        <w:rPr>
          <w:color w:val="auto"/>
          <w:sz w:val="32"/>
          <w:szCs w:val="32"/>
        </w:rPr>
      </w:pPr>
      <w:r>
        <w:rPr>
          <w:rFonts w:hint="eastAsia"/>
          <w:color w:val="auto"/>
          <w:sz w:val="32"/>
          <w:szCs w:val="32"/>
          <w:lang w:eastAsia="zh-CN"/>
        </w:rPr>
        <w:t>你单位</w:t>
      </w:r>
      <w:r>
        <w:rPr>
          <w:color w:val="auto"/>
          <w:sz w:val="32"/>
          <w:szCs w:val="32"/>
        </w:rPr>
        <w:t>所报《</w:t>
      </w:r>
      <w:r>
        <w:rPr>
          <w:rFonts w:hint="eastAsia"/>
          <w:color w:val="auto"/>
          <w:sz w:val="32"/>
          <w:szCs w:val="32"/>
          <w:lang w:val="en-US" w:eastAsia="zh-CN"/>
        </w:rPr>
        <w:t>保定伊能环保科技有限公司医疗废物节能环保无害化智能处置扩建项目环境影响报告表</w:t>
      </w:r>
      <w:r>
        <w:rPr>
          <w:color w:val="auto"/>
          <w:sz w:val="32"/>
          <w:szCs w:val="32"/>
        </w:rPr>
        <w:t>》收悉，根据《</w:t>
      </w:r>
      <w:r>
        <w:rPr>
          <w:rFonts w:hint="eastAsia"/>
          <w:color w:val="auto"/>
          <w:sz w:val="32"/>
          <w:szCs w:val="32"/>
          <w:lang w:val="en-US" w:eastAsia="zh-CN"/>
        </w:rPr>
        <w:t>保定伊能环保科技有限公司医疗废物节能环保无害化智能处置扩建项目</w:t>
      </w:r>
      <w:r>
        <w:rPr>
          <w:color w:val="auto"/>
          <w:spacing w:val="-26"/>
          <w:sz w:val="32"/>
          <w:szCs w:val="32"/>
        </w:rPr>
        <w:t>环境影响</w:t>
      </w:r>
      <w:r>
        <w:rPr>
          <w:rFonts w:hint="eastAsia"/>
          <w:color w:val="auto"/>
          <w:spacing w:val="-26"/>
          <w:sz w:val="32"/>
          <w:szCs w:val="32"/>
          <w:lang w:eastAsia="zh-CN"/>
        </w:rPr>
        <w:t>报告表</w:t>
      </w:r>
      <w:r>
        <w:rPr>
          <w:color w:val="auto"/>
          <w:spacing w:val="-26"/>
          <w:sz w:val="32"/>
          <w:szCs w:val="32"/>
        </w:rPr>
        <w:t>可行性技术评估报告》</w:t>
      </w:r>
      <w:r>
        <w:rPr>
          <w:color w:val="auto"/>
          <w:spacing w:val="-6"/>
          <w:sz w:val="32"/>
          <w:szCs w:val="32"/>
        </w:rPr>
        <w:t>环境影响评价结论</w:t>
      </w:r>
      <w:r>
        <w:rPr>
          <w:rFonts w:hint="eastAsia"/>
          <w:color w:val="auto"/>
          <w:spacing w:val="-6"/>
          <w:sz w:val="32"/>
          <w:szCs w:val="32"/>
          <w:lang w:eastAsia="zh-CN"/>
        </w:rPr>
        <w:t>，</w:t>
      </w:r>
      <w:r>
        <w:rPr>
          <w:color w:val="auto"/>
          <w:spacing w:val="-6"/>
          <w:sz w:val="32"/>
          <w:szCs w:val="32"/>
        </w:rPr>
        <w:t>污染防治措施可行，经研究批复如下：</w:t>
      </w:r>
    </w:p>
    <w:p w14:paraId="045B191F">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rPr>
      </w:pPr>
      <w:r>
        <w:rPr>
          <w:rFonts w:hint="eastAsia"/>
          <w:color w:val="auto"/>
          <w:sz w:val="32"/>
          <w:szCs w:val="32"/>
          <w:lang w:val="en-US" w:eastAsia="zh-CN"/>
        </w:rPr>
        <w:t>扩建项目位于河北省保定市徐水区遂城镇文村东北。厂区东侧、南侧均为耕地、西侧为废弃建筑物、北侧为河北华世建材有限公司，距离扩建项目最近敏感点为厂区西南侧580m处的文村。本项目不新增占地，利用车间内现有车间进行建设。项目所在地块已取得不动产权证书，根据保定市自然资源和规划局徐水区分局颁发的不动产权证书（冀（2021）保定市徐水区不动产权第0001956号）可知，保定伊能环保科技有限公司所在地权利类型为国有建设用地使用权，用途为公共设施用地，符合保定市徐水区土地利用总体规划。保定市徐水区工业和信息化局已于2022年10月18日为本项目出具了企业投资项目备案信息，编号：徐工信备字[2022]44号。</w:t>
      </w:r>
    </w:p>
    <w:p w14:paraId="66BCFE20">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扩建项目总投资100万元，其中环保投资10.5万元，环保投资占比10.5%。本项目不新增占地，在现有厂区冷库内建设，占用面积 6.85㎡。扩建项目利用现有冷库收集、贮存、转运病理性废物、化学性废物和药物性废物，分别暂存在定制柜内，项目购进冰柜和电子秤等设备共7台（套）（冰柜定制柜尺寸详见报告表）。项目建成后，医疗废物处置能力不变，仍为年处理医疗废物9900吨。新增收集、贮存、转运病理性废物 HW01(841-003-01)30t/a、化学性废物 HW01(841-004-01)10t/a 和药物性废物 HW01(841-005-01)10t/a，三种医疗废物合计 50t/a。扩建项目主要原辅材料：病理性废物（病理切片后废弃的人体组织、病理蜡块等不可辨识的除外）30t/a(专用包装袋）、化学性废物10t/a(专用包装袋）、药物性废物10t/a(专用包装袋）、二氧化氯消毒粉25kg/a。扩建项目用水依托现有工程，由文村供水（文村供水由南水北调水源供给，不涉及开采地下水），年新增新鲜水用量为11.22m³/a；扩建项目用电依托现有工程供电系统，用电来源引自保定市徐水区供电电网，年用电量为 8760kW•h/a；扩建项目生产过程不用热，不新增用热装置（项目建成后全厂原辅材料及能源消耗详见报告表）</w:t>
      </w:r>
      <w:r>
        <w:rPr>
          <w:rFonts w:hint="eastAsia"/>
          <w:color w:val="auto"/>
          <w:sz w:val="32"/>
          <w:szCs w:val="32"/>
          <w:lang w:eastAsia="zh-CN"/>
        </w:rPr>
        <w:t>。</w:t>
      </w:r>
    </w:p>
    <w:p w14:paraId="717D64F9">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三、在落实报告表提出的各项污染防治和环境风险防范措施的前提下，项目建设从环境保护角度可行。同意本报告表作为项目建设和运营中环境管理的依据。</w:t>
      </w:r>
    </w:p>
    <w:p w14:paraId="124CF1E0">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四、你单位在建设和日常管理过程中，要严格落实该报告表中的建设内容、各项污染防治、环境风险防范措施及要求，并重点做好以下工作：</w:t>
      </w:r>
    </w:p>
    <w:p w14:paraId="5B77A146">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1、建立日常环境管理制度、组织机构和管理台账,项目投入运行前报保定市生态环境局徐水区分局备案。</w:t>
      </w:r>
    </w:p>
    <w:p w14:paraId="183D4768">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2、施工期间要严格落实环评文件提出的污染防治措施及相关规定，有效减轻施工对环境的影响。</w:t>
      </w:r>
    </w:p>
    <w:p w14:paraId="55A73F2D">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3、废气：</w:t>
      </w:r>
    </w:p>
    <w:p w14:paraId="75CD4E4E">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lang w:val="en-US" w:eastAsia="zh-CN"/>
        </w:rPr>
      </w:pPr>
      <w:r>
        <w:rPr>
          <w:rFonts w:hint="eastAsia"/>
          <w:color w:val="auto"/>
          <w:sz w:val="32"/>
          <w:szCs w:val="32"/>
          <w:lang w:val="en-US" w:eastAsia="zh-CN"/>
        </w:rPr>
        <w:t>扩建项目转运、储存过程相对密闭，在正常情况下，不会有废气产生。</w:t>
      </w:r>
    </w:p>
    <w:p w14:paraId="15355A0D">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废水：</w:t>
      </w:r>
    </w:p>
    <w:p w14:paraId="49B47B9F">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扩建项目锅炉软化水排水、冷凝废水、周转箱清洗废水、车辆清洗废水、灭菌车清洗废水、地面清洗废水以及设备清洗废水；pH、COD、BOD5、氨氮、SS、总余氯、粪大肠菌群数；依托现有污水处理站，处理规模为50m³/d，污水处理站采用地埋式结构，工艺:“调节+沉淀+水解酸化+生物接触氧化+MBR（含消毒）+反渗透装置+蒸发结晶装置”工艺污水处理站，其中生活污水经化粪池处理后排入污水处理站，其它废水直接排入污水处理站，不外排。废水排放应满足《医疗机构水污染物排放标准》（GB18466-2005）表2 中排放标准，同时满足《城市污水再生利用 工业用水水质》（GB/T19923-2005）中洗涤用水标准。</w:t>
      </w:r>
    </w:p>
    <w:p w14:paraId="462FE29C">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60" w:lineRule="exact"/>
        <w:ind w:left="120" w:leftChars="0"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噪声：</w:t>
      </w:r>
    </w:p>
    <w:p w14:paraId="27787E2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扩建项目设备运行噪声，设备均采用低噪音设备，厂房隔声等治理措施。噪声排放应满足《工业企业厂界环境噪声排放标准》（GB12348-2008）2类噪声排放限值。</w:t>
      </w:r>
    </w:p>
    <w:p w14:paraId="212CEA5D">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60" w:lineRule="exact"/>
        <w:ind w:left="120" w:leftChars="0"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固废：</w:t>
      </w:r>
    </w:p>
    <w:p w14:paraId="0BA26B7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560" w:lineRule="exact"/>
        <w:ind w:right="113" w:rightChars="0" w:firstLine="640" w:firstLineChars="200"/>
        <w:jc w:val="both"/>
        <w:textAlignment w:val="auto"/>
        <w:outlineLvl w:val="9"/>
        <w:rPr>
          <w:rFonts w:hint="eastAsia"/>
          <w:color w:val="auto"/>
          <w:sz w:val="32"/>
          <w:szCs w:val="32"/>
          <w:lang w:val="en-US" w:eastAsia="zh-CN"/>
        </w:rPr>
      </w:pPr>
      <w:r>
        <w:rPr>
          <w:rFonts w:hint="eastAsia"/>
          <w:sz w:val="32"/>
          <w:szCs w:val="32"/>
          <w:lang w:val="en-US" w:eastAsia="zh-CN"/>
        </w:rPr>
        <w:t>扩建项目产生的危险废物主要为破损周转箱、废手套、口罩、工作服经高温蒸汽消毒后与现有工程医废残渣一同处置，日产日清，高温蒸煮生产线停产时，依托现有工程危废间暂存。</w:t>
      </w:r>
    </w:p>
    <w:p w14:paraId="227CEE73">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五、污染物排放总量控制结论</w:t>
      </w:r>
    </w:p>
    <w:p w14:paraId="3F014DA1">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24" w:firstLineChars="200"/>
        <w:jc w:val="both"/>
        <w:textAlignment w:val="auto"/>
        <w:outlineLvl w:val="9"/>
        <w:rPr>
          <w:rFonts w:hint="eastAsia" w:ascii="仿宋" w:hAnsi="仿宋" w:eastAsia="仿宋" w:cs="仿宋"/>
          <w:color w:val="auto"/>
          <w:spacing w:val="-4"/>
          <w:sz w:val="32"/>
          <w:szCs w:val="32"/>
          <w:lang w:eastAsia="zh-CN"/>
        </w:rPr>
      </w:pPr>
      <w:r>
        <w:rPr>
          <w:rFonts w:hint="eastAsia" w:cs="仿宋"/>
          <w:color w:val="auto"/>
          <w:spacing w:val="-4"/>
          <w:sz w:val="32"/>
          <w:szCs w:val="32"/>
          <w:lang w:eastAsia="zh-CN"/>
        </w:rPr>
        <w:t>扩建项目完成后，全厂污染物总量控制指标不变，仍为：污染物总量控制指标为：</w:t>
      </w:r>
      <w:r>
        <w:rPr>
          <w:rFonts w:hint="eastAsia" w:ascii="仿宋" w:hAnsi="仿宋" w:eastAsia="仿宋" w:cs="仿宋"/>
          <w:smallCaps w:val="0"/>
          <w:color w:val="auto"/>
          <w:sz w:val="32"/>
          <w:szCs w:val="32"/>
        </w:rPr>
        <w:t>SO</w:t>
      </w:r>
      <w:r>
        <w:rPr>
          <w:rFonts w:hint="eastAsia" w:ascii="仿宋" w:hAnsi="仿宋" w:eastAsia="仿宋" w:cs="仿宋"/>
          <w:smallCaps w:val="0"/>
          <w:color w:val="auto"/>
          <w:sz w:val="32"/>
          <w:szCs w:val="32"/>
          <w:vertAlign w:val="subscript"/>
        </w:rPr>
        <w:t>2</w:t>
      </w:r>
      <w:r>
        <w:rPr>
          <w:rFonts w:hint="eastAsia" w:cs="仿宋"/>
          <w:smallCaps w:val="0"/>
          <w:color w:val="auto"/>
          <w:sz w:val="32"/>
          <w:szCs w:val="32"/>
          <w:vertAlign w:val="subscript"/>
          <w:lang w:val="en-US" w:eastAsia="zh-CN"/>
        </w:rPr>
        <w:t xml:space="preserve"> </w:t>
      </w:r>
      <w:r>
        <w:rPr>
          <w:rFonts w:hint="eastAsia" w:ascii="仿宋" w:hAnsi="仿宋" w:eastAsia="仿宋" w:cs="仿宋"/>
          <w:color w:val="auto"/>
          <w:spacing w:val="-4"/>
          <w:sz w:val="32"/>
          <w:szCs w:val="32"/>
          <w:lang w:eastAsia="zh-CN"/>
        </w:rPr>
        <w:t xml:space="preserve"> 0</w:t>
      </w:r>
      <w:r>
        <w:rPr>
          <w:rFonts w:hint="eastAsia" w:cs="仿宋"/>
          <w:color w:val="auto"/>
          <w:spacing w:val="-4"/>
          <w:sz w:val="32"/>
          <w:szCs w:val="32"/>
          <w:lang w:val="en-US" w:eastAsia="zh-CN"/>
        </w:rPr>
        <w:t>.109</w:t>
      </w:r>
      <w:r>
        <w:rPr>
          <w:rFonts w:hint="eastAsia" w:ascii="仿宋" w:hAnsi="仿宋" w:eastAsia="仿宋" w:cs="仿宋"/>
          <w:color w:val="auto"/>
          <w:spacing w:val="-4"/>
          <w:sz w:val="32"/>
          <w:szCs w:val="32"/>
          <w:lang w:eastAsia="zh-CN"/>
        </w:rPr>
        <w:t>t/a、NOx 0</w:t>
      </w:r>
      <w:r>
        <w:rPr>
          <w:rFonts w:hint="eastAsia" w:cs="仿宋"/>
          <w:color w:val="auto"/>
          <w:spacing w:val="-4"/>
          <w:sz w:val="32"/>
          <w:szCs w:val="32"/>
          <w:lang w:val="en-US" w:eastAsia="zh-CN"/>
        </w:rPr>
        <w:t>.545</w:t>
      </w:r>
      <w:r>
        <w:rPr>
          <w:rFonts w:hint="eastAsia" w:ascii="仿宋" w:hAnsi="仿宋" w:eastAsia="仿宋" w:cs="仿宋"/>
          <w:color w:val="auto"/>
          <w:spacing w:val="-4"/>
          <w:sz w:val="32"/>
          <w:szCs w:val="32"/>
          <w:lang w:eastAsia="zh-CN"/>
        </w:rPr>
        <w:t>t/a、颗粒物</w:t>
      </w:r>
      <w:r>
        <w:rPr>
          <w:rFonts w:hint="eastAsia" w:cs="仿宋"/>
          <w:color w:val="auto"/>
          <w:spacing w:val="-4"/>
          <w:sz w:val="32"/>
          <w:szCs w:val="32"/>
          <w:lang w:val="en-US" w:eastAsia="zh-CN"/>
        </w:rPr>
        <w:t xml:space="preserve"> </w:t>
      </w:r>
      <w:r>
        <w:rPr>
          <w:rFonts w:hint="eastAsia" w:ascii="仿宋" w:hAnsi="仿宋" w:eastAsia="仿宋" w:cs="仿宋"/>
          <w:color w:val="auto"/>
          <w:spacing w:val="-4"/>
          <w:sz w:val="32"/>
          <w:szCs w:val="32"/>
          <w:lang w:eastAsia="zh-CN"/>
        </w:rPr>
        <w:t>0</w:t>
      </w:r>
      <w:r>
        <w:rPr>
          <w:rFonts w:hint="eastAsia" w:cs="仿宋"/>
          <w:color w:val="auto"/>
          <w:spacing w:val="-4"/>
          <w:sz w:val="32"/>
          <w:szCs w:val="32"/>
          <w:lang w:val="en-US" w:eastAsia="zh-CN"/>
        </w:rPr>
        <w:t>.3136</w:t>
      </w:r>
      <w:r>
        <w:rPr>
          <w:rFonts w:hint="eastAsia" w:ascii="仿宋" w:hAnsi="仿宋" w:eastAsia="仿宋" w:cs="仿宋"/>
          <w:color w:val="auto"/>
          <w:spacing w:val="-4"/>
          <w:sz w:val="32"/>
          <w:szCs w:val="32"/>
          <w:lang w:eastAsia="zh-CN"/>
        </w:rPr>
        <w:t>t/a、</w:t>
      </w:r>
      <w:r>
        <w:rPr>
          <w:rFonts w:hint="eastAsia" w:ascii="仿宋" w:hAnsi="仿宋" w:eastAsia="仿宋" w:cs="仿宋"/>
          <w:bCs/>
          <w:smallCaps w:val="0"/>
          <w:color w:val="auto"/>
          <w:sz w:val="32"/>
          <w:szCs w:val="32"/>
        </w:rPr>
        <w:t>VOCs</w:t>
      </w:r>
      <w:r>
        <w:rPr>
          <w:rFonts w:hint="eastAsia" w:ascii="仿宋" w:hAnsi="仿宋" w:eastAsia="仿宋" w:cs="仿宋"/>
          <w:color w:val="auto"/>
          <w:spacing w:val="-4"/>
          <w:sz w:val="32"/>
          <w:szCs w:val="32"/>
          <w:lang w:eastAsia="zh-CN"/>
        </w:rPr>
        <w:t xml:space="preserve"> </w:t>
      </w:r>
      <w:r>
        <w:rPr>
          <w:rFonts w:hint="eastAsia" w:cs="仿宋"/>
          <w:color w:val="auto"/>
          <w:spacing w:val="-4"/>
          <w:sz w:val="32"/>
          <w:szCs w:val="32"/>
          <w:lang w:val="en-US" w:eastAsia="zh-CN"/>
        </w:rPr>
        <w:t>1.394</w:t>
      </w:r>
      <w:r>
        <w:rPr>
          <w:rFonts w:hint="eastAsia" w:ascii="仿宋" w:hAnsi="仿宋" w:eastAsia="仿宋" w:cs="仿宋"/>
          <w:color w:val="auto"/>
          <w:spacing w:val="-4"/>
          <w:sz w:val="32"/>
          <w:szCs w:val="32"/>
          <w:lang w:eastAsia="zh-CN"/>
        </w:rPr>
        <w:t xml:space="preserve">t/a、COD </w:t>
      </w:r>
      <w:r>
        <w:rPr>
          <w:rFonts w:hint="eastAsia" w:cs="仿宋"/>
          <w:color w:val="auto"/>
          <w:spacing w:val="-4"/>
          <w:sz w:val="32"/>
          <w:szCs w:val="32"/>
          <w:lang w:val="en-US" w:eastAsia="zh-CN"/>
        </w:rPr>
        <w:t>0</w:t>
      </w:r>
      <w:r>
        <w:rPr>
          <w:rFonts w:hint="eastAsia" w:ascii="仿宋" w:hAnsi="仿宋" w:eastAsia="仿宋" w:cs="仿宋"/>
          <w:color w:val="auto"/>
          <w:spacing w:val="-4"/>
          <w:sz w:val="32"/>
          <w:szCs w:val="32"/>
          <w:lang w:eastAsia="zh-CN"/>
        </w:rPr>
        <w:t>t/a、</w:t>
      </w:r>
      <w:r>
        <w:rPr>
          <w:rFonts w:hint="eastAsia"/>
          <w:b w:val="0"/>
          <w:bCs w:val="0"/>
          <w:color w:val="auto"/>
          <w:sz w:val="32"/>
          <w:szCs w:val="32"/>
          <w:highlight w:val="none"/>
          <w:lang w:val="en-US" w:eastAsia="zh-CN"/>
        </w:rPr>
        <w:t>NH</w:t>
      </w:r>
      <w:r>
        <w:rPr>
          <w:rFonts w:hint="eastAsia"/>
          <w:b w:val="0"/>
          <w:bCs w:val="0"/>
          <w:color w:val="auto"/>
          <w:sz w:val="32"/>
          <w:szCs w:val="32"/>
          <w:highlight w:val="none"/>
          <w:vertAlign w:val="subscript"/>
          <w:lang w:val="en-US" w:eastAsia="zh-CN"/>
        </w:rPr>
        <w:t>3</w:t>
      </w:r>
      <w:r>
        <w:rPr>
          <w:rFonts w:hint="eastAsia"/>
          <w:b w:val="0"/>
          <w:bCs w:val="0"/>
          <w:color w:val="auto"/>
          <w:sz w:val="32"/>
          <w:szCs w:val="32"/>
          <w:highlight w:val="none"/>
          <w:lang w:val="en-US" w:eastAsia="zh-CN"/>
        </w:rPr>
        <w:t>-N</w:t>
      </w:r>
      <w:r>
        <w:rPr>
          <w:rFonts w:hint="eastAsia" w:ascii="仿宋" w:hAnsi="仿宋" w:eastAsia="仿宋" w:cs="仿宋"/>
          <w:color w:val="auto"/>
          <w:spacing w:val="-4"/>
          <w:sz w:val="32"/>
          <w:szCs w:val="32"/>
          <w:lang w:eastAsia="zh-CN"/>
        </w:rPr>
        <w:t xml:space="preserve"> </w:t>
      </w:r>
      <w:r>
        <w:rPr>
          <w:rFonts w:hint="eastAsia" w:cs="仿宋"/>
          <w:color w:val="auto"/>
          <w:spacing w:val="-4"/>
          <w:sz w:val="32"/>
          <w:szCs w:val="32"/>
          <w:lang w:val="en-US" w:eastAsia="zh-CN"/>
        </w:rPr>
        <w:t>0</w:t>
      </w:r>
      <w:r>
        <w:rPr>
          <w:rFonts w:hint="eastAsia" w:ascii="仿宋" w:hAnsi="仿宋" w:eastAsia="仿宋" w:cs="仿宋"/>
          <w:color w:val="auto"/>
          <w:spacing w:val="-4"/>
          <w:sz w:val="32"/>
          <w:szCs w:val="32"/>
          <w:lang w:eastAsia="zh-CN"/>
        </w:rPr>
        <w:t xml:space="preserve">t/a、TN </w:t>
      </w:r>
      <w:r>
        <w:rPr>
          <w:rFonts w:hint="eastAsia" w:cs="仿宋"/>
          <w:color w:val="auto"/>
          <w:spacing w:val="-4"/>
          <w:sz w:val="32"/>
          <w:szCs w:val="32"/>
          <w:lang w:val="en-US" w:eastAsia="zh-CN"/>
        </w:rPr>
        <w:t>0</w:t>
      </w:r>
      <w:r>
        <w:rPr>
          <w:rFonts w:hint="eastAsia" w:ascii="仿宋" w:hAnsi="仿宋" w:eastAsia="仿宋" w:cs="仿宋"/>
          <w:color w:val="auto"/>
          <w:spacing w:val="-4"/>
          <w:sz w:val="32"/>
          <w:szCs w:val="32"/>
          <w:lang w:eastAsia="zh-CN"/>
        </w:rPr>
        <w:t xml:space="preserve">t/a、TP </w:t>
      </w:r>
      <w:r>
        <w:rPr>
          <w:rFonts w:hint="eastAsia" w:cs="仿宋"/>
          <w:color w:val="auto"/>
          <w:spacing w:val="-4"/>
          <w:sz w:val="32"/>
          <w:szCs w:val="32"/>
          <w:lang w:val="en-US" w:eastAsia="zh-CN"/>
        </w:rPr>
        <w:t>0</w:t>
      </w:r>
      <w:r>
        <w:rPr>
          <w:rFonts w:hint="eastAsia" w:ascii="仿宋" w:hAnsi="仿宋" w:eastAsia="仿宋" w:cs="仿宋"/>
          <w:color w:val="auto"/>
          <w:spacing w:val="-4"/>
          <w:sz w:val="32"/>
          <w:szCs w:val="32"/>
          <w:lang w:eastAsia="zh-CN"/>
        </w:rPr>
        <w:t>t/a</w:t>
      </w:r>
      <w:r>
        <w:rPr>
          <w:rFonts w:hint="eastAsia" w:ascii="仿宋" w:hAnsi="仿宋" w:eastAsia="仿宋" w:cs="仿宋"/>
          <w:bCs/>
          <w:smallCaps w:val="0"/>
          <w:color w:val="auto"/>
          <w:sz w:val="32"/>
          <w:szCs w:val="32"/>
          <w:lang w:eastAsia="zh-CN"/>
        </w:rPr>
        <w:t>。</w:t>
      </w:r>
      <w:r>
        <w:rPr>
          <w:rFonts w:hint="eastAsia" w:ascii="仿宋" w:hAnsi="仿宋" w:eastAsia="仿宋" w:cs="仿宋"/>
          <w:b/>
          <w:bCs/>
          <w:color w:val="auto"/>
          <w:sz w:val="32"/>
          <w:szCs w:val="32"/>
        </w:rPr>
        <w:t xml:space="preserve"> </w:t>
      </w:r>
    </w:p>
    <w:p w14:paraId="7A6161DA">
      <w:pPr>
        <w:pStyle w:val="2"/>
        <w:keepNext w:val="0"/>
        <w:keepLines w:val="0"/>
        <w:pageBreakBefore w:val="0"/>
        <w:widowControl w:val="0"/>
        <w:numPr>
          <w:ilvl w:val="0"/>
          <w:numId w:val="4"/>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color w:val="auto"/>
          <w:sz w:val="32"/>
          <w:szCs w:val="32"/>
        </w:rPr>
      </w:pPr>
      <w:r>
        <w:rPr>
          <w:color w:val="auto"/>
          <w:sz w:val="32"/>
          <w:szCs w:val="32"/>
        </w:rPr>
        <w:t>项目建成后应先行按照排污许可管理要求办理排污许可证，并按规定程序实施竣工环境保护验收。</w:t>
      </w:r>
    </w:p>
    <w:p w14:paraId="633CDCAC">
      <w:pPr>
        <w:pStyle w:val="2"/>
        <w:keepNext w:val="0"/>
        <w:keepLines w:val="0"/>
        <w:pageBreakBefore w:val="0"/>
        <w:widowControl w:val="0"/>
        <w:numPr>
          <w:ilvl w:val="0"/>
          <w:numId w:val="4"/>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color w:val="auto"/>
          <w:sz w:val="32"/>
          <w:szCs w:val="32"/>
        </w:rPr>
      </w:pPr>
      <w:r>
        <w:rPr>
          <w:color w:val="auto"/>
          <w:sz w:val="32"/>
          <w:szCs w:val="32"/>
        </w:rPr>
        <w:t>请保定市生态环境局徐水区分局负责项目的日常监督</w:t>
      </w:r>
      <w:r>
        <w:rPr>
          <w:rFonts w:hint="eastAsia"/>
          <w:color w:val="auto"/>
          <w:sz w:val="32"/>
          <w:szCs w:val="32"/>
        </w:rPr>
        <w:t>管理。</w:t>
      </w:r>
    </w:p>
    <w:p w14:paraId="3E21B3D3">
      <w:pPr>
        <w:pStyle w:val="2"/>
        <w:keepNext w:val="0"/>
        <w:keepLines w:val="0"/>
        <w:pageBreakBefore w:val="0"/>
        <w:widowControl w:val="0"/>
        <w:numPr>
          <w:ilvl w:val="0"/>
          <w:numId w:val="4"/>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color w:val="auto"/>
          <w:sz w:val="32"/>
          <w:szCs w:val="32"/>
        </w:rPr>
      </w:pPr>
      <w:r>
        <w:rPr>
          <w:color w:val="auto"/>
          <w:sz w:val="32"/>
          <w:szCs w:val="32"/>
        </w:rPr>
        <w:t>你单位应在收到本批复起10个工作日内，将环境影响报告</w:t>
      </w:r>
      <w:r>
        <w:rPr>
          <w:color w:val="auto"/>
          <w:spacing w:val="-8"/>
          <w:sz w:val="32"/>
          <w:szCs w:val="32"/>
        </w:rPr>
        <w:t>表及批复送保定市生态环境局徐水区分局，并按规定接受各级生态</w:t>
      </w:r>
      <w:r>
        <w:rPr>
          <w:rFonts w:hint="eastAsia"/>
          <w:color w:val="auto"/>
          <w:spacing w:val="-8"/>
          <w:sz w:val="32"/>
          <w:szCs w:val="32"/>
        </w:rPr>
        <w:t>环</w:t>
      </w:r>
      <w:r>
        <w:rPr>
          <w:color w:val="auto"/>
          <w:spacing w:val="-3"/>
          <w:sz w:val="32"/>
          <w:szCs w:val="32"/>
        </w:rPr>
        <w:t>境部门的监督检查。</w:t>
      </w:r>
    </w:p>
    <w:p w14:paraId="17B8FE60">
      <w:pPr>
        <w:pStyle w:val="2"/>
        <w:keepNext w:val="0"/>
        <w:keepLines w:val="0"/>
        <w:pageBreakBefore w:val="0"/>
        <w:widowControl w:val="0"/>
        <w:kinsoku/>
        <w:wordWrap/>
        <w:overflowPunct/>
        <w:topLinePunct w:val="0"/>
        <w:autoSpaceDE w:val="0"/>
        <w:autoSpaceDN w:val="0"/>
        <w:bidi w:val="0"/>
        <w:adjustRightInd/>
        <w:snapToGrid/>
        <w:spacing w:before="10" w:line="560" w:lineRule="exact"/>
        <w:ind w:left="0"/>
        <w:textAlignment w:val="auto"/>
        <w:outlineLvl w:val="9"/>
        <w:rPr>
          <w:rFonts w:hint="eastAsia"/>
          <w:color w:val="auto"/>
          <w:sz w:val="32"/>
          <w:szCs w:val="32"/>
          <w:lang w:val="en-US" w:eastAsia="zh-CN"/>
        </w:rPr>
      </w:pPr>
      <w:r>
        <w:rPr>
          <w:rFonts w:hint="eastAsia"/>
          <w:color w:val="auto"/>
          <w:sz w:val="32"/>
          <w:szCs w:val="32"/>
          <w:lang w:val="en-US" w:eastAsia="zh-CN"/>
        </w:rPr>
        <w:t xml:space="preserve">                         </w:t>
      </w:r>
    </w:p>
    <w:p w14:paraId="2EE96217">
      <w:pPr>
        <w:pStyle w:val="3"/>
        <w:rPr>
          <w:rFonts w:hint="eastAsia"/>
          <w:color w:val="auto"/>
          <w:sz w:val="32"/>
          <w:szCs w:val="32"/>
          <w:lang w:val="en-US" w:eastAsia="zh-CN"/>
        </w:rPr>
      </w:pPr>
    </w:p>
    <w:p w14:paraId="014B4A08">
      <w:pPr>
        <w:pStyle w:val="4"/>
        <w:rPr>
          <w:rFonts w:hint="eastAsia"/>
          <w:color w:val="auto"/>
          <w:sz w:val="32"/>
          <w:szCs w:val="32"/>
          <w:lang w:val="en-US" w:eastAsia="zh-CN"/>
        </w:rPr>
      </w:pPr>
    </w:p>
    <w:p w14:paraId="604A3D8E">
      <w:pPr>
        <w:rPr>
          <w:rFonts w:hint="eastAsia"/>
          <w:color w:val="auto"/>
          <w:sz w:val="32"/>
          <w:szCs w:val="32"/>
          <w:lang w:val="en-US" w:eastAsia="zh-CN"/>
        </w:rPr>
      </w:pPr>
    </w:p>
    <w:p w14:paraId="3EE6E481">
      <w:pPr>
        <w:pStyle w:val="2"/>
        <w:rPr>
          <w:rFonts w:hint="eastAsia"/>
          <w:color w:val="auto"/>
          <w:sz w:val="32"/>
          <w:szCs w:val="32"/>
          <w:lang w:val="en-US" w:eastAsia="zh-CN"/>
        </w:rPr>
      </w:pPr>
    </w:p>
    <w:p w14:paraId="3CF876F3">
      <w:pPr>
        <w:pStyle w:val="3"/>
        <w:rPr>
          <w:rFonts w:hint="eastAsia"/>
          <w:color w:val="auto"/>
          <w:sz w:val="32"/>
          <w:szCs w:val="32"/>
          <w:lang w:val="en-US" w:eastAsia="zh-CN"/>
        </w:rPr>
      </w:pPr>
    </w:p>
    <w:p w14:paraId="40A0B739">
      <w:pPr>
        <w:pStyle w:val="4"/>
        <w:rPr>
          <w:rFonts w:hint="eastAsia"/>
          <w:color w:val="auto"/>
          <w:sz w:val="32"/>
          <w:szCs w:val="32"/>
          <w:lang w:val="en-US" w:eastAsia="zh-CN"/>
        </w:rPr>
      </w:pPr>
    </w:p>
    <w:p w14:paraId="697B6C7C">
      <w:pPr>
        <w:rPr>
          <w:rFonts w:hint="eastAsia"/>
          <w:color w:val="auto"/>
          <w:sz w:val="32"/>
          <w:szCs w:val="32"/>
          <w:lang w:val="en-US" w:eastAsia="zh-CN"/>
        </w:rPr>
      </w:pPr>
    </w:p>
    <w:p w14:paraId="58E9C5EB">
      <w:pPr>
        <w:pStyle w:val="2"/>
        <w:rPr>
          <w:rFonts w:hint="eastAsia"/>
          <w:color w:val="auto"/>
          <w:sz w:val="32"/>
          <w:szCs w:val="32"/>
          <w:lang w:val="en-US" w:eastAsia="zh-CN"/>
        </w:rPr>
      </w:pPr>
    </w:p>
    <w:p w14:paraId="54F786F2">
      <w:pPr>
        <w:pStyle w:val="3"/>
        <w:rPr>
          <w:rFonts w:hint="eastAsia"/>
          <w:color w:val="auto"/>
          <w:sz w:val="32"/>
          <w:szCs w:val="32"/>
          <w:lang w:val="en-US" w:eastAsia="zh-CN"/>
        </w:rPr>
      </w:pPr>
    </w:p>
    <w:p w14:paraId="03644E31">
      <w:pPr>
        <w:pStyle w:val="4"/>
        <w:rPr>
          <w:rFonts w:hint="eastAsia"/>
          <w:color w:val="auto"/>
          <w:sz w:val="32"/>
          <w:szCs w:val="32"/>
          <w:lang w:val="en-US" w:eastAsia="zh-CN"/>
        </w:rPr>
      </w:pPr>
    </w:p>
    <w:p w14:paraId="33B5C675">
      <w:pPr>
        <w:rPr>
          <w:rFonts w:hint="eastAsia"/>
          <w:lang w:val="en-US" w:eastAsia="zh-CN"/>
        </w:rPr>
      </w:pPr>
    </w:p>
    <w:p w14:paraId="5072A7EC">
      <w:pPr>
        <w:pStyle w:val="2"/>
        <w:keepNext w:val="0"/>
        <w:keepLines w:val="0"/>
        <w:pageBreakBefore w:val="0"/>
        <w:widowControl w:val="0"/>
        <w:kinsoku/>
        <w:wordWrap/>
        <w:overflowPunct/>
        <w:topLinePunct w:val="0"/>
        <w:autoSpaceDE w:val="0"/>
        <w:autoSpaceDN w:val="0"/>
        <w:bidi w:val="0"/>
        <w:adjustRightInd/>
        <w:snapToGrid/>
        <w:spacing w:before="10" w:line="560" w:lineRule="exact"/>
        <w:ind w:left="0" w:firstLine="4800" w:firstLineChars="1500"/>
        <w:textAlignment w:val="auto"/>
        <w:outlineLvl w:val="9"/>
        <w:rPr>
          <w:rFonts w:hint="eastAsia"/>
          <w:color w:val="auto"/>
          <w:sz w:val="32"/>
          <w:szCs w:val="32"/>
          <w:lang w:val="en-US" w:eastAsia="zh-CN"/>
        </w:rPr>
      </w:pPr>
      <w:r>
        <w:rPr>
          <w:rFonts w:hint="eastAsia"/>
          <w:color w:val="auto"/>
          <w:sz w:val="32"/>
          <w:szCs w:val="32"/>
          <w:lang w:val="en-US" w:eastAsia="zh-CN"/>
        </w:rPr>
        <w:t>保定市徐水区行政审批局</w:t>
      </w:r>
    </w:p>
    <w:p w14:paraId="74CD6096">
      <w:pPr>
        <w:pStyle w:val="2"/>
        <w:keepNext w:val="0"/>
        <w:keepLines w:val="0"/>
        <w:pageBreakBefore w:val="0"/>
        <w:widowControl w:val="0"/>
        <w:kinsoku/>
        <w:wordWrap/>
        <w:overflowPunct/>
        <w:topLinePunct w:val="0"/>
        <w:autoSpaceDE w:val="0"/>
        <w:autoSpaceDN w:val="0"/>
        <w:bidi w:val="0"/>
        <w:adjustRightInd/>
        <w:snapToGrid/>
        <w:spacing w:before="10" w:line="560" w:lineRule="exact"/>
        <w:ind w:left="0" w:firstLine="5440" w:firstLineChars="1700"/>
        <w:textAlignment w:val="auto"/>
        <w:outlineLvl w:val="9"/>
        <w:rPr>
          <w:rFonts w:hint="eastAsia"/>
          <w:color w:val="auto"/>
          <w:sz w:val="32"/>
          <w:szCs w:val="32"/>
          <w:lang w:val="en-US" w:eastAsia="zh-CN"/>
        </w:rPr>
      </w:pPr>
      <w:r>
        <w:rPr>
          <w:rFonts w:hint="eastAsia"/>
          <w:color w:val="auto"/>
          <w:sz w:val="32"/>
          <w:szCs w:val="32"/>
          <w:lang w:val="en-US" w:eastAsia="zh-CN"/>
        </w:rPr>
        <w:t>2023年1月31日</w:t>
      </w:r>
    </w:p>
    <w:p w14:paraId="013B4B5D">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0"/>
        <w:textAlignment w:val="auto"/>
        <w:outlineLvl w:val="9"/>
        <w:rPr>
          <w:color w:val="auto"/>
          <w:sz w:val="21"/>
        </w:rPr>
      </w:pPr>
    </w:p>
    <w:p w14:paraId="614EE0B9">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220" w:firstLineChars="100"/>
        <w:textAlignment w:val="auto"/>
        <w:outlineLvl w:val="9"/>
        <w:rPr>
          <w:rFonts w:hint="eastAsia" w:eastAsia="仿宋"/>
          <w:color w:val="auto"/>
          <w:sz w:val="21"/>
          <w:lang w:val="en-US" w:eastAsia="zh-CN"/>
        </w:rPr>
      </w:pPr>
      <w:r>
        <w:rPr>
          <w:color w:val="auto"/>
          <w:u w:val="none"/>
          <w:lang w:val="en-US" w:bidi="ar-SA"/>
        </w:rPr>
        <mc:AlternateContent>
          <mc:Choice Requires="wps">
            <w:drawing>
              <wp:anchor distT="0" distB="0" distL="114300" distR="114300" simplePos="0" relativeHeight="251659264" behindDoc="0" locked="0" layoutInCell="1" allowOverlap="1">
                <wp:simplePos x="0" y="0"/>
                <wp:positionH relativeFrom="page">
                  <wp:posOffset>1143000</wp:posOffset>
                </wp:positionH>
                <wp:positionV relativeFrom="paragraph">
                  <wp:posOffset>156210</wp:posOffset>
                </wp:positionV>
                <wp:extent cx="5274310" cy="0"/>
                <wp:effectExtent l="0" t="0" r="0" b="0"/>
                <wp:wrapNone/>
                <wp:docPr id="1" name="直线 2"/>
                <wp:cNvGraphicFramePr/>
                <a:graphic xmlns:a="http://schemas.openxmlformats.org/drawingml/2006/main">
                  <a:graphicData uri="http://schemas.microsoft.com/office/word/2010/wordprocessingShape">
                    <wps:wsp>
                      <wps:cNvCnPr/>
                      <wps:spPr>
                        <a:xfrm>
                          <a:off x="0" y="0"/>
                          <a:ext cx="52743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0pt;margin-top:12.3pt;height:0pt;width:415.3pt;mso-position-horizontal-relative:page;z-index:251659264;mso-width-relative:page;mso-height-relative:page;" filled="f" stroked="t" coordsize="21600,21600" o:gfxdata="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JrJofXAAAACgEAAA8A&#10;AAAAAAAAAQAgAAAAIgAAAGRycy9kb3ducmV2LnhtbFBLAQIUABQAAAAIAIdO4kBF/g703wEAAM8D&#10;AAAOAAAAAAAAAAEAIAAAACYBAABkcnMvZTJvRG9jLnhtbFBLBQYAAAAABgAGAFkBAAB3BQAAAAA=&#10;">
                <v:fill on="f" focussize="0,0"/>
                <v:stroke weight="0.48pt" color="#000000" joinstyle="round"/>
                <v:imagedata o:title=""/>
                <o:lock v:ext="edit" aspectratio="f"/>
              </v:line>
            </w:pict>
          </mc:Fallback>
        </mc:AlternateContent>
      </w:r>
      <w:r>
        <w:rPr>
          <w:color w:val="auto"/>
          <w:sz w:val="21"/>
          <w:u w:val="none"/>
        </w:rPr>
        <w:t>抄送</w:t>
      </w:r>
      <w:r>
        <w:rPr>
          <w:color w:val="auto"/>
          <w:sz w:val="21"/>
        </w:rPr>
        <w:t>：保定市生态环境局徐水区分局</w:t>
      </w:r>
      <w:r>
        <w:rPr>
          <w:color w:val="auto"/>
          <w:sz w:val="21"/>
        </w:rPr>
        <w:tab/>
      </w:r>
      <w:r>
        <w:rPr>
          <w:rFonts w:hint="eastAsia"/>
          <w:color w:val="auto"/>
          <w:sz w:val="21"/>
          <w:lang w:val="en-US" w:eastAsia="zh-CN"/>
        </w:rPr>
        <w:t xml:space="preserve">            </w:t>
      </w:r>
      <w:r>
        <w:rPr>
          <w:rFonts w:hint="eastAsia"/>
          <w:color w:val="auto"/>
          <w:sz w:val="21"/>
          <w:lang w:eastAsia="zh-CN"/>
        </w:rPr>
        <w:t>保定伊能环保科技有限公司</w:t>
      </w:r>
    </w:p>
    <w:p w14:paraId="6E04ECC7">
      <w:pPr>
        <w:keepNext w:val="0"/>
        <w:keepLines w:val="0"/>
        <w:pageBreakBefore w:val="0"/>
        <w:widowControl w:val="0"/>
        <w:tabs>
          <w:tab w:val="left" w:pos="4739"/>
        </w:tabs>
        <w:kinsoku/>
        <w:wordWrap/>
        <w:overflowPunct/>
        <w:topLinePunct w:val="0"/>
        <w:autoSpaceDE w:val="0"/>
        <w:autoSpaceDN w:val="0"/>
        <w:bidi w:val="0"/>
        <w:adjustRightInd/>
        <w:snapToGrid/>
        <w:spacing w:before="14" w:line="240" w:lineRule="exact"/>
        <w:textAlignment w:val="auto"/>
        <w:outlineLvl w:val="9"/>
        <w:rPr>
          <w:vanish/>
          <w:color w:val="auto"/>
          <w:sz w:val="21"/>
        </w:rPr>
      </w:pPr>
    </w:p>
    <w:sectPr>
      <w:footerReference r:id="rId3" w:type="default"/>
      <w:pgSz w:w="11910" w:h="16840"/>
      <w:pgMar w:top="2098" w:right="1531" w:bottom="187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7AC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4B5E7">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F4B5E7">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007BA"/>
    <w:multiLevelType w:val="singleLevel"/>
    <w:tmpl w:val="AD2007BA"/>
    <w:lvl w:ilvl="0" w:tentative="0">
      <w:start w:val="1"/>
      <w:numFmt w:val="chineseCounting"/>
      <w:suff w:val="nothing"/>
      <w:lvlText w:val="%1、"/>
      <w:lvlJc w:val="left"/>
      <w:rPr>
        <w:rFonts w:hint="eastAsia"/>
      </w:rPr>
    </w:lvl>
  </w:abstractNum>
  <w:abstractNum w:abstractNumId="1">
    <w:nsid w:val="552A107A"/>
    <w:multiLevelType w:val="singleLevel"/>
    <w:tmpl w:val="552A107A"/>
    <w:lvl w:ilvl="0" w:tentative="0">
      <w:start w:val="6"/>
      <w:numFmt w:val="chineseCounting"/>
      <w:suff w:val="nothing"/>
      <w:lvlText w:val="%1、"/>
      <w:lvlJc w:val="left"/>
      <w:rPr>
        <w:rFonts w:hint="eastAsia"/>
      </w:rPr>
    </w:lvl>
  </w:abstractNum>
  <w:abstractNum w:abstractNumId="2">
    <w:nsid w:val="7D1F61D2"/>
    <w:multiLevelType w:val="singleLevel"/>
    <w:tmpl w:val="7D1F61D2"/>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3">
    <w:nsid w:val="7E9085C6"/>
    <w:multiLevelType w:val="singleLevel"/>
    <w:tmpl w:val="7E9085C6"/>
    <w:lvl w:ilvl="0" w:tentative="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wOWRjZWNlZThjNzk0ZjQxOGFiODZmYTQxZTU5MTQifQ=="/>
  </w:docVars>
  <w:rsids>
    <w:rsidRoot w:val="00FC1720"/>
    <w:rsid w:val="003914BD"/>
    <w:rsid w:val="005F416A"/>
    <w:rsid w:val="00641C89"/>
    <w:rsid w:val="00883C0B"/>
    <w:rsid w:val="009F4DD4"/>
    <w:rsid w:val="00A95106"/>
    <w:rsid w:val="00DE05C0"/>
    <w:rsid w:val="00E302B9"/>
    <w:rsid w:val="00FC1720"/>
    <w:rsid w:val="0165797C"/>
    <w:rsid w:val="025670DC"/>
    <w:rsid w:val="030A0C44"/>
    <w:rsid w:val="03906316"/>
    <w:rsid w:val="039F1890"/>
    <w:rsid w:val="0468705B"/>
    <w:rsid w:val="04F65EE5"/>
    <w:rsid w:val="05631D9D"/>
    <w:rsid w:val="05835C58"/>
    <w:rsid w:val="05B1134C"/>
    <w:rsid w:val="05E62F43"/>
    <w:rsid w:val="062849C4"/>
    <w:rsid w:val="06FF108D"/>
    <w:rsid w:val="082A3699"/>
    <w:rsid w:val="088124B5"/>
    <w:rsid w:val="09211986"/>
    <w:rsid w:val="093E07C1"/>
    <w:rsid w:val="0A732EE2"/>
    <w:rsid w:val="0AAB16B7"/>
    <w:rsid w:val="0B2A2971"/>
    <w:rsid w:val="0B6B7A7C"/>
    <w:rsid w:val="0BA1296D"/>
    <w:rsid w:val="0C7C2650"/>
    <w:rsid w:val="0D2B61BA"/>
    <w:rsid w:val="0D784C61"/>
    <w:rsid w:val="0DEF638A"/>
    <w:rsid w:val="0E0612AC"/>
    <w:rsid w:val="0E1B57EE"/>
    <w:rsid w:val="0E6F241E"/>
    <w:rsid w:val="0E750962"/>
    <w:rsid w:val="0E8C118A"/>
    <w:rsid w:val="0F405362"/>
    <w:rsid w:val="0F8C706A"/>
    <w:rsid w:val="10C41951"/>
    <w:rsid w:val="11B06239"/>
    <w:rsid w:val="11CE423C"/>
    <w:rsid w:val="11D7728D"/>
    <w:rsid w:val="122B288B"/>
    <w:rsid w:val="1290345F"/>
    <w:rsid w:val="129D2782"/>
    <w:rsid w:val="13114CFB"/>
    <w:rsid w:val="13AB2EDF"/>
    <w:rsid w:val="13C10E5D"/>
    <w:rsid w:val="15534200"/>
    <w:rsid w:val="155B4E8D"/>
    <w:rsid w:val="15A77E2C"/>
    <w:rsid w:val="15B86291"/>
    <w:rsid w:val="16507A8B"/>
    <w:rsid w:val="167B72E0"/>
    <w:rsid w:val="16AB5805"/>
    <w:rsid w:val="17016262"/>
    <w:rsid w:val="17217CAE"/>
    <w:rsid w:val="178B0482"/>
    <w:rsid w:val="17A03938"/>
    <w:rsid w:val="18CE42AE"/>
    <w:rsid w:val="197235DA"/>
    <w:rsid w:val="19A52FDB"/>
    <w:rsid w:val="19E42752"/>
    <w:rsid w:val="1A00005D"/>
    <w:rsid w:val="1A950C4B"/>
    <w:rsid w:val="1B35262F"/>
    <w:rsid w:val="1B486418"/>
    <w:rsid w:val="1B4C6D2F"/>
    <w:rsid w:val="1B615F73"/>
    <w:rsid w:val="1BA72DE6"/>
    <w:rsid w:val="1C0E19D1"/>
    <w:rsid w:val="1C4D2F48"/>
    <w:rsid w:val="1C4F1A8D"/>
    <w:rsid w:val="1C550973"/>
    <w:rsid w:val="1D623A48"/>
    <w:rsid w:val="1DA92D89"/>
    <w:rsid w:val="1E0572EF"/>
    <w:rsid w:val="1E69239C"/>
    <w:rsid w:val="1ED53EF8"/>
    <w:rsid w:val="1F3469BB"/>
    <w:rsid w:val="1FA42E79"/>
    <w:rsid w:val="1FD83163"/>
    <w:rsid w:val="1FEA381C"/>
    <w:rsid w:val="208D6310"/>
    <w:rsid w:val="20C748E4"/>
    <w:rsid w:val="20F2689C"/>
    <w:rsid w:val="210510C8"/>
    <w:rsid w:val="2146060D"/>
    <w:rsid w:val="21963295"/>
    <w:rsid w:val="21B7304D"/>
    <w:rsid w:val="230520ED"/>
    <w:rsid w:val="231E0851"/>
    <w:rsid w:val="231E7DB7"/>
    <w:rsid w:val="23763EBD"/>
    <w:rsid w:val="23A67218"/>
    <w:rsid w:val="24374C17"/>
    <w:rsid w:val="245B0EED"/>
    <w:rsid w:val="25070332"/>
    <w:rsid w:val="250A61A6"/>
    <w:rsid w:val="255467E2"/>
    <w:rsid w:val="25CC3869"/>
    <w:rsid w:val="25ED0CD7"/>
    <w:rsid w:val="25F72458"/>
    <w:rsid w:val="264151D6"/>
    <w:rsid w:val="264852BD"/>
    <w:rsid w:val="271C51C6"/>
    <w:rsid w:val="274D122B"/>
    <w:rsid w:val="27C60C96"/>
    <w:rsid w:val="27D94DBA"/>
    <w:rsid w:val="28322C4E"/>
    <w:rsid w:val="298A1FB5"/>
    <w:rsid w:val="29B52F8B"/>
    <w:rsid w:val="2ABD2B99"/>
    <w:rsid w:val="2B752734"/>
    <w:rsid w:val="2BB403D8"/>
    <w:rsid w:val="2C4211D4"/>
    <w:rsid w:val="2C4340C7"/>
    <w:rsid w:val="2C470B0E"/>
    <w:rsid w:val="2C534F2A"/>
    <w:rsid w:val="2C5C2CA5"/>
    <w:rsid w:val="2CA33897"/>
    <w:rsid w:val="2CB45F22"/>
    <w:rsid w:val="2D116A31"/>
    <w:rsid w:val="2DBE3860"/>
    <w:rsid w:val="2DE906BE"/>
    <w:rsid w:val="2E091BCC"/>
    <w:rsid w:val="2E0C1719"/>
    <w:rsid w:val="2F210AE4"/>
    <w:rsid w:val="2F547D4E"/>
    <w:rsid w:val="2F5963F4"/>
    <w:rsid w:val="2F782A69"/>
    <w:rsid w:val="2FFC2908"/>
    <w:rsid w:val="30111686"/>
    <w:rsid w:val="30285D0D"/>
    <w:rsid w:val="30566DD1"/>
    <w:rsid w:val="306D35B0"/>
    <w:rsid w:val="30D13364"/>
    <w:rsid w:val="31A9034E"/>
    <w:rsid w:val="31F40AD8"/>
    <w:rsid w:val="3212521B"/>
    <w:rsid w:val="32DC2ACA"/>
    <w:rsid w:val="32EC42DC"/>
    <w:rsid w:val="3352439E"/>
    <w:rsid w:val="33860852"/>
    <w:rsid w:val="343437ED"/>
    <w:rsid w:val="344F58DF"/>
    <w:rsid w:val="34625C6F"/>
    <w:rsid w:val="34E13D8E"/>
    <w:rsid w:val="34E73DF6"/>
    <w:rsid w:val="34F51547"/>
    <w:rsid w:val="351D691C"/>
    <w:rsid w:val="364735A3"/>
    <w:rsid w:val="36717706"/>
    <w:rsid w:val="36DB733E"/>
    <w:rsid w:val="37BE2190"/>
    <w:rsid w:val="383932EA"/>
    <w:rsid w:val="38E1196C"/>
    <w:rsid w:val="390F0C8E"/>
    <w:rsid w:val="39474760"/>
    <w:rsid w:val="39894B76"/>
    <w:rsid w:val="3A062A4C"/>
    <w:rsid w:val="3A270935"/>
    <w:rsid w:val="3AC053A4"/>
    <w:rsid w:val="3B6925CD"/>
    <w:rsid w:val="3BFA2CFD"/>
    <w:rsid w:val="3C3368C1"/>
    <w:rsid w:val="3C4C643B"/>
    <w:rsid w:val="3CCE34AB"/>
    <w:rsid w:val="3D3B478E"/>
    <w:rsid w:val="3D536DB5"/>
    <w:rsid w:val="3D652D9C"/>
    <w:rsid w:val="3D7A1E7F"/>
    <w:rsid w:val="3E122EDD"/>
    <w:rsid w:val="3E6355C6"/>
    <w:rsid w:val="3E6C1AE3"/>
    <w:rsid w:val="3E8C5C2C"/>
    <w:rsid w:val="3EBB4791"/>
    <w:rsid w:val="3ED8079B"/>
    <w:rsid w:val="3F11673B"/>
    <w:rsid w:val="3F5A5BE9"/>
    <w:rsid w:val="3F7D64B7"/>
    <w:rsid w:val="3F9D4642"/>
    <w:rsid w:val="3F9E4184"/>
    <w:rsid w:val="409C0FBE"/>
    <w:rsid w:val="41050EE9"/>
    <w:rsid w:val="41564A6C"/>
    <w:rsid w:val="41D24909"/>
    <w:rsid w:val="427B7880"/>
    <w:rsid w:val="42F71540"/>
    <w:rsid w:val="4327149D"/>
    <w:rsid w:val="43961150"/>
    <w:rsid w:val="43A74405"/>
    <w:rsid w:val="444B114A"/>
    <w:rsid w:val="446526B8"/>
    <w:rsid w:val="449E1D0D"/>
    <w:rsid w:val="44D4584C"/>
    <w:rsid w:val="454C2F0A"/>
    <w:rsid w:val="45CD043F"/>
    <w:rsid w:val="45DE2CF4"/>
    <w:rsid w:val="46C27E73"/>
    <w:rsid w:val="475B6C93"/>
    <w:rsid w:val="475E06BC"/>
    <w:rsid w:val="47CF0EED"/>
    <w:rsid w:val="48022E71"/>
    <w:rsid w:val="484F1989"/>
    <w:rsid w:val="490808E8"/>
    <w:rsid w:val="49210894"/>
    <w:rsid w:val="499D4138"/>
    <w:rsid w:val="49BC15F3"/>
    <w:rsid w:val="4A0D2198"/>
    <w:rsid w:val="4A4757E0"/>
    <w:rsid w:val="4AB43A94"/>
    <w:rsid w:val="4B1D039C"/>
    <w:rsid w:val="4BAC4908"/>
    <w:rsid w:val="4D2E285F"/>
    <w:rsid w:val="4DA07F5B"/>
    <w:rsid w:val="4DC72F51"/>
    <w:rsid w:val="4E532DF4"/>
    <w:rsid w:val="4E5B51EF"/>
    <w:rsid w:val="4F081AFC"/>
    <w:rsid w:val="4FB569AA"/>
    <w:rsid w:val="503100D1"/>
    <w:rsid w:val="5115465C"/>
    <w:rsid w:val="515618C4"/>
    <w:rsid w:val="517B2FD5"/>
    <w:rsid w:val="51E9382B"/>
    <w:rsid w:val="526B6A07"/>
    <w:rsid w:val="53B171C1"/>
    <w:rsid w:val="54F838D1"/>
    <w:rsid w:val="55196421"/>
    <w:rsid w:val="55504963"/>
    <w:rsid w:val="55E05328"/>
    <w:rsid w:val="56591C70"/>
    <w:rsid w:val="56706A5F"/>
    <w:rsid w:val="5709490B"/>
    <w:rsid w:val="57DB53D0"/>
    <w:rsid w:val="581C4103"/>
    <w:rsid w:val="58517449"/>
    <w:rsid w:val="58A5365B"/>
    <w:rsid w:val="593A43BE"/>
    <w:rsid w:val="597A7D31"/>
    <w:rsid w:val="59CD244E"/>
    <w:rsid w:val="59D25468"/>
    <w:rsid w:val="5B0F7772"/>
    <w:rsid w:val="5B3A5BC9"/>
    <w:rsid w:val="5B460882"/>
    <w:rsid w:val="5B6726B5"/>
    <w:rsid w:val="5BD94721"/>
    <w:rsid w:val="5C8B1774"/>
    <w:rsid w:val="5D6A3A1D"/>
    <w:rsid w:val="5E9919FC"/>
    <w:rsid w:val="5EB1378D"/>
    <w:rsid w:val="5ED86767"/>
    <w:rsid w:val="5F435E26"/>
    <w:rsid w:val="5FDD6614"/>
    <w:rsid w:val="602D3891"/>
    <w:rsid w:val="607F537B"/>
    <w:rsid w:val="60ED5785"/>
    <w:rsid w:val="6140448D"/>
    <w:rsid w:val="618347D1"/>
    <w:rsid w:val="61ED42D4"/>
    <w:rsid w:val="62077DBB"/>
    <w:rsid w:val="624F4842"/>
    <w:rsid w:val="626A14AF"/>
    <w:rsid w:val="62BC5A7F"/>
    <w:rsid w:val="634A34D4"/>
    <w:rsid w:val="634D7671"/>
    <w:rsid w:val="63611DC3"/>
    <w:rsid w:val="63B0621A"/>
    <w:rsid w:val="640D403A"/>
    <w:rsid w:val="64C83482"/>
    <w:rsid w:val="64FD7424"/>
    <w:rsid w:val="65214E3D"/>
    <w:rsid w:val="652329F8"/>
    <w:rsid w:val="65345925"/>
    <w:rsid w:val="65B63B4F"/>
    <w:rsid w:val="673E607A"/>
    <w:rsid w:val="674E29E4"/>
    <w:rsid w:val="67533BCF"/>
    <w:rsid w:val="684E2722"/>
    <w:rsid w:val="68661500"/>
    <w:rsid w:val="68A36F19"/>
    <w:rsid w:val="6A2042B7"/>
    <w:rsid w:val="6B447C40"/>
    <w:rsid w:val="6BD25396"/>
    <w:rsid w:val="6CA01ED6"/>
    <w:rsid w:val="6CFA41E8"/>
    <w:rsid w:val="6D286C17"/>
    <w:rsid w:val="6D3C5BA1"/>
    <w:rsid w:val="6EFF7E76"/>
    <w:rsid w:val="6F271B9B"/>
    <w:rsid w:val="6F354C5F"/>
    <w:rsid w:val="6F5D0F98"/>
    <w:rsid w:val="6FA04C9E"/>
    <w:rsid w:val="6FBD486A"/>
    <w:rsid w:val="6FE248AA"/>
    <w:rsid w:val="6FE31ED6"/>
    <w:rsid w:val="700D48BF"/>
    <w:rsid w:val="70CC796A"/>
    <w:rsid w:val="70F87B70"/>
    <w:rsid w:val="715714F8"/>
    <w:rsid w:val="716968E1"/>
    <w:rsid w:val="72BD591F"/>
    <w:rsid w:val="72E92CF2"/>
    <w:rsid w:val="731A6782"/>
    <w:rsid w:val="73C92512"/>
    <w:rsid w:val="741D6174"/>
    <w:rsid w:val="7442550E"/>
    <w:rsid w:val="747277FC"/>
    <w:rsid w:val="74747B70"/>
    <w:rsid w:val="74FE2899"/>
    <w:rsid w:val="756818F1"/>
    <w:rsid w:val="75E0628D"/>
    <w:rsid w:val="763832A2"/>
    <w:rsid w:val="76BA4139"/>
    <w:rsid w:val="76C217B7"/>
    <w:rsid w:val="7749798E"/>
    <w:rsid w:val="77AA5218"/>
    <w:rsid w:val="781758F0"/>
    <w:rsid w:val="799B56FA"/>
    <w:rsid w:val="79FE0873"/>
    <w:rsid w:val="7AE857D5"/>
    <w:rsid w:val="7B3A76F4"/>
    <w:rsid w:val="7CD75795"/>
    <w:rsid w:val="7CF819F5"/>
    <w:rsid w:val="7D412AF2"/>
    <w:rsid w:val="7EFF3A19"/>
    <w:rsid w:val="7F4B350F"/>
    <w:rsid w:val="7F72529B"/>
    <w:rsid w:val="7FE3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20"/>
    </w:pPr>
    <w:rPr>
      <w:sz w:val="28"/>
      <w:szCs w:val="28"/>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basedOn w:val="1"/>
    <w:next w:val="1"/>
    <w:qFormat/>
    <w:uiPriority w:val="0"/>
    <w:pPr>
      <w:spacing w:line="480" w:lineRule="exact"/>
    </w:pPr>
    <w:rPr>
      <w:rFonts w:ascii="_x000B__x000C_" w:hAnsi="_x000B__x000C_"/>
      <w:b/>
      <w:bCs/>
      <w:sz w:val="24"/>
    </w:rPr>
  </w:style>
  <w:style w:type="paragraph" w:styleId="5">
    <w:name w:val="Normal Indent"/>
    <w:basedOn w:val="1"/>
    <w:next w:val="6"/>
    <w:qFormat/>
    <w:uiPriority w:val="0"/>
    <w:pPr>
      <w:ind w:firstLine="420" w:firstLineChars="200"/>
    </w:pPr>
    <w:rPr>
      <w:szCs w:val="24"/>
    </w:rPr>
  </w:style>
  <w:style w:type="paragraph" w:customStyle="1" w:styleId="6">
    <w:name w:val="样式 正文文本 + 首行缩进:  2 字符"/>
    <w:basedOn w:val="2"/>
    <w:next w:val="1"/>
    <w:qFormat/>
    <w:uiPriority w:val="99"/>
    <w:pPr>
      <w:spacing w:after="200" w:line="480" w:lineRule="exact"/>
      <w:ind w:firstLine="480" w:firstLineChars="200"/>
    </w:pPr>
    <w:rPr>
      <w:rFonts w:ascii="宋体" w:hAnsi="宋体" w:eastAsia="宋体" w:cs="Times New Roman"/>
      <w:sz w:val="24"/>
      <w:lang w:val="en-US" w:eastAsia="zh-CN" w:bidi="ar-SA"/>
    </w:rPr>
  </w:style>
  <w:style w:type="paragraph" w:styleId="7">
    <w:name w:val="List Bullet 5"/>
    <w:basedOn w:val="1"/>
    <w:qFormat/>
    <w:uiPriority w:val="0"/>
    <w:pPr>
      <w:numPr>
        <w:ilvl w:val="0"/>
        <w:numId w:val="1"/>
      </w:numPr>
    </w:p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Default"/>
    <w:next w:val="1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Char Char Char Char Char Char Char Char Char Char Char Char Char"/>
    <w:basedOn w:val="1"/>
    <w:next w:val="14"/>
    <w:qFormat/>
    <w:uiPriority w:val="0"/>
  </w:style>
  <w:style w:type="paragraph" w:customStyle="1" w:styleId="14">
    <w:name w:val="point101"/>
    <w:basedOn w:val="1"/>
    <w:next w:val="1"/>
    <w:qFormat/>
    <w:uiPriority w:val="0"/>
    <w:pPr>
      <w:widowControl/>
      <w:spacing w:before="100" w:beforeAutospacing="1" w:after="100" w:afterAutospacing="1" w:line="390" w:lineRule="atLeast"/>
    </w:pPr>
    <w:rPr>
      <w:rFonts w:ascii="宋体" w:hAnsi="宋体" w:cs="宋体"/>
      <w:spacing w:val="5"/>
      <w:sz w:val="18"/>
      <w:szCs w:val="18"/>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1"/>
    <w:link w:val="9"/>
    <w:qFormat/>
    <w:uiPriority w:val="0"/>
    <w:rPr>
      <w:rFonts w:ascii="仿宋" w:hAnsi="仿宋" w:eastAsia="仿宋" w:cs="仿宋"/>
      <w:sz w:val="18"/>
      <w:szCs w:val="18"/>
      <w:lang w:val="zh-CN" w:bidi="zh-CN"/>
    </w:rPr>
  </w:style>
  <w:style w:type="character" w:customStyle="1" w:styleId="19">
    <w:name w:val="页脚 Char"/>
    <w:basedOn w:val="11"/>
    <w:link w:val="8"/>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1787</Words>
  <Characters>2037</Characters>
  <Lines>12</Lines>
  <Paragraphs>3</Paragraphs>
  <TotalTime>140</TotalTime>
  <ScaleCrop>false</ScaleCrop>
  <LinksUpToDate>false</LinksUpToDate>
  <CharactersWithSpaces>2084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2020-12-10T06:23:00Z</dcterms:created>
  <dc:creator>Administrator</dc:creator>
  <cp:lastModifiedBy>Am</cp:lastModifiedBy>
  <cp:lastPrinted>2022-05-09T06:37:00Z</cp:lastPrinted>
  <dcterms:modified xsi:type="dcterms:W3CDTF">2025-10-27T03:01:36Z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WPS 文字</vt:lpwstr>
  </property>
  <property fmtid="{D5CDD505-2E9C-101B-9397-08002B2CF9AE}" pid="4" name="LastSaved">
    <vt:filetime>2020-12-09T00:00:00Z</vt:filetime>
  </property>
  <property fmtid="{D5CDD505-2E9C-101B-9397-08002B2CF9AE}" pid="5" name="KSOProductBuildVer">
    <vt:lpwstr>2052-12.1.0.23125</vt:lpwstr>
  </property>
  <property fmtid="{D5CDD505-2E9C-101B-9397-08002B2CF9AE}" pid="6" name="ICV">
    <vt:lpwstr>E19FA3C18A2B4425852C8B3DF348CBE7</vt:lpwstr>
  </property>
  <property fmtid="{D5CDD505-2E9C-101B-9397-08002B2CF9AE}" pid="7" name="KSOTemplateDocerSaveRecord">
    <vt:lpwstr>eyJoZGlkIjoiYjZkOTdiNmRlNjVjYTc0MzZmZTVjZTVmMjZhMTMyMmMiLCJ1c2VySWQiOiIxMjI0Mjk2Nzk5In0=</vt:lpwstr>
  </property>
</Properties>
</file>