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5DA6CE">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Times New Roman" w:hAnsi="Times New Roman" w:eastAsia="方正小标宋简体" w:cs="方正小标宋简体"/>
          <w:spacing w:val="-4"/>
          <w:sz w:val="44"/>
          <w:szCs w:val="44"/>
          <w:highlight w:val="none"/>
        </w:rPr>
      </w:pPr>
      <w:r>
        <w:rPr>
          <w:rFonts w:hint="eastAsia" w:ascii="Times New Roman" w:hAnsi="Times New Roman" w:eastAsia="方正小标宋简体" w:cs="方正小标宋简体"/>
          <w:spacing w:val="-4"/>
          <w:sz w:val="44"/>
          <w:szCs w:val="44"/>
          <w:highlight w:val="none"/>
        </w:rPr>
        <w:t>保定市徐水区</w:t>
      </w:r>
    </w:p>
    <w:p w14:paraId="5674CAB5">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Times New Roman" w:hAnsi="Times New Roman" w:eastAsia="方正小标宋简体" w:cs="方正小标宋简体"/>
          <w:spacing w:val="-4"/>
          <w:sz w:val="44"/>
          <w:szCs w:val="44"/>
          <w:highlight w:val="none"/>
        </w:rPr>
      </w:pPr>
      <w:r>
        <w:rPr>
          <w:rFonts w:hint="eastAsia" w:ascii="Times New Roman" w:hAnsi="Times New Roman" w:eastAsia="方正小标宋简体" w:cs="方正小标宋简体"/>
          <w:spacing w:val="-4"/>
          <w:sz w:val="44"/>
          <w:szCs w:val="44"/>
          <w:highlight w:val="none"/>
        </w:rPr>
        <w:t>202</w:t>
      </w:r>
      <w:r>
        <w:rPr>
          <w:rFonts w:hint="eastAsia" w:eastAsia="方正小标宋简体" w:cs="方正小标宋简体"/>
          <w:spacing w:val="-4"/>
          <w:sz w:val="44"/>
          <w:szCs w:val="44"/>
          <w:highlight w:val="none"/>
          <w:lang w:val="en-US" w:eastAsia="zh-CN"/>
        </w:rPr>
        <w:t>3</w:t>
      </w:r>
      <w:r>
        <w:rPr>
          <w:rFonts w:hint="eastAsia" w:ascii="Times New Roman" w:hAnsi="Times New Roman" w:eastAsia="方正小标宋简体" w:cs="方正小标宋简体"/>
          <w:spacing w:val="-4"/>
          <w:sz w:val="44"/>
          <w:szCs w:val="44"/>
          <w:highlight w:val="none"/>
        </w:rPr>
        <w:t>年预算执行情况和202</w:t>
      </w:r>
      <w:r>
        <w:rPr>
          <w:rFonts w:hint="eastAsia" w:eastAsia="方正小标宋简体" w:cs="方正小标宋简体"/>
          <w:spacing w:val="-4"/>
          <w:sz w:val="44"/>
          <w:szCs w:val="44"/>
          <w:highlight w:val="none"/>
          <w:lang w:val="en-US" w:eastAsia="zh-CN"/>
        </w:rPr>
        <w:t>4</w:t>
      </w:r>
      <w:r>
        <w:rPr>
          <w:rFonts w:hint="eastAsia" w:ascii="Times New Roman" w:hAnsi="Times New Roman" w:eastAsia="方正小标宋简体" w:cs="方正小标宋简体"/>
          <w:spacing w:val="-4"/>
          <w:sz w:val="44"/>
          <w:szCs w:val="44"/>
          <w:highlight w:val="none"/>
        </w:rPr>
        <w:t>年预算（草案</w:t>
      </w:r>
      <w:r>
        <w:rPr>
          <w:rFonts w:hint="eastAsia" w:ascii="Times New Roman" w:hAnsi="Times New Roman" w:eastAsia="方正小标宋简体" w:cs="方正小标宋简体"/>
          <w:spacing w:val="-4"/>
          <w:sz w:val="44"/>
          <w:szCs w:val="44"/>
          <w:highlight w:val="none"/>
          <w:lang w:eastAsia="zh-CN"/>
        </w:rPr>
        <w:t>）</w:t>
      </w:r>
      <w:r>
        <w:rPr>
          <w:rFonts w:hint="eastAsia" w:ascii="Times New Roman" w:hAnsi="Times New Roman" w:eastAsia="方正小标宋简体" w:cs="方正小标宋简体"/>
          <w:spacing w:val="-4"/>
          <w:sz w:val="44"/>
          <w:szCs w:val="44"/>
          <w:highlight w:val="none"/>
        </w:rPr>
        <w:t>的</w:t>
      </w:r>
    </w:p>
    <w:p w14:paraId="43F93A2C">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Times New Roman" w:hAnsi="Times New Roman" w:eastAsia="方正小标宋简体" w:cs="方正小标宋简体"/>
          <w:spacing w:val="-4"/>
          <w:sz w:val="44"/>
          <w:szCs w:val="44"/>
          <w:highlight w:val="none"/>
        </w:rPr>
      </w:pPr>
      <w:r>
        <w:rPr>
          <w:rFonts w:hint="eastAsia" w:ascii="Times New Roman" w:hAnsi="Times New Roman" w:eastAsia="方正小标宋简体" w:cs="方正小标宋简体"/>
          <w:spacing w:val="-4"/>
          <w:sz w:val="44"/>
          <w:szCs w:val="44"/>
          <w:highlight w:val="none"/>
        </w:rPr>
        <w:t>报   告</w:t>
      </w:r>
    </w:p>
    <w:p w14:paraId="306338DD">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Times New Roman" w:hAnsi="Times New Roman" w:eastAsia="方正书宋简体"/>
          <w:spacing w:val="-4"/>
          <w:sz w:val="28"/>
          <w:szCs w:val="28"/>
          <w:highlight w:val="none"/>
        </w:rPr>
      </w:pPr>
    </w:p>
    <w:p w14:paraId="702345AC">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Times New Roman" w:hAnsi="Times New Roman"/>
          <w:spacing w:val="-8"/>
          <w:sz w:val="32"/>
          <w:szCs w:val="32"/>
          <w:highlight w:val="none"/>
        </w:rPr>
      </w:pPr>
      <w:r>
        <w:rPr>
          <w:rFonts w:ascii="Times New Roman" w:hAnsi="Times New Roman"/>
          <w:spacing w:val="-8"/>
          <w:sz w:val="32"/>
          <w:szCs w:val="32"/>
          <w:highlight w:val="none"/>
        </w:rPr>
        <w:t>在</w:t>
      </w:r>
      <w:r>
        <w:rPr>
          <w:rFonts w:hint="eastAsia" w:ascii="Times New Roman" w:hAnsi="Times New Roman"/>
          <w:spacing w:val="-8"/>
          <w:sz w:val="32"/>
          <w:szCs w:val="32"/>
          <w:highlight w:val="none"/>
        </w:rPr>
        <w:t>保定市徐水区第</w:t>
      </w:r>
      <w:r>
        <w:rPr>
          <w:rFonts w:hint="eastAsia" w:ascii="Times New Roman" w:hAnsi="Times New Roman"/>
          <w:spacing w:val="-8"/>
          <w:sz w:val="32"/>
          <w:szCs w:val="32"/>
          <w:highlight w:val="none"/>
          <w:lang w:val="en-US" w:eastAsia="zh-CN"/>
        </w:rPr>
        <w:t>三</w:t>
      </w:r>
      <w:r>
        <w:rPr>
          <w:rFonts w:hint="eastAsia" w:ascii="Times New Roman" w:hAnsi="Times New Roman"/>
          <w:spacing w:val="-8"/>
          <w:sz w:val="32"/>
          <w:szCs w:val="32"/>
          <w:highlight w:val="none"/>
        </w:rPr>
        <w:t>届人民代表大会第</w:t>
      </w:r>
      <w:r>
        <w:rPr>
          <w:rFonts w:hint="eastAsia"/>
          <w:spacing w:val="-8"/>
          <w:sz w:val="32"/>
          <w:szCs w:val="32"/>
          <w:highlight w:val="none"/>
          <w:lang w:val="en-US" w:eastAsia="zh-CN"/>
        </w:rPr>
        <w:t>四</w:t>
      </w:r>
      <w:r>
        <w:rPr>
          <w:rFonts w:hint="eastAsia" w:ascii="Times New Roman" w:hAnsi="Times New Roman"/>
          <w:spacing w:val="-8"/>
          <w:sz w:val="32"/>
          <w:szCs w:val="32"/>
          <w:highlight w:val="none"/>
        </w:rPr>
        <w:t>次会议上</w:t>
      </w:r>
    </w:p>
    <w:p w14:paraId="66419FA7">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ascii="Times New Roman" w:hAnsi="Times New Roman" w:eastAsia="楷体_GB2312"/>
          <w:spacing w:val="-4"/>
          <w:sz w:val="30"/>
          <w:szCs w:val="28"/>
          <w:highlight w:val="none"/>
        </w:rPr>
      </w:pPr>
      <w:r>
        <w:rPr>
          <w:rFonts w:hint="eastAsia" w:ascii="Times New Roman" w:hAnsi="Times New Roman" w:eastAsia="楷体_GB2312"/>
          <w:spacing w:val="-4"/>
          <w:sz w:val="32"/>
          <w:szCs w:val="32"/>
          <w:highlight w:val="none"/>
        </w:rPr>
        <w:t>保</w:t>
      </w:r>
      <w:r>
        <w:rPr>
          <w:rFonts w:ascii="Times New Roman" w:hAnsi="Times New Roman" w:eastAsia="楷体_GB2312"/>
          <w:spacing w:val="-4"/>
          <w:sz w:val="32"/>
          <w:szCs w:val="32"/>
          <w:highlight w:val="none"/>
        </w:rPr>
        <w:t>定市徐水</w:t>
      </w:r>
      <w:r>
        <w:rPr>
          <w:rFonts w:hint="eastAsia" w:ascii="Times New Roman" w:hAnsi="Times New Roman" w:eastAsia="楷体_GB2312"/>
          <w:spacing w:val="-4"/>
          <w:sz w:val="32"/>
          <w:szCs w:val="32"/>
          <w:highlight w:val="none"/>
        </w:rPr>
        <w:t>区</w:t>
      </w:r>
      <w:r>
        <w:rPr>
          <w:rFonts w:ascii="Times New Roman" w:hAnsi="Times New Roman" w:eastAsia="楷体_GB2312"/>
          <w:spacing w:val="-4"/>
          <w:sz w:val="32"/>
          <w:szCs w:val="32"/>
          <w:highlight w:val="none"/>
        </w:rPr>
        <w:t xml:space="preserve">财政局局长  </w:t>
      </w:r>
      <w:r>
        <w:rPr>
          <w:rFonts w:hint="eastAsia" w:ascii="Times New Roman" w:hAnsi="Times New Roman" w:eastAsia="楷体_GB2312"/>
          <w:spacing w:val="-4"/>
          <w:sz w:val="32"/>
          <w:szCs w:val="32"/>
          <w:highlight w:val="none"/>
          <w:lang w:eastAsia="zh-CN"/>
        </w:rPr>
        <w:t>江磊</w:t>
      </w:r>
    </w:p>
    <w:p w14:paraId="721C5492">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ascii="Times New Roman" w:hAnsi="Times New Roman" w:eastAsia="楷体_GB2312"/>
          <w:spacing w:val="-4"/>
          <w:sz w:val="30"/>
          <w:szCs w:val="28"/>
          <w:highlight w:val="none"/>
        </w:rPr>
      </w:pPr>
    </w:p>
    <w:p w14:paraId="5FCE55E9">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方正仿宋_GBK" w:hAnsi="方正仿宋_GBK" w:eastAsia="方正仿宋_GBK" w:cs="方正仿宋_GBK"/>
          <w:b/>
          <w:spacing w:val="-4"/>
          <w:sz w:val="32"/>
          <w:szCs w:val="32"/>
          <w:highlight w:val="none"/>
        </w:rPr>
      </w:pPr>
      <w:r>
        <w:rPr>
          <w:rFonts w:hint="eastAsia" w:ascii="方正仿宋_GBK" w:hAnsi="方正仿宋_GBK" w:eastAsia="方正仿宋_GBK" w:cs="方正仿宋_GBK"/>
          <w:b/>
          <w:spacing w:val="-4"/>
          <w:sz w:val="32"/>
          <w:szCs w:val="32"/>
          <w:highlight w:val="none"/>
        </w:rPr>
        <w:t>各位代表：</w:t>
      </w:r>
    </w:p>
    <w:p w14:paraId="7B0F93DB">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16" w:firstLineChars="200"/>
        <w:jc w:val="both"/>
        <w:textAlignment w:val="auto"/>
        <w:rPr>
          <w:rFonts w:hint="eastAsia" w:eastAsia="方正仿宋_GBK" w:cs="Times New Roman"/>
          <w:spacing w:val="-6"/>
          <w:sz w:val="32"/>
          <w:szCs w:val="32"/>
          <w:highlight w:val="none"/>
          <w:lang w:val="en-US" w:eastAsia="zh-CN"/>
        </w:rPr>
      </w:pPr>
      <w:r>
        <w:rPr>
          <w:rFonts w:hint="eastAsia" w:eastAsia="方正仿宋_GBK" w:cs="Times New Roman"/>
          <w:spacing w:val="-6"/>
          <w:sz w:val="32"/>
          <w:szCs w:val="32"/>
          <w:highlight w:val="none"/>
          <w:lang w:val="en-US" w:eastAsia="zh-CN"/>
        </w:rPr>
        <w:t>受区人民政府委托，我向大会报告保定市徐水区2023年预算执行情况和2024年预算（草案），请予审议，并请政协委员和其他列席同志提出意见。</w:t>
      </w:r>
    </w:p>
    <w:p w14:paraId="23BE36C6">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24" w:firstLineChars="200"/>
        <w:jc w:val="both"/>
        <w:textAlignment w:val="auto"/>
        <w:rPr>
          <w:rFonts w:hint="eastAsia" w:ascii="Times New Roman" w:hAnsi="Times New Roman" w:eastAsia="方正黑体_GBK" w:cs="方正黑体_GBK"/>
          <w:b w:val="0"/>
          <w:bCs w:val="0"/>
          <w:spacing w:val="-4"/>
          <w:sz w:val="32"/>
          <w:szCs w:val="32"/>
          <w:highlight w:val="none"/>
          <w:lang w:val="en-US" w:eastAsia="zh-CN"/>
        </w:rPr>
      </w:pPr>
      <w:r>
        <w:rPr>
          <w:rFonts w:hint="eastAsia" w:ascii="Times New Roman" w:hAnsi="Times New Roman" w:eastAsia="方正黑体_GBK" w:cs="方正黑体_GBK"/>
          <w:b w:val="0"/>
          <w:bCs w:val="0"/>
          <w:spacing w:val="-4"/>
          <w:sz w:val="32"/>
          <w:szCs w:val="32"/>
          <w:highlight w:val="none"/>
        </w:rPr>
        <w:t>一、</w:t>
      </w:r>
      <w:r>
        <w:rPr>
          <w:rFonts w:hint="eastAsia" w:ascii="Times New Roman" w:hAnsi="Times New Roman" w:eastAsia="方正黑体_GBK" w:cs="方正黑体_GBK"/>
          <w:b w:val="0"/>
          <w:bCs w:val="0"/>
          <w:spacing w:val="-4"/>
          <w:sz w:val="32"/>
          <w:szCs w:val="32"/>
          <w:highlight w:val="none"/>
          <w:lang w:val="en-US"/>
        </w:rPr>
        <w:t>202</w:t>
      </w:r>
      <w:r>
        <w:rPr>
          <w:rFonts w:hint="eastAsia" w:eastAsia="方正黑体_GBK" w:cs="方正黑体_GBK"/>
          <w:b w:val="0"/>
          <w:bCs w:val="0"/>
          <w:spacing w:val="-4"/>
          <w:sz w:val="32"/>
          <w:szCs w:val="32"/>
          <w:highlight w:val="none"/>
          <w:lang w:val="en-US" w:eastAsia="zh-CN"/>
        </w:rPr>
        <w:t>3</w:t>
      </w:r>
      <w:r>
        <w:rPr>
          <w:rFonts w:hint="eastAsia" w:ascii="Times New Roman" w:hAnsi="Times New Roman" w:eastAsia="方正黑体_GBK" w:cs="方正黑体_GBK"/>
          <w:b w:val="0"/>
          <w:bCs w:val="0"/>
          <w:spacing w:val="-4"/>
          <w:sz w:val="32"/>
          <w:szCs w:val="32"/>
          <w:highlight w:val="none"/>
          <w:lang w:val="en-US" w:eastAsia="zh-CN"/>
        </w:rPr>
        <w:t>年预算执行情况</w:t>
      </w:r>
    </w:p>
    <w:p w14:paraId="4B1A877D">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16" w:firstLineChars="200"/>
        <w:jc w:val="both"/>
        <w:textAlignment w:val="auto"/>
        <w:rPr>
          <w:rFonts w:hint="default" w:eastAsia="方正仿宋_GBK" w:cs="Times New Roman"/>
          <w:spacing w:val="-6"/>
          <w:sz w:val="32"/>
          <w:szCs w:val="32"/>
          <w:highlight w:val="none"/>
          <w:lang w:val="en-US" w:eastAsia="zh-CN"/>
        </w:rPr>
      </w:pPr>
      <w:r>
        <w:rPr>
          <w:rFonts w:hint="eastAsia" w:eastAsia="方正仿宋_GBK" w:cs="Times New Roman"/>
          <w:spacing w:val="-6"/>
          <w:sz w:val="32"/>
          <w:szCs w:val="32"/>
          <w:highlight w:val="none"/>
          <w:lang w:val="en-US" w:eastAsia="zh-CN"/>
        </w:rPr>
        <w:t>2023年是徐水区发展历程中极不平凡的一年。面对严峻复杂的发展形势、艰巨繁重的改革任务和异常尖锐的收支矛盾，在区委的坚强领导下，在区人大及其常委会的监督支持下，全区财政工作坚持以习近平新时代中国特色社会主义思想为指导，全面贯彻党的二十大和二十届二中全会精神，把握高质量发展这一首要任务，坚持稳中求进工作总基调，以人民至上为统领，以深化改革为动力，狠抓收入管理，优化支出结构，妥善调度资金，提升预算绩效管理水平，全区财政</w:t>
      </w:r>
      <w:r>
        <w:rPr>
          <w:rFonts w:hint="default" w:eastAsia="方正仿宋_GBK" w:cs="Times New Roman"/>
          <w:spacing w:val="-6"/>
          <w:sz w:val="32"/>
          <w:szCs w:val="32"/>
          <w:highlight w:val="none"/>
          <w:lang w:val="en-US" w:eastAsia="zh-CN"/>
        </w:rPr>
        <w:t>实现了</w:t>
      </w:r>
      <w:r>
        <w:rPr>
          <w:rFonts w:hint="eastAsia" w:eastAsia="方正仿宋_GBK" w:cs="Times New Roman"/>
          <w:spacing w:val="-6"/>
          <w:sz w:val="32"/>
          <w:szCs w:val="32"/>
          <w:highlight w:val="none"/>
          <w:lang w:val="en-US" w:eastAsia="zh-CN"/>
        </w:rPr>
        <w:t>来之不易的</w:t>
      </w:r>
      <w:r>
        <w:rPr>
          <w:rFonts w:hint="default" w:eastAsia="方正仿宋_GBK" w:cs="Times New Roman"/>
          <w:spacing w:val="-6"/>
          <w:sz w:val="32"/>
          <w:szCs w:val="32"/>
          <w:highlight w:val="none"/>
          <w:lang w:val="en-US" w:eastAsia="zh-CN"/>
        </w:rPr>
        <w:t>平稳运行，</w:t>
      </w:r>
      <w:r>
        <w:rPr>
          <w:rFonts w:hint="eastAsia" w:eastAsia="方正仿宋_GBK" w:cs="Times New Roman"/>
          <w:spacing w:val="-6"/>
          <w:sz w:val="32"/>
          <w:szCs w:val="32"/>
          <w:highlight w:val="none"/>
          <w:lang w:val="en-US" w:eastAsia="zh-CN"/>
        </w:rPr>
        <w:t>发挥了在国家治理中的基础和重要支柱作用，为加快建设新时代经济强区、美丽徐水，精心打造现代化品质生活之城提供了有力的财政支撑。</w:t>
      </w:r>
    </w:p>
    <w:p w14:paraId="22E4CBB3">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24" w:firstLineChars="200"/>
        <w:jc w:val="both"/>
        <w:textAlignment w:val="auto"/>
        <w:rPr>
          <w:rFonts w:hint="eastAsia" w:ascii="Times New Roman" w:hAnsi="Times New Roman" w:eastAsia="方正楷体_GBK" w:cs="方正楷体_GBK"/>
          <w:b w:val="0"/>
          <w:bCs/>
          <w:spacing w:val="-4"/>
          <w:sz w:val="32"/>
          <w:szCs w:val="32"/>
          <w:highlight w:val="none"/>
          <w:u w:val="none"/>
        </w:rPr>
      </w:pPr>
      <w:r>
        <w:rPr>
          <w:rFonts w:hint="eastAsia" w:ascii="Times New Roman" w:hAnsi="Times New Roman" w:eastAsia="方正楷体_GBK" w:cs="方正楷体_GBK"/>
          <w:b w:val="0"/>
          <w:bCs/>
          <w:spacing w:val="-4"/>
          <w:sz w:val="32"/>
          <w:szCs w:val="32"/>
          <w:highlight w:val="none"/>
          <w:u w:val="none"/>
        </w:rPr>
        <w:t>（一）一般公共预算执行情况</w:t>
      </w:r>
    </w:p>
    <w:p w14:paraId="63B84CCB">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24" w:firstLineChars="200"/>
        <w:jc w:val="both"/>
        <w:textAlignment w:val="auto"/>
        <w:rPr>
          <w:rFonts w:ascii="Times New Roman" w:hAnsi="Times New Roman" w:eastAsia="方正仿宋_GBK"/>
          <w:b/>
          <w:bCs w:val="0"/>
          <w:spacing w:val="-4"/>
          <w:sz w:val="32"/>
          <w:szCs w:val="32"/>
          <w:highlight w:val="none"/>
          <w:u w:val="none"/>
        </w:rPr>
      </w:pPr>
      <w:r>
        <w:rPr>
          <w:rFonts w:ascii="Times New Roman" w:hAnsi="Times New Roman" w:eastAsia="方正仿宋_GBK"/>
          <w:b/>
          <w:bCs w:val="0"/>
          <w:spacing w:val="-4"/>
          <w:sz w:val="32"/>
          <w:szCs w:val="32"/>
          <w:highlight w:val="none"/>
          <w:u w:val="none"/>
        </w:rPr>
        <w:t>1</w:t>
      </w:r>
      <w:r>
        <w:rPr>
          <w:rFonts w:hint="eastAsia" w:ascii="Times New Roman" w:hAnsi="Times New Roman" w:eastAsia="方正仿宋_GBK" w:cs="仿宋"/>
          <w:b/>
          <w:bCs w:val="0"/>
          <w:color w:val="000000"/>
          <w:sz w:val="32"/>
          <w:szCs w:val="32"/>
          <w:highlight w:val="none"/>
          <w:u w:val="none"/>
        </w:rPr>
        <w:t>.</w:t>
      </w:r>
      <w:r>
        <w:rPr>
          <w:rFonts w:hint="eastAsia" w:ascii="Times New Roman" w:hAnsi="Times New Roman" w:eastAsia="方正仿宋_GBK" w:cs="方正仿宋_GBK"/>
          <w:b/>
          <w:bCs w:val="0"/>
          <w:spacing w:val="-4"/>
          <w:kern w:val="0"/>
          <w:sz w:val="32"/>
          <w:szCs w:val="32"/>
          <w:highlight w:val="none"/>
          <w:u w:val="none"/>
        </w:rPr>
        <w:t>一般公共预算收入执行情况</w:t>
      </w:r>
    </w:p>
    <w:p w14:paraId="4B62793A">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16" w:firstLineChars="200"/>
        <w:jc w:val="both"/>
        <w:textAlignment w:val="auto"/>
        <w:rPr>
          <w:rFonts w:hint="eastAsia" w:eastAsia="方正仿宋_GBK" w:cs="Times New Roman"/>
          <w:spacing w:val="-6"/>
          <w:sz w:val="32"/>
          <w:szCs w:val="32"/>
          <w:highlight w:val="none"/>
          <w:lang w:val="en-US" w:eastAsia="zh-CN"/>
        </w:rPr>
      </w:pPr>
      <w:r>
        <w:rPr>
          <w:rFonts w:hint="eastAsia" w:eastAsia="方正仿宋_GBK" w:cs="Times New Roman"/>
          <w:spacing w:val="-6"/>
          <w:sz w:val="32"/>
          <w:szCs w:val="32"/>
          <w:highlight w:val="none"/>
          <w:lang w:val="en-US" w:eastAsia="zh-CN"/>
        </w:rPr>
        <w:t>2023年，一般公共预算收入完成</w:t>
      </w:r>
      <w:r>
        <w:rPr>
          <w:rFonts w:hint="default" w:eastAsia="方正仿宋_GBK" w:cs="Times New Roman"/>
          <w:spacing w:val="-6"/>
          <w:sz w:val="32"/>
          <w:szCs w:val="32"/>
          <w:highlight w:val="none"/>
          <w:lang w:val="en-US" w:eastAsia="zh-CN"/>
        </w:rPr>
        <w:t>20.13</w:t>
      </w:r>
      <w:r>
        <w:rPr>
          <w:rFonts w:hint="eastAsia" w:eastAsia="方正仿宋_GBK" w:cs="Times New Roman"/>
          <w:spacing w:val="-6"/>
          <w:sz w:val="32"/>
          <w:szCs w:val="32"/>
          <w:highlight w:val="none"/>
          <w:lang w:val="en-US" w:eastAsia="zh-CN"/>
        </w:rPr>
        <w:t>亿元，占调整预算的</w:t>
      </w:r>
      <w:r>
        <w:rPr>
          <w:rFonts w:hint="default" w:eastAsia="方正仿宋_GBK" w:cs="Times New Roman"/>
          <w:spacing w:val="-6"/>
          <w:sz w:val="32"/>
          <w:szCs w:val="32"/>
          <w:highlight w:val="none"/>
          <w:lang w:val="en-US" w:eastAsia="zh-CN"/>
        </w:rPr>
        <w:t>100.7</w:t>
      </w:r>
      <w:r>
        <w:rPr>
          <w:rFonts w:hint="eastAsia" w:eastAsia="方正仿宋_GBK" w:cs="Times New Roman"/>
          <w:spacing w:val="-6"/>
          <w:sz w:val="32"/>
          <w:szCs w:val="32"/>
          <w:highlight w:val="none"/>
          <w:lang w:val="en-US" w:eastAsia="zh-CN"/>
        </w:rPr>
        <w:t>%，超收</w:t>
      </w:r>
      <w:r>
        <w:rPr>
          <w:rFonts w:hint="default" w:eastAsia="方正仿宋_GBK" w:cs="Times New Roman"/>
          <w:spacing w:val="-6"/>
          <w:sz w:val="32"/>
          <w:szCs w:val="32"/>
          <w:highlight w:val="none"/>
          <w:lang w:val="en-US" w:eastAsia="zh-CN"/>
        </w:rPr>
        <w:t>1338</w:t>
      </w:r>
      <w:r>
        <w:rPr>
          <w:rFonts w:hint="eastAsia" w:eastAsia="方正仿宋_GBK" w:cs="Times New Roman"/>
          <w:spacing w:val="-6"/>
          <w:sz w:val="32"/>
          <w:szCs w:val="32"/>
          <w:highlight w:val="none"/>
          <w:lang w:val="en-US" w:eastAsia="zh-CN"/>
        </w:rPr>
        <w:t>万元，较上年下降</w:t>
      </w:r>
      <w:r>
        <w:rPr>
          <w:rFonts w:hint="default" w:eastAsia="方正仿宋_GBK" w:cs="Times New Roman"/>
          <w:spacing w:val="-6"/>
          <w:sz w:val="32"/>
          <w:szCs w:val="32"/>
          <w:highlight w:val="none"/>
          <w:lang w:val="en-US" w:eastAsia="zh-CN"/>
        </w:rPr>
        <w:t>11.8</w:t>
      </w:r>
      <w:r>
        <w:rPr>
          <w:rFonts w:hint="eastAsia" w:eastAsia="方正仿宋_GBK" w:cs="Times New Roman"/>
          <w:spacing w:val="-6"/>
          <w:sz w:val="32"/>
          <w:szCs w:val="32"/>
          <w:highlight w:val="none"/>
          <w:lang w:val="en-US" w:eastAsia="zh-CN"/>
        </w:rPr>
        <w:t>%，减收</w:t>
      </w:r>
      <w:r>
        <w:rPr>
          <w:rFonts w:hint="default" w:eastAsia="方正仿宋_GBK" w:cs="Times New Roman"/>
          <w:spacing w:val="-6"/>
          <w:sz w:val="32"/>
          <w:szCs w:val="32"/>
          <w:highlight w:val="none"/>
          <w:lang w:val="en-US" w:eastAsia="zh-CN"/>
        </w:rPr>
        <w:t>2.7</w:t>
      </w:r>
      <w:r>
        <w:rPr>
          <w:rFonts w:hint="eastAsia" w:eastAsia="方正仿宋_GBK" w:cs="Times New Roman"/>
          <w:spacing w:val="-6"/>
          <w:sz w:val="32"/>
          <w:szCs w:val="32"/>
          <w:highlight w:val="none"/>
          <w:lang w:val="en-US" w:eastAsia="zh-CN"/>
        </w:rPr>
        <w:t>亿元。</w:t>
      </w:r>
    </w:p>
    <w:p w14:paraId="351D6182">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24" w:firstLineChars="200"/>
        <w:jc w:val="both"/>
        <w:textAlignment w:val="auto"/>
        <w:rPr>
          <w:rFonts w:ascii="Times New Roman" w:hAnsi="Times New Roman" w:eastAsia="方正仿宋_GBK"/>
          <w:b/>
          <w:bCs w:val="0"/>
          <w:spacing w:val="-4"/>
          <w:sz w:val="32"/>
          <w:szCs w:val="32"/>
          <w:highlight w:val="none"/>
          <w:u w:val="none"/>
        </w:rPr>
      </w:pPr>
      <w:r>
        <w:rPr>
          <w:rFonts w:ascii="Times New Roman" w:hAnsi="Times New Roman" w:eastAsia="方正仿宋_GBK"/>
          <w:b/>
          <w:bCs w:val="0"/>
          <w:spacing w:val="-4"/>
          <w:sz w:val="32"/>
          <w:szCs w:val="32"/>
          <w:highlight w:val="none"/>
          <w:u w:val="none"/>
        </w:rPr>
        <w:t>2</w:t>
      </w:r>
      <w:r>
        <w:rPr>
          <w:rFonts w:hint="eastAsia" w:ascii="Times New Roman" w:hAnsi="Times New Roman" w:eastAsia="方正仿宋_GBK" w:cs="仿宋"/>
          <w:b/>
          <w:bCs w:val="0"/>
          <w:color w:val="000000"/>
          <w:sz w:val="32"/>
          <w:szCs w:val="32"/>
          <w:highlight w:val="none"/>
          <w:u w:val="none"/>
        </w:rPr>
        <w:t>.</w:t>
      </w:r>
      <w:r>
        <w:rPr>
          <w:rFonts w:hint="eastAsia" w:ascii="Times New Roman" w:hAnsi="Times New Roman" w:eastAsia="方正仿宋_GBK" w:cs="宋体"/>
          <w:b/>
          <w:bCs w:val="0"/>
          <w:spacing w:val="-4"/>
          <w:kern w:val="0"/>
          <w:sz w:val="32"/>
          <w:szCs w:val="32"/>
          <w:highlight w:val="none"/>
          <w:u w:val="none"/>
        </w:rPr>
        <w:t>一</w:t>
      </w:r>
      <w:r>
        <w:rPr>
          <w:rFonts w:ascii="Times New Roman" w:hAnsi="Times New Roman" w:eastAsia="方正仿宋_GBK" w:cs="宋体"/>
          <w:b/>
          <w:bCs w:val="0"/>
          <w:spacing w:val="-4"/>
          <w:kern w:val="0"/>
          <w:sz w:val="32"/>
          <w:szCs w:val="32"/>
          <w:highlight w:val="none"/>
          <w:u w:val="none"/>
        </w:rPr>
        <w:t>般</w:t>
      </w:r>
      <w:r>
        <w:rPr>
          <w:rFonts w:hint="eastAsia" w:ascii="Times New Roman" w:hAnsi="Times New Roman" w:eastAsia="方正仿宋_GBK" w:cs="宋体"/>
          <w:b/>
          <w:bCs w:val="0"/>
          <w:spacing w:val="-4"/>
          <w:kern w:val="0"/>
          <w:sz w:val="32"/>
          <w:szCs w:val="32"/>
          <w:highlight w:val="none"/>
          <w:u w:val="none"/>
        </w:rPr>
        <w:t>公共预算支出执行情况</w:t>
      </w:r>
    </w:p>
    <w:p w14:paraId="1660DE5C">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16" w:firstLineChars="200"/>
        <w:jc w:val="both"/>
        <w:textAlignment w:val="auto"/>
        <w:rPr>
          <w:rFonts w:hint="eastAsia" w:eastAsia="方正仿宋_GBK" w:cs="Times New Roman"/>
          <w:spacing w:val="-6"/>
          <w:sz w:val="32"/>
          <w:szCs w:val="32"/>
          <w:highlight w:val="none"/>
          <w:lang w:val="en-US" w:eastAsia="zh-CN"/>
        </w:rPr>
      </w:pPr>
      <w:r>
        <w:rPr>
          <w:rFonts w:hint="eastAsia" w:eastAsia="方正仿宋_GBK" w:cs="Times New Roman"/>
          <w:spacing w:val="-6"/>
          <w:sz w:val="32"/>
          <w:szCs w:val="32"/>
          <w:highlight w:val="none"/>
          <w:lang w:val="en-US" w:eastAsia="zh-CN"/>
        </w:rPr>
        <w:t>2023年，一般公共预算支出完成</w:t>
      </w:r>
      <w:r>
        <w:rPr>
          <w:rFonts w:hint="default" w:eastAsia="方正仿宋_GBK" w:cs="Times New Roman"/>
          <w:spacing w:val="-6"/>
          <w:sz w:val="32"/>
          <w:szCs w:val="32"/>
          <w:highlight w:val="none"/>
          <w:lang w:val="en-US" w:eastAsia="zh-CN"/>
        </w:rPr>
        <w:t>41.37</w:t>
      </w:r>
      <w:r>
        <w:rPr>
          <w:rFonts w:hint="eastAsia" w:eastAsia="方正仿宋_GBK" w:cs="Times New Roman"/>
          <w:spacing w:val="-6"/>
          <w:sz w:val="32"/>
          <w:szCs w:val="32"/>
          <w:highlight w:val="none"/>
          <w:lang w:val="en-US" w:eastAsia="zh-CN"/>
        </w:rPr>
        <w:t>亿元，占调整预算的</w:t>
      </w:r>
      <w:r>
        <w:rPr>
          <w:rFonts w:hint="default" w:eastAsia="方正仿宋_GBK" w:cs="Times New Roman"/>
          <w:spacing w:val="-6"/>
          <w:sz w:val="32"/>
          <w:szCs w:val="32"/>
          <w:highlight w:val="none"/>
          <w:lang w:val="en-US" w:eastAsia="zh-CN"/>
        </w:rPr>
        <w:t>93.7</w:t>
      </w:r>
      <w:r>
        <w:rPr>
          <w:rFonts w:hint="eastAsia" w:eastAsia="方正仿宋_GBK" w:cs="Times New Roman"/>
          <w:spacing w:val="-6"/>
          <w:sz w:val="32"/>
          <w:szCs w:val="32"/>
          <w:highlight w:val="none"/>
          <w:lang w:val="en-US" w:eastAsia="zh-CN"/>
        </w:rPr>
        <w:t>%，较上年下降</w:t>
      </w:r>
      <w:r>
        <w:rPr>
          <w:rFonts w:hint="default" w:eastAsia="方正仿宋_GBK" w:cs="Times New Roman"/>
          <w:spacing w:val="-6"/>
          <w:sz w:val="32"/>
          <w:szCs w:val="32"/>
          <w:highlight w:val="none"/>
          <w:lang w:val="en-US" w:eastAsia="zh-CN"/>
        </w:rPr>
        <w:t>0.1%</w:t>
      </w:r>
      <w:r>
        <w:rPr>
          <w:rFonts w:hint="eastAsia" w:eastAsia="方正仿宋_GBK" w:cs="Times New Roman"/>
          <w:spacing w:val="-6"/>
          <w:sz w:val="32"/>
          <w:szCs w:val="32"/>
          <w:highlight w:val="none"/>
          <w:lang w:val="en-US" w:eastAsia="zh-CN"/>
        </w:rPr>
        <w:t>，减支</w:t>
      </w:r>
      <w:r>
        <w:rPr>
          <w:rFonts w:hint="default" w:eastAsia="方正仿宋_GBK" w:cs="Times New Roman"/>
          <w:spacing w:val="-6"/>
          <w:sz w:val="32"/>
          <w:szCs w:val="32"/>
          <w:highlight w:val="none"/>
          <w:lang w:val="en-US" w:eastAsia="zh-CN"/>
        </w:rPr>
        <w:t>532</w:t>
      </w:r>
      <w:r>
        <w:rPr>
          <w:rFonts w:hint="eastAsia" w:eastAsia="方正仿宋_GBK" w:cs="Times New Roman"/>
          <w:spacing w:val="-6"/>
          <w:sz w:val="32"/>
          <w:szCs w:val="32"/>
          <w:highlight w:val="none"/>
          <w:lang w:val="en-US" w:eastAsia="zh-CN"/>
        </w:rPr>
        <w:t>万元。主要支出项目完成情况是：</w:t>
      </w:r>
    </w:p>
    <w:p w14:paraId="5DD36DB1">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16" w:firstLineChars="200"/>
        <w:jc w:val="both"/>
        <w:textAlignment w:val="auto"/>
        <w:rPr>
          <w:rFonts w:hint="eastAsia" w:eastAsia="方正仿宋_GBK" w:cs="Times New Roman"/>
          <w:spacing w:val="-6"/>
          <w:sz w:val="32"/>
          <w:szCs w:val="32"/>
          <w:highlight w:val="none"/>
          <w:lang w:val="en-US" w:eastAsia="zh-CN"/>
        </w:rPr>
      </w:pPr>
      <w:r>
        <w:rPr>
          <w:rFonts w:hint="eastAsia" w:eastAsia="方正仿宋_GBK" w:cs="Times New Roman"/>
          <w:spacing w:val="-6"/>
          <w:sz w:val="32"/>
          <w:szCs w:val="32"/>
          <w:highlight w:val="none"/>
          <w:lang w:val="en-US" w:eastAsia="zh-CN"/>
        </w:rPr>
        <w:t>一般公共服务支出完成</w:t>
      </w:r>
      <w:r>
        <w:rPr>
          <w:rFonts w:hint="default" w:eastAsia="方正仿宋_GBK" w:cs="Times New Roman"/>
          <w:spacing w:val="-6"/>
          <w:sz w:val="32"/>
          <w:szCs w:val="32"/>
          <w:highlight w:val="none"/>
          <w:lang w:val="en-US" w:eastAsia="zh-CN"/>
        </w:rPr>
        <w:t>3.79</w:t>
      </w:r>
      <w:r>
        <w:rPr>
          <w:rFonts w:hint="eastAsia" w:eastAsia="方正仿宋_GBK" w:cs="Times New Roman"/>
          <w:spacing w:val="-6"/>
          <w:sz w:val="32"/>
          <w:szCs w:val="32"/>
          <w:highlight w:val="none"/>
          <w:lang w:val="en-US" w:eastAsia="zh-CN"/>
        </w:rPr>
        <w:t>亿元，占调整预算的</w:t>
      </w:r>
      <w:r>
        <w:rPr>
          <w:rFonts w:hint="default" w:eastAsia="方正仿宋_GBK" w:cs="Times New Roman"/>
          <w:spacing w:val="-6"/>
          <w:sz w:val="32"/>
          <w:szCs w:val="32"/>
          <w:highlight w:val="none"/>
          <w:lang w:val="en-US" w:eastAsia="zh-CN"/>
        </w:rPr>
        <w:t>99.3</w:t>
      </w:r>
      <w:r>
        <w:rPr>
          <w:rFonts w:hint="eastAsia" w:eastAsia="方正仿宋_GBK" w:cs="Times New Roman"/>
          <w:spacing w:val="-6"/>
          <w:sz w:val="32"/>
          <w:szCs w:val="32"/>
          <w:highlight w:val="none"/>
          <w:lang w:val="en-US" w:eastAsia="zh-CN"/>
        </w:rPr>
        <w:t>%，较上年下降</w:t>
      </w:r>
      <w:r>
        <w:rPr>
          <w:rFonts w:hint="default" w:eastAsia="方正仿宋_GBK" w:cs="Times New Roman"/>
          <w:spacing w:val="-6"/>
          <w:sz w:val="32"/>
          <w:szCs w:val="32"/>
          <w:highlight w:val="none"/>
          <w:lang w:val="en-US" w:eastAsia="zh-CN"/>
        </w:rPr>
        <w:t>35.2</w:t>
      </w:r>
      <w:r>
        <w:rPr>
          <w:rFonts w:hint="eastAsia" w:eastAsia="方正仿宋_GBK" w:cs="Times New Roman"/>
          <w:spacing w:val="-6"/>
          <w:sz w:val="32"/>
          <w:szCs w:val="32"/>
          <w:highlight w:val="none"/>
          <w:lang w:val="en-US" w:eastAsia="zh-CN"/>
        </w:rPr>
        <w:t>%，减支</w:t>
      </w:r>
      <w:r>
        <w:rPr>
          <w:rFonts w:hint="default" w:eastAsia="方正仿宋_GBK" w:cs="Times New Roman"/>
          <w:spacing w:val="-6"/>
          <w:sz w:val="32"/>
          <w:szCs w:val="32"/>
          <w:highlight w:val="none"/>
          <w:lang w:val="en-US" w:eastAsia="zh-CN"/>
        </w:rPr>
        <w:t>2.06</w:t>
      </w:r>
      <w:r>
        <w:rPr>
          <w:rFonts w:hint="eastAsia" w:eastAsia="方正仿宋_GBK" w:cs="Times New Roman"/>
          <w:spacing w:val="-6"/>
          <w:sz w:val="32"/>
          <w:szCs w:val="32"/>
          <w:highlight w:val="none"/>
          <w:lang w:val="en-US" w:eastAsia="zh-CN"/>
        </w:rPr>
        <w:t>亿元；</w:t>
      </w:r>
    </w:p>
    <w:p w14:paraId="6B6B73C6">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16" w:firstLineChars="200"/>
        <w:jc w:val="both"/>
        <w:textAlignment w:val="auto"/>
        <w:rPr>
          <w:rFonts w:hint="eastAsia" w:eastAsia="方正仿宋_GBK" w:cs="Times New Roman"/>
          <w:spacing w:val="-6"/>
          <w:sz w:val="32"/>
          <w:szCs w:val="32"/>
          <w:highlight w:val="none"/>
          <w:lang w:val="en-US" w:eastAsia="zh-CN"/>
        </w:rPr>
      </w:pPr>
      <w:r>
        <w:rPr>
          <w:rFonts w:hint="eastAsia" w:eastAsia="方正仿宋_GBK" w:cs="Times New Roman"/>
          <w:spacing w:val="-6"/>
          <w:sz w:val="32"/>
          <w:szCs w:val="32"/>
          <w:highlight w:val="none"/>
          <w:lang w:val="en-US" w:eastAsia="zh-CN"/>
        </w:rPr>
        <w:t>公共安全支出完成</w:t>
      </w:r>
      <w:r>
        <w:rPr>
          <w:rFonts w:hint="default" w:eastAsia="方正仿宋_GBK" w:cs="Times New Roman"/>
          <w:spacing w:val="-6"/>
          <w:sz w:val="32"/>
          <w:szCs w:val="32"/>
          <w:highlight w:val="none"/>
          <w:lang w:val="en-US" w:eastAsia="zh-CN"/>
        </w:rPr>
        <w:t>1.5</w:t>
      </w:r>
      <w:r>
        <w:rPr>
          <w:rFonts w:hint="eastAsia" w:eastAsia="方正仿宋_GBK" w:cs="Times New Roman"/>
          <w:spacing w:val="-6"/>
          <w:sz w:val="32"/>
          <w:szCs w:val="32"/>
          <w:highlight w:val="none"/>
          <w:lang w:val="en-US" w:eastAsia="zh-CN"/>
        </w:rPr>
        <w:t>亿元，占调整预算的</w:t>
      </w:r>
      <w:r>
        <w:rPr>
          <w:rFonts w:hint="default" w:eastAsia="方正仿宋_GBK" w:cs="Times New Roman"/>
          <w:spacing w:val="-6"/>
          <w:sz w:val="32"/>
          <w:szCs w:val="32"/>
          <w:highlight w:val="none"/>
          <w:lang w:val="en-US" w:eastAsia="zh-CN"/>
        </w:rPr>
        <w:t>100%</w:t>
      </w:r>
      <w:r>
        <w:rPr>
          <w:rFonts w:hint="eastAsia" w:eastAsia="方正仿宋_GBK" w:cs="Times New Roman"/>
          <w:spacing w:val="-6"/>
          <w:sz w:val="32"/>
          <w:szCs w:val="32"/>
          <w:highlight w:val="none"/>
          <w:lang w:val="en-US" w:eastAsia="zh-CN"/>
        </w:rPr>
        <w:t>，较上年下降</w:t>
      </w:r>
      <w:r>
        <w:rPr>
          <w:rFonts w:hint="default" w:eastAsia="方正仿宋_GBK" w:cs="Times New Roman"/>
          <w:spacing w:val="-6"/>
          <w:sz w:val="32"/>
          <w:szCs w:val="32"/>
          <w:highlight w:val="none"/>
          <w:lang w:val="en-US" w:eastAsia="zh-CN"/>
        </w:rPr>
        <w:t>23.1</w:t>
      </w:r>
      <w:r>
        <w:rPr>
          <w:rFonts w:hint="eastAsia" w:eastAsia="方正仿宋_GBK" w:cs="Times New Roman"/>
          <w:spacing w:val="-6"/>
          <w:sz w:val="32"/>
          <w:szCs w:val="32"/>
          <w:highlight w:val="none"/>
          <w:lang w:val="en-US" w:eastAsia="zh-CN"/>
        </w:rPr>
        <w:t>%，减支</w:t>
      </w:r>
      <w:r>
        <w:rPr>
          <w:rFonts w:hint="default" w:eastAsia="方正仿宋_GBK" w:cs="Times New Roman"/>
          <w:spacing w:val="-6"/>
          <w:sz w:val="32"/>
          <w:szCs w:val="32"/>
          <w:highlight w:val="none"/>
          <w:lang w:val="en-US" w:eastAsia="zh-CN"/>
        </w:rPr>
        <w:t>4519</w:t>
      </w:r>
      <w:r>
        <w:rPr>
          <w:rFonts w:hint="eastAsia" w:eastAsia="方正仿宋_GBK" w:cs="Times New Roman"/>
          <w:spacing w:val="-6"/>
          <w:sz w:val="32"/>
          <w:szCs w:val="32"/>
          <w:highlight w:val="none"/>
          <w:lang w:val="en-US" w:eastAsia="zh-CN"/>
        </w:rPr>
        <w:t>万元；</w:t>
      </w:r>
    </w:p>
    <w:p w14:paraId="1792F1FB">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16" w:firstLineChars="200"/>
        <w:jc w:val="both"/>
        <w:textAlignment w:val="auto"/>
        <w:rPr>
          <w:rFonts w:hint="eastAsia" w:eastAsia="方正仿宋_GBK" w:cs="Times New Roman"/>
          <w:spacing w:val="-6"/>
          <w:sz w:val="32"/>
          <w:szCs w:val="32"/>
          <w:highlight w:val="none"/>
          <w:lang w:val="en-US" w:eastAsia="zh-CN"/>
        </w:rPr>
      </w:pPr>
      <w:r>
        <w:rPr>
          <w:rFonts w:hint="eastAsia" w:eastAsia="方正仿宋_GBK" w:cs="Times New Roman"/>
          <w:spacing w:val="-6"/>
          <w:sz w:val="32"/>
          <w:szCs w:val="32"/>
          <w:highlight w:val="none"/>
          <w:lang w:val="en-US" w:eastAsia="zh-CN"/>
        </w:rPr>
        <w:t>教育支出完成</w:t>
      </w:r>
      <w:r>
        <w:rPr>
          <w:rFonts w:hint="default" w:eastAsia="方正仿宋_GBK" w:cs="Times New Roman"/>
          <w:spacing w:val="-6"/>
          <w:sz w:val="32"/>
          <w:szCs w:val="32"/>
          <w:highlight w:val="none"/>
          <w:lang w:val="en-US" w:eastAsia="zh-CN"/>
        </w:rPr>
        <w:t>12.46</w:t>
      </w:r>
      <w:r>
        <w:rPr>
          <w:rFonts w:hint="eastAsia" w:eastAsia="方正仿宋_GBK" w:cs="Times New Roman"/>
          <w:spacing w:val="-6"/>
          <w:sz w:val="32"/>
          <w:szCs w:val="32"/>
          <w:highlight w:val="none"/>
          <w:lang w:val="en-US" w:eastAsia="zh-CN"/>
        </w:rPr>
        <w:t>亿元，占调整预算的</w:t>
      </w:r>
      <w:r>
        <w:rPr>
          <w:rFonts w:hint="default" w:eastAsia="方正仿宋_GBK" w:cs="Times New Roman"/>
          <w:spacing w:val="-6"/>
          <w:sz w:val="32"/>
          <w:szCs w:val="32"/>
          <w:highlight w:val="none"/>
          <w:lang w:val="en-US" w:eastAsia="zh-CN"/>
        </w:rPr>
        <w:t>97.7%</w:t>
      </w:r>
      <w:r>
        <w:rPr>
          <w:rFonts w:hint="eastAsia" w:eastAsia="方正仿宋_GBK" w:cs="Times New Roman"/>
          <w:spacing w:val="-6"/>
          <w:sz w:val="32"/>
          <w:szCs w:val="32"/>
          <w:highlight w:val="none"/>
          <w:lang w:val="en-US" w:eastAsia="zh-CN"/>
        </w:rPr>
        <w:t>，较上年增长</w:t>
      </w:r>
      <w:r>
        <w:rPr>
          <w:rFonts w:hint="default" w:eastAsia="方正仿宋_GBK" w:cs="Times New Roman"/>
          <w:spacing w:val="-6"/>
          <w:sz w:val="32"/>
          <w:szCs w:val="32"/>
          <w:highlight w:val="none"/>
          <w:lang w:val="en-US" w:eastAsia="zh-CN"/>
        </w:rPr>
        <w:t>0.5</w:t>
      </w:r>
      <w:r>
        <w:rPr>
          <w:rFonts w:hint="eastAsia" w:eastAsia="方正仿宋_GBK" w:cs="Times New Roman"/>
          <w:spacing w:val="-6"/>
          <w:sz w:val="32"/>
          <w:szCs w:val="32"/>
          <w:highlight w:val="none"/>
          <w:lang w:val="en-US" w:eastAsia="zh-CN"/>
        </w:rPr>
        <w:t>%，增支</w:t>
      </w:r>
      <w:r>
        <w:rPr>
          <w:rFonts w:hint="default" w:eastAsia="方正仿宋_GBK" w:cs="Times New Roman"/>
          <w:spacing w:val="-6"/>
          <w:sz w:val="32"/>
          <w:szCs w:val="32"/>
          <w:highlight w:val="none"/>
          <w:lang w:val="en-US" w:eastAsia="zh-CN"/>
        </w:rPr>
        <w:t>579</w:t>
      </w:r>
      <w:r>
        <w:rPr>
          <w:rFonts w:hint="eastAsia" w:eastAsia="方正仿宋_GBK" w:cs="Times New Roman"/>
          <w:spacing w:val="-6"/>
          <w:sz w:val="32"/>
          <w:szCs w:val="32"/>
          <w:highlight w:val="none"/>
          <w:lang w:val="en-US" w:eastAsia="zh-CN"/>
        </w:rPr>
        <w:t>万元；</w:t>
      </w:r>
    </w:p>
    <w:p w14:paraId="35338B9F">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16" w:firstLineChars="200"/>
        <w:jc w:val="both"/>
        <w:textAlignment w:val="auto"/>
        <w:rPr>
          <w:rFonts w:hint="eastAsia" w:eastAsia="方正仿宋_GBK" w:cs="Times New Roman"/>
          <w:spacing w:val="-6"/>
          <w:sz w:val="32"/>
          <w:szCs w:val="32"/>
          <w:highlight w:val="none"/>
          <w:lang w:val="en-US" w:eastAsia="zh-CN"/>
        </w:rPr>
      </w:pPr>
      <w:r>
        <w:rPr>
          <w:rFonts w:hint="eastAsia" w:eastAsia="方正仿宋_GBK" w:cs="Times New Roman"/>
          <w:spacing w:val="-6"/>
          <w:sz w:val="32"/>
          <w:szCs w:val="32"/>
          <w:highlight w:val="none"/>
          <w:lang w:val="en-US" w:eastAsia="zh-CN"/>
        </w:rPr>
        <w:t>科学技术支出完成</w:t>
      </w:r>
      <w:r>
        <w:rPr>
          <w:rFonts w:hint="default" w:eastAsia="方正仿宋_GBK" w:cs="Times New Roman"/>
          <w:spacing w:val="-6"/>
          <w:sz w:val="32"/>
          <w:szCs w:val="32"/>
          <w:highlight w:val="none"/>
          <w:lang w:val="en-US" w:eastAsia="zh-CN"/>
        </w:rPr>
        <w:t>6267</w:t>
      </w:r>
      <w:r>
        <w:rPr>
          <w:rFonts w:hint="eastAsia" w:eastAsia="方正仿宋_GBK" w:cs="Times New Roman"/>
          <w:spacing w:val="-6"/>
          <w:sz w:val="32"/>
          <w:szCs w:val="32"/>
          <w:highlight w:val="none"/>
          <w:lang w:val="en-US" w:eastAsia="zh-CN"/>
        </w:rPr>
        <w:t>万元，占调整预算的</w:t>
      </w:r>
      <w:r>
        <w:rPr>
          <w:rFonts w:hint="default" w:eastAsia="方正仿宋_GBK" w:cs="Times New Roman"/>
          <w:spacing w:val="-6"/>
          <w:sz w:val="32"/>
          <w:szCs w:val="32"/>
          <w:highlight w:val="none"/>
          <w:lang w:val="en-US" w:eastAsia="zh-CN"/>
        </w:rPr>
        <w:t>100</w:t>
      </w:r>
      <w:r>
        <w:rPr>
          <w:rFonts w:hint="eastAsia" w:eastAsia="方正仿宋_GBK" w:cs="Times New Roman"/>
          <w:spacing w:val="-6"/>
          <w:sz w:val="32"/>
          <w:szCs w:val="32"/>
          <w:highlight w:val="none"/>
          <w:lang w:val="en-US" w:eastAsia="zh-CN"/>
        </w:rPr>
        <w:t>%，较上年增长</w:t>
      </w:r>
      <w:r>
        <w:rPr>
          <w:rFonts w:hint="default" w:eastAsia="方正仿宋_GBK" w:cs="Times New Roman"/>
          <w:spacing w:val="-6"/>
          <w:sz w:val="32"/>
          <w:szCs w:val="32"/>
          <w:highlight w:val="none"/>
          <w:lang w:val="en-US" w:eastAsia="zh-CN"/>
        </w:rPr>
        <w:t>0.03</w:t>
      </w:r>
      <w:r>
        <w:rPr>
          <w:rFonts w:hint="eastAsia" w:eastAsia="方正仿宋_GBK" w:cs="Times New Roman"/>
          <w:spacing w:val="-6"/>
          <w:sz w:val="32"/>
          <w:szCs w:val="32"/>
          <w:highlight w:val="none"/>
          <w:lang w:val="en-US" w:eastAsia="zh-CN"/>
        </w:rPr>
        <w:t>%，增支</w:t>
      </w:r>
      <w:r>
        <w:rPr>
          <w:rFonts w:hint="default" w:eastAsia="方正仿宋_GBK" w:cs="Times New Roman"/>
          <w:spacing w:val="-6"/>
          <w:sz w:val="32"/>
          <w:szCs w:val="32"/>
          <w:highlight w:val="none"/>
          <w:lang w:val="en-US" w:eastAsia="zh-CN"/>
        </w:rPr>
        <w:t>2</w:t>
      </w:r>
      <w:r>
        <w:rPr>
          <w:rFonts w:hint="eastAsia" w:eastAsia="方正仿宋_GBK" w:cs="Times New Roman"/>
          <w:spacing w:val="-6"/>
          <w:sz w:val="32"/>
          <w:szCs w:val="32"/>
          <w:highlight w:val="none"/>
          <w:lang w:val="en-US" w:eastAsia="zh-CN"/>
        </w:rPr>
        <w:t>万元；</w:t>
      </w:r>
    </w:p>
    <w:p w14:paraId="7537B1A6">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16" w:firstLineChars="200"/>
        <w:jc w:val="both"/>
        <w:textAlignment w:val="auto"/>
        <w:rPr>
          <w:rFonts w:hint="eastAsia" w:eastAsia="方正仿宋_GBK" w:cs="Times New Roman"/>
          <w:spacing w:val="-6"/>
          <w:sz w:val="32"/>
          <w:szCs w:val="32"/>
          <w:highlight w:val="none"/>
          <w:lang w:val="en-US" w:eastAsia="zh-CN"/>
        </w:rPr>
      </w:pPr>
      <w:r>
        <w:rPr>
          <w:rFonts w:hint="eastAsia" w:eastAsia="方正仿宋_GBK" w:cs="Times New Roman"/>
          <w:spacing w:val="-6"/>
          <w:sz w:val="32"/>
          <w:szCs w:val="32"/>
          <w:highlight w:val="none"/>
          <w:lang w:val="en-US" w:eastAsia="zh-CN"/>
        </w:rPr>
        <w:t>文化体育与传媒支出完成</w:t>
      </w:r>
      <w:r>
        <w:rPr>
          <w:rFonts w:hint="default" w:eastAsia="方正仿宋_GBK" w:cs="Times New Roman"/>
          <w:spacing w:val="-6"/>
          <w:sz w:val="32"/>
          <w:szCs w:val="32"/>
          <w:highlight w:val="none"/>
          <w:lang w:val="en-US" w:eastAsia="zh-CN"/>
        </w:rPr>
        <w:t>2923</w:t>
      </w:r>
      <w:r>
        <w:rPr>
          <w:rFonts w:hint="eastAsia" w:eastAsia="方正仿宋_GBK" w:cs="Times New Roman"/>
          <w:spacing w:val="-6"/>
          <w:sz w:val="32"/>
          <w:szCs w:val="32"/>
          <w:highlight w:val="none"/>
          <w:lang w:val="en-US" w:eastAsia="zh-CN"/>
        </w:rPr>
        <w:t>万元，占调整预算的</w:t>
      </w:r>
      <w:r>
        <w:rPr>
          <w:rFonts w:hint="default" w:eastAsia="方正仿宋_GBK" w:cs="Times New Roman"/>
          <w:spacing w:val="-6"/>
          <w:sz w:val="32"/>
          <w:szCs w:val="32"/>
          <w:highlight w:val="none"/>
          <w:lang w:val="en-US" w:eastAsia="zh-CN"/>
        </w:rPr>
        <w:t>100</w:t>
      </w:r>
      <w:r>
        <w:rPr>
          <w:rFonts w:hint="eastAsia" w:eastAsia="方正仿宋_GBK" w:cs="Times New Roman"/>
          <w:spacing w:val="-6"/>
          <w:sz w:val="32"/>
          <w:szCs w:val="32"/>
          <w:highlight w:val="none"/>
          <w:lang w:val="en-US" w:eastAsia="zh-CN"/>
        </w:rPr>
        <w:t>%，较上年增长</w:t>
      </w:r>
      <w:r>
        <w:rPr>
          <w:rFonts w:hint="default" w:eastAsia="方正仿宋_GBK" w:cs="Times New Roman"/>
          <w:spacing w:val="-6"/>
          <w:sz w:val="32"/>
          <w:szCs w:val="32"/>
          <w:highlight w:val="none"/>
          <w:lang w:val="en-US" w:eastAsia="zh-CN"/>
        </w:rPr>
        <w:t>0.2</w:t>
      </w:r>
      <w:r>
        <w:rPr>
          <w:rFonts w:hint="eastAsia" w:eastAsia="方正仿宋_GBK" w:cs="Times New Roman"/>
          <w:spacing w:val="-6"/>
          <w:sz w:val="32"/>
          <w:szCs w:val="32"/>
          <w:highlight w:val="none"/>
          <w:lang w:val="en-US" w:eastAsia="zh-CN"/>
        </w:rPr>
        <w:t>%，增支</w:t>
      </w:r>
      <w:r>
        <w:rPr>
          <w:rFonts w:hint="default" w:eastAsia="方正仿宋_GBK" w:cs="Times New Roman"/>
          <w:spacing w:val="-6"/>
          <w:sz w:val="32"/>
          <w:szCs w:val="32"/>
          <w:highlight w:val="none"/>
          <w:lang w:val="en-US" w:eastAsia="zh-CN"/>
        </w:rPr>
        <w:t>7</w:t>
      </w:r>
      <w:r>
        <w:rPr>
          <w:rFonts w:hint="eastAsia" w:eastAsia="方正仿宋_GBK" w:cs="Times New Roman"/>
          <w:spacing w:val="-6"/>
          <w:sz w:val="32"/>
          <w:szCs w:val="32"/>
          <w:highlight w:val="none"/>
          <w:lang w:val="en-US" w:eastAsia="zh-CN"/>
        </w:rPr>
        <w:t>万元；</w:t>
      </w:r>
    </w:p>
    <w:p w14:paraId="4A65F510">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16" w:firstLineChars="200"/>
        <w:jc w:val="both"/>
        <w:textAlignment w:val="auto"/>
        <w:rPr>
          <w:rFonts w:hint="eastAsia" w:eastAsia="方正仿宋_GBK" w:cs="Times New Roman"/>
          <w:spacing w:val="-6"/>
          <w:sz w:val="32"/>
          <w:szCs w:val="32"/>
          <w:highlight w:val="none"/>
          <w:lang w:val="en-US" w:eastAsia="zh-CN"/>
        </w:rPr>
      </w:pPr>
      <w:r>
        <w:rPr>
          <w:rFonts w:hint="eastAsia" w:eastAsia="方正仿宋_GBK" w:cs="Times New Roman"/>
          <w:spacing w:val="-6"/>
          <w:sz w:val="32"/>
          <w:szCs w:val="32"/>
          <w:highlight w:val="none"/>
          <w:lang w:val="en-US" w:eastAsia="zh-CN"/>
        </w:rPr>
        <w:t>社会保障和就业支出完成</w:t>
      </w:r>
      <w:r>
        <w:rPr>
          <w:rFonts w:hint="default" w:eastAsia="方正仿宋_GBK" w:cs="Times New Roman"/>
          <w:spacing w:val="-6"/>
          <w:sz w:val="32"/>
          <w:szCs w:val="32"/>
          <w:highlight w:val="none"/>
          <w:lang w:val="en-US" w:eastAsia="zh-CN"/>
        </w:rPr>
        <w:t>7.89</w:t>
      </w:r>
      <w:r>
        <w:rPr>
          <w:rFonts w:hint="eastAsia" w:eastAsia="方正仿宋_GBK" w:cs="Times New Roman"/>
          <w:spacing w:val="-6"/>
          <w:sz w:val="32"/>
          <w:szCs w:val="32"/>
          <w:highlight w:val="none"/>
          <w:lang w:val="en-US" w:eastAsia="zh-CN"/>
        </w:rPr>
        <w:t>亿元，占调整预算的</w:t>
      </w:r>
      <w:r>
        <w:rPr>
          <w:rFonts w:hint="default" w:eastAsia="方正仿宋_GBK" w:cs="Times New Roman"/>
          <w:spacing w:val="-6"/>
          <w:sz w:val="32"/>
          <w:szCs w:val="32"/>
          <w:highlight w:val="none"/>
          <w:lang w:val="en-US" w:eastAsia="zh-CN"/>
        </w:rPr>
        <w:t>99.6</w:t>
      </w:r>
      <w:r>
        <w:rPr>
          <w:rFonts w:hint="eastAsia" w:eastAsia="方正仿宋_GBK" w:cs="Times New Roman"/>
          <w:spacing w:val="-6"/>
          <w:sz w:val="32"/>
          <w:szCs w:val="32"/>
          <w:highlight w:val="none"/>
          <w:lang w:val="en-US" w:eastAsia="zh-CN"/>
        </w:rPr>
        <w:t>%，较上年增长</w:t>
      </w:r>
      <w:r>
        <w:rPr>
          <w:rFonts w:hint="default" w:eastAsia="方正仿宋_GBK" w:cs="Times New Roman"/>
          <w:spacing w:val="-6"/>
          <w:sz w:val="32"/>
          <w:szCs w:val="32"/>
          <w:highlight w:val="none"/>
          <w:lang w:val="en-US" w:eastAsia="zh-CN"/>
        </w:rPr>
        <w:t>28.6</w:t>
      </w:r>
      <w:r>
        <w:rPr>
          <w:rFonts w:hint="eastAsia" w:eastAsia="方正仿宋_GBK" w:cs="Times New Roman"/>
          <w:spacing w:val="-6"/>
          <w:sz w:val="32"/>
          <w:szCs w:val="32"/>
          <w:highlight w:val="none"/>
          <w:lang w:val="en-US" w:eastAsia="zh-CN"/>
        </w:rPr>
        <w:t>%，增支</w:t>
      </w:r>
      <w:r>
        <w:rPr>
          <w:rFonts w:hint="default" w:eastAsia="方正仿宋_GBK" w:cs="Times New Roman"/>
          <w:spacing w:val="-6"/>
          <w:sz w:val="32"/>
          <w:szCs w:val="32"/>
          <w:highlight w:val="none"/>
          <w:lang w:val="en-US" w:eastAsia="zh-CN"/>
        </w:rPr>
        <w:t>1.76</w:t>
      </w:r>
      <w:r>
        <w:rPr>
          <w:rFonts w:hint="eastAsia" w:eastAsia="方正仿宋_GBK" w:cs="Times New Roman"/>
          <w:spacing w:val="-6"/>
          <w:sz w:val="32"/>
          <w:szCs w:val="32"/>
          <w:highlight w:val="none"/>
          <w:lang w:val="en-US" w:eastAsia="zh-CN"/>
        </w:rPr>
        <w:t>亿元；</w:t>
      </w:r>
    </w:p>
    <w:p w14:paraId="44DDE33E">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16" w:firstLineChars="200"/>
        <w:jc w:val="both"/>
        <w:textAlignment w:val="auto"/>
        <w:rPr>
          <w:rFonts w:hint="eastAsia" w:eastAsia="方正仿宋_GBK" w:cs="Times New Roman"/>
          <w:spacing w:val="-6"/>
          <w:sz w:val="32"/>
          <w:szCs w:val="32"/>
          <w:highlight w:val="none"/>
          <w:lang w:val="en-US" w:eastAsia="zh-CN"/>
        </w:rPr>
      </w:pPr>
      <w:r>
        <w:rPr>
          <w:rFonts w:hint="eastAsia" w:eastAsia="方正仿宋_GBK" w:cs="Times New Roman"/>
          <w:spacing w:val="-6"/>
          <w:sz w:val="32"/>
          <w:szCs w:val="32"/>
          <w:highlight w:val="none"/>
          <w:lang w:val="en-US" w:eastAsia="zh-CN"/>
        </w:rPr>
        <w:t>卫生健康支出完成</w:t>
      </w:r>
      <w:r>
        <w:rPr>
          <w:rFonts w:hint="default" w:eastAsia="方正仿宋_GBK" w:cs="Times New Roman"/>
          <w:spacing w:val="-6"/>
          <w:sz w:val="32"/>
          <w:szCs w:val="32"/>
          <w:highlight w:val="none"/>
          <w:lang w:val="en-US" w:eastAsia="zh-CN"/>
        </w:rPr>
        <w:t>3.53</w:t>
      </w:r>
      <w:r>
        <w:rPr>
          <w:rFonts w:hint="eastAsia" w:eastAsia="方正仿宋_GBK" w:cs="Times New Roman"/>
          <w:spacing w:val="-6"/>
          <w:sz w:val="32"/>
          <w:szCs w:val="32"/>
          <w:highlight w:val="none"/>
          <w:lang w:val="en-US" w:eastAsia="zh-CN"/>
        </w:rPr>
        <w:t>亿元，占调整预算的</w:t>
      </w:r>
      <w:r>
        <w:rPr>
          <w:rFonts w:hint="default" w:eastAsia="方正仿宋_GBK" w:cs="Times New Roman"/>
          <w:spacing w:val="-6"/>
          <w:sz w:val="32"/>
          <w:szCs w:val="32"/>
          <w:highlight w:val="none"/>
          <w:lang w:val="en-US" w:eastAsia="zh-CN"/>
        </w:rPr>
        <w:t>98.5</w:t>
      </w:r>
      <w:r>
        <w:rPr>
          <w:rFonts w:hint="eastAsia" w:eastAsia="方正仿宋_GBK" w:cs="Times New Roman"/>
          <w:spacing w:val="-6"/>
          <w:sz w:val="32"/>
          <w:szCs w:val="32"/>
          <w:highlight w:val="none"/>
          <w:lang w:val="en-US" w:eastAsia="zh-CN"/>
        </w:rPr>
        <w:t>%，较上年减少</w:t>
      </w:r>
      <w:r>
        <w:rPr>
          <w:rFonts w:hint="default" w:eastAsia="方正仿宋_GBK" w:cs="Times New Roman"/>
          <w:spacing w:val="-6"/>
          <w:sz w:val="32"/>
          <w:szCs w:val="32"/>
          <w:highlight w:val="none"/>
          <w:lang w:val="en-US" w:eastAsia="zh-CN"/>
        </w:rPr>
        <w:t>15.3</w:t>
      </w:r>
      <w:r>
        <w:rPr>
          <w:rFonts w:hint="eastAsia" w:eastAsia="方正仿宋_GBK" w:cs="Times New Roman"/>
          <w:spacing w:val="-6"/>
          <w:sz w:val="32"/>
          <w:szCs w:val="32"/>
          <w:highlight w:val="none"/>
          <w:lang w:val="en-US" w:eastAsia="zh-CN"/>
        </w:rPr>
        <w:t>%，减支</w:t>
      </w:r>
      <w:r>
        <w:rPr>
          <w:rFonts w:hint="default" w:eastAsia="方正仿宋_GBK" w:cs="Times New Roman"/>
          <w:spacing w:val="-6"/>
          <w:sz w:val="32"/>
          <w:szCs w:val="32"/>
          <w:highlight w:val="none"/>
          <w:lang w:val="en-US" w:eastAsia="zh-CN"/>
        </w:rPr>
        <w:t>6360</w:t>
      </w:r>
      <w:r>
        <w:rPr>
          <w:rFonts w:hint="eastAsia" w:eastAsia="方正仿宋_GBK" w:cs="Times New Roman"/>
          <w:spacing w:val="-6"/>
          <w:sz w:val="32"/>
          <w:szCs w:val="32"/>
          <w:highlight w:val="none"/>
          <w:lang w:val="en-US" w:eastAsia="zh-CN"/>
        </w:rPr>
        <w:t>万元；</w:t>
      </w:r>
    </w:p>
    <w:p w14:paraId="224CFB39">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16" w:firstLineChars="200"/>
        <w:jc w:val="both"/>
        <w:textAlignment w:val="auto"/>
        <w:rPr>
          <w:rFonts w:hint="eastAsia" w:eastAsia="方正仿宋_GBK" w:cs="Times New Roman"/>
          <w:spacing w:val="-6"/>
          <w:sz w:val="32"/>
          <w:szCs w:val="32"/>
          <w:highlight w:val="none"/>
          <w:lang w:val="en-US" w:eastAsia="zh-CN"/>
        </w:rPr>
      </w:pPr>
      <w:r>
        <w:rPr>
          <w:rFonts w:hint="eastAsia" w:eastAsia="方正仿宋_GBK" w:cs="Times New Roman"/>
          <w:spacing w:val="-6"/>
          <w:sz w:val="32"/>
          <w:szCs w:val="32"/>
          <w:highlight w:val="none"/>
          <w:lang w:val="en-US" w:eastAsia="zh-CN"/>
        </w:rPr>
        <w:t>节能环保支出完成</w:t>
      </w:r>
      <w:r>
        <w:rPr>
          <w:rFonts w:hint="default" w:eastAsia="方正仿宋_GBK" w:cs="Times New Roman"/>
          <w:spacing w:val="-6"/>
          <w:sz w:val="32"/>
          <w:szCs w:val="32"/>
          <w:highlight w:val="none"/>
          <w:lang w:val="en-US" w:eastAsia="zh-CN"/>
        </w:rPr>
        <w:t>1.69</w:t>
      </w:r>
      <w:r>
        <w:rPr>
          <w:rFonts w:hint="eastAsia" w:eastAsia="方正仿宋_GBK" w:cs="Times New Roman"/>
          <w:spacing w:val="-6"/>
          <w:sz w:val="32"/>
          <w:szCs w:val="32"/>
          <w:highlight w:val="none"/>
          <w:lang w:val="en-US" w:eastAsia="zh-CN"/>
        </w:rPr>
        <w:t>亿元，占调整预算的</w:t>
      </w:r>
      <w:r>
        <w:rPr>
          <w:rFonts w:hint="default" w:eastAsia="方正仿宋_GBK" w:cs="Times New Roman"/>
          <w:spacing w:val="-6"/>
          <w:sz w:val="32"/>
          <w:szCs w:val="32"/>
          <w:highlight w:val="none"/>
          <w:lang w:val="en-US" w:eastAsia="zh-CN"/>
        </w:rPr>
        <w:t>100</w:t>
      </w:r>
      <w:r>
        <w:rPr>
          <w:rFonts w:hint="eastAsia" w:eastAsia="方正仿宋_GBK" w:cs="Times New Roman"/>
          <w:spacing w:val="-6"/>
          <w:sz w:val="32"/>
          <w:szCs w:val="32"/>
          <w:highlight w:val="none"/>
          <w:lang w:val="en-US" w:eastAsia="zh-CN"/>
        </w:rPr>
        <w:t>%，较上年增长</w:t>
      </w:r>
      <w:r>
        <w:rPr>
          <w:rFonts w:hint="default" w:eastAsia="方正仿宋_GBK" w:cs="Times New Roman"/>
          <w:spacing w:val="-6"/>
          <w:sz w:val="32"/>
          <w:szCs w:val="32"/>
          <w:highlight w:val="none"/>
          <w:lang w:val="en-US" w:eastAsia="zh-CN"/>
        </w:rPr>
        <w:t>67.4</w:t>
      </w:r>
      <w:r>
        <w:rPr>
          <w:rFonts w:hint="eastAsia" w:eastAsia="方正仿宋_GBK" w:cs="Times New Roman"/>
          <w:spacing w:val="-6"/>
          <w:sz w:val="32"/>
          <w:szCs w:val="32"/>
          <w:highlight w:val="none"/>
          <w:lang w:val="en-US" w:eastAsia="zh-CN"/>
        </w:rPr>
        <w:t>%，增支</w:t>
      </w:r>
      <w:r>
        <w:rPr>
          <w:rFonts w:hint="default" w:eastAsia="方正仿宋_GBK" w:cs="Times New Roman"/>
          <w:spacing w:val="-6"/>
          <w:sz w:val="32"/>
          <w:szCs w:val="32"/>
          <w:highlight w:val="none"/>
          <w:lang w:val="en-US" w:eastAsia="zh-CN"/>
        </w:rPr>
        <w:t>6798</w:t>
      </w:r>
      <w:r>
        <w:rPr>
          <w:rFonts w:hint="eastAsia" w:eastAsia="方正仿宋_GBK" w:cs="Times New Roman"/>
          <w:spacing w:val="-6"/>
          <w:sz w:val="32"/>
          <w:szCs w:val="32"/>
          <w:highlight w:val="none"/>
          <w:lang w:val="en-US" w:eastAsia="zh-CN"/>
        </w:rPr>
        <w:t>万元；</w:t>
      </w:r>
    </w:p>
    <w:p w14:paraId="1C085281">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16" w:firstLineChars="200"/>
        <w:jc w:val="both"/>
        <w:textAlignment w:val="auto"/>
        <w:rPr>
          <w:rFonts w:hint="eastAsia" w:eastAsia="方正仿宋_GBK" w:cs="Times New Roman"/>
          <w:spacing w:val="-6"/>
          <w:sz w:val="32"/>
          <w:szCs w:val="32"/>
          <w:highlight w:val="none"/>
          <w:lang w:val="en-US" w:eastAsia="zh-CN"/>
        </w:rPr>
      </w:pPr>
      <w:r>
        <w:rPr>
          <w:rFonts w:hint="eastAsia" w:eastAsia="方正仿宋_GBK" w:cs="Times New Roman"/>
          <w:spacing w:val="-6"/>
          <w:sz w:val="32"/>
          <w:szCs w:val="32"/>
          <w:highlight w:val="none"/>
          <w:lang w:val="en-US" w:eastAsia="zh-CN"/>
        </w:rPr>
        <w:t>城乡社区支出完成</w:t>
      </w:r>
      <w:r>
        <w:rPr>
          <w:rFonts w:hint="default" w:eastAsia="方正仿宋_GBK" w:cs="Times New Roman"/>
          <w:spacing w:val="-6"/>
          <w:sz w:val="32"/>
          <w:szCs w:val="32"/>
          <w:highlight w:val="none"/>
          <w:lang w:val="en-US" w:eastAsia="zh-CN"/>
        </w:rPr>
        <w:t>2.41</w:t>
      </w:r>
      <w:r>
        <w:rPr>
          <w:rFonts w:hint="eastAsia" w:eastAsia="方正仿宋_GBK" w:cs="Times New Roman"/>
          <w:spacing w:val="-6"/>
          <w:sz w:val="32"/>
          <w:szCs w:val="32"/>
          <w:highlight w:val="none"/>
          <w:lang w:val="en-US" w:eastAsia="zh-CN"/>
        </w:rPr>
        <w:t>亿元，占调整预算的</w:t>
      </w:r>
      <w:r>
        <w:rPr>
          <w:rFonts w:hint="default" w:eastAsia="方正仿宋_GBK" w:cs="Times New Roman"/>
          <w:spacing w:val="-6"/>
          <w:sz w:val="32"/>
          <w:szCs w:val="32"/>
          <w:highlight w:val="none"/>
          <w:lang w:val="en-US" w:eastAsia="zh-CN"/>
        </w:rPr>
        <w:t>90.3</w:t>
      </w:r>
      <w:r>
        <w:rPr>
          <w:rFonts w:hint="eastAsia" w:eastAsia="方正仿宋_GBK" w:cs="Times New Roman"/>
          <w:spacing w:val="-6"/>
          <w:sz w:val="32"/>
          <w:szCs w:val="32"/>
          <w:highlight w:val="none"/>
          <w:lang w:val="en-US" w:eastAsia="zh-CN"/>
        </w:rPr>
        <w:t>%，较上年增长</w:t>
      </w:r>
      <w:r>
        <w:rPr>
          <w:rFonts w:hint="default" w:eastAsia="方正仿宋_GBK" w:cs="Times New Roman"/>
          <w:spacing w:val="-6"/>
          <w:sz w:val="32"/>
          <w:szCs w:val="32"/>
          <w:highlight w:val="none"/>
          <w:lang w:val="en-US" w:eastAsia="zh-CN"/>
        </w:rPr>
        <w:t>16.2</w:t>
      </w:r>
      <w:r>
        <w:rPr>
          <w:rFonts w:hint="eastAsia" w:eastAsia="方正仿宋_GBK" w:cs="Times New Roman"/>
          <w:spacing w:val="-6"/>
          <w:sz w:val="32"/>
          <w:szCs w:val="32"/>
          <w:highlight w:val="none"/>
          <w:lang w:val="en-US" w:eastAsia="zh-CN"/>
        </w:rPr>
        <w:t>%，增支</w:t>
      </w:r>
      <w:r>
        <w:rPr>
          <w:rFonts w:hint="default" w:eastAsia="方正仿宋_GBK" w:cs="Times New Roman"/>
          <w:spacing w:val="-6"/>
          <w:sz w:val="32"/>
          <w:szCs w:val="32"/>
          <w:highlight w:val="none"/>
          <w:lang w:val="en-US" w:eastAsia="zh-CN"/>
        </w:rPr>
        <w:t>3371</w:t>
      </w:r>
      <w:r>
        <w:rPr>
          <w:rFonts w:hint="eastAsia" w:eastAsia="方正仿宋_GBK" w:cs="Times New Roman"/>
          <w:spacing w:val="-6"/>
          <w:sz w:val="32"/>
          <w:szCs w:val="32"/>
          <w:highlight w:val="none"/>
          <w:lang w:val="en-US" w:eastAsia="zh-CN"/>
        </w:rPr>
        <w:t>万元；</w:t>
      </w:r>
    </w:p>
    <w:p w14:paraId="0D20734E">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16" w:firstLineChars="200"/>
        <w:jc w:val="both"/>
        <w:textAlignment w:val="auto"/>
        <w:rPr>
          <w:rFonts w:hint="eastAsia" w:eastAsia="方正仿宋_GBK" w:cs="Times New Roman"/>
          <w:spacing w:val="-6"/>
          <w:sz w:val="32"/>
          <w:szCs w:val="32"/>
          <w:highlight w:val="none"/>
          <w:lang w:val="en-US" w:eastAsia="zh-CN"/>
        </w:rPr>
      </w:pPr>
      <w:r>
        <w:rPr>
          <w:rFonts w:hint="eastAsia" w:eastAsia="方正仿宋_GBK" w:cs="Times New Roman"/>
          <w:spacing w:val="-6"/>
          <w:sz w:val="32"/>
          <w:szCs w:val="32"/>
          <w:highlight w:val="none"/>
          <w:lang w:val="en-US" w:eastAsia="zh-CN"/>
        </w:rPr>
        <w:t>农林水支出完成</w:t>
      </w:r>
      <w:r>
        <w:rPr>
          <w:rFonts w:hint="default" w:eastAsia="方正仿宋_GBK" w:cs="Times New Roman"/>
          <w:spacing w:val="-6"/>
          <w:sz w:val="32"/>
          <w:szCs w:val="32"/>
          <w:highlight w:val="none"/>
          <w:lang w:val="en-US" w:eastAsia="zh-CN"/>
        </w:rPr>
        <w:t>3.79</w:t>
      </w:r>
      <w:r>
        <w:rPr>
          <w:rFonts w:hint="eastAsia" w:eastAsia="方正仿宋_GBK" w:cs="Times New Roman"/>
          <w:spacing w:val="-6"/>
          <w:sz w:val="32"/>
          <w:szCs w:val="32"/>
          <w:highlight w:val="none"/>
          <w:lang w:val="en-US" w:eastAsia="zh-CN"/>
        </w:rPr>
        <w:t>亿元，占调整预算的</w:t>
      </w:r>
      <w:r>
        <w:rPr>
          <w:rFonts w:hint="default" w:eastAsia="方正仿宋_GBK" w:cs="Times New Roman"/>
          <w:spacing w:val="-6"/>
          <w:sz w:val="32"/>
          <w:szCs w:val="32"/>
          <w:highlight w:val="none"/>
          <w:lang w:val="en-US" w:eastAsia="zh-CN"/>
        </w:rPr>
        <w:t>77.4</w:t>
      </w:r>
      <w:r>
        <w:rPr>
          <w:rFonts w:hint="eastAsia" w:eastAsia="方正仿宋_GBK" w:cs="Times New Roman"/>
          <w:spacing w:val="-6"/>
          <w:sz w:val="32"/>
          <w:szCs w:val="32"/>
          <w:highlight w:val="none"/>
          <w:lang w:val="en-US" w:eastAsia="zh-CN"/>
        </w:rPr>
        <w:t>%，主要是中央专款结转所致，较上年增长</w:t>
      </w:r>
      <w:r>
        <w:rPr>
          <w:rFonts w:hint="default" w:eastAsia="方正仿宋_GBK" w:cs="Times New Roman"/>
          <w:spacing w:val="-6"/>
          <w:sz w:val="32"/>
          <w:szCs w:val="32"/>
          <w:highlight w:val="none"/>
          <w:lang w:val="en-US" w:eastAsia="zh-CN"/>
        </w:rPr>
        <w:t>7.7</w:t>
      </w:r>
      <w:r>
        <w:rPr>
          <w:rFonts w:hint="eastAsia" w:eastAsia="方正仿宋_GBK" w:cs="Times New Roman"/>
          <w:spacing w:val="-6"/>
          <w:sz w:val="32"/>
          <w:szCs w:val="32"/>
          <w:highlight w:val="none"/>
          <w:lang w:val="en-US" w:eastAsia="zh-CN"/>
        </w:rPr>
        <w:t>%，增支</w:t>
      </w:r>
      <w:r>
        <w:rPr>
          <w:rFonts w:hint="default" w:eastAsia="方正仿宋_GBK" w:cs="Times New Roman"/>
          <w:spacing w:val="-6"/>
          <w:sz w:val="32"/>
          <w:szCs w:val="32"/>
          <w:highlight w:val="none"/>
          <w:lang w:val="en-US" w:eastAsia="zh-CN"/>
        </w:rPr>
        <w:t>2707</w:t>
      </w:r>
      <w:r>
        <w:rPr>
          <w:rFonts w:hint="eastAsia" w:eastAsia="方正仿宋_GBK" w:cs="Times New Roman"/>
          <w:spacing w:val="-6"/>
          <w:sz w:val="32"/>
          <w:szCs w:val="32"/>
          <w:highlight w:val="none"/>
          <w:lang w:val="en-US" w:eastAsia="zh-CN"/>
        </w:rPr>
        <w:t>万元；</w:t>
      </w:r>
    </w:p>
    <w:p w14:paraId="5716C28F">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16" w:firstLineChars="200"/>
        <w:jc w:val="both"/>
        <w:textAlignment w:val="auto"/>
        <w:rPr>
          <w:rFonts w:hint="eastAsia" w:eastAsia="方正仿宋_GBK" w:cs="Times New Roman"/>
          <w:spacing w:val="-6"/>
          <w:sz w:val="32"/>
          <w:szCs w:val="32"/>
          <w:highlight w:val="none"/>
          <w:lang w:val="en-US" w:eastAsia="zh-CN"/>
        </w:rPr>
      </w:pPr>
      <w:r>
        <w:rPr>
          <w:rFonts w:hint="eastAsia" w:eastAsia="方正仿宋_GBK" w:cs="Times New Roman"/>
          <w:spacing w:val="-6"/>
          <w:sz w:val="32"/>
          <w:szCs w:val="32"/>
          <w:highlight w:val="none"/>
          <w:lang w:val="en-US" w:eastAsia="zh-CN"/>
        </w:rPr>
        <w:t>交通运输支出完成</w:t>
      </w:r>
      <w:r>
        <w:rPr>
          <w:rFonts w:hint="default" w:eastAsia="方正仿宋_GBK" w:cs="Times New Roman"/>
          <w:spacing w:val="-6"/>
          <w:sz w:val="32"/>
          <w:szCs w:val="32"/>
          <w:highlight w:val="none"/>
          <w:lang w:val="en-US" w:eastAsia="zh-CN"/>
        </w:rPr>
        <w:t>6233</w:t>
      </w:r>
      <w:r>
        <w:rPr>
          <w:rFonts w:hint="eastAsia" w:eastAsia="方正仿宋_GBK" w:cs="Times New Roman"/>
          <w:spacing w:val="-6"/>
          <w:sz w:val="32"/>
          <w:szCs w:val="32"/>
          <w:highlight w:val="none"/>
          <w:lang w:val="en-US" w:eastAsia="zh-CN"/>
        </w:rPr>
        <w:t>万元，占调整预算的</w:t>
      </w:r>
      <w:r>
        <w:rPr>
          <w:rFonts w:hint="default" w:eastAsia="方正仿宋_GBK" w:cs="Times New Roman"/>
          <w:spacing w:val="-6"/>
          <w:sz w:val="32"/>
          <w:szCs w:val="32"/>
          <w:highlight w:val="none"/>
          <w:lang w:val="en-US" w:eastAsia="zh-CN"/>
        </w:rPr>
        <w:t>98.7</w:t>
      </w:r>
      <w:r>
        <w:rPr>
          <w:rFonts w:hint="eastAsia" w:eastAsia="方正仿宋_GBK" w:cs="Times New Roman"/>
          <w:spacing w:val="-6"/>
          <w:sz w:val="32"/>
          <w:szCs w:val="32"/>
          <w:highlight w:val="none"/>
          <w:lang w:val="en-US" w:eastAsia="zh-CN"/>
        </w:rPr>
        <w:t>%，较上年下降</w:t>
      </w:r>
      <w:r>
        <w:rPr>
          <w:rFonts w:hint="default" w:eastAsia="方正仿宋_GBK" w:cs="Times New Roman"/>
          <w:spacing w:val="-6"/>
          <w:sz w:val="32"/>
          <w:szCs w:val="32"/>
          <w:highlight w:val="none"/>
          <w:lang w:val="en-US" w:eastAsia="zh-CN"/>
        </w:rPr>
        <w:t>7.0</w:t>
      </w:r>
      <w:r>
        <w:rPr>
          <w:rFonts w:hint="eastAsia" w:eastAsia="方正仿宋_GBK" w:cs="Times New Roman"/>
          <w:spacing w:val="-6"/>
          <w:sz w:val="32"/>
          <w:szCs w:val="32"/>
          <w:highlight w:val="none"/>
          <w:lang w:val="en-US" w:eastAsia="zh-CN"/>
        </w:rPr>
        <w:t>%，减支</w:t>
      </w:r>
      <w:r>
        <w:rPr>
          <w:rFonts w:hint="default" w:eastAsia="方正仿宋_GBK" w:cs="Times New Roman"/>
          <w:spacing w:val="-6"/>
          <w:sz w:val="32"/>
          <w:szCs w:val="32"/>
          <w:highlight w:val="none"/>
          <w:lang w:val="en-US" w:eastAsia="zh-CN"/>
        </w:rPr>
        <w:t>472</w:t>
      </w:r>
      <w:r>
        <w:rPr>
          <w:rFonts w:hint="eastAsia" w:eastAsia="方正仿宋_GBK" w:cs="Times New Roman"/>
          <w:spacing w:val="-6"/>
          <w:sz w:val="32"/>
          <w:szCs w:val="32"/>
          <w:highlight w:val="none"/>
          <w:lang w:val="en-US" w:eastAsia="zh-CN"/>
        </w:rPr>
        <w:t>万元；</w:t>
      </w:r>
    </w:p>
    <w:p w14:paraId="62461243">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16" w:firstLineChars="200"/>
        <w:jc w:val="both"/>
        <w:textAlignment w:val="auto"/>
        <w:rPr>
          <w:rFonts w:hint="eastAsia" w:eastAsia="方正仿宋_GBK" w:cs="Times New Roman"/>
          <w:spacing w:val="-6"/>
          <w:sz w:val="32"/>
          <w:szCs w:val="32"/>
          <w:highlight w:val="none"/>
          <w:lang w:val="en-US" w:eastAsia="zh-CN"/>
        </w:rPr>
      </w:pPr>
      <w:r>
        <w:rPr>
          <w:rFonts w:hint="eastAsia" w:eastAsia="方正仿宋_GBK" w:cs="Times New Roman"/>
          <w:spacing w:val="-6"/>
          <w:sz w:val="32"/>
          <w:szCs w:val="32"/>
          <w:highlight w:val="none"/>
          <w:lang w:val="en-US" w:eastAsia="zh-CN"/>
        </w:rPr>
        <w:t>资源勘探工业信息等支出完成</w:t>
      </w:r>
      <w:r>
        <w:rPr>
          <w:rFonts w:hint="default" w:eastAsia="方正仿宋_GBK" w:cs="Times New Roman"/>
          <w:spacing w:val="-6"/>
          <w:sz w:val="32"/>
          <w:szCs w:val="32"/>
          <w:highlight w:val="none"/>
          <w:lang w:val="en-US" w:eastAsia="zh-CN"/>
        </w:rPr>
        <w:t>606</w:t>
      </w:r>
      <w:r>
        <w:rPr>
          <w:rFonts w:hint="eastAsia" w:eastAsia="方正仿宋_GBK" w:cs="Times New Roman"/>
          <w:spacing w:val="-6"/>
          <w:sz w:val="32"/>
          <w:szCs w:val="32"/>
          <w:highlight w:val="none"/>
          <w:lang w:val="en-US" w:eastAsia="zh-CN"/>
        </w:rPr>
        <w:t>万元，占调整预算的</w:t>
      </w:r>
      <w:r>
        <w:rPr>
          <w:rFonts w:hint="default" w:eastAsia="方正仿宋_GBK" w:cs="Times New Roman"/>
          <w:spacing w:val="-6"/>
          <w:sz w:val="32"/>
          <w:szCs w:val="32"/>
          <w:highlight w:val="none"/>
          <w:lang w:val="en-US" w:eastAsia="zh-CN"/>
        </w:rPr>
        <w:t>100</w:t>
      </w:r>
      <w:r>
        <w:rPr>
          <w:rFonts w:hint="eastAsia" w:eastAsia="方正仿宋_GBK" w:cs="Times New Roman"/>
          <w:spacing w:val="-6"/>
          <w:sz w:val="32"/>
          <w:szCs w:val="32"/>
          <w:highlight w:val="none"/>
          <w:lang w:val="en-US" w:eastAsia="zh-CN"/>
        </w:rPr>
        <w:t>%，较上年下降</w:t>
      </w:r>
      <w:r>
        <w:rPr>
          <w:rFonts w:hint="default" w:eastAsia="方正仿宋_GBK" w:cs="Times New Roman"/>
          <w:spacing w:val="-6"/>
          <w:sz w:val="32"/>
          <w:szCs w:val="32"/>
          <w:highlight w:val="none"/>
          <w:lang w:val="en-US" w:eastAsia="zh-CN"/>
        </w:rPr>
        <w:t>32.8</w:t>
      </w:r>
      <w:r>
        <w:rPr>
          <w:rFonts w:hint="eastAsia" w:eastAsia="方正仿宋_GBK" w:cs="Times New Roman"/>
          <w:spacing w:val="-6"/>
          <w:sz w:val="32"/>
          <w:szCs w:val="32"/>
          <w:highlight w:val="none"/>
          <w:lang w:val="en-US" w:eastAsia="zh-CN"/>
        </w:rPr>
        <w:t>%，减支</w:t>
      </w:r>
      <w:r>
        <w:rPr>
          <w:rFonts w:hint="default" w:eastAsia="方正仿宋_GBK" w:cs="Times New Roman"/>
          <w:spacing w:val="-6"/>
          <w:sz w:val="32"/>
          <w:szCs w:val="32"/>
          <w:highlight w:val="none"/>
          <w:lang w:val="en-US" w:eastAsia="zh-CN"/>
        </w:rPr>
        <w:t>296</w:t>
      </w:r>
      <w:r>
        <w:rPr>
          <w:rFonts w:hint="eastAsia" w:eastAsia="方正仿宋_GBK" w:cs="Times New Roman"/>
          <w:spacing w:val="-6"/>
          <w:sz w:val="32"/>
          <w:szCs w:val="32"/>
          <w:highlight w:val="none"/>
          <w:lang w:val="en-US" w:eastAsia="zh-CN"/>
        </w:rPr>
        <w:t>万元；</w:t>
      </w:r>
    </w:p>
    <w:p w14:paraId="2CE40459">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16" w:firstLineChars="200"/>
        <w:jc w:val="both"/>
        <w:textAlignment w:val="auto"/>
        <w:rPr>
          <w:rFonts w:hint="eastAsia" w:eastAsia="方正仿宋_GBK" w:cs="Times New Roman"/>
          <w:spacing w:val="-6"/>
          <w:sz w:val="32"/>
          <w:szCs w:val="32"/>
          <w:highlight w:val="none"/>
          <w:lang w:val="en-US" w:eastAsia="zh-CN"/>
        </w:rPr>
      </w:pPr>
      <w:r>
        <w:rPr>
          <w:rFonts w:hint="eastAsia" w:eastAsia="方正仿宋_GBK" w:cs="Times New Roman"/>
          <w:spacing w:val="-6"/>
          <w:sz w:val="32"/>
          <w:szCs w:val="32"/>
          <w:highlight w:val="none"/>
          <w:lang w:val="en-US" w:eastAsia="zh-CN"/>
        </w:rPr>
        <w:t>商业服务业等支出完成</w:t>
      </w:r>
      <w:r>
        <w:rPr>
          <w:rFonts w:hint="default" w:eastAsia="方正仿宋_GBK" w:cs="Times New Roman"/>
          <w:spacing w:val="-6"/>
          <w:sz w:val="32"/>
          <w:szCs w:val="32"/>
          <w:highlight w:val="none"/>
          <w:lang w:val="en-US" w:eastAsia="zh-CN"/>
        </w:rPr>
        <w:t>443</w:t>
      </w:r>
      <w:r>
        <w:rPr>
          <w:rFonts w:hint="eastAsia" w:eastAsia="方正仿宋_GBK" w:cs="Times New Roman"/>
          <w:spacing w:val="-6"/>
          <w:sz w:val="32"/>
          <w:szCs w:val="32"/>
          <w:highlight w:val="none"/>
          <w:lang w:val="en-US" w:eastAsia="zh-CN"/>
        </w:rPr>
        <w:t>万元，占调整预算的</w:t>
      </w:r>
      <w:r>
        <w:rPr>
          <w:rFonts w:hint="default" w:eastAsia="方正仿宋_GBK" w:cs="Times New Roman"/>
          <w:spacing w:val="-6"/>
          <w:sz w:val="32"/>
          <w:szCs w:val="32"/>
          <w:highlight w:val="none"/>
          <w:lang w:val="en-US" w:eastAsia="zh-CN"/>
        </w:rPr>
        <w:t>100</w:t>
      </w:r>
      <w:r>
        <w:rPr>
          <w:rFonts w:hint="eastAsia" w:eastAsia="方正仿宋_GBK" w:cs="Times New Roman"/>
          <w:spacing w:val="-6"/>
          <w:sz w:val="32"/>
          <w:szCs w:val="32"/>
          <w:highlight w:val="none"/>
          <w:lang w:val="en-US" w:eastAsia="zh-CN"/>
        </w:rPr>
        <w:t>%，较上年下降</w:t>
      </w:r>
      <w:r>
        <w:rPr>
          <w:rFonts w:hint="default" w:eastAsia="方正仿宋_GBK" w:cs="Times New Roman"/>
          <w:spacing w:val="-6"/>
          <w:sz w:val="32"/>
          <w:szCs w:val="32"/>
          <w:highlight w:val="none"/>
          <w:lang w:val="en-US" w:eastAsia="zh-CN"/>
        </w:rPr>
        <w:t>60.5</w:t>
      </w:r>
      <w:r>
        <w:rPr>
          <w:rFonts w:hint="eastAsia" w:eastAsia="方正仿宋_GBK" w:cs="Times New Roman"/>
          <w:spacing w:val="-6"/>
          <w:sz w:val="32"/>
          <w:szCs w:val="32"/>
          <w:highlight w:val="none"/>
          <w:lang w:val="en-US" w:eastAsia="zh-CN"/>
        </w:rPr>
        <w:t>%，减支</w:t>
      </w:r>
      <w:r>
        <w:rPr>
          <w:rFonts w:hint="default" w:eastAsia="方正仿宋_GBK" w:cs="Times New Roman"/>
          <w:spacing w:val="-6"/>
          <w:sz w:val="32"/>
          <w:szCs w:val="32"/>
          <w:highlight w:val="none"/>
          <w:lang w:val="en-US" w:eastAsia="zh-CN"/>
        </w:rPr>
        <w:t>678</w:t>
      </w:r>
      <w:r>
        <w:rPr>
          <w:rFonts w:hint="eastAsia" w:eastAsia="方正仿宋_GBK" w:cs="Times New Roman"/>
          <w:spacing w:val="-6"/>
          <w:sz w:val="32"/>
          <w:szCs w:val="32"/>
          <w:highlight w:val="none"/>
          <w:lang w:val="en-US" w:eastAsia="zh-CN"/>
        </w:rPr>
        <w:t>万元；</w:t>
      </w:r>
    </w:p>
    <w:p w14:paraId="48C6268E">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16" w:firstLineChars="200"/>
        <w:jc w:val="both"/>
        <w:textAlignment w:val="auto"/>
        <w:rPr>
          <w:rFonts w:hint="eastAsia" w:eastAsia="方正仿宋_GBK" w:cs="Times New Roman"/>
          <w:spacing w:val="-6"/>
          <w:sz w:val="32"/>
          <w:szCs w:val="32"/>
          <w:highlight w:val="none"/>
          <w:lang w:val="en-US" w:eastAsia="zh-CN"/>
        </w:rPr>
      </w:pPr>
      <w:r>
        <w:rPr>
          <w:rFonts w:hint="eastAsia" w:eastAsia="方正仿宋_GBK" w:cs="Times New Roman"/>
          <w:spacing w:val="-6"/>
          <w:sz w:val="32"/>
          <w:szCs w:val="32"/>
          <w:highlight w:val="none"/>
          <w:lang w:val="en-US" w:eastAsia="zh-CN"/>
        </w:rPr>
        <w:t>金融支出完成</w:t>
      </w:r>
      <w:r>
        <w:rPr>
          <w:rFonts w:hint="default" w:eastAsia="方正仿宋_GBK" w:cs="Times New Roman"/>
          <w:spacing w:val="-6"/>
          <w:sz w:val="32"/>
          <w:szCs w:val="32"/>
          <w:highlight w:val="none"/>
          <w:lang w:val="en-US" w:eastAsia="zh-CN"/>
        </w:rPr>
        <w:t>111</w:t>
      </w:r>
      <w:r>
        <w:rPr>
          <w:rFonts w:hint="eastAsia" w:eastAsia="方正仿宋_GBK" w:cs="Times New Roman"/>
          <w:spacing w:val="-6"/>
          <w:sz w:val="32"/>
          <w:szCs w:val="32"/>
          <w:highlight w:val="none"/>
          <w:lang w:val="en-US" w:eastAsia="zh-CN"/>
        </w:rPr>
        <w:t>万元，占调整预算的</w:t>
      </w:r>
      <w:r>
        <w:rPr>
          <w:rFonts w:hint="default" w:eastAsia="方正仿宋_GBK" w:cs="Times New Roman"/>
          <w:spacing w:val="-6"/>
          <w:sz w:val="32"/>
          <w:szCs w:val="32"/>
          <w:highlight w:val="none"/>
          <w:lang w:val="en-US" w:eastAsia="zh-CN"/>
        </w:rPr>
        <w:t>100</w:t>
      </w:r>
      <w:r>
        <w:rPr>
          <w:rFonts w:hint="eastAsia" w:eastAsia="方正仿宋_GBK" w:cs="Times New Roman"/>
          <w:spacing w:val="-6"/>
          <w:sz w:val="32"/>
          <w:szCs w:val="32"/>
          <w:highlight w:val="none"/>
          <w:lang w:val="en-US" w:eastAsia="zh-CN"/>
        </w:rPr>
        <w:t>%，较上年下降</w:t>
      </w:r>
      <w:r>
        <w:rPr>
          <w:rFonts w:hint="default" w:eastAsia="方正仿宋_GBK" w:cs="Times New Roman"/>
          <w:spacing w:val="-6"/>
          <w:sz w:val="32"/>
          <w:szCs w:val="32"/>
          <w:highlight w:val="none"/>
          <w:lang w:val="en-US" w:eastAsia="zh-CN"/>
        </w:rPr>
        <w:t>82.2</w:t>
      </w:r>
      <w:r>
        <w:rPr>
          <w:rFonts w:hint="eastAsia" w:eastAsia="方正仿宋_GBK" w:cs="Times New Roman"/>
          <w:spacing w:val="-6"/>
          <w:sz w:val="32"/>
          <w:szCs w:val="32"/>
          <w:highlight w:val="none"/>
          <w:lang w:val="en-US" w:eastAsia="zh-CN"/>
        </w:rPr>
        <w:t>%，减支</w:t>
      </w:r>
      <w:r>
        <w:rPr>
          <w:rFonts w:hint="default" w:eastAsia="方正仿宋_GBK" w:cs="Times New Roman"/>
          <w:spacing w:val="-6"/>
          <w:sz w:val="32"/>
          <w:szCs w:val="32"/>
          <w:highlight w:val="none"/>
          <w:lang w:val="en-US" w:eastAsia="zh-CN"/>
        </w:rPr>
        <w:t>514</w:t>
      </w:r>
      <w:r>
        <w:rPr>
          <w:rFonts w:hint="eastAsia" w:eastAsia="方正仿宋_GBK" w:cs="Times New Roman"/>
          <w:spacing w:val="-6"/>
          <w:sz w:val="32"/>
          <w:szCs w:val="32"/>
          <w:highlight w:val="none"/>
          <w:lang w:val="en-US" w:eastAsia="zh-CN"/>
        </w:rPr>
        <w:t>万元；</w:t>
      </w:r>
    </w:p>
    <w:p w14:paraId="593465CC">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16" w:firstLineChars="200"/>
        <w:jc w:val="both"/>
        <w:textAlignment w:val="auto"/>
        <w:rPr>
          <w:rFonts w:hint="eastAsia" w:eastAsia="方正仿宋_GBK" w:cs="Times New Roman"/>
          <w:spacing w:val="-6"/>
          <w:sz w:val="32"/>
          <w:szCs w:val="32"/>
          <w:highlight w:val="none"/>
          <w:lang w:val="en-US" w:eastAsia="zh-CN"/>
        </w:rPr>
      </w:pPr>
      <w:r>
        <w:rPr>
          <w:rFonts w:hint="eastAsia" w:eastAsia="方正仿宋_GBK" w:cs="Times New Roman"/>
          <w:spacing w:val="-6"/>
          <w:sz w:val="32"/>
          <w:szCs w:val="32"/>
          <w:highlight w:val="none"/>
          <w:lang w:val="en-US" w:eastAsia="zh-CN"/>
        </w:rPr>
        <w:t>自然资源海洋气象等支出完成</w:t>
      </w:r>
      <w:r>
        <w:rPr>
          <w:rFonts w:hint="default" w:eastAsia="方正仿宋_GBK" w:cs="Times New Roman"/>
          <w:spacing w:val="-6"/>
          <w:sz w:val="32"/>
          <w:szCs w:val="32"/>
          <w:highlight w:val="none"/>
          <w:lang w:val="en-US" w:eastAsia="zh-CN"/>
        </w:rPr>
        <w:t>8463</w:t>
      </w:r>
      <w:r>
        <w:rPr>
          <w:rFonts w:hint="eastAsia" w:eastAsia="方正仿宋_GBK" w:cs="Times New Roman"/>
          <w:spacing w:val="-6"/>
          <w:sz w:val="32"/>
          <w:szCs w:val="32"/>
          <w:highlight w:val="none"/>
          <w:lang w:val="en-US" w:eastAsia="zh-CN"/>
        </w:rPr>
        <w:t>万元，占调整预算的</w:t>
      </w:r>
      <w:r>
        <w:rPr>
          <w:rFonts w:hint="default" w:eastAsia="方正仿宋_GBK" w:cs="Times New Roman"/>
          <w:spacing w:val="-6"/>
          <w:sz w:val="32"/>
          <w:szCs w:val="32"/>
          <w:highlight w:val="none"/>
          <w:lang w:val="en-US" w:eastAsia="zh-CN"/>
        </w:rPr>
        <w:t>100</w:t>
      </w:r>
      <w:r>
        <w:rPr>
          <w:rFonts w:hint="eastAsia" w:eastAsia="方正仿宋_GBK" w:cs="Times New Roman"/>
          <w:spacing w:val="-6"/>
          <w:sz w:val="32"/>
          <w:szCs w:val="32"/>
          <w:highlight w:val="none"/>
          <w:lang w:val="en-US" w:eastAsia="zh-CN"/>
        </w:rPr>
        <w:t>%，较上年增长</w:t>
      </w:r>
      <w:r>
        <w:rPr>
          <w:rFonts w:hint="default" w:eastAsia="方正仿宋_GBK" w:cs="Times New Roman"/>
          <w:spacing w:val="-6"/>
          <w:sz w:val="32"/>
          <w:szCs w:val="32"/>
          <w:highlight w:val="none"/>
          <w:lang w:val="en-US" w:eastAsia="zh-CN"/>
        </w:rPr>
        <w:t>43.9</w:t>
      </w:r>
      <w:r>
        <w:rPr>
          <w:rFonts w:hint="eastAsia" w:eastAsia="方正仿宋_GBK" w:cs="Times New Roman"/>
          <w:spacing w:val="-6"/>
          <w:sz w:val="32"/>
          <w:szCs w:val="32"/>
          <w:highlight w:val="none"/>
          <w:lang w:val="en-US" w:eastAsia="zh-CN"/>
        </w:rPr>
        <w:t>%，增支</w:t>
      </w:r>
      <w:r>
        <w:rPr>
          <w:rFonts w:hint="default" w:eastAsia="方正仿宋_GBK" w:cs="Times New Roman"/>
          <w:spacing w:val="-6"/>
          <w:sz w:val="32"/>
          <w:szCs w:val="32"/>
          <w:highlight w:val="none"/>
          <w:lang w:val="en-US" w:eastAsia="zh-CN"/>
        </w:rPr>
        <w:t>2581</w:t>
      </w:r>
      <w:r>
        <w:rPr>
          <w:rFonts w:hint="eastAsia" w:eastAsia="方正仿宋_GBK" w:cs="Times New Roman"/>
          <w:spacing w:val="-6"/>
          <w:sz w:val="32"/>
          <w:szCs w:val="32"/>
          <w:highlight w:val="none"/>
          <w:lang w:val="en-US" w:eastAsia="zh-CN"/>
        </w:rPr>
        <w:t>万元；</w:t>
      </w:r>
    </w:p>
    <w:p w14:paraId="2CED1EAF">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16" w:firstLineChars="200"/>
        <w:jc w:val="both"/>
        <w:textAlignment w:val="auto"/>
        <w:rPr>
          <w:rFonts w:hint="eastAsia" w:eastAsia="方正仿宋_GBK" w:cs="Times New Roman"/>
          <w:spacing w:val="-6"/>
          <w:sz w:val="32"/>
          <w:szCs w:val="32"/>
          <w:highlight w:val="none"/>
          <w:lang w:val="en-US" w:eastAsia="zh-CN"/>
        </w:rPr>
      </w:pPr>
      <w:r>
        <w:rPr>
          <w:rFonts w:hint="eastAsia" w:eastAsia="方正仿宋_GBK" w:cs="Times New Roman"/>
          <w:spacing w:val="-6"/>
          <w:sz w:val="32"/>
          <w:szCs w:val="32"/>
          <w:highlight w:val="none"/>
          <w:lang w:val="en-US" w:eastAsia="zh-CN"/>
        </w:rPr>
        <w:t>住房保障支出完成</w:t>
      </w:r>
      <w:r>
        <w:rPr>
          <w:rFonts w:hint="default" w:eastAsia="方正仿宋_GBK" w:cs="Times New Roman"/>
          <w:spacing w:val="-6"/>
          <w:sz w:val="32"/>
          <w:szCs w:val="32"/>
          <w:highlight w:val="none"/>
          <w:lang w:val="en-US" w:eastAsia="zh-CN"/>
        </w:rPr>
        <w:t>9559</w:t>
      </w:r>
      <w:r>
        <w:rPr>
          <w:rFonts w:hint="eastAsia" w:eastAsia="方正仿宋_GBK" w:cs="Times New Roman"/>
          <w:spacing w:val="-6"/>
          <w:sz w:val="32"/>
          <w:szCs w:val="32"/>
          <w:highlight w:val="none"/>
          <w:lang w:val="en-US" w:eastAsia="zh-CN"/>
        </w:rPr>
        <w:t>万元，占调整预算的</w:t>
      </w:r>
      <w:r>
        <w:rPr>
          <w:rFonts w:hint="default" w:eastAsia="方正仿宋_GBK" w:cs="Times New Roman"/>
          <w:spacing w:val="-6"/>
          <w:sz w:val="32"/>
          <w:szCs w:val="32"/>
          <w:highlight w:val="none"/>
          <w:lang w:val="en-US" w:eastAsia="zh-CN"/>
        </w:rPr>
        <w:t>99.5</w:t>
      </w:r>
      <w:r>
        <w:rPr>
          <w:rFonts w:hint="eastAsia" w:eastAsia="方正仿宋_GBK" w:cs="Times New Roman"/>
          <w:spacing w:val="-6"/>
          <w:sz w:val="32"/>
          <w:szCs w:val="32"/>
          <w:highlight w:val="none"/>
          <w:lang w:val="en-US" w:eastAsia="zh-CN"/>
        </w:rPr>
        <w:t>%，较上年下降</w:t>
      </w:r>
      <w:r>
        <w:rPr>
          <w:rFonts w:hint="default" w:eastAsia="方正仿宋_GBK" w:cs="Times New Roman"/>
          <w:spacing w:val="-6"/>
          <w:sz w:val="32"/>
          <w:szCs w:val="32"/>
          <w:highlight w:val="none"/>
          <w:lang w:val="en-US" w:eastAsia="zh-CN"/>
        </w:rPr>
        <w:t>20.9%</w:t>
      </w:r>
      <w:r>
        <w:rPr>
          <w:rFonts w:hint="eastAsia" w:eastAsia="方正仿宋_GBK" w:cs="Times New Roman"/>
          <w:spacing w:val="-6"/>
          <w:sz w:val="32"/>
          <w:szCs w:val="32"/>
          <w:highlight w:val="none"/>
          <w:lang w:val="en-US" w:eastAsia="zh-CN"/>
        </w:rPr>
        <w:t>，减支</w:t>
      </w:r>
      <w:r>
        <w:rPr>
          <w:rFonts w:hint="default" w:eastAsia="方正仿宋_GBK" w:cs="Times New Roman"/>
          <w:spacing w:val="-6"/>
          <w:sz w:val="32"/>
          <w:szCs w:val="32"/>
          <w:highlight w:val="none"/>
          <w:lang w:val="en-US" w:eastAsia="zh-CN"/>
        </w:rPr>
        <w:t>2528</w:t>
      </w:r>
      <w:r>
        <w:rPr>
          <w:rFonts w:hint="eastAsia" w:eastAsia="方正仿宋_GBK" w:cs="Times New Roman"/>
          <w:spacing w:val="-6"/>
          <w:sz w:val="32"/>
          <w:szCs w:val="32"/>
          <w:highlight w:val="none"/>
          <w:lang w:val="en-US" w:eastAsia="zh-CN"/>
        </w:rPr>
        <w:t>万元；</w:t>
      </w:r>
    </w:p>
    <w:p w14:paraId="516AA7D6">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16" w:firstLineChars="200"/>
        <w:jc w:val="both"/>
        <w:textAlignment w:val="auto"/>
        <w:rPr>
          <w:rFonts w:hint="eastAsia" w:eastAsia="方正仿宋_GBK" w:cs="Times New Roman"/>
          <w:spacing w:val="-6"/>
          <w:sz w:val="32"/>
          <w:szCs w:val="32"/>
          <w:highlight w:val="none"/>
          <w:lang w:val="en-US" w:eastAsia="zh-CN"/>
        </w:rPr>
      </w:pPr>
      <w:r>
        <w:rPr>
          <w:rFonts w:hint="eastAsia" w:eastAsia="方正仿宋_GBK" w:cs="Times New Roman"/>
          <w:spacing w:val="-6"/>
          <w:sz w:val="32"/>
          <w:szCs w:val="32"/>
          <w:highlight w:val="none"/>
          <w:lang w:val="en-US" w:eastAsia="zh-CN"/>
        </w:rPr>
        <w:t>粮油物资储备支出完成</w:t>
      </w:r>
      <w:r>
        <w:rPr>
          <w:rFonts w:hint="default" w:eastAsia="方正仿宋_GBK" w:cs="Times New Roman"/>
          <w:spacing w:val="-6"/>
          <w:sz w:val="32"/>
          <w:szCs w:val="32"/>
          <w:highlight w:val="none"/>
          <w:lang w:val="en-US" w:eastAsia="zh-CN"/>
        </w:rPr>
        <w:t>450</w:t>
      </w:r>
      <w:r>
        <w:rPr>
          <w:rFonts w:hint="eastAsia" w:eastAsia="方正仿宋_GBK" w:cs="Times New Roman"/>
          <w:spacing w:val="-6"/>
          <w:sz w:val="32"/>
          <w:szCs w:val="32"/>
          <w:highlight w:val="none"/>
          <w:lang w:val="en-US" w:eastAsia="zh-CN"/>
        </w:rPr>
        <w:t>万元，占调整预算的</w:t>
      </w:r>
      <w:r>
        <w:rPr>
          <w:rFonts w:hint="default" w:eastAsia="方正仿宋_GBK" w:cs="Times New Roman"/>
          <w:spacing w:val="-6"/>
          <w:sz w:val="32"/>
          <w:szCs w:val="32"/>
          <w:highlight w:val="none"/>
          <w:lang w:val="en-US" w:eastAsia="zh-CN"/>
        </w:rPr>
        <w:t>100</w:t>
      </w:r>
      <w:r>
        <w:rPr>
          <w:rFonts w:hint="eastAsia" w:eastAsia="方正仿宋_GBK" w:cs="Times New Roman"/>
          <w:spacing w:val="-6"/>
          <w:sz w:val="32"/>
          <w:szCs w:val="32"/>
          <w:highlight w:val="none"/>
          <w:lang w:val="en-US" w:eastAsia="zh-CN"/>
        </w:rPr>
        <w:t>%，较上年增长</w:t>
      </w:r>
      <w:r>
        <w:rPr>
          <w:rFonts w:hint="default" w:eastAsia="方正仿宋_GBK" w:cs="Times New Roman"/>
          <w:spacing w:val="-6"/>
          <w:sz w:val="32"/>
          <w:szCs w:val="32"/>
          <w:highlight w:val="none"/>
          <w:lang w:val="en-US" w:eastAsia="zh-CN"/>
        </w:rPr>
        <w:t>33.1</w:t>
      </w:r>
      <w:r>
        <w:rPr>
          <w:rFonts w:hint="eastAsia" w:eastAsia="方正仿宋_GBK" w:cs="Times New Roman"/>
          <w:spacing w:val="-6"/>
          <w:sz w:val="32"/>
          <w:szCs w:val="32"/>
          <w:highlight w:val="none"/>
          <w:lang w:val="en-US" w:eastAsia="zh-CN"/>
        </w:rPr>
        <w:t>%，增支</w:t>
      </w:r>
      <w:r>
        <w:rPr>
          <w:rFonts w:hint="default" w:eastAsia="方正仿宋_GBK" w:cs="Times New Roman"/>
          <w:spacing w:val="-6"/>
          <w:sz w:val="32"/>
          <w:szCs w:val="32"/>
          <w:highlight w:val="none"/>
          <w:lang w:val="en-US" w:eastAsia="zh-CN"/>
        </w:rPr>
        <w:t>112</w:t>
      </w:r>
      <w:r>
        <w:rPr>
          <w:rFonts w:hint="eastAsia" w:eastAsia="方正仿宋_GBK" w:cs="Times New Roman"/>
          <w:spacing w:val="-6"/>
          <w:sz w:val="32"/>
          <w:szCs w:val="32"/>
          <w:highlight w:val="none"/>
          <w:lang w:val="en-US" w:eastAsia="zh-CN"/>
        </w:rPr>
        <w:t>万元；</w:t>
      </w:r>
    </w:p>
    <w:p w14:paraId="6455BB3C">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16" w:firstLineChars="200"/>
        <w:jc w:val="both"/>
        <w:textAlignment w:val="auto"/>
        <w:rPr>
          <w:rFonts w:hint="eastAsia" w:eastAsia="方正仿宋_GBK" w:cs="Times New Roman"/>
          <w:spacing w:val="-6"/>
          <w:sz w:val="32"/>
          <w:szCs w:val="32"/>
          <w:highlight w:val="none"/>
          <w:lang w:val="en-US" w:eastAsia="zh-CN"/>
        </w:rPr>
      </w:pPr>
      <w:r>
        <w:rPr>
          <w:rFonts w:hint="eastAsia" w:eastAsia="方正仿宋_GBK" w:cs="Times New Roman"/>
          <w:spacing w:val="-6"/>
          <w:sz w:val="32"/>
          <w:szCs w:val="32"/>
          <w:highlight w:val="none"/>
          <w:lang w:val="en-US" w:eastAsia="zh-CN"/>
        </w:rPr>
        <w:t>灾害防治及应急管理支出完成</w:t>
      </w:r>
      <w:r>
        <w:rPr>
          <w:rFonts w:hint="default" w:eastAsia="方正仿宋_GBK" w:cs="Times New Roman"/>
          <w:spacing w:val="-6"/>
          <w:sz w:val="32"/>
          <w:szCs w:val="32"/>
          <w:highlight w:val="none"/>
          <w:lang w:val="en-US" w:eastAsia="zh-CN"/>
        </w:rPr>
        <w:t>3559</w:t>
      </w:r>
      <w:r>
        <w:rPr>
          <w:rFonts w:hint="eastAsia" w:eastAsia="方正仿宋_GBK" w:cs="Times New Roman"/>
          <w:spacing w:val="-6"/>
          <w:sz w:val="32"/>
          <w:szCs w:val="32"/>
          <w:highlight w:val="none"/>
          <w:lang w:val="en-US" w:eastAsia="zh-CN"/>
        </w:rPr>
        <w:t>万元，占调整预算的</w:t>
      </w:r>
      <w:r>
        <w:rPr>
          <w:rFonts w:hint="default" w:eastAsia="方正仿宋_GBK" w:cs="Times New Roman"/>
          <w:spacing w:val="-6"/>
          <w:sz w:val="32"/>
          <w:szCs w:val="32"/>
          <w:highlight w:val="none"/>
          <w:lang w:val="en-US" w:eastAsia="zh-CN"/>
        </w:rPr>
        <w:t>26.4</w:t>
      </w:r>
      <w:r>
        <w:rPr>
          <w:rFonts w:hint="eastAsia" w:eastAsia="方正仿宋_GBK" w:cs="Times New Roman"/>
          <w:spacing w:val="-6"/>
          <w:sz w:val="32"/>
          <w:szCs w:val="32"/>
          <w:highlight w:val="none"/>
          <w:lang w:val="en-US" w:eastAsia="zh-CN"/>
        </w:rPr>
        <w:t>%，主要是中央专款结转所致，较上年增长</w:t>
      </w:r>
      <w:r>
        <w:rPr>
          <w:rFonts w:hint="default" w:eastAsia="方正仿宋_GBK" w:cs="Times New Roman"/>
          <w:spacing w:val="-6"/>
          <w:sz w:val="32"/>
          <w:szCs w:val="32"/>
          <w:highlight w:val="none"/>
          <w:lang w:val="en-US" w:eastAsia="zh-CN"/>
        </w:rPr>
        <w:t>73.2</w:t>
      </w:r>
      <w:r>
        <w:rPr>
          <w:rFonts w:hint="eastAsia" w:eastAsia="方正仿宋_GBK" w:cs="Times New Roman"/>
          <w:spacing w:val="-6"/>
          <w:sz w:val="32"/>
          <w:szCs w:val="32"/>
          <w:highlight w:val="none"/>
          <w:lang w:val="en-US" w:eastAsia="zh-CN"/>
        </w:rPr>
        <w:t>%，增支</w:t>
      </w:r>
      <w:r>
        <w:rPr>
          <w:rFonts w:hint="default" w:eastAsia="方正仿宋_GBK" w:cs="Times New Roman"/>
          <w:spacing w:val="-6"/>
          <w:sz w:val="32"/>
          <w:szCs w:val="32"/>
          <w:highlight w:val="none"/>
          <w:lang w:val="en-US" w:eastAsia="zh-CN"/>
        </w:rPr>
        <w:t>1504</w:t>
      </w:r>
      <w:r>
        <w:rPr>
          <w:rFonts w:hint="eastAsia" w:eastAsia="方正仿宋_GBK" w:cs="Times New Roman"/>
          <w:spacing w:val="-6"/>
          <w:sz w:val="32"/>
          <w:szCs w:val="32"/>
          <w:highlight w:val="none"/>
          <w:lang w:val="en-US" w:eastAsia="zh-CN"/>
        </w:rPr>
        <w:t>万元；</w:t>
      </w:r>
    </w:p>
    <w:p w14:paraId="1621858D">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16" w:firstLineChars="200"/>
        <w:jc w:val="both"/>
        <w:textAlignment w:val="auto"/>
        <w:rPr>
          <w:rFonts w:hint="eastAsia" w:eastAsia="方正仿宋_GBK" w:cs="Times New Roman"/>
          <w:spacing w:val="-6"/>
          <w:sz w:val="32"/>
          <w:szCs w:val="32"/>
          <w:highlight w:val="none"/>
          <w:lang w:val="en-US" w:eastAsia="zh-CN"/>
        </w:rPr>
      </w:pPr>
      <w:r>
        <w:rPr>
          <w:rFonts w:hint="eastAsia" w:eastAsia="方正仿宋_GBK" w:cs="Times New Roman"/>
          <w:spacing w:val="-6"/>
          <w:sz w:val="32"/>
          <w:szCs w:val="32"/>
          <w:highlight w:val="none"/>
          <w:lang w:val="en-US" w:eastAsia="zh-CN"/>
        </w:rPr>
        <w:t>债务付息支出完成</w:t>
      </w:r>
      <w:r>
        <w:rPr>
          <w:rFonts w:hint="default" w:eastAsia="方正仿宋_GBK" w:cs="Times New Roman"/>
          <w:spacing w:val="-6"/>
          <w:sz w:val="32"/>
          <w:szCs w:val="32"/>
          <w:highlight w:val="none"/>
          <w:lang w:val="en-US" w:eastAsia="zh-CN"/>
        </w:rPr>
        <w:t>4447</w:t>
      </w:r>
      <w:r>
        <w:rPr>
          <w:rFonts w:hint="eastAsia" w:eastAsia="方正仿宋_GBK" w:cs="Times New Roman"/>
          <w:spacing w:val="-6"/>
          <w:sz w:val="32"/>
          <w:szCs w:val="32"/>
          <w:highlight w:val="none"/>
          <w:lang w:val="en-US" w:eastAsia="zh-CN"/>
        </w:rPr>
        <w:t>万元，占调整预算的</w:t>
      </w:r>
      <w:r>
        <w:rPr>
          <w:rFonts w:hint="default" w:eastAsia="方正仿宋_GBK" w:cs="Times New Roman"/>
          <w:spacing w:val="-6"/>
          <w:sz w:val="32"/>
          <w:szCs w:val="32"/>
          <w:highlight w:val="none"/>
          <w:lang w:val="en-US" w:eastAsia="zh-CN"/>
        </w:rPr>
        <w:t>100</w:t>
      </w:r>
      <w:r>
        <w:rPr>
          <w:rFonts w:hint="eastAsia" w:eastAsia="方正仿宋_GBK" w:cs="Times New Roman"/>
          <w:spacing w:val="-6"/>
          <w:sz w:val="32"/>
          <w:szCs w:val="32"/>
          <w:highlight w:val="none"/>
          <w:lang w:val="en-US" w:eastAsia="zh-CN"/>
        </w:rPr>
        <w:t>%，较上年增长</w:t>
      </w:r>
      <w:r>
        <w:rPr>
          <w:rFonts w:hint="default" w:eastAsia="方正仿宋_GBK" w:cs="Times New Roman"/>
          <w:spacing w:val="-6"/>
          <w:sz w:val="32"/>
          <w:szCs w:val="32"/>
          <w:highlight w:val="none"/>
          <w:lang w:val="en-US" w:eastAsia="zh-CN"/>
        </w:rPr>
        <w:t>5.3</w:t>
      </w:r>
      <w:r>
        <w:rPr>
          <w:rFonts w:hint="eastAsia" w:eastAsia="方正仿宋_GBK" w:cs="Times New Roman"/>
          <w:spacing w:val="-6"/>
          <w:sz w:val="32"/>
          <w:szCs w:val="32"/>
          <w:highlight w:val="none"/>
          <w:lang w:val="en-US" w:eastAsia="zh-CN"/>
        </w:rPr>
        <w:t>%，增支</w:t>
      </w:r>
      <w:r>
        <w:rPr>
          <w:rFonts w:hint="default" w:eastAsia="方正仿宋_GBK" w:cs="Times New Roman"/>
          <w:spacing w:val="-6"/>
          <w:sz w:val="32"/>
          <w:szCs w:val="32"/>
          <w:highlight w:val="none"/>
          <w:lang w:val="en-US" w:eastAsia="zh-CN"/>
        </w:rPr>
        <w:t>222</w:t>
      </w:r>
      <w:r>
        <w:rPr>
          <w:rFonts w:hint="eastAsia" w:eastAsia="方正仿宋_GBK" w:cs="Times New Roman"/>
          <w:spacing w:val="-6"/>
          <w:sz w:val="32"/>
          <w:szCs w:val="32"/>
          <w:highlight w:val="none"/>
          <w:lang w:val="en-US" w:eastAsia="zh-CN"/>
        </w:rPr>
        <w:t>万元；</w:t>
      </w:r>
    </w:p>
    <w:p w14:paraId="2E1105BE">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16" w:firstLineChars="200"/>
        <w:jc w:val="both"/>
        <w:textAlignment w:val="auto"/>
        <w:rPr>
          <w:rFonts w:hint="eastAsia" w:eastAsia="方正仿宋_GBK" w:cs="Times New Roman"/>
          <w:spacing w:val="-6"/>
          <w:sz w:val="32"/>
          <w:szCs w:val="32"/>
          <w:highlight w:val="none"/>
          <w:lang w:val="en-US" w:eastAsia="zh-CN"/>
        </w:rPr>
      </w:pPr>
      <w:r>
        <w:rPr>
          <w:rFonts w:hint="eastAsia" w:eastAsia="方正仿宋_GBK" w:cs="Times New Roman"/>
          <w:spacing w:val="-6"/>
          <w:sz w:val="32"/>
          <w:szCs w:val="32"/>
          <w:highlight w:val="none"/>
          <w:lang w:val="en-US" w:eastAsia="zh-CN"/>
        </w:rPr>
        <w:t>债务发行费用支出完成</w:t>
      </w:r>
      <w:r>
        <w:rPr>
          <w:rFonts w:hint="default" w:eastAsia="方正仿宋_GBK" w:cs="Times New Roman"/>
          <w:spacing w:val="-6"/>
          <w:sz w:val="32"/>
          <w:szCs w:val="32"/>
          <w:highlight w:val="none"/>
          <w:lang w:val="en-US" w:eastAsia="zh-CN"/>
        </w:rPr>
        <w:t>24</w:t>
      </w:r>
      <w:r>
        <w:rPr>
          <w:rFonts w:hint="eastAsia" w:eastAsia="方正仿宋_GBK" w:cs="Times New Roman"/>
          <w:spacing w:val="-6"/>
          <w:sz w:val="32"/>
          <w:szCs w:val="32"/>
          <w:highlight w:val="none"/>
          <w:lang w:val="en-US" w:eastAsia="zh-CN"/>
        </w:rPr>
        <w:t>万元，占调整预算的</w:t>
      </w:r>
      <w:r>
        <w:rPr>
          <w:rFonts w:hint="default" w:eastAsia="方正仿宋_GBK" w:cs="Times New Roman"/>
          <w:spacing w:val="-6"/>
          <w:sz w:val="32"/>
          <w:szCs w:val="32"/>
          <w:highlight w:val="none"/>
          <w:lang w:val="en-US" w:eastAsia="zh-CN"/>
        </w:rPr>
        <w:t>100</w:t>
      </w:r>
      <w:r>
        <w:rPr>
          <w:rFonts w:hint="eastAsia" w:eastAsia="方正仿宋_GBK" w:cs="Times New Roman"/>
          <w:spacing w:val="-6"/>
          <w:sz w:val="32"/>
          <w:szCs w:val="32"/>
          <w:highlight w:val="none"/>
          <w:lang w:val="en-US" w:eastAsia="zh-CN"/>
        </w:rPr>
        <w:t>%，较上年增长</w:t>
      </w:r>
      <w:r>
        <w:rPr>
          <w:rFonts w:hint="default" w:eastAsia="方正仿宋_GBK" w:cs="Times New Roman"/>
          <w:spacing w:val="-6"/>
          <w:sz w:val="32"/>
          <w:szCs w:val="32"/>
          <w:highlight w:val="none"/>
          <w:lang w:val="en-US" w:eastAsia="zh-CN"/>
        </w:rPr>
        <w:t>26.3</w:t>
      </w:r>
      <w:r>
        <w:rPr>
          <w:rFonts w:hint="eastAsia" w:eastAsia="方正仿宋_GBK" w:cs="Times New Roman"/>
          <w:spacing w:val="-6"/>
          <w:sz w:val="32"/>
          <w:szCs w:val="32"/>
          <w:highlight w:val="none"/>
          <w:lang w:val="en-US" w:eastAsia="zh-CN"/>
        </w:rPr>
        <w:t>%，增支</w:t>
      </w:r>
      <w:r>
        <w:rPr>
          <w:rFonts w:hint="default" w:eastAsia="方正仿宋_GBK" w:cs="Times New Roman"/>
          <w:spacing w:val="-6"/>
          <w:sz w:val="32"/>
          <w:szCs w:val="32"/>
          <w:highlight w:val="none"/>
          <w:lang w:val="en-US" w:eastAsia="zh-CN"/>
        </w:rPr>
        <w:t>5</w:t>
      </w:r>
      <w:r>
        <w:rPr>
          <w:rFonts w:hint="eastAsia" w:eastAsia="方正仿宋_GBK" w:cs="Times New Roman"/>
          <w:spacing w:val="-6"/>
          <w:sz w:val="32"/>
          <w:szCs w:val="32"/>
          <w:highlight w:val="none"/>
          <w:lang w:val="en-US" w:eastAsia="zh-CN"/>
        </w:rPr>
        <w:t>万元；</w:t>
      </w:r>
    </w:p>
    <w:p w14:paraId="0F80D7D9">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16" w:firstLineChars="200"/>
        <w:jc w:val="both"/>
        <w:textAlignment w:val="auto"/>
        <w:rPr>
          <w:rFonts w:hint="eastAsia" w:eastAsia="方正仿宋_GBK" w:cs="Times New Roman"/>
          <w:spacing w:val="-6"/>
          <w:sz w:val="32"/>
          <w:szCs w:val="32"/>
          <w:highlight w:val="none"/>
          <w:lang w:val="en-US" w:eastAsia="zh-CN"/>
        </w:rPr>
      </w:pPr>
      <w:r>
        <w:rPr>
          <w:rFonts w:hint="eastAsia" w:eastAsia="方正仿宋_GBK" w:cs="Times New Roman"/>
          <w:spacing w:val="-6"/>
          <w:sz w:val="32"/>
          <w:szCs w:val="32"/>
          <w:highlight w:val="none"/>
          <w:lang w:val="en-US" w:eastAsia="zh-CN"/>
        </w:rPr>
        <w:t>总预备费动支</w:t>
      </w:r>
      <w:r>
        <w:rPr>
          <w:rFonts w:hint="default" w:eastAsia="方正仿宋_GBK" w:cs="Times New Roman"/>
          <w:spacing w:val="-6"/>
          <w:sz w:val="32"/>
          <w:szCs w:val="32"/>
          <w:highlight w:val="none"/>
          <w:lang w:val="en-US" w:eastAsia="zh-CN"/>
        </w:rPr>
        <w:t>4500</w:t>
      </w:r>
      <w:r>
        <w:rPr>
          <w:rFonts w:hint="eastAsia" w:eastAsia="方正仿宋_GBK" w:cs="Times New Roman"/>
          <w:spacing w:val="-6"/>
          <w:sz w:val="32"/>
          <w:szCs w:val="32"/>
          <w:highlight w:val="none"/>
          <w:lang w:val="en-US" w:eastAsia="zh-CN"/>
        </w:rPr>
        <w:t>万元，主要用于疫情防控、维稳等不可预见支出。</w:t>
      </w:r>
    </w:p>
    <w:p w14:paraId="068A813B">
      <w:pPr>
        <w:keepNext w:val="0"/>
        <w:keepLines w:val="0"/>
        <w:pageBreakBefore w:val="0"/>
        <w:widowControl w:val="0"/>
        <w:numPr>
          <w:ilvl w:val="0"/>
          <w:numId w:val="0"/>
        </w:numPr>
        <w:pBdr>
          <w:bottom w:val="single" w:color="FFFFFF" w:sz="4" w:space="31"/>
        </w:pBdr>
        <w:kinsoku/>
        <w:wordWrap/>
        <w:overflowPunct/>
        <w:topLinePunct/>
        <w:autoSpaceDE/>
        <w:autoSpaceDN/>
        <w:bidi w:val="0"/>
        <w:adjustRightInd/>
        <w:snapToGrid/>
        <w:spacing w:line="580" w:lineRule="exact"/>
        <w:ind w:firstLine="627" w:firstLineChars="200"/>
        <w:jc w:val="both"/>
        <w:textAlignment w:val="auto"/>
        <w:rPr>
          <w:rFonts w:ascii="Times New Roman" w:hAnsi="Times New Roman" w:eastAsia="仿宋" w:cs="宋体"/>
          <w:b/>
          <w:bCs/>
          <w:spacing w:val="-4"/>
          <w:kern w:val="0"/>
          <w:sz w:val="32"/>
          <w:szCs w:val="32"/>
          <w:highlight w:val="none"/>
          <w:u w:val="none"/>
        </w:rPr>
      </w:pPr>
      <w:r>
        <w:rPr>
          <w:rFonts w:hint="default" w:ascii="Times New Roman" w:hAnsi="Times New Roman" w:eastAsia="仿宋" w:cs="宋体"/>
          <w:b/>
          <w:bCs/>
          <w:spacing w:val="-4"/>
          <w:kern w:val="0"/>
          <w:sz w:val="32"/>
          <w:szCs w:val="32"/>
          <w:highlight w:val="none"/>
          <w:u w:val="none"/>
          <w:lang w:val="en-US"/>
        </w:rPr>
        <w:t>3.</w:t>
      </w:r>
      <w:r>
        <w:rPr>
          <w:rFonts w:hint="eastAsia" w:ascii="Times New Roman" w:hAnsi="Times New Roman" w:eastAsia="方正仿宋_GBK" w:cs="方正仿宋_GBK"/>
          <w:b/>
          <w:bCs/>
          <w:spacing w:val="-4"/>
          <w:kern w:val="0"/>
          <w:sz w:val="32"/>
          <w:szCs w:val="32"/>
          <w:highlight w:val="none"/>
          <w:u w:val="none"/>
        </w:rPr>
        <w:t>一般公共预算收支平衡情况</w:t>
      </w:r>
    </w:p>
    <w:p w14:paraId="10195BB4">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16" w:firstLineChars="200"/>
        <w:jc w:val="both"/>
        <w:textAlignment w:val="auto"/>
        <w:rPr>
          <w:rFonts w:hint="eastAsia" w:eastAsia="方正仿宋_GBK" w:cs="Times New Roman"/>
          <w:spacing w:val="-6"/>
          <w:sz w:val="32"/>
          <w:szCs w:val="32"/>
          <w:highlight w:val="none"/>
          <w:lang w:val="en-US" w:eastAsia="zh-CN"/>
        </w:rPr>
      </w:pPr>
      <w:r>
        <w:rPr>
          <w:rFonts w:hint="eastAsia" w:eastAsia="方正仿宋_GBK" w:cs="Times New Roman"/>
          <w:spacing w:val="-6"/>
          <w:sz w:val="32"/>
          <w:szCs w:val="32"/>
          <w:highlight w:val="none"/>
          <w:lang w:val="en-US" w:eastAsia="zh-CN"/>
        </w:rPr>
        <w:t>2023年，一般公共预算收入</w:t>
      </w:r>
      <w:r>
        <w:rPr>
          <w:rFonts w:hint="default" w:eastAsia="方正仿宋_GBK" w:cs="Times New Roman"/>
          <w:spacing w:val="-6"/>
          <w:sz w:val="32"/>
          <w:szCs w:val="32"/>
          <w:highlight w:val="none"/>
          <w:lang w:val="en-US" w:eastAsia="zh-CN"/>
        </w:rPr>
        <w:t>20.13</w:t>
      </w:r>
      <w:r>
        <w:rPr>
          <w:rFonts w:hint="eastAsia" w:eastAsia="方正仿宋_GBK" w:cs="Times New Roman"/>
          <w:spacing w:val="-6"/>
          <w:sz w:val="32"/>
          <w:szCs w:val="32"/>
          <w:highlight w:val="none"/>
          <w:lang w:val="en-US" w:eastAsia="zh-CN"/>
        </w:rPr>
        <w:t>亿元，上级补助收入</w:t>
      </w:r>
      <w:r>
        <w:rPr>
          <w:rFonts w:hint="default" w:eastAsia="方正仿宋_GBK" w:cs="Times New Roman"/>
          <w:spacing w:val="-6"/>
          <w:sz w:val="32"/>
          <w:szCs w:val="32"/>
          <w:highlight w:val="none"/>
          <w:lang w:val="en-US" w:eastAsia="zh-CN"/>
        </w:rPr>
        <w:t>23.7</w:t>
      </w:r>
      <w:r>
        <w:rPr>
          <w:rFonts w:hint="eastAsia" w:eastAsia="方正仿宋_GBK" w:cs="Times New Roman"/>
          <w:spacing w:val="-6"/>
          <w:sz w:val="32"/>
          <w:szCs w:val="32"/>
          <w:highlight w:val="none"/>
          <w:lang w:val="en-US" w:eastAsia="zh-CN"/>
        </w:rPr>
        <w:t>亿元，动用预算稳定调节基金</w:t>
      </w:r>
      <w:r>
        <w:rPr>
          <w:rFonts w:hint="default" w:eastAsia="方正仿宋_GBK" w:cs="Times New Roman"/>
          <w:spacing w:val="-6"/>
          <w:sz w:val="32"/>
          <w:szCs w:val="32"/>
          <w:highlight w:val="none"/>
          <w:lang w:val="en-US" w:eastAsia="zh-CN"/>
        </w:rPr>
        <w:t>3.17</w:t>
      </w:r>
      <w:r>
        <w:rPr>
          <w:rFonts w:hint="eastAsia" w:eastAsia="方正仿宋_GBK" w:cs="Times New Roman"/>
          <w:spacing w:val="-6"/>
          <w:sz w:val="32"/>
          <w:szCs w:val="32"/>
          <w:highlight w:val="none"/>
          <w:lang w:val="en-US" w:eastAsia="zh-CN"/>
        </w:rPr>
        <w:t>亿元，上年结转</w:t>
      </w:r>
      <w:r>
        <w:rPr>
          <w:rFonts w:hint="default" w:eastAsia="方正仿宋_GBK" w:cs="Times New Roman"/>
          <w:spacing w:val="-6"/>
          <w:sz w:val="32"/>
          <w:szCs w:val="32"/>
          <w:highlight w:val="none"/>
          <w:lang w:val="en-US" w:eastAsia="zh-CN"/>
        </w:rPr>
        <w:t>1.94</w:t>
      </w:r>
      <w:r>
        <w:rPr>
          <w:rFonts w:hint="eastAsia" w:eastAsia="方正仿宋_GBK" w:cs="Times New Roman"/>
          <w:spacing w:val="-6"/>
          <w:sz w:val="32"/>
          <w:szCs w:val="32"/>
          <w:highlight w:val="none"/>
          <w:lang w:val="en-US" w:eastAsia="zh-CN"/>
        </w:rPr>
        <w:t>亿元，调入资金</w:t>
      </w:r>
      <w:r>
        <w:rPr>
          <w:rFonts w:hint="default" w:eastAsia="方正仿宋_GBK" w:cs="Times New Roman"/>
          <w:spacing w:val="-6"/>
          <w:sz w:val="32"/>
          <w:szCs w:val="32"/>
          <w:highlight w:val="none"/>
          <w:lang w:val="en-US" w:eastAsia="zh-CN"/>
        </w:rPr>
        <w:t>4.34</w:t>
      </w:r>
      <w:r>
        <w:rPr>
          <w:rFonts w:hint="eastAsia" w:eastAsia="方正仿宋_GBK" w:cs="Times New Roman"/>
          <w:spacing w:val="-6"/>
          <w:sz w:val="32"/>
          <w:szCs w:val="32"/>
          <w:highlight w:val="none"/>
          <w:lang w:val="en-US" w:eastAsia="zh-CN"/>
        </w:rPr>
        <w:t>亿元，债务转贷收入</w:t>
      </w:r>
      <w:r>
        <w:rPr>
          <w:rFonts w:hint="default" w:eastAsia="方正仿宋_GBK" w:cs="Times New Roman"/>
          <w:spacing w:val="-6"/>
          <w:sz w:val="32"/>
          <w:szCs w:val="32"/>
          <w:highlight w:val="none"/>
          <w:lang w:val="en-US" w:eastAsia="zh-CN"/>
        </w:rPr>
        <w:t>2.78</w:t>
      </w:r>
      <w:r>
        <w:rPr>
          <w:rFonts w:hint="eastAsia" w:eastAsia="方正仿宋_GBK" w:cs="Times New Roman"/>
          <w:spacing w:val="-6"/>
          <w:sz w:val="32"/>
          <w:szCs w:val="32"/>
          <w:highlight w:val="none"/>
          <w:lang w:val="en-US" w:eastAsia="zh-CN"/>
        </w:rPr>
        <w:t>亿元，收入总计为</w:t>
      </w:r>
      <w:r>
        <w:rPr>
          <w:rFonts w:hint="default" w:eastAsia="方正仿宋_GBK" w:cs="Times New Roman"/>
          <w:spacing w:val="-6"/>
          <w:sz w:val="32"/>
          <w:szCs w:val="32"/>
          <w:highlight w:val="none"/>
          <w:lang w:val="en-US" w:eastAsia="zh-CN"/>
        </w:rPr>
        <w:t>56.06</w:t>
      </w:r>
      <w:r>
        <w:rPr>
          <w:rFonts w:hint="eastAsia" w:eastAsia="方正仿宋_GBK" w:cs="Times New Roman"/>
          <w:spacing w:val="-6"/>
          <w:sz w:val="32"/>
          <w:szCs w:val="32"/>
          <w:highlight w:val="none"/>
          <w:lang w:val="en-US" w:eastAsia="zh-CN"/>
        </w:rPr>
        <w:t>亿元。一般公共预算支出</w:t>
      </w:r>
      <w:r>
        <w:rPr>
          <w:rFonts w:hint="default" w:eastAsia="方正仿宋_GBK" w:cs="Times New Roman"/>
          <w:spacing w:val="-6"/>
          <w:sz w:val="32"/>
          <w:szCs w:val="32"/>
          <w:highlight w:val="none"/>
          <w:lang w:val="en-US" w:eastAsia="zh-CN"/>
        </w:rPr>
        <w:t>41.37</w:t>
      </w:r>
      <w:r>
        <w:rPr>
          <w:rFonts w:hint="eastAsia" w:eastAsia="方正仿宋_GBK" w:cs="Times New Roman"/>
          <w:spacing w:val="-6"/>
          <w:sz w:val="32"/>
          <w:szCs w:val="32"/>
          <w:highlight w:val="none"/>
          <w:lang w:val="en-US" w:eastAsia="zh-CN"/>
        </w:rPr>
        <w:t>亿元，上解上级支出</w:t>
      </w:r>
      <w:r>
        <w:rPr>
          <w:rFonts w:hint="default" w:eastAsia="方正仿宋_GBK" w:cs="Times New Roman"/>
          <w:spacing w:val="-6"/>
          <w:sz w:val="32"/>
          <w:szCs w:val="32"/>
          <w:highlight w:val="none"/>
          <w:lang w:val="en-US" w:eastAsia="zh-CN"/>
        </w:rPr>
        <w:t>9.04</w:t>
      </w:r>
      <w:r>
        <w:rPr>
          <w:rFonts w:hint="eastAsia" w:eastAsia="方正仿宋_GBK" w:cs="Times New Roman"/>
          <w:spacing w:val="-6"/>
          <w:sz w:val="32"/>
          <w:szCs w:val="32"/>
          <w:highlight w:val="none"/>
          <w:lang w:val="en-US" w:eastAsia="zh-CN"/>
        </w:rPr>
        <w:t>亿元，债务还本支出</w:t>
      </w:r>
      <w:r>
        <w:rPr>
          <w:rFonts w:hint="default" w:eastAsia="方正仿宋_GBK" w:cs="Times New Roman"/>
          <w:spacing w:val="-6"/>
          <w:sz w:val="32"/>
          <w:szCs w:val="32"/>
          <w:highlight w:val="none"/>
          <w:lang w:val="en-US" w:eastAsia="zh-CN"/>
        </w:rPr>
        <w:t>1.21</w:t>
      </w:r>
      <w:r>
        <w:rPr>
          <w:rFonts w:hint="eastAsia" w:eastAsia="方正仿宋_GBK" w:cs="Times New Roman"/>
          <w:spacing w:val="-6"/>
          <w:sz w:val="32"/>
          <w:szCs w:val="32"/>
          <w:highlight w:val="none"/>
          <w:lang w:val="en-US" w:eastAsia="zh-CN"/>
        </w:rPr>
        <w:t>亿元，结转下年支出</w:t>
      </w:r>
      <w:r>
        <w:rPr>
          <w:rFonts w:hint="default" w:eastAsia="方正仿宋_GBK" w:cs="Times New Roman"/>
          <w:spacing w:val="-6"/>
          <w:sz w:val="32"/>
          <w:szCs w:val="32"/>
          <w:highlight w:val="none"/>
          <w:lang w:val="en-US" w:eastAsia="zh-CN"/>
        </w:rPr>
        <w:t>2.77</w:t>
      </w:r>
      <w:r>
        <w:rPr>
          <w:rFonts w:hint="eastAsia" w:eastAsia="方正仿宋_GBK" w:cs="Times New Roman"/>
          <w:spacing w:val="-6"/>
          <w:sz w:val="32"/>
          <w:szCs w:val="32"/>
          <w:highlight w:val="none"/>
          <w:lang w:val="en-US" w:eastAsia="zh-CN"/>
        </w:rPr>
        <w:t>亿元，调出资金</w:t>
      </w:r>
      <w:r>
        <w:rPr>
          <w:rFonts w:hint="default" w:eastAsia="方正仿宋_GBK" w:cs="Times New Roman"/>
          <w:spacing w:val="-6"/>
          <w:sz w:val="32"/>
          <w:szCs w:val="32"/>
          <w:highlight w:val="none"/>
          <w:lang w:val="en-US" w:eastAsia="zh-CN"/>
        </w:rPr>
        <w:t>1.28</w:t>
      </w:r>
      <w:r>
        <w:rPr>
          <w:rFonts w:hint="eastAsia" w:eastAsia="方正仿宋_GBK" w:cs="Times New Roman"/>
          <w:spacing w:val="-6"/>
          <w:sz w:val="32"/>
          <w:szCs w:val="32"/>
          <w:highlight w:val="none"/>
          <w:lang w:val="en-US" w:eastAsia="zh-CN"/>
        </w:rPr>
        <w:t>亿元，安排预算稳定调节基金</w:t>
      </w:r>
      <w:r>
        <w:rPr>
          <w:rFonts w:hint="default" w:eastAsia="方正仿宋_GBK" w:cs="Times New Roman"/>
          <w:spacing w:val="-6"/>
          <w:sz w:val="32"/>
          <w:szCs w:val="32"/>
          <w:highlight w:val="none"/>
          <w:lang w:val="en-US" w:eastAsia="zh-CN"/>
        </w:rPr>
        <w:t>3900</w:t>
      </w:r>
      <w:r>
        <w:rPr>
          <w:rFonts w:hint="eastAsia" w:eastAsia="方正仿宋_GBK" w:cs="Times New Roman"/>
          <w:spacing w:val="-6"/>
          <w:sz w:val="32"/>
          <w:szCs w:val="32"/>
          <w:highlight w:val="none"/>
          <w:lang w:val="en-US" w:eastAsia="zh-CN"/>
        </w:rPr>
        <w:t>万元，支出总计为</w:t>
      </w:r>
      <w:r>
        <w:rPr>
          <w:rFonts w:hint="default" w:eastAsia="方正仿宋_GBK" w:cs="Times New Roman"/>
          <w:spacing w:val="-6"/>
          <w:sz w:val="32"/>
          <w:szCs w:val="32"/>
          <w:highlight w:val="none"/>
          <w:lang w:val="en-US" w:eastAsia="zh-CN"/>
        </w:rPr>
        <w:t>56.06</w:t>
      </w:r>
      <w:r>
        <w:rPr>
          <w:rFonts w:hint="eastAsia" w:eastAsia="方正仿宋_GBK" w:cs="Times New Roman"/>
          <w:spacing w:val="-6"/>
          <w:sz w:val="32"/>
          <w:szCs w:val="32"/>
          <w:highlight w:val="none"/>
          <w:lang w:val="en-US" w:eastAsia="zh-CN"/>
        </w:rPr>
        <w:t>亿元。收支相抵，当年财政收支平衡。</w:t>
      </w:r>
    </w:p>
    <w:p w14:paraId="6EB40706">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24" w:firstLineChars="200"/>
        <w:jc w:val="both"/>
        <w:textAlignment w:val="auto"/>
        <w:rPr>
          <w:rFonts w:hint="eastAsia" w:ascii="Times New Roman" w:hAnsi="Times New Roman" w:eastAsia="方正楷体_GBK" w:cs="方正楷体_GBK"/>
          <w:b w:val="0"/>
          <w:bCs w:val="0"/>
          <w:spacing w:val="-4"/>
          <w:sz w:val="32"/>
          <w:szCs w:val="32"/>
          <w:highlight w:val="none"/>
          <w:u w:val="none"/>
        </w:rPr>
      </w:pPr>
      <w:r>
        <w:rPr>
          <w:rFonts w:hint="eastAsia" w:ascii="Times New Roman" w:hAnsi="Times New Roman" w:eastAsia="方正楷体_GBK" w:cs="方正楷体_GBK"/>
          <w:b w:val="0"/>
          <w:bCs w:val="0"/>
          <w:spacing w:val="-4"/>
          <w:kern w:val="0"/>
          <w:sz w:val="32"/>
          <w:szCs w:val="32"/>
          <w:highlight w:val="none"/>
          <w:u w:val="none"/>
        </w:rPr>
        <w:t>（二）政府性基金预算执行情况</w:t>
      </w:r>
    </w:p>
    <w:p w14:paraId="19AA19C9">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16" w:firstLineChars="200"/>
        <w:jc w:val="both"/>
        <w:textAlignment w:val="auto"/>
        <w:rPr>
          <w:rFonts w:hint="eastAsia" w:eastAsia="方正仿宋_GBK" w:cs="Times New Roman"/>
          <w:spacing w:val="-6"/>
          <w:sz w:val="32"/>
          <w:szCs w:val="32"/>
          <w:highlight w:val="none"/>
          <w:lang w:val="en-US" w:eastAsia="zh-CN"/>
        </w:rPr>
      </w:pPr>
      <w:r>
        <w:rPr>
          <w:rFonts w:hint="eastAsia" w:eastAsia="方正仿宋_GBK" w:cs="Times New Roman"/>
          <w:spacing w:val="-6"/>
          <w:sz w:val="32"/>
          <w:szCs w:val="32"/>
          <w:highlight w:val="none"/>
          <w:lang w:val="en-US" w:eastAsia="zh-CN"/>
        </w:rPr>
        <w:t>2023年，全区政府性基金收入完成</w:t>
      </w:r>
      <w:r>
        <w:rPr>
          <w:rFonts w:hint="default" w:eastAsia="方正仿宋_GBK" w:cs="Times New Roman"/>
          <w:spacing w:val="-6"/>
          <w:sz w:val="32"/>
          <w:szCs w:val="32"/>
          <w:highlight w:val="none"/>
          <w:lang w:val="en-US" w:eastAsia="zh-CN"/>
        </w:rPr>
        <w:t>8.85</w:t>
      </w:r>
      <w:r>
        <w:rPr>
          <w:rFonts w:hint="eastAsia" w:eastAsia="方正仿宋_GBK" w:cs="Times New Roman"/>
          <w:spacing w:val="-6"/>
          <w:sz w:val="32"/>
          <w:szCs w:val="32"/>
          <w:highlight w:val="none"/>
          <w:lang w:val="en-US" w:eastAsia="zh-CN"/>
        </w:rPr>
        <w:t>亿元，占调整预算的</w:t>
      </w:r>
      <w:r>
        <w:rPr>
          <w:rFonts w:hint="default" w:eastAsia="方正仿宋_GBK" w:cs="Times New Roman"/>
          <w:spacing w:val="-6"/>
          <w:sz w:val="32"/>
          <w:szCs w:val="32"/>
          <w:highlight w:val="none"/>
          <w:lang w:val="en-US" w:eastAsia="zh-CN"/>
        </w:rPr>
        <w:t>101.7</w:t>
      </w:r>
      <w:r>
        <w:rPr>
          <w:rFonts w:hint="eastAsia" w:eastAsia="方正仿宋_GBK" w:cs="Times New Roman"/>
          <w:spacing w:val="-6"/>
          <w:sz w:val="32"/>
          <w:szCs w:val="32"/>
          <w:highlight w:val="none"/>
          <w:lang w:val="en-US" w:eastAsia="zh-CN"/>
        </w:rPr>
        <w:t>%，较上年下降</w:t>
      </w:r>
      <w:r>
        <w:rPr>
          <w:rFonts w:hint="default" w:eastAsia="方正仿宋_GBK" w:cs="Times New Roman"/>
          <w:spacing w:val="-6"/>
          <w:sz w:val="32"/>
          <w:szCs w:val="32"/>
          <w:highlight w:val="none"/>
          <w:lang w:val="en-US" w:eastAsia="zh-CN"/>
        </w:rPr>
        <w:t>17.2</w:t>
      </w:r>
      <w:r>
        <w:rPr>
          <w:rFonts w:hint="eastAsia" w:eastAsia="方正仿宋_GBK" w:cs="Times New Roman"/>
          <w:spacing w:val="-6"/>
          <w:sz w:val="32"/>
          <w:szCs w:val="32"/>
          <w:highlight w:val="none"/>
          <w:lang w:val="en-US" w:eastAsia="zh-CN"/>
        </w:rPr>
        <w:t>%，减收</w:t>
      </w:r>
      <w:r>
        <w:rPr>
          <w:rFonts w:hint="default" w:eastAsia="方正仿宋_GBK" w:cs="Times New Roman"/>
          <w:spacing w:val="-6"/>
          <w:sz w:val="32"/>
          <w:szCs w:val="32"/>
          <w:highlight w:val="none"/>
          <w:lang w:val="en-US" w:eastAsia="zh-CN"/>
        </w:rPr>
        <w:t>1.83</w:t>
      </w:r>
      <w:r>
        <w:rPr>
          <w:rFonts w:hint="eastAsia" w:eastAsia="方正仿宋_GBK" w:cs="Times New Roman"/>
          <w:spacing w:val="-6"/>
          <w:sz w:val="32"/>
          <w:szCs w:val="32"/>
          <w:highlight w:val="none"/>
          <w:lang w:val="en-US" w:eastAsia="zh-CN"/>
        </w:rPr>
        <w:t>亿元，其中：国有土地使用权出让收入</w:t>
      </w:r>
      <w:r>
        <w:rPr>
          <w:rFonts w:hint="default" w:eastAsia="方正仿宋_GBK" w:cs="Times New Roman"/>
          <w:spacing w:val="-6"/>
          <w:sz w:val="32"/>
          <w:szCs w:val="32"/>
          <w:highlight w:val="none"/>
          <w:lang w:val="en-US" w:eastAsia="zh-CN"/>
        </w:rPr>
        <w:t>7.41</w:t>
      </w:r>
      <w:r>
        <w:rPr>
          <w:rFonts w:hint="eastAsia" w:eastAsia="方正仿宋_GBK" w:cs="Times New Roman"/>
          <w:spacing w:val="-6"/>
          <w:sz w:val="32"/>
          <w:szCs w:val="32"/>
          <w:highlight w:val="none"/>
          <w:lang w:val="en-US" w:eastAsia="zh-CN"/>
        </w:rPr>
        <w:t>亿元，国有土地收益基金收入</w:t>
      </w:r>
      <w:r>
        <w:rPr>
          <w:rFonts w:hint="default" w:eastAsia="方正仿宋_GBK" w:cs="Times New Roman"/>
          <w:spacing w:val="-6"/>
          <w:sz w:val="32"/>
          <w:szCs w:val="32"/>
          <w:highlight w:val="none"/>
          <w:lang w:val="en-US" w:eastAsia="zh-CN"/>
        </w:rPr>
        <w:t>6144</w:t>
      </w:r>
      <w:r>
        <w:rPr>
          <w:rFonts w:hint="eastAsia" w:eastAsia="方正仿宋_GBK" w:cs="Times New Roman"/>
          <w:spacing w:val="-6"/>
          <w:sz w:val="32"/>
          <w:szCs w:val="32"/>
          <w:highlight w:val="none"/>
          <w:lang w:val="en-US" w:eastAsia="zh-CN"/>
        </w:rPr>
        <w:t>万元，城市基础设施配套费收入</w:t>
      </w:r>
      <w:r>
        <w:rPr>
          <w:rFonts w:hint="default" w:eastAsia="方正仿宋_GBK" w:cs="Times New Roman"/>
          <w:spacing w:val="-6"/>
          <w:sz w:val="32"/>
          <w:szCs w:val="32"/>
          <w:highlight w:val="none"/>
          <w:lang w:val="en-US" w:eastAsia="zh-CN"/>
        </w:rPr>
        <w:t>5710</w:t>
      </w:r>
      <w:r>
        <w:rPr>
          <w:rFonts w:hint="eastAsia" w:eastAsia="方正仿宋_GBK" w:cs="Times New Roman"/>
          <w:spacing w:val="-6"/>
          <w:sz w:val="32"/>
          <w:szCs w:val="32"/>
          <w:highlight w:val="none"/>
          <w:lang w:val="en-US" w:eastAsia="zh-CN"/>
        </w:rPr>
        <w:t>万元，污水处理费收入</w:t>
      </w:r>
      <w:r>
        <w:rPr>
          <w:rFonts w:hint="default" w:eastAsia="方正仿宋_GBK" w:cs="Times New Roman"/>
          <w:spacing w:val="-6"/>
          <w:sz w:val="32"/>
          <w:szCs w:val="32"/>
          <w:highlight w:val="none"/>
          <w:lang w:val="en-US" w:eastAsia="zh-CN"/>
        </w:rPr>
        <w:t>847</w:t>
      </w:r>
      <w:r>
        <w:rPr>
          <w:rFonts w:hint="eastAsia" w:eastAsia="方正仿宋_GBK" w:cs="Times New Roman"/>
          <w:spacing w:val="-6"/>
          <w:sz w:val="32"/>
          <w:szCs w:val="32"/>
          <w:highlight w:val="none"/>
          <w:lang w:val="en-US" w:eastAsia="zh-CN"/>
        </w:rPr>
        <w:t>万元，农业土地开发收入</w:t>
      </w:r>
      <w:r>
        <w:rPr>
          <w:rFonts w:hint="default" w:eastAsia="方正仿宋_GBK" w:cs="Times New Roman"/>
          <w:spacing w:val="-6"/>
          <w:sz w:val="32"/>
          <w:szCs w:val="32"/>
          <w:highlight w:val="none"/>
          <w:lang w:val="en-US" w:eastAsia="zh-CN"/>
        </w:rPr>
        <w:t>160</w:t>
      </w:r>
      <w:r>
        <w:rPr>
          <w:rFonts w:hint="eastAsia" w:eastAsia="方正仿宋_GBK" w:cs="Times New Roman"/>
          <w:spacing w:val="-6"/>
          <w:sz w:val="32"/>
          <w:szCs w:val="32"/>
          <w:highlight w:val="none"/>
          <w:lang w:val="en-US" w:eastAsia="zh-CN"/>
        </w:rPr>
        <w:t>万元，彩票公益金收入</w:t>
      </w:r>
      <w:r>
        <w:rPr>
          <w:rFonts w:hint="default" w:eastAsia="方正仿宋_GBK" w:cs="Times New Roman"/>
          <w:spacing w:val="-6"/>
          <w:sz w:val="32"/>
          <w:szCs w:val="32"/>
          <w:highlight w:val="none"/>
          <w:lang w:val="en-US" w:eastAsia="zh-CN"/>
        </w:rPr>
        <w:t>261</w:t>
      </w:r>
      <w:r>
        <w:rPr>
          <w:rFonts w:hint="eastAsia" w:eastAsia="方正仿宋_GBK" w:cs="Times New Roman"/>
          <w:spacing w:val="-6"/>
          <w:sz w:val="32"/>
          <w:szCs w:val="32"/>
          <w:highlight w:val="none"/>
          <w:lang w:val="en-US" w:eastAsia="zh-CN"/>
        </w:rPr>
        <w:t>万元，</w:t>
      </w:r>
      <w:r>
        <w:rPr>
          <w:rFonts w:hint="eastAsia" w:eastAsia="方正仿宋_GBK" w:cs="Times New Roman"/>
          <w:spacing w:val="-6"/>
          <w:sz w:val="32"/>
          <w:szCs w:val="32"/>
          <w:highlight w:val="none"/>
          <w:u w:val="none"/>
          <w:lang w:val="en-US" w:eastAsia="zh-CN"/>
        </w:rPr>
        <w:t>其他政府性基金收入</w:t>
      </w:r>
      <w:r>
        <w:rPr>
          <w:rFonts w:hint="default" w:eastAsia="方正仿宋_GBK" w:cs="Times New Roman"/>
          <w:spacing w:val="-6"/>
          <w:sz w:val="32"/>
          <w:szCs w:val="32"/>
          <w:highlight w:val="none"/>
          <w:u w:val="none"/>
          <w:lang w:val="en-US" w:eastAsia="zh-CN"/>
        </w:rPr>
        <w:t>375</w:t>
      </w:r>
      <w:r>
        <w:rPr>
          <w:rFonts w:hint="eastAsia" w:eastAsia="方正仿宋_GBK" w:cs="Times New Roman"/>
          <w:spacing w:val="-6"/>
          <w:sz w:val="32"/>
          <w:szCs w:val="32"/>
          <w:highlight w:val="none"/>
          <w:u w:val="none"/>
          <w:lang w:val="en-US" w:eastAsia="zh-CN"/>
        </w:rPr>
        <w:t>万元，其他地方自行试点项目收益专项债券对应项目专项收入</w:t>
      </w:r>
      <w:r>
        <w:rPr>
          <w:rFonts w:hint="default" w:eastAsia="方正仿宋_GBK" w:cs="Times New Roman"/>
          <w:spacing w:val="-6"/>
          <w:sz w:val="32"/>
          <w:szCs w:val="32"/>
          <w:highlight w:val="none"/>
          <w:u w:val="none"/>
          <w:lang w:val="en-US" w:eastAsia="zh-CN"/>
        </w:rPr>
        <w:t>846</w:t>
      </w:r>
      <w:r>
        <w:rPr>
          <w:rFonts w:hint="eastAsia" w:eastAsia="方正仿宋_GBK" w:cs="Times New Roman"/>
          <w:spacing w:val="-6"/>
          <w:sz w:val="32"/>
          <w:szCs w:val="32"/>
          <w:highlight w:val="none"/>
          <w:u w:val="none"/>
          <w:lang w:val="en-US" w:eastAsia="zh-CN"/>
        </w:rPr>
        <w:t>万元。</w:t>
      </w:r>
      <w:r>
        <w:rPr>
          <w:rFonts w:hint="eastAsia" w:eastAsia="方正仿宋_GBK" w:cs="Times New Roman"/>
          <w:spacing w:val="-6"/>
          <w:sz w:val="32"/>
          <w:szCs w:val="32"/>
          <w:highlight w:val="none"/>
          <w:lang w:val="en-US" w:eastAsia="zh-CN"/>
        </w:rPr>
        <w:t>全区政府性基金支出完成</w:t>
      </w:r>
      <w:r>
        <w:rPr>
          <w:rFonts w:hint="default" w:eastAsia="方正仿宋_GBK" w:cs="Times New Roman"/>
          <w:spacing w:val="-6"/>
          <w:sz w:val="32"/>
          <w:szCs w:val="32"/>
          <w:highlight w:val="none"/>
          <w:lang w:val="en-US" w:eastAsia="zh-CN"/>
        </w:rPr>
        <w:t>28.39</w:t>
      </w:r>
      <w:r>
        <w:rPr>
          <w:rFonts w:hint="eastAsia" w:eastAsia="方正仿宋_GBK" w:cs="Times New Roman"/>
          <w:spacing w:val="-6"/>
          <w:sz w:val="32"/>
          <w:szCs w:val="32"/>
          <w:highlight w:val="none"/>
          <w:lang w:val="en-US" w:eastAsia="zh-CN"/>
        </w:rPr>
        <w:t>亿元，占调整预算的</w:t>
      </w:r>
      <w:r>
        <w:rPr>
          <w:rFonts w:hint="default" w:eastAsia="方正仿宋_GBK" w:cs="Times New Roman"/>
          <w:spacing w:val="-6"/>
          <w:sz w:val="32"/>
          <w:szCs w:val="32"/>
          <w:highlight w:val="none"/>
          <w:lang w:val="en-US" w:eastAsia="zh-CN"/>
        </w:rPr>
        <w:t>98</w:t>
      </w:r>
      <w:r>
        <w:rPr>
          <w:rFonts w:hint="eastAsia" w:eastAsia="方正仿宋_GBK" w:cs="Times New Roman"/>
          <w:spacing w:val="-6"/>
          <w:sz w:val="32"/>
          <w:szCs w:val="32"/>
          <w:highlight w:val="none"/>
          <w:lang w:val="en-US" w:eastAsia="zh-CN"/>
        </w:rPr>
        <w:t>%，较上年下降</w:t>
      </w:r>
      <w:r>
        <w:rPr>
          <w:rFonts w:hint="default" w:eastAsia="方正仿宋_GBK" w:cs="Times New Roman"/>
          <w:spacing w:val="-6"/>
          <w:sz w:val="32"/>
          <w:szCs w:val="32"/>
          <w:highlight w:val="none"/>
          <w:lang w:val="en-US" w:eastAsia="zh-CN"/>
        </w:rPr>
        <w:t>28.2</w:t>
      </w:r>
      <w:r>
        <w:rPr>
          <w:rFonts w:hint="eastAsia" w:eastAsia="方正仿宋_GBK" w:cs="Times New Roman"/>
          <w:spacing w:val="-6"/>
          <w:sz w:val="32"/>
          <w:szCs w:val="32"/>
          <w:highlight w:val="none"/>
          <w:lang w:val="en-US" w:eastAsia="zh-CN"/>
        </w:rPr>
        <w:t>%，减支</w:t>
      </w:r>
      <w:r>
        <w:rPr>
          <w:rFonts w:hint="default" w:eastAsia="方正仿宋_GBK" w:cs="Times New Roman"/>
          <w:spacing w:val="-6"/>
          <w:sz w:val="32"/>
          <w:szCs w:val="32"/>
          <w:highlight w:val="none"/>
          <w:lang w:val="en-US" w:eastAsia="zh-CN"/>
        </w:rPr>
        <w:t>11.15</w:t>
      </w:r>
      <w:r>
        <w:rPr>
          <w:rFonts w:hint="eastAsia" w:eastAsia="方正仿宋_GBK" w:cs="Times New Roman"/>
          <w:spacing w:val="-6"/>
          <w:sz w:val="32"/>
          <w:szCs w:val="32"/>
          <w:highlight w:val="none"/>
          <w:lang w:val="en-US" w:eastAsia="zh-CN"/>
        </w:rPr>
        <w:t>亿元。</w:t>
      </w:r>
    </w:p>
    <w:p w14:paraId="32DB964B">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16" w:firstLineChars="200"/>
        <w:jc w:val="both"/>
        <w:textAlignment w:val="auto"/>
        <w:rPr>
          <w:rFonts w:hint="default"/>
          <w:highlight w:val="none"/>
          <w:lang w:val="en-US" w:eastAsia="zh-CN"/>
        </w:rPr>
      </w:pPr>
      <w:r>
        <w:rPr>
          <w:rFonts w:hint="eastAsia" w:eastAsia="方正仿宋_GBK" w:cs="Times New Roman"/>
          <w:spacing w:val="-6"/>
          <w:sz w:val="32"/>
          <w:szCs w:val="32"/>
          <w:highlight w:val="none"/>
          <w:lang w:val="en-US" w:eastAsia="zh-CN"/>
        </w:rPr>
        <w:t>2023年，政府性基金预算收入</w:t>
      </w:r>
      <w:r>
        <w:rPr>
          <w:rFonts w:hint="default" w:eastAsia="方正仿宋_GBK" w:cs="Times New Roman"/>
          <w:spacing w:val="-6"/>
          <w:sz w:val="32"/>
          <w:szCs w:val="32"/>
          <w:highlight w:val="none"/>
          <w:lang w:val="en-US" w:eastAsia="zh-CN"/>
        </w:rPr>
        <w:t>8.85</w:t>
      </w:r>
      <w:r>
        <w:rPr>
          <w:rFonts w:hint="eastAsia" w:eastAsia="方正仿宋_GBK" w:cs="Times New Roman"/>
          <w:spacing w:val="-6"/>
          <w:sz w:val="32"/>
          <w:szCs w:val="32"/>
          <w:highlight w:val="none"/>
          <w:lang w:val="en-US" w:eastAsia="zh-CN"/>
        </w:rPr>
        <w:t>亿元，上级补助收入</w:t>
      </w:r>
      <w:r>
        <w:rPr>
          <w:rFonts w:hint="default" w:eastAsia="方正仿宋_GBK" w:cs="Times New Roman"/>
          <w:spacing w:val="-6"/>
          <w:sz w:val="32"/>
          <w:szCs w:val="32"/>
          <w:highlight w:val="none"/>
          <w:lang w:val="en-US" w:eastAsia="zh-CN"/>
        </w:rPr>
        <w:t>3330</w:t>
      </w:r>
      <w:r>
        <w:rPr>
          <w:rFonts w:hint="eastAsia" w:eastAsia="方正仿宋_GBK" w:cs="Times New Roman"/>
          <w:spacing w:val="-6"/>
          <w:sz w:val="32"/>
          <w:szCs w:val="32"/>
          <w:highlight w:val="none"/>
          <w:lang w:val="en-US" w:eastAsia="zh-CN"/>
        </w:rPr>
        <w:t>万元，上年结转</w:t>
      </w:r>
      <w:r>
        <w:rPr>
          <w:rFonts w:hint="default" w:eastAsia="方正仿宋_GBK" w:cs="Times New Roman"/>
          <w:spacing w:val="-6"/>
          <w:sz w:val="32"/>
          <w:szCs w:val="32"/>
          <w:highlight w:val="none"/>
          <w:lang w:val="en-US" w:eastAsia="zh-CN"/>
        </w:rPr>
        <w:t>4.99</w:t>
      </w:r>
      <w:r>
        <w:rPr>
          <w:rFonts w:hint="eastAsia" w:eastAsia="方正仿宋_GBK" w:cs="Times New Roman"/>
          <w:spacing w:val="-6"/>
          <w:sz w:val="32"/>
          <w:szCs w:val="32"/>
          <w:highlight w:val="none"/>
          <w:lang w:val="en-US" w:eastAsia="zh-CN"/>
        </w:rPr>
        <w:t>亿元，调入资金</w:t>
      </w:r>
      <w:r>
        <w:rPr>
          <w:rFonts w:hint="default" w:eastAsia="方正仿宋_GBK" w:cs="Times New Roman"/>
          <w:spacing w:val="-6"/>
          <w:sz w:val="32"/>
          <w:szCs w:val="32"/>
          <w:highlight w:val="none"/>
          <w:lang w:val="en-US" w:eastAsia="zh-CN"/>
        </w:rPr>
        <w:t>2.22</w:t>
      </w:r>
      <w:r>
        <w:rPr>
          <w:rFonts w:hint="eastAsia" w:eastAsia="方正仿宋_GBK" w:cs="Times New Roman"/>
          <w:spacing w:val="-6"/>
          <w:sz w:val="32"/>
          <w:szCs w:val="32"/>
          <w:highlight w:val="none"/>
          <w:lang w:val="en-US" w:eastAsia="zh-CN"/>
        </w:rPr>
        <w:t>亿元，债务转贷收入</w:t>
      </w:r>
      <w:r>
        <w:rPr>
          <w:rFonts w:hint="default" w:eastAsia="方正仿宋_GBK" w:cs="Times New Roman"/>
          <w:spacing w:val="-6"/>
          <w:sz w:val="32"/>
          <w:szCs w:val="32"/>
          <w:highlight w:val="none"/>
          <w:lang w:val="en-US" w:eastAsia="zh-CN"/>
        </w:rPr>
        <w:t>13.45</w:t>
      </w:r>
      <w:r>
        <w:rPr>
          <w:rFonts w:hint="eastAsia" w:eastAsia="方正仿宋_GBK" w:cs="Times New Roman"/>
          <w:spacing w:val="-6"/>
          <w:sz w:val="32"/>
          <w:szCs w:val="32"/>
          <w:highlight w:val="none"/>
          <w:lang w:val="en-US" w:eastAsia="zh-CN"/>
        </w:rPr>
        <w:t>亿元，收入总计为</w:t>
      </w:r>
      <w:r>
        <w:rPr>
          <w:rFonts w:hint="default" w:eastAsia="方正仿宋_GBK" w:cs="Times New Roman"/>
          <w:spacing w:val="-6"/>
          <w:sz w:val="32"/>
          <w:szCs w:val="32"/>
          <w:highlight w:val="none"/>
          <w:lang w:val="en-US" w:eastAsia="zh-CN"/>
        </w:rPr>
        <w:t>29.84</w:t>
      </w:r>
      <w:r>
        <w:rPr>
          <w:rFonts w:hint="eastAsia" w:eastAsia="方正仿宋_GBK" w:cs="Times New Roman"/>
          <w:spacing w:val="-6"/>
          <w:sz w:val="32"/>
          <w:szCs w:val="32"/>
          <w:highlight w:val="none"/>
          <w:lang w:val="en-US" w:eastAsia="zh-CN"/>
        </w:rPr>
        <w:t>亿元。政府性基金预算支出</w:t>
      </w:r>
      <w:r>
        <w:rPr>
          <w:rFonts w:hint="default" w:eastAsia="方正仿宋_GBK" w:cs="Times New Roman"/>
          <w:spacing w:val="-6"/>
          <w:sz w:val="32"/>
          <w:szCs w:val="32"/>
          <w:highlight w:val="none"/>
          <w:lang w:val="en-US" w:eastAsia="zh-CN"/>
        </w:rPr>
        <w:t>28.39</w:t>
      </w:r>
      <w:r>
        <w:rPr>
          <w:rFonts w:hint="eastAsia" w:eastAsia="方正仿宋_GBK" w:cs="Times New Roman"/>
          <w:spacing w:val="-6"/>
          <w:sz w:val="32"/>
          <w:szCs w:val="32"/>
          <w:highlight w:val="none"/>
          <w:lang w:val="en-US" w:eastAsia="zh-CN"/>
        </w:rPr>
        <w:t>亿元，结转下年支出</w:t>
      </w:r>
      <w:r>
        <w:rPr>
          <w:rFonts w:hint="default" w:eastAsia="方正仿宋_GBK" w:cs="Times New Roman"/>
          <w:spacing w:val="-6"/>
          <w:sz w:val="32"/>
          <w:szCs w:val="32"/>
          <w:highlight w:val="none"/>
          <w:lang w:val="en-US" w:eastAsia="zh-CN"/>
        </w:rPr>
        <w:t>5648</w:t>
      </w:r>
      <w:r>
        <w:rPr>
          <w:rFonts w:hint="eastAsia" w:eastAsia="方正仿宋_GBK" w:cs="Times New Roman"/>
          <w:spacing w:val="-6"/>
          <w:sz w:val="32"/>
          <w:szCs w:val="32"/>
          <w:highlight w:val="none"/>
          <w:lang w:val="en-US" w:eastAsia="zh-CN"/>
        </w:rPr>
        <w:t>万元，调出资金</w:t>
      </w:r>
      <w:r>
        <w:rPr>
          <w:rFonts w:hint="default" w:eastAsia="方正仿宋_GBK" w:cs="Times New Roman"/>
          <w:spacing w:val="-6"/>
          <w:sz w:val="32"/>
          <w:szCs w:val="32"/>
          <w:highlight w:val="none"/>
          <w:lang w:val="en-US" w:eastAsia="zh-CN"/>
        </w:rPr>
        <w:t>8869</w:t>
      </w:r>
      <w:r>
        <w:rPr>
          <w:rFonts w:hint="eastAsia" w:eastAsia="方正仿宋_GBK" w:cs="Times New Roman"/>
          <w:spacing w:val="-6"/>
          <w:sz w:val="32"/>
          <w:szCs w:val="32"/>
          <w:highlight w:val="none"/>
          <w:lang w:val="en-US" w:eastAsia="zh-CN"/>
        </w:rPr>
        <w:t>万元，支出总计为</w:t>
      </w:r>
      <w:r>
        <w:rPr>
          <w:rFonts w:hint="default" w:eastAsia="方正仿宋_GBK" w:cs="Times New Roman"/>
          <w:spacing w:val="-6"/>
          <w:sz w:val="32"/>
          <w:szCs w:val="32"/>
          <w:highlight w:val="none"/>
          <w:lang w:val="en-US" w:eastAsia="zh-CN"/>
        </w:rPr>
        <w:t>29.84</w:t>
      </w:r>
      <w:r>
        <w:rPr>
          <w:rFonts w:hint="eastAsia" w:eastAsia="方正仿宋_GBK" w:cs="Times New Roman"/>
          <w:spacing w:val="-6"/>
          <w:sz w:val="32"/>
          <w:szCs w:val="32"/>
          <w:highlight w:val="none"/>
          <w:lang w:val="en-US" w:eastAsia="zh-CN"/>
        </w:rPr>
        <w:t>亿元。收支相抵，当年财政收支平衡。</w:t>
      </w:r>
    </w:p>
    <w:p w14:paraId="687F04D6">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24" w:firstLineChars="200"/>
        <w:jc w:val="both"/>
        <w:textAlignment w:val="auto"/>
        <w:rPr>
          <w:rFonts w:hint="eastAsia" w:ascii="Times New Roman" w:hAnsi="Times New Roman" w:eastAsia="方正楷体_GBK" w:cs="方正楷体_GBK"/>
          <w:b w:val="0"/>
          <w:bCs w:val="0"/>
          <w:spacing w:val="-4"/>
          <w:sz w:val="32"/>
          <w:szCs w:val="32"/>
          <w:highlight w:val="none"/>
          <w:u w:val="none"/>
        </w:rPr>
      </w:pPr>
      <w:r>
        <w:rPr>
          <w:rFonts w:hint="eastAsia" w:ascii="Times New Roman" w:hAnsi="Times New Roman" w:eastAsia="方正楷体_GBK" w:cs="方正楷体_GBK"/>
          <w:b w:val="0"/>
          <w:bCs w:val="0"/>
          <w:spacing w:val="-4"/>
          <w:kern w:val="0"/>
          <w:sz w:val="32"/>
          <w:szCs w:val="32"/>
          <w:highlight w:val="none"/>
          <w:u w:val="none"/>
        </w:rPr>
        <w:t>（</w:t>
      </w:r>
      <w:r>
        <w:rPr>
          <w:rFonts w:hint="eastAsia" w:eastAsia="方正楷体_GBK" w:cs="方正楷体_GBK"/>
          <w:b w:val="0"/>
          <w:bCs w:val="0"/>
          <w:spacing w:val="-4"/>
          <w:kern w:val="0"/>
          <w:sz w:val="32"/>
          <w:szCs w:val="32"/>
          <w:highlight w:val="none"/>
          <w:u w:val="none"/>
          <w:lang w:val="en-US" w:eastAsia="zh-CN"/>
        </w:rPr>
        <w:t>三</w:t>
      </w:r>
      <w:r>
        <w:rPr>
          <w:rFonts w:hint="eastAsia" w:ascii="Times New Roman" w:hAnsi="Times New Roman" w:eastAsia="方正楷体_GBK" w:cs="方正楷体_GBK"/>
          <w:b w:val="0"/>
          <w:bCs w:val="0"/>
          <w:spacing w:val="-4"/>
          <w:kern w:val="0"/>
          <w:sz w:val="32"/>
          <w:szCs w:val="32"/>
          <w:highlight w:val="none"/>
          <w:u w:val="none"/>
        </w:rPr>
        <w:t>）</w:t>
      </w:r>
      <w:r>
        <w:rPr>
          <w:rFonts w:hint="eastAsia" w:ascii="Times New Roman" w:hAnsi="Times New Roman" w:eastAsia="方正楷体_GBK" w:cs="方正楷体_GBK"/>
          <w:b w:val="0"/>
          <w:bCs w:val="0"/>
          <w:sz w:val="32"/>
          <w:szCs w:val="32"/>
          <w:highlight w:val="none"/>
          <w:u w:val="none"/>
        </w:rPr>
        <w:t>社会保险基金预算执行情况</w:t>
      </w:r>
    </w:p>
    <w:p w14:paraId="1245777B">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16" w:firstLineChars="200"/>
        <w:jc w:val="both"/>
        <w:textAlignment w:val="auto"/>
        <w:rPr>
          <w:rFonts w:hint="eastAsia" w:eastAsia="方正仿宋_GBK" w:cs="Times New Roman"/>
          <w:spacing w:val="-6"/>
          <w:sz w:val="32"/>
          <w:szCs w:val="32"/>
          <w:highlight w:val="none"/>
          <w:lang w:val="en-US" w:eastAsia="zh-CN"/>
        </w:rPr>
      </w:pPr>
      <w:r>
        <w:rPr>
          <w:rFonts w:hint="eastAsia" w:eastAsia="方正仿宋_GBK" w:cs="Times New Roman"/>
          <w:spacing w:val="-6"/>
          <w:sz w:val="32"/>
          <w:szCs w:val="32"/>
          <w:highlight w:val="none"/>
          <w:lang w:val="en-US" w:eastAsia="zh-CN"/>
        </w:rPr>
        <w:t>2023年，全区社会保险基金收入完成6.09亿元，占调整预算的97%，其中：机关事业单位基本养老保险基金收入3.66亿元，城乡居民基本养老保险基金收入2.43亿元。全区社会保险基金支出完成5.58亿元，占调整预算的10</w:t>
      </w:r>
      <w:r>
        <w:rPr>
          <w:rFonts w:hint="default" w:eastAsia="方正仿宋_GBK" w:cs="Times New Roman"/>
          <w:spacing w:val="-6"/>
          <w:sz w:val="32"/>
          <w:szCs w:val="32"/>
          <w:highlight w:val="none"/>
          <w:lang w:val="en-US" w:eastAsia="zh-CN"/>
        </w:rPr>
        <w:t>0</w:t>
      </w:r>
      <w:r>
        <w:rPr>
          <w:rFonts w:hint="eastAsia" w:eastAsia="方正仿宋_GBK" w:cs="Times New Roman"/>
          <w:spacing w:val="-6"/>
          <w:sz w:val="32"/>
          <w:szCs w:val="32"/>
          <w:highlight w:val="none"/>
          <w:lang w:val="en-US" w:eastAsia="zh-CN"/>
        </w:rPr>
        <w:t>%，其中：机关事业单位基本养老保险基金支出3.46亿元，城乡居民基本养老保险基金支出2.12亿元。</w:t>
      </w:r>
    </w:p>
    <w:p w14:paraId="6C63BD79">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40" w:firstLineChars="200"/>
        <w:jc w:val="both"/>
        <w:textAlignment w:val="auto"/>
        <w:rPr>
          <w:rFonts w:hint="eastAsia" w:ascii="Times New Roman" w:hAnsi="Times New Roman" w:eastAsia="方正楷体_GBK" w:cs="方正楷体_GBK"/>
          <w:b w:val="0"/>
          <w:bCs w:val="0"/>
          <w:color w:val="auto"/>
          <w:sz w:val="32"/>
          <w:szCs w:val="24"/>
          <w:highlight w:val="none"/>
          <w:u w:val="none"/>
          <w:lang w:val="zh-CN"/>
        </w:rPr>
      </w:pPr>
      <w:r>
        <w:rPr>
          <w:rFonts w:hint="eastAsia" w:ascii="Times New Roman" w:hAnsi="Times New Roman" w:eastAsia="方正楷体_GBK" w:cs="方正楷体_GBK"/>
          <w:b w:val="0"/>
          <w:bCs w:val="0"/>
          <w:color w:val="auto"/>
          <w:sz w:val="32"/>
          <w:szCs w:val="24"/>
          <w:highlight w:val="none"/>
          <w:u w:val="none"/>
          <w:lang w:val="zh-CN"/>
        </w:rPr>
        <w:t>（四）国有资本经营预算执行情况</w:t>
      </w:r>
    </w:p>
    <w:p w14:paraId="423A8589">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16" w:firstLineChars="200"/>
        <w:jc w:val="both"/>
        <w:textAlignment w:val="auto"/>
        <w:rPr>
          <w:rFonts w:hint="eastAsia" w:eastAsia="方正仿宋_GBK" w:cs="Times New Roman"/>
          <w:spacing w:val="-6"/>
          <w:sz w:val="32"/>
          <w:szCs w:val="32"/>
          <w:highlight w:val="none"/>
          <w:lang w:val="zh-CN" w:eastAsia="zh-CN"/>
        </w:rPr>
      </w:pPr>
      <w:r>
        <w:rPr>
          <w:rFonts w:hint="default" w:eastAsia="方正仿宋_GBK" w:cs="Times New Roman"/>
          <w:spacing w:val="-6"/>
          <w:sz w:val="32"/>
          <w:szCs w:val="32"/>
          <w:highlight w:val="none"/>
          <w:lang w:val="en-US" w:eastAsia="zh-CN"/>
        </w:rPr>
        <w:t>2023</w:t>
      </w:r>
      <w:r>
        <w:rPr>
          <w:rFonts w:hint="eastAsia" w:eastAsia="方正仿宋_GBK" w:cs="Times New Roman"/>
          <w:spacing w:val="-6"/>
          <w:sz w:val="32"/>
          <w:szCs w:val="32"/>
          <w:highlight w:val="none"/>
          <w:lang w:val="zh-CN" w:eastAsia="zh-CN"/>
        </w:rPr>
        <w:t>年，全区国有资本经营预算收入完成</w:t>
      </w:r>
      <w:r>
        <w:rPr>
          <w:rFonts w:hint="default" w:eastAsia="方正仿宋_GBK" w:cs="Times New Roman"/>
          <w:spacing w:val="-6"/>
          <w:sz w:val="32"/>
          <w:szCs w:val="32"/>
          <w:highlight w:val="none"/>
          <w:lang w:val="en-US" w:eastAsia="zh-CN"/>
        </w:rPr>
        <w:t>0</w:t>
      </w:r>
      <w:r>
        <w:rPr>
          <w:rFonts w:hint="eastAsia" w:eastAsia="方正仿宋_GBK" w:cs="Times New Roman"/>
          <w:spacing w:val="-6"/>
          <w:sz w:val="32"/>
          <w:szCs w:val="32"/>
          <w:highlight w:val="none"/>
          <w:lang w:val="zh-CN" w:eastAsia="zh-CN"/>
        </w:rPr>
        <w:t>万元，支出完成</w:t>
      </w:r>
      <w:r>
        <w:rPr>
          <w:rFonts w:hint="default" w:eastAsia="方正仿宋_GBK" w:cs="Times New Roman"/>
          <w:spacing w:val="-6"/>
          <w:sz w:val="32"/>
          <w:szCs w:val="32"/>
          <w:highlight w:val="none"/>
          <w:lang w:val="en-US" w:eastAsia="zh-CN"/>
        </w:rPr>
        <w:t>117</w:t>
      </w:r>
      <w:r>
        <w:rPr>
          <w:rFonts w:hint="eastAsia" w:eastAsia="方正仿宋_GBK" w:cs="Times New Roman"/>
          <w:spacing w:val="-6"/>
          <w:sz w:val="32"/>
          <w:szCs w:val="32"/>
          <w:highlight w:val="none"/>
          <w:lang w:val="zh-CN" w:eastAsia="zh-CN"/>
        </w:rPr>
        <w:t>万元，全部为上级转移支付资金。</w:t>
      </w:r>
    </w:p>
    <w:p w14:paraId="12E99864">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40" w:firstLineChars="200"/>
        <w:jc w:val="both"/>
        <w:textAlignment w:val="auto"/>
        <w:rPr>
          <w:rFonts w:hint="eastAsia" w:eastAsia="方正楷体_GBK" w:cs="方正楷体_GBK"/>
          <w:b w:val="0"/>
          <w:bCs w:val="0"/>
          <w:color w:val="auto"/>
          <w:sz w:val="32"/>
          <w:szCs w:val="24"/>
          <w:highlight w:val="none"/>
          <w:u w:val="none"/>
          <w:lang w:val="en-US" w:eastAsia="zh-CN"/>
        </w:rPr>
      </w:pPr>
      <w:r>
        <w:rPr>
          <w:rFonts w:hint="eastAsia" w:eastAsia="方正楷体_GBK" w:cs="方正楷体_GBK"/>
          <w:b w:val="0"/>
          <w:bCs w:val="0"/>
          <w:color w:val="auto"/>
          <w:sz w:val="32"/>
          <w:szCs w:val="24"/>
          <w:highlight w:val="none"/>
          <w:u w:val="none"/>
          <w:lang w:val="en-US" w:eastAsia="zh-CN"/>
        </w:rPr>
        <w:t>（五）地方政府债务情况</w:t>
      </w:r>
    </w:p>
    <w:p w14:paraId="2BDC7347">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27" w:firstLineChars="200"/>
        <w:jc w:val="both"/>
        <w:textAlignment w:val="auto"/>
        <w:rPr>
          <w:rFonts w:hint="eastAsia" w:ascii="Times New Roman" w:hAnsi="Times New Roman" w:eastAsia="仿宋" w:cs="宋体"/>
          <w:b/>
          <w:bCs/>
          <w:spacing w:val="-4"/>
          <w:kern w:val="0"/>
          <w:sz w:val="32"/>
          <w:szCs w:val="32"/>
          <w:highlight w:val="none"/>
          <w:u w:val="none"/>
          <w:lang w:val="en-US" w:eastAsia="zh-CN"/>
        </w:rPr>
      </w:pPr>
      <w:r>
        <w:rPr>
          <w:rFonts w:hint="eastAsia" w:ascii="Times New Roman" w:hAnsi="Times New Roman" w:eastAsia="仿宋" w:cs="宋体"/>
          <w:b/>
          <w:bCs/>
          <w:spacing w:val="-4"/>
          <w:kern w:val="0"/>
          <w:sz w:val="32"/>
          <w:szCs w:val="32"/>
          <w:highlight w:val="none"/>
          <w:u w:val="none"/>
          <w:lang w:val="en-US" w:eastAsia="zh-CN"/>
        </w:rPr>
        <w:t>1.地方政府债务限额及余额情况</w:t>
      </w:r>
    </w:p>
    <w:p w14:paraId="01779946">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16" w:firstLineChars="200"/>
        <w:jc w:val="both"/>
        <w:textAlignment w:val="auto"/>
        <w:rPr>
          <w:rFonts w:hint="eastAsia" w:eastAsia="方正仿宋_GBK" w:cs="Times New Roman"/>
          <w:spacing w:val="-6"/>
          <w:sz w:val="32"/>
          <w:szCs w:val="32"/>
          <w:highlight w:val="none"/>
          <w:lang w:val="en-US" w:eastAsia="zh-CN"/>
        </w:rPr>
      </w:pPr>
      <w:r>
        <w:rPr>
          <w:rFonts w:hint="eastAsia" w:eastAsia="方正仿宋_GBK" w:cs="Times New Roman"/>
          <w:spacing w:val="-6"/>
          <w:sz w:val="32"/>
          <w:szCs w:val="32"/>
          <w:highlight w:val="none"/>
          <w:lang w:val="en-US" w:eastAsia="zh-CN"/>
        </w:rPr>
        <w:t>根据保定市财政局下达新增政府债券及存量政府债务情况，截至2023年底，我区政府债务限额</w:t>
      </w:r>
      <w:r>
        <w:rPr>
          <w:rFonts w:hint="default" w:eastAsia="方正仿宋_GBK" w:cs="Times New Roman"/>
          <w:spacing w:val="-6"/>
          <w:sz w:val="32"/>
          <w:szCs w:val="32"/>
          <w:highlight w:val="none"/>
          <w:lang w:val="en-US" w:eastAsia="zh-CN"/>
        </w:rPr>
        <w:t>98.84</w:t>
      </w:r>
      <w:r>
        <w:rPr>
          <w:rFonts w:hint="eastAsia" w:eastAsia="方正仿宋_GBK" w:cs="Times New Roman"/>
          <w:spacing w:val="-6"/>
          <w:sz w:val="32"/>
          <w:szCs w:val="32"/>
          <w:highlight w:val="none"/>
          <w:lang w:val="en-US" w:eastAsia="zh-CN"/>
        </w:rPr>
        <w:t>亿元，其中，一般债务</w:t>
      </w:r>
      <w:r>
        <w:rPr>
          <w:rFonts w:hint="default" w:eastAsia="方正仿宋_GBK" w:cs="Times New Roman"/>
          <w:spacing w:val="-6"/>
          <w:sz w:val="32"/>
          <w:szCs w:val="32"/>
          <w:highlight w:val="none"/>
          <w:lang w:val="en-US" w:eastAsia="zh-CN"/>
        </w:rPr>
        <w:t>14.65</w:t>
      </w:r>
      <w:r>
        <w:rPr>
          <w:rFonts w:hint="eastAsia" w:eastAsia="方正仿宋_GBK" w:cs="Times New Roman"/>
          <w:spacing w:val="-6"/>
          <w:sz w:val="32"/>
          <w:szCs w:val="32"/>
          <w:highlight w:val="none"/>
          <w:lang w:val="en-US" w:eastAsia="zh-CN"/>
        </w:rPr>
        <w:t>亿元、专项债务84.19亿元，政府债务余额为98.31亿元，其中，一般债务14.13亿元、专项债务84.18亿元，未突破政府债务限额。</w:t>
      </w:r>
    </w:p>
    <w:p w14:paraId="3AA8D2AD">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27" w:firstLineChars="200"/>
        <w:jc w:val="both"/>
        <w:textAlignment w:val="auto"/>
        <w:rPr>
          <w:rFonts w:hint="eastAsia" w:ascii="Times New Roman" w:hAnsi="Times New Roman" w:eastAsia="仿宋" w:cs="宋体"/>
          <w:b/>
          <w:bCs/>
          <w:spacing w:val="-4"/>
          <w:kern w:val="0"/>
          <w:sz w:val="32"/>
          <w:szCs w:val="32"/>
          <w:highlight w:val="none"/>
          <w:u w:val="none"/>
          <w:lang w:val="en-US" w:eastAsia="zh-CN"/>
        </w:rPr>
      </w:pPr>
      <w:r>
        <w:rPr>
          <w:rFonts w:hint="eastAsia" w:ascii="Times New Roman" w:hAnsi="Times New Roman" w:eastAsia="仿宋" w:cs="宋体"/>
          <w:b/>
          <w:bCs/>
          <w:spacing w:val="-4"/>
          <w:kern w:val="0"/>
          <w:sz w:val="32"/>
          <w:szCs w:val="32"/>
          <w:highlight w:val="none"/>
          <w:u w:val="none"/>
          <w:lang w:val="en-US" w:eastAsia="zh-CN"/>
        </w:rPr>
        <w:t>2.地方政府债券发行及使用情况</w:t>
      </w:r>
    </w:p>
    <w:p w14:paraId="661F45B4">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16" w:firstLineChars="200"/>
        <w:jc w:val="both"/>
        <w:textAlignment w:val="auto"/>
        <w:rPr>
          <w:rFonts w:hint="eastAsia" w:eastAsia="方正仿宋_GBK" w:cs="Times New Roman"/>
          <w:spacing w:val="-6"/>
          <w:sz w:val="32"/>
          <w:szCs w:val="32"/>
          <w:highlight w:val="none"/>
          <w:lang w:val="en-US" w:eastAsia="zh-CN"/>
        </w:rPr>
      </w:pPr>
      <w:r>
        <w:rPr>
          <w:rFonts w:hint="eastAsia" w:eastAsia="方正仿宋_GBK" w:cs="Times New Roman"/>
          <w:spacing w:val="-6"/>
          <w:sz w:val="32"/>
          <w:szCs w:val="32"/>
          <w:highlight w:val="none"/>
          <w:lang w:val="en-US" w:eastAsia="zh-CN"/>
        </w:rPr>
        <w:t>2023年，保定市财政局下达我区政府债券资金16.23亿元，其中，一般债券2.78亿元（含再融资债券1.08亿元），专项债券13.45亿元。截至</w:t>
      </w:r>
      <w:bookmarkStart w:id="0" w:name="_GoBack"/>
      <w:bookmarkEnd w:id="0"/>
      <w:r>
        <w:rPr>
          <w:rFonts w:hint="eastAsia" w:eastAsia="方正仿宋_GBK" w:cs="Times New Roman"/>
          <w:spacing w:val="-6"/>
          <w:sz w:val="32"/>
          <w:szCs w:val="32"/>
          <w:highlight w:val="none"/>
          <w:lang w:val="en-US" w:eastAsia="zh-CN"/>
        </w:rPr>
        <w:t>2023年底，政府债券共支付14.89亿元，其中，一般债券1.44亿元，专项债券13.45亿元。</w:t>
      </w:r>
    </w:p>
    <w:p w14:paraId="45FA778C">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27" w:firstLineChars="200"/>
        <w:jc w:val="both"/>
        <w:textAlignment w:val="auto"/>
        <w:rPr>
          <w:rFonts w:hint="eastAsia" w:ascii="Times New Roman" w:hAnsi="Times New Roman" w:eastAsia="仿宋" w:cs="宋体"/>
          <w:b/>
          <w:bCs/>
          <w:spacing w:val="-4"/>
          <w:kern w:val="0"/>
          <w:sz w:val="32"/>
          <w:szCs w:val="32"/>
          <w:highlight w:val="none"/>
          <w:u w:val="none"/>
          <w:lang w:val="en-US" w:eastAsia="zh-CN"/>
        </w:rPr>
      </w:pPr>
      <w:r>
        <w:rPr>
          <w:rFonts w:hint="eastAsia" w:ascii="Times New Roman" w:hAnsi="Times New Roman" w:eastAsia="仿宋" w:cs="宋体"/>
          <w:b/>
          <w:bCs/>
          <w:spacing w:val="-4"/>
          <w:kern w:val="0"/>
          <w:sz w:val="32"/>
          <w:szCs w:val="32"/>
          <w:highlight w:val="none"/>
          <w:u w:val="none"/>
          <w:lang w:val="en-US" w:eastAsia="zh-CN"/>
        </w:rPr>
        <w:t>3.政府债务还本付息情况</w:t>
      </w:r>
    </w:p>
    <w:p w14:paraId="0EF0423A">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16" w:firstLineChars="200"/>
        <w:jc w:val="both"/>
        <w:textAlignment w:val="auto"/>
        <w:rPr>
          <w:rFonts w:hint="eastAsia" w:eastAsia="方正仿宋_GBK" w:cs="Times New Roman"/>
          <w:spacing w:val="-6"/>
          <w:sz w:val="32"/>
          <w:szCs w:val="32"/>
          <w:highlight w:val="none"/>
          <w:lang w:val="en-US" w:eastAsia="zh-CN"/>
        </w:rPr>
      </w:pPr>
      <w:r>
        <w:rPr>
          <w:rFonts w:hint="eastAsia" w:eastAsia="方正仿宋_GBK" w:cs="Times New Roman"/>
          <w:spacing w:val="-6"/>
          <w:sz w:val="32"/>
          <w:szCs w:val="32"/>
          <w:highlight w:val="none"/>
          <w:lang w:val="en-US" w:eastAsia="zh-CN"/>
        </w:rPr>
        <w:t>根据保定市财政局下发的政府债券本息偿还计划，将政府债务应偿还本息足额列入年度预算并按期上解。2023年我区共上解政府债券本息及付息服务费4.03亿元，没有发生逾期风险事件。</w:t>
      </w:r>
    </w:p>
    <w:p w14:paraId="364AD692">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40" w:firstLineChars="200"/>
        <w:jc w:val="both"/>
        <w:textAlignment w:val="auto"/>
        <w:rPr>
          <w:rFonts w:hint="eastAsia" w:ascii="Times New Roman" w:hAnsi="Times New Roman" w:eastAsia="方正楷体_GBK" w:cs="方正楷体_GBK"/>
          <w:b w:val="0"/>
          <w:bCs w:val="0"/>
          <w:color w:val="auto"/>
          <w:sz w:val="32"/>
          <w:szCs w:val="24"/>
          <w:highlight w:val="none"/>
          <w:u w:val="none"/>
          <w:lang w:val="zh-CN"/>
        </w:rPr>
      </w:pPr>
      <w:r>
        <w:rPr>
          <w:rFonts w:hint="eastAsia" w:eastAsia="方正楷体_GBK" w:cs="方正楷体_GBK"/>
          <w:b w:val="0"/>
          <w:bCs w:val="0"/>
          <w:color w:val="auto"/>
          <w:sz w:val="32"/>
          <w:szCs w:val="24"/>
          <w:highlight w:val="none"/>
          <w:u w:val="none"/>
          <w:lang w:val="en-US" w:eastAsia="zh-CN"/>
        </w:rPr>
        <w:t>（六）</w:t>
      </w:r>
      <w:r>
        <w:rPr>
          <w:rFonts w:hint="eastAsia" w:ascii="Times New Roman" w:hAnsi="Times New Roman" w:eastAsia="方正楷体_GBK" w:cs="方正楷体_GBK"/>
          <w:b w:val="0"/>
          <w:bCs w:val="0"/>
          <w:color w:val="auto"/>
          <w:sz w:val="32"/>
          <w:szCs w:val="24"/>
          <w:highlight w:val="none"/>
          <w:u w:val="none"/>
          <w:lang w:val="zh-CN"/>
        </w:rPr>
        <w:t>预算执行特点和成效</w:t>
      </w:r>
    </w:p>
    <w:p w14:paraId="08C823D3">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16" w:firstLineChars="200"/>
        <w:jc w:val="both"/>
        <w:textAlignment w:val="auto"/>
        <w:rPr>
          <w:rFonts w:hint="eastAsia" w:ascii="Times New Roman" w:hAnsi="Times New Roman" w:eastAsia="方正仿宋_GBK" w:cs="Times New Roman"/>
          <w:spacing w:val="-6"/>
          <w:sz w:val="32"/>
          <w:szCs w:val="32"/>
          <w:highlight w:val="none"/>
          <w:lang w:val="en-US" w:eastAsia="zh-CN"/>
        </w:rPr>
      </w:pPr>
      <w:r>
        <w:rPr>
          <w:rFonts w:hint="eastAsia" w:eastAsia="方正仿宋_GBK" w:cs="Times New Roman"/>
          <w:b/>
          <w:bCs/>
          <w:spacing w:val="-6"/>
          <w:sz w:val="32"/>
          <w:szCs w:val="32"/>
          <w:highlight w:val="none"/>
          <w:lang w:val="en-US" w:eastAsia="zh-CN"/>
        </w:rPr>
        <w:t>1.“稳”字当头，确保财政收支平衡。</w:t>
      </w:r>
      <w:r>
        <w:rPr>
          <w:rFonts w:hint="eastAsia" w:ascii="Times New Roman" w:hAnsi="Times New Roman" w:eastAsia="方正仿宋_GBK" w:cs="Times New Roman"/>
          <w:spacing w:val="-6"/>
          <w:sz w:val="32"/>
          <w:szCs w:val="32"/>
          <w:highlight w:val="none"/>
          <w:lang w:val="en-US" w:eastAsia="zh-CN"/>
        </w:rPr>
        <w:t>面对减税降</w:t>
      </w:r>
      <w:r>
        <w:rPr>
          <w:rFonts w:hint="eastAsia" w:eastAsia="方正仿宋_GBK" w:cs="Times New Roman"/>
          <w:spacing w:val="-6"/>
          <w:sz w:val="32"/>
          <w:szCs w:val="32"/>
          <w:highlight w:val="none"/>
          <w:lang w:val="en-US" w:eastAsia="zh-CN"/>
        </w:rPr>
        <w:t>费</w:t>
      </w:r>
      <w:r>
        <w:rPr>
          <w:rFonts w:hint="eastAsia" w:ascii="Times New Roman" w:hAnsi="Times New Roman" w:eastAsia="方正仿宋_GBK" w:cs="Times New Roman"/>
          <w:spacing w:val="-6"/>
          <w:sz w:val="32"/>
          <w:szCs w:val="32"/>
          <w:highlight w:val="none"/>
          <w:lang w:val="en-US" w:eastAsia="zh-CN"/>
        </w:rPr>
        <w:t>政策实施形成的减收因素，全区财税部门和执收执罚部门精准监控重点税源，强化协调联动，强力督导调度，依法治税管费，税收收入占一般公共预算收入的比重达到</w:t>
      </w:r>
      <w:r>
        <w:rPr>
          <w:rFonts w:hint="default" w:ascii="Times New Roman" w:hAnsi="Times New Roman" w:eastAsia="方正仿宋_GBK" w:cs="Times New Roman"/>
          <w:spacing w:val="-6"/>
          <w:sz w:val="32"/>
          <w:szCs w:val="32"/>
          <w:highlight w:val="none"/>
          <w:lang w:val="en-US" w:eastAsia="zh-CN"/>
        </w:rPr>
        <w:t>80</w:t>
      </w:r>
      <w:r>
        <w:rPr>
          <w:rFonts w:hint="eastAsia" w:ascii="Times New Roman" w:hAnsi="Times New Roman" w:eastAsia="方正仿宋_GBK" w:cs="Times New Roman"/>
          <w:spacing w:val="-6"/>
          <w:sz w:val="32"/>
          <w:szCs w:val="32"/>
          <w:highlight w:val="none"/>
          <w:lang w:val="en-US" w:eastAsia="zh-CN"/>
        </w:rPr>
        <w:t>%，较上年增长</w:t>
      </w:r>
      <w:r>
        <w:rPr>
          <w:rFonts w:hint="default" w:ascii="Times New Roman" w:hAnsi="Times New Roman" w:eastAsia="方正仿宋_GBK" w:cs="Times New Roman"/>
          <w:spacing w:val="-6"/>
          <w:sz w:val="32"/>
          <w:szCs w:val="32"/>
          <w:highlight w:val="none"/>
          <w:lang w:val="en-US" w:eastAsia="zh-CN"/>
        </w:rPr>
        <w:t>7.9</w:t>
      </w:r>
      <w:r>
        <w:rPr>
          <w:rFonts w:hint="eastAsia" w:ascii="Times New Roman" w:hAnsi="Times New Roman" w:eastAsia="方正仿宋_GBK" w:cs="Times New Roman"/>
          <w:spacing w:val="-6"/>
          <w:sz w:val="32"/>
          <w:szCs w:val="32"/>
          <w:highlight w:val="none"/>
          <w:lang w:val="en-US" w:eastAsia="zh-CN"/>
        </w:rPr>
        <w:t>个百分点。同时，大力争取资金、严控一般性支出、盘活存量资金三措并举，科学调度库款，兜牢</w:t>
      </w:r>
      <w:r>
        <w:rPr>
          <w:rFonts w:hint="eastAsia" w:eastAsia="方正仿宋_GBK" w:cs="Times New Roman"/>
          <w:spacing w:val="-6"/>
          <w:sz w:val="32"/>
          <w:szCs w:val="32"/>
          <w:highlight w:val="none"/>
          <w:lang w:val="en-US" w:eastAsia="zh-CN"/>
        </w:rPr>
        <w:t>筑</w:t>
      </w:r>
      <w:r>
        <w:rPr>
          <w:rFonts w:hint="eastAsia" w:ascii="Times New Roman" w:hAnsi="Times New Roman" w:eastAsia="方正仿宋_GBK" w:cs="Times New Roman"/>
          <w:spacing w:val="-6"/>
          <w:sz w:val="32"/>
          <w:szCs w:val="32"/>
          <w:highlight w:val="none"/>
          <w:lang w:val="en-US" w:eastAsia="zh-CN"/>
        </w:rPr>
        <w:t>实“三保”底线，全力保障全区民生实事、大事要事。在收入总量下降的情况下，一般公共预算支出与上年基本持平，确保了全区财政平稳运行、可持续发展。</w:t>
      </w:r>
    </w:p>
    <w:p w14:paraId="1C5D3B35">
      <w:pPr>
        <w:keepNext w:val="0"/>
        <w:keepLines w:val="0"/>
        <w:pageBreakBefore w:val="0"/>
        <w:widowControl w:val="0"/>
        <w:numPr>
          <w:ilvl w:val="0"/>
          <w:numId w:val="0"/>
        </w:numPr>
        <w:pBdr>
          <w:bottom w:val="single" w:color="FFFFFF" w:sz="4" w:space="31"/>
        </w:pBdr>
        <w:kinsoku/>
        <w:wordWrap/>
        <w:overflowPunct/>
        <w:topLinePunct/>
        <w:autoSpaceDE/>
        <w:autoSpaceDN/>
        <w:bidi w:val="0"/>
        <w:adjustRightInd/>
        <w:snapToGrid/>
        <w:spacing w:line="580" w:lineRule="exact"/>
        <w:ind w:firstLine="640" w:firstLineChars="200"/>
        <w:jc w:val="both"/>
        <w:textAlignment w:val="auto"/>
        <w:rPr>
          <w:rFonts w:hint="eastAsia" w:eastAsia="方正仿宋_GBK" w:cs="Times New Roman"/>
          <w:spacing w:val="-6"/>
          <w:sz w:val="32"/>
          <w:szCs w:val="32"/>
          <w:highlight w:val="none"/>
          <w:lang w:val="en-US" w:eastAsia="zh-CN"/>
        </w:rPr>
      </w:pPr>
      <w:r>
        <w:rPr>
          <w:rFonts w:hint="eastAsia" w:eastAsia="方正仿宋_GBK" w:cs="Times New Roman"/>
          <w:b/>
          <w:bCs/>
          <w:kern w:val="0"/>
          <w:sz w:val="32"/>
          <w:szCs w:val="32"/>
          <w:highlight w:val="none"/>
          <w:lang w:val="en-US" w:eastAsia="zh-CN"/>
        </w:rPr>
        <w:t>2</w:t>
      </w:r>
      <w:r>
        <w:rPr>
          <w:rFonts w:hint="eastAsia" w:ascii="Times New Roman" w:hAnsi="Times New Roman" w:eastAsia="方正仿宋_GBK" w:cs="Times New Roman"/>
          <w:b/>
          <w:bCs/>
          <w:kern w:val="0"/>
          <w:sz w:val="32"/>
          <w:szCs w:val="32"/>
          <w:highlight w:val="none"/>
          <w:lang w:val="en-US" w:eastAsia="zh-CN"/>
        </w:rPr>
        <w:t>.“实”字筑基，助力经济回升向好。</w:t>
      </w:r>
      <w:r>
        <w:rPr>
          <w:rFonts w:hint="eastAsia" w:eastAsia="方正仿宋_GBK" w:cs="Times New Roman"/>
          <w:spacing w:val="-6"/>
          <w:sz w:val="32"/>
          <w:szCs w:val="32"/>
          <w:highlight w:val="none"/>
          <w:lang w:val="en-US" w:eastAsia="zh-CN"/>
        </w:rPr>
        <w:t>立足发展要务，积极的财政政策加力提效，不断巩固和增强经济回升向好态势。</w:t>
      </w:r>
      <w:r>
        <w:rPr>
          <w:rFonts w:hint="eastAsia" w:eastAsia="方正仿宋_GBK" w:cs="Times New Roman"/>
          <w:b/>
          <w:bCs/>
          <w:kern w:val="0"/>
          <w:sz w:val="32"/>
          <w:szCs w:val="32"/>
          <w:highlight w:val="none"/>
          <w:lang w:val="en-US" w:eastAsia="zh-CN"/>
        </w:rPr>
        <w:t>一是着力减负担增效益。</w:t>
      </w:r>
      <w:r>
        <w:rPr>
          <w:rFonts w:hint="eastAsia" w:eastAsia="方正仿宋_GBK" w:cs="Times New Roman"/>
          <w:spacing w:val="-6"/>
          <w:sz w:val="32"/>
          <w:szCs w:val="32"/>
          <w:highlight w:val="none"/>
          <w:lang w:val="en-US" w:eastAsia="zh-CN"/>
        </w:rPr>
        <w:t>用足用好减税降费政策，通过印发宣传资料、制作动漫视频、组织座谈会等，多渠道、多方式、多角度提高政策宣传覆盖面，打通政策落地“最后一公里”。</w:t>
      </w:r>
      <w:r>
        <w:rPr>
          <w:rFonts w:hint="default" w:eastAsia="方正仿宋_GBK" w:cs="Times New Roman"/>
          <w:spacing w:val="-6"/>
          <w:sz w:val="32"/>
          <w:szCs w:val="32"/>
          <w:highlight w:val="none"/>
          <w:lang w:val="en-US" w:eastAsia="zh-CN"/>
        </w:rPr>
        <w:t>2023</w:t>
      </w:r>
      <w:r>
        <w:rPr>
          <w:rFonts w:hint="eastAsia" w:eastAsia="方正仿宋_GBK" w:cs="Times New Roman"/>
          <w:spacing w:val="-6"/>
          <w:sz w:val="32"/>
          <w:szCs w:val="32"/>
          <w:highlight w:val="none"/>
          <w:lang w:val="en-US" w:eastAsia="zh-CN"/>
        </w:rPr>
        <w:t>年</w:t>
      </w:r>
      <w:r>
        <w:rPr>
          <w:rFonts w:hint="eastAsia" w:eastAsia="方正仿宋_GBK" w:cs="Times New Roman"/>
          <w:spacing w:val="-6"/>
          <w:sz w:val="32"/>
          <w:szCs w:val="32"/>
          <w:highlight w:val="none"/>
          <w:lang w:val="zh-CN" w:eastAsia="zh-CN"/>
        </w:rPr>
        <w:t>，全区累计减税降费</w:t>
      </w:r>
      <w:r>
        <w:rPr>
          <w:rFonts w:hint="eastAsia" w:eastAsia="方正仿宋_GBK" w:cs="Times New Roman"/>
          <w:spacing w:val="-6"/>
          <w:sz w:val="32"/>
          <w:szCs w:val="32"/>
          <w:highlight w:val="none"/>
          <w:lang w:val="en-US" w:eastAsia="zh-CN"/>
        </w:rPr>
        <w:t>和退税缓税</w:t>
      </w:r>
      <w:r>
        <w:rPr>
          <w:rFonts w:hint="eastAsia" w:eastAsia="方正仿宋_GBK" w:cs="Times New Roman"/>
          <w:spacing w:val="-6"/>
          <w:sz w:val="32"/>
          <w:szCs w:val="32"/>
          <w:highlight w:val="none"/>
          <w:lang w:val="zh-CN" w:eastAsia="zh-CN"/>
        </w:rPr>
        <w:t>缓费</w:t>
      </w:r>
      <w:r>
        <w:rPr>
          <w:rFonts w:hint="default" w:eastAsia="方正仿宋_GBK" w:cs="Times New Roman"/>
          <w:spacing w:val="-6"/>
          <w:sz w:val="32"/>
          <w:szCs w:val="32"/>
          <w:highlight w:val="none"/>
          <w:lang w:val="en-US" w:eastAsia="zh-CN"/>
        </w:rPr>
        <w:t>17.23</w:t>
      </w:r>
      <w:r>
        <w:rPr>
          <w:rFonts w:hint="eastAsia" w:eastAsia="方正仿宋_GBK" w:cs="Times New Roman"/>
          <w:spacing w:val="-6"/>
          <w:sz w:val="32"/>
          <w:szCs w:val="32"/>
          <w:highlight w:val="none"/>
          <w:lang w:val="zh-CN" w:eastAsia="zh-CN"/>
        </w:rPr>
        <w:t>亿元，</w:t>
      </w:r>
      <w:r>
        <w:rPr>
          <w:rFonts w:hint="eastAsia" w:eastAsia="方正仿宋_GBK" w:cs="Times New Roman"/>
          <w:spacing w:val="-6"/>
          <w:sz w:val="32"/>
          <w:szCs w:val="32"/>
          <w:highlight w:val="none"/>
          <w:lang w:val="en-US" w:eastAsia="zh-CN"/>
        </w:rPr>
        <w:t>助企纾困、提振了市场信心</w:t>
      </w:r>
      <w:r>
        <w:rPr>
          <w:rFonts w:hint="eastAsia" w:eastAsia="方正仿宋_GBK" w:cs="Times New Roman"/>
          <w:spacing w:val="-6"/>
          <w:sz w:val="32"/>
          <w:szCs w:val="32"/>
          <w:highlight w:val="none"/>
          <w:lang w:val="zh-CN" w:eastAsia="zh-CN"/>
        </w:rPr>
        <w:t>。</w:t>
      </w:r>
      <w:r>
        <w:rPr>
          <w:rFonts w:hint="eastAsia" w:eastAsia="方正仿宋_GBK" w:cs="Times New Roman"/>
          <w:spacing w:val="-6"/>
          <w:sz w:val="32"/>
          <w:szCs w:val="32"/>
          <w:highlight w:val="none"/>
          <w:lang w:val="en-US" w:eastAsia="zh-CN"/>
        </w:rPr>
        <w:t>优化政府采购领域营商环境，落实政府采购预留中小企业份额要求和提高小微企业价格评审优惠幅度政策，加大政府采购领域保证金专项清理力度，推进政府采购公开招标“双盲”评审工作落地执行，充分调动各类经营主体积极性。</w:t>
      </w:r>
      <w:r>
        <w:rPr>
          <w:rFonts w:hint="eastAsia" w:eastAsia="方正仿宋_GBK" w:cs="Times New Roman"/>
          <w:b/>
          <w:bCs/>
          <w:kern w:val="0"/>
          <w:sz w:val="32"/>
          <w:szCs w:val="32"/>
          <w:highlight w:val="none"/>
          <w:lang w:val="en-US" w:eastAsia="zh-CN"/>
        </w:rPr>
        <w:t>二是着力扩投资促消费。</w:t>
      </w:r>
      <w:r>
        <w:rPr>
          <w:rFonts w:hint="eastAsia" w:eastAsia="方正仿宋_GBK" w:cs="Times New Roman"/>
          <w:spacing w:val="-6"/>
          <w:sz w:val="32"/>
          <w:szCs w:val="32"/>
          <w:highlight w:val="none"/>
          <w:lang w:val="en-US" w:eastAsia="zh-CN"/>
        </w:rPr>
        <w:t>结合全区发展实际和项目建设需求，争取上级资金25.35亿元，主要用于棚户区和老旧小区改造、交通基础设施建设、农村人居环境整治等领域，发挥了财政资金稳投资、补短板、惠民生作用。</w:t>
      </w:r>
      <w:r>
        <w:rPr>
          <w:rFonts w:hint="eastAsia" w:eastAsia="方正仿宋_GBK" w:cs="Times New Roman"/>
          <w:spacing w:val="-6"/>
          <w:sz w:val="32"/>
          <w:szCs w:val="32"/>
          <w:highlight w:val="none"/>
          <w:lang w:val="zh-CN" w:eastAsia="zh-CN"/>
        </w:rPr>
        <w:t>投入资金</w:t>
      </w:r>
      <w:r>
        <w:rPr>
          <w:rFonts w:hint="eastAsia" w:eastAsia="方正仿宋_GBK" w:cs="Times New Roman"/>
          <w:spacing w:val="-6"/>
          <w:sz w:val="32"/>
          <w:szCs w:val="32"/>
          <w:highlight w:val="none"/>
          <w:lang w:val="en-US" w:eastAsia="zh-CN"/>
        </w:rPr>
        <w:t>696</w:t>
      </w:r>
      <w:r>
        <w:rPr>
          <w:rFonts w:hint="eastAsia" w:eastAsia="方正仿宋_GBK" w:cs="Times New Roman"/>
          <w:spacing w:val="-6"/>
          <w:sz w:val="32"/>
          <w:szCs w:val="32"/>
          <w:highlight w:val="none"/>
          <w:lang w:val="zh-CN" w:eastAsia="zh-CN"/>
        </w:rPr>
        <w:t>万元</w:t>
      </w:r>
      <w:r>
        <w:rPr>
          <w:rFonts w:hint="eastAsia" w:eastAsia="方正仿宋_GBK" w:cs="Times New Roman"/>
          <w:spacing w:val="-6"/>
          <w:sz w:val="32"/>
          <w:szCs w:val="32"/>
          <w:highlight w:val="none"/>
          <w:lang w:val="en-US" w:eastAsia="zh-CN"/>
        </w:rPr>
        <w:t>支持</w:t>
      </w:r>
      <w:r>
        <w:rPr>
          <w:rFonts w:hint="eastAsia" w:eastAsia="方正仿宋_GBK" w:cs="Times New Roman"/>
          <w:spacing w:val="-6"/>
          <w:sz w:val="32"/>
          <w:szCs w:val="32"/>
          <w:highlight w:val="none"/>
          <w:lang w:val="zh-CN" w:eastAsia="zh-CN"/>
        </w:rPr>
        <w:t>汽车消费</w:t>
      </w:r>
      <w:r>
        <w:rPr>
          <w:rFonts w:hint="eastAsia" w:eastAsia="方正仿宋_GBK" w:cs="Times New Roman"/>
          <w:spacing w:val="-6"/>
          <w:sz w:val="32"/>
          <w:szCs w:val="32"/>
          <w:highlight w:val="none"/>
          <w:lang w:val="en-US" w:eastAsia="zh-CN"/>
        </w:rPr>
        <w:t>和“</w:t>
      </w:r>
      <w:r>
        <w:rPr>
          <w:rFonts w:hint="default" w:eastAsia="方正仿宋_GBK" w:cs="Times New Roman"/>
          <w:spacing w:val="-6"/>
          <w:sz w:val="32"/>
          <w:szCs w:val="32"/>
          <w:highlight w:val="none"/>
          <w:lang w:val="en-US" w:eastAsia="zh-CN"/>
        </w:rPr>
        <w:t>嗨购徐水</w:t>
      </w:r>
      <w:r>
        <w:rPr>
          <w:rFonts w:hint="eastAsia" w:eastAsia="方正仿宋_GBK" w:cs="Times New Roman"/>
          <w:spacing w:val="-6"/>
          <w:sz w:val="32"/>
          <w:szCs w:val="32"/>
          <w:highlight w:val="none"/>
          <w:lang w:val="en-US" w:eastAsia="zh-CN"/>
        </w:rPr>
        <w:t>、</w:t>
      </w:r>
      <w:r>
        <w:rPr>
          <w:rFonts w:hint="default" w:eastAsia="方正仿宋_GBK" w:cs="Times New Roman"/>
          <w:spacing w:val="-6"/>
          <w:sz w:val="32"/>
          <w:szCs w:val="32"/>
          <w:highlight w:val="none"/>
          <w:lang w:val="en-US" w:eastAsia="zh-CN"/>
        </w:rPr>
        <w:t>年货到家</w:t>
      </w:r>
      <w:r>
        <w:rPr>
          <w:rFonts w:hint="eastAsia" w:eastAsia="方正仿宋_GBK" w:cs="Times New Roman"/>
          <w:spacing w:val="-6"/>
          <w:sz w:val="32"/>
          <w:szCs w:val="32"/>
          <w:highlight w:val="none"/>
          <w:lang w:val="en-US" w:eastAsia="zh-CN"/>
        </w:rPr>
        <w:t>”</w:t>
      </w:r>
      <w:r>
        <w:rPr>
          <w:rFonts w:hint="default" w:eastAsia="方正仿宋_GBK" w:cs="Times New Roman"/>
          <w:spacing w:val="-6"/>
          <w:sz w:val="32"/>
          <w:szCs w:val="32"/>
          <w:highlight w:val="none"/>
          <w:lang w:val="en-US" w:eastAsia="zh-CN"/>
        </w:rPr>
        <w:t>活动</w:t>
      </w:r>
      <w:r>
        <w:rPr>
          <w:rFonts w:hint="eastAsia" w:eastAsia="方正仿宋_GBK" w:cs="Times New Roman"/>
          <w:spacing w:val="-6"/>
          <w:sz w:val="32"/>
          <w:szCs w:val="32"/>
          <w:highlight w:val="none"/>
          <w:lang w:val="en-US" w:eastAsia="zh-CN"/>
        </w:rPr>
        <w:t>，打造消费场景，促进全区消费市场回暖复苏。</w:t>
      </w:r>
      <w:r>
        <w:rPr>
          <w:rFonts w:hint="eastAsia" w:ascii="Times New Roman" w:hAnsi="Times New Roman" w:eastAsia="方正仿宋_GBK" w:cs="Times New Roman"/>
          <w:b/>
          <w:bCs/>
          <w:kern w:val="0"/>
          <w:sz w:val="32"/>
          <w:szCs w:val="32"/>
          <w:highlight w:val="none"/>
          <w:lang w:val="en-US" w:eastAsia="zh-CN"/>
        </w:rPr>
        <w:t>三是</w:t>
      </w:r>
      <w:r>
        <w:rPr>
          <w:rFonts w:hint="eastAsia" w:eastAsia="方正仿宋_GBK" w:cs="Times New Roman"/>
          <w:b/>
          <w:bCs/>
          <w:kern w:val="0"/>
          <w:sz w:val="32"/>
          <w:szCs w:val="32"/>
          <w:highlight w:val="none"/>
          <w:lang w:val="en-US" w:eastAsia="zh-CN"/>
        </w:rPr>
        <w:t>着力助</w:t>
      </w:r>
      <w:r>
        <w:rPr>
          <w:rFonts w:hint="eastAsia" w:ascii="Times New Roman" w:hAnsi="Times New Roman" w:eastAsia="方正仿宋_GBK" w:cs="Times New Roman"/>
          <w:b/>
          <w:bCs/>
          <w:kern w:val="0"/>
          <w:sz w:val="32"/>
          <w:szCs w:val="32"/>
          <w:highlight w:val="none"/>
          <w:lang w:val="en-US" w:eastAsia="zh-CN"/>
        </w:rPr>
        <w:t>创新</w:t>
      </w:r>
      <w:r>
        <w:rPr>
          <w:rFonts w:hint="eastAsia" w:eastAsia="方正仿宋_GBK" w:cs="Times New Roman"/>
          <w:b/>
          <w:bCs/>
          <w:kern w:val="0"/>
          <w:sz w:val="32"/>
          <w:szCs w:val="32"/>
          <w:highlight w:val="none"/>
          <w:lang w:val="en-US" w:eastAsia="zh-CN"/>
        </w:rPr>
        <w:t>增动能。</w:t>
      </w:r>
      <w:r>
        <w:rPr>
          <w:rFonts w:hint="eastAsia" w:ascii="Times New Roman" w:hAnsi="Times New Roman" w:eastAsia="方正仿宋_GBK" w:cs="方正仿宋_GBK"/>
          <w:sz w:val="32"/>
          <w:szCs w:val="32"/>
          <w:highlight w:val="none"/>
          <w:lang w:val="en-US" w:eastAsia="zh-CN"/>
        </w:rPr>
        <w:t>2023年</w:t>
      </w:r>
      <w:r>
        <w:rPr>
          <w:rFonts w:hint="eastAsia" w:ascii="Times New Roman" w:hAnsi="Times New Roman" w:eastAsia="方正仿宋_GBK" w:cs="方正仿宋_GBK"/>
          <w:sz w:val="32"/>
          <w:szCs w:val="32"/>
          <w:highlight w:val="none"/>
          <w:lang w:val="zh-CN" w:eastAsia="zh-CN"/>
        </w:rPr>
        <w:t>科</w:t>
      </w:r>
      <w:r>
        <w:rPr>
          <w:rFonts w:hint="eastAsia" w:eastAsia="方正仿宋_GBK" w:cs="Times New Roman"/>
          <w:spacing w:val="-6"/>
          <w:sz w:val="32"/>
          <w:szCs w:val="32"/>
          <w:highlight w:val="none"/>
          <w:lang w:val="zh-CN" w:eastAsia="zh-CN"/>
        </w:rPr>
        <w:t>技支出6</w:t>
      </w:r>
      <w:r>
        <w:rPr>
          <w:rFonts w:hint="eastAsia" w:eastAsia="方正仿宋_GBK" w:cs="Times New Roman"/>
          <w:spacing w:val="-6"/>
          <w:sz w:val="32"/>
          <w:szCs w:val="32"/>
          <w:highlight w:val="none"/>
          <w:lang w:val="en-US" w:eastAsia="zh-CN"/>
        </w:rPr>
        <w:t>267</w:t>
      </w:r>
      <w:r>
        <w:rPr>
          <w:rFonts w:hint="eastAsia" w:eastAsia="方正仿宋_GBK" w:cs="Times New Roman"/>
          <w:spacing w:val="-6"/>
          <w:sz w:val="32"/>
          <w:szCs w:val="32"/>
          <w:highlight w:val="none"/>
          <w:lang w:val="zh-CN" w:eastAsia="zh-CN"/>
        </w:rPr>
        <w:t>万元，占公共预算支出的1.5</w:t>
      </w:r>
      <w:r>
        <w:rPr>
          <w:rFonts w:hint="eastAsia" w:eastAsia="方正仿宋_GBK" w:cs="Times New Roman"/>
          <w:spacing w:val="-6"/>
          <w:sz w:val="32"/>
          <w:szCs w:val="32"/>
          <w:highlight w:val="none"/>
          <w:lang w:val="en-US" w:eastAsia="zh-CN"/>
        </w:rPr>
        <w:t>1</w:t>
      </w:r>
      <w:r>
        <w:rPr>
          <w:rFonts w:hint="eastAsia" w:eastAsia="方正仿宋_GBK" w:cs="Times New Roman"/>
          <w:spacing w:val="-6"/>
          <w:sz w:val="32"/>
          <w:szCs w:val="32"/>
          <w:highlight w:val="none"/>
          <w:lang w:val="zh-CN" w:eastAsia="zh-CN"/>
        </w:rPr>
        <w:t>%，</w:t>
      </w:r>
      <w:r>
        <w:rPr>
          <w:rFonts w:hint="eastAsia" w:eastAsia="方正仿宋_GBK" w:cs="Times New Roman"/>
          <w:spacing w:val="-6"/>
          <w:sz w:val="32"/>
          <w:szCs w:val="32"/>
          <w:highlight w:val="none"/>
          <w:lang w:val="en-US" w:eastAsia="zh-CN"/>
        </w:rPr>
        <w:t>重点支持省校科技合作、县域科技创新跃升奖励、研发费用加计扣除后补助、科技创新引导等方面，增强发展内生动力。</w:t>
      </w:r>
    </w:p>
    <w:p w14:paraId="5217A8CF">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16" w:firstLineChars="200"/>
        <w:jc w:val="both"/>
        <w:textAlignment w:val="auto"/>
        <w:rPr>
          <w:rFonts w:hint="eastAsia" w:eastAsia="方正仿宋_GBK" w:cs="Times New Roman"/>
          <w:spacing w:val="-6"/>
          <w:sz w:val="32"/>
          <w:szCs w:val="32"/>
          <w:highlight w:val="none"/>
          <w:lang w:val="en-US" w:eastAsia="zh-CN"/>
        </w:rPr>
      </w:pPr>
      <w:r>
        <w:rPr>
          <w:rFonts w:hint="eastAsia" w:eastAsia="方正仿宋_GBK" w:cs="Times New Roman"/>
          <w:b/>
          <w:bCs/>
          <w:spacing w:val="-6"/>
          <w:sz w:val="32"/>
          <w:szCs w:val="32"/>
          <w:highlight w:val="none"/>
          <w:lang w:val="en-US" w:eastAsia="zh-CN"/>
        </w:rPr>
        <w:t>3.</w:t>
      </w:r>
      <w:r>
        <w:rPr>
          <w:rFonts w:hint="eastAsia" w:ascii="方正仿宋_GBK" w:hAnsi="方正仿宋_GBK" w:eastAsia="方正仿宋_GBK" w:cs="方正仿宋_GBK"/>
          <w:b/>
          <w:bCs/>
          <w:kern w:val="2"/>
          <w:sz w:val="32"/>
          <w:szCs w:val="32"/>
          <w:highlight w:val="none"/>
          <w:shd w:val="clear" w:color="auto" w:fill="FFFFFF"/>
          <w:lang w:val="en-US" w:eastAsia="zh-CN" w:bidi="ar-SA"/>
        </w:rPr>
        <w:t>“保</w:t>
      </w:r>
      <w:r>
        <w:rPr>
          <w:rFonts w:hint="default" w:ascii="方正仿宋_GBK" w:hAnsi="方正仿宋_GBK" w:eastAsia="方正仿宋_GBK" w:cs="方正仿宋_GBK"/>
          <w:b/>
          <w:bCs/>
          <w:kern w:val="2"/>
          <w:sz w:val="32"/>
          <w:szCs w:val="32"/>
          <w:highlight w:val="none"/>
          <w:shd w:val="clear" w:color="auto" w:fill="FFFFFF"/>
          <w:lang w:val="en-US" w:eastAsia="zh-CN" w:bidi="ar-SA"/>
        </w:rPr>
        <w:t>”</w:t>
      </w:r>
      <w:r>
        <w:rPr>
          <w:rFonts w:hint="eastAsia" w:ascii="方正仿宋_GBK" w:hAnsi="方正仿宋_GBK" w:eastAsia="方正仿宋_GBK" w:cs="方正仿宋_GBK"/>
          <w:b/>
          <w:bCs/>
          <w:kern w:val="2"/>
          <w:sz w:val="32"/>
          <w:szCs w:val="32"/>
          <w:highlight w:val="none"/>
          <w:shd w:val="clear" w:color="auto" w:fill="FFFFFF"/>
          <w:lang w:val="en-US" w:eastAsia="zh-CN" w:bidi="ar-SA"/>
        </w:rPr>
        <w:t>字兜底，着力增进民生福祉。</w:t>
      </w:r>
      <w:r>
        <w:rPr>
          <w:rFonts w:hint="eastAsia" w:eastAsia="方正仿宋_GBK" w:cs="Times New Roman"/>
          <w:spacing w:val="-6"/>
          <w:sz w:val="32"/>
          <w:szCs w:val="32"/>
          <w:highlight w:val="none"/>
          <w:lang w:val="en-US" w:eastAsia="zh-CN"/>
        </w:rPr>
        <w:t>精心落实教育、社保、就业等民生保障政策，精准解决人民群众急难愁盼问题。</w:t>
      </w:r>
      <w:r>
        <w:rPr>
          <w:rFonts w:hint="eastAsia" w:eastAsia="方正仿宋_GBK"/>
          <w:b/>
          <w:bCs/>
          <w:kern w:val="0"/>
          <w:sz w:val="32"/>
          <w:szCs w:val="32"/>
          <w:highlight w:val="none"/>
          <w:lang w:val="en-US" w:eastAsia="zh-CN"/>
        </w:rPr>
        <w:t>一是</w:t>
      </w:r>
      <w:r>
        <w:rPr>
          <w:rFonts w:hint="eastAsia" w:ascii="Times New Roman" w:hAnsi="Times New Roman" w:eastAsia="方正仿宋_GBK" w:cs="Times New Roman"/>
          <w:b/>
          <w:bCs/>
          <w:kern w:val="0"/>
          <w:sz w:val="32"/>
          <w:szCs w:val="32"/>
          <w:highlight w:val="none"/>
          <w:lang w:val="en-US" w:eastAsia="zh-CN"/>
        </w:rPr>
        <w:t>支持教育优质均衡发展。</w:t>
      </w:r>
      <w:r>
        <w:rPr>
          <w:rFonts w:hint="eastAsia" w:eastAsia="方正仿宋_GBK" w:cs="Times New Roman"/>
          <w:spacing w:val="-6"/>
          <w:sz w:val="32"/>
          <w:szCs w:val="32"/>
          <w:highlight w:val="none"/>
          <w:lang w:val="en-US" w:eastAsia="zh-CN"/>
        </w:rPr>
        <w:t>足额落实各学段生均公用经费</w:t>
      </w:r>
      <w:r>
        <w:rPr>
          <w:rFonts w:hint="default" w:eastAsia="方正仿宋_GBK" w:cs="Times New Roman"/>
          <w:spacing w:val="-6"/>
          <w:sz w:val="32"/>
          <w:szCs w:val="32"/>
          <w:highlight w:val="none"/>
          <w:lang w:val="en-US" w:eastAsia="zh-CN"/>
        </w:rPr>
        <w:t>1</w:t>
      </w:r>
      <w:r>
        <w:rPr>
          <w:rFonts w:hint="eastAsia" w:eastAsia="方正仿宋_GBK" w:cs="Times New Roman"/>
          <w:spacing w:val="-6"/>
          <w:sz w:val="32"/>
          <w:szCs w:val="32"/>
          <w:highlight w:val="none"/>
          <w:lang w:val="en-US" w:eastAsia="zh-CN"/>
        </w:rPr>
        <w:t>.</w:t>
      </w:r>
      <w:r>
        <w:rPr>
          <w:rFonts w:hint="default" w:eastAsia="方正仿宋_GBK" w:cs="Times New Roman"/>
          <w:spacing w:val="-6"/>
          <w:sz w:val="32"/>
          <w:szCs w:val="32"/>
          <w:highlight w:val="none"/>
          <w:lang w:val="en-US" w:eastAsia="zh-CN"/>
        </w:rPr>
        <w:t>1</w:t>
      </w:r>
      <w:r>
        <w:rPr>
          <w:rFonts w:hint="eastAsia" w:eastAsia="方正仿宋_GBK" w:cs="Times New Roman"/>
          <w:spacing w:val="-6"/>
          <w:sz w:val="32"/>
          <w:szCs w:val="32"/>
          <w:highlight w:val="none"/>
          <w:lang w:val="en-US" w:eastAsia="zh-CN"/>
        </w:rPr>
        <w:t>亿元，拨付专项资金1.45亿元，用于职教中心综合楼及学生餐厅建设、高中办学条件改善、校舍安全建设和义务教育薄弱学校改造、小学生营养餐改善、落实国家资助等政策。</w:t>
      </w:r>
      <w:r>
        <w:rPr>
          <w:rFonts w:hint="eastAsia" w:eastAsia="方正仿宋_GBK" w:cs="Times New Roman"/>
          <w:b/>
          <w:bCs/>
          <w:kern w:val="0"/>
          <w:sz w:val="32"/>
          <w:szCs w:val="32"/>
          <w:highlight w:val="none"/>
          <w:lang w:val="en-US" w:eastAsia="zh-CN"/>
        </w:rPr>
        <w:t>二是</w:t>
      </w:r>
      <w:r>
        <w:rPr>
          <w:rFonts w:hint="eastAsia" w:ascii="Times New Roman" w:hAnsi="Times New Roman" w:eastAsia="方正仿宋_GBK" w:cs="Times New Roman"/>
          <w:b/>
          <w:bCs/>
          <w:kern w:val="0"/>
          <w:sz w:val="32"/>
          <w:szCs w:val="32"/>
          <w:highlight w:val="none"/>
          <w:lang w:val="en-US" w:eastAsia="zh-CN"/>
        </w:rPr>
        <w:t>坚持农业农村优先发展</w:t>
      </w:r>
      <w:r>
        <w:rPr>
          <w:rFonts w:hint="eastAsia" w:eastAsia="方正仿宋_GBK" w:cs="Times New Roman"/>
          <w:b/>
          <w:bCs/>
          <w:kern w:val="0"/>
          <w:sz w:val="32"/>
          <w:szCs w:val="32"/>
          <w:highlight w:val="none"/>
          <w:lang w:val="en-US" w:eastAsia="zh-CN"/>
        </w:rPr>
        <w:t>。</w:t>
      </w:r>
      <w:r>
        <w:rPr>
          <w:rFonts w:hint="eastAsia" w:eastAsia="方正仿宋_GBK" w:cs="Times New Roman"/>
          <w:spacing w:val="-6"/>
          <w:sz w:val="32"/>
          <w:szCs w:val="32"/>
          <w:highlight w:val="none"/>
          <w:lang w:val="en-US" w:eastAsia="zh-CN"/>
        </w:rPr>
        <w:t>拨付专项资金3.6亿元，用于巩固拓展脱贫攻坚成果同乡村振兴有效衔接、耕地地力保护和农业保险保费补贴、高标准农田建设、农村生活水源江水置换、农村公益事业建设、村级组织运转等，加强和改善乡村治理，扎实推进乡村全面振兴。本级财政“三农”投入较上年增长4</w:t>
      </w:r>
      <w:r>
        <w:rPr>
          <w:rFonts w:hint="default" w:eastAsia="方正仿宋_GBK" w:cs="Times New Roman"/>
          <w:spacing w:val="-6"/>
          <w:sz w:val="32"/>
          <w:szCs w:val="32"/>
          <w:highlight w:val="none"/>
          <w:lang w:val="en-US" w:eastAsia="zh-CN"/>
        </w:rPr>
        <w:t>%</w:t>
      </w:r>
      <w:r>
        <w:rPr>
          <w:rFonts w:hint="eastAsia" w:eastAsia="方正仿宋_GBK" w:cs="Times New Roman"/>
          <w:spacing w:val="-6"/>
          <w:sz w:val="32"/>
          <w:szCs w:val="32"/>
          <w:highlight w:val="none"/>
          <w:lang w:val="en-US" w:eastAsia="zh-CN"/>
        </w:rPr>
        <w:t>，土地出让收益用于农业农村比例</w:t>
      </w:r>
      <w:r>
        <w:rPr>
          <w:rFonts w:hint="default" w:eastAsia="方正仿宋_GBK" w:cs="Times New Roman"/>
          <w:spacing w:val="-6"/>
          <w:sz w:val="32"/>
          <w:szCs w:val="32"/>
          <w:highlight w:val="none"/>
          <w:lang w:val="en-US" w:eastAsia="zh-CN"/>
        </w:rPr>
        <w:t>76.56%</w:t>
      </w:r>
      <w:r>
        <w:rPr>
          <w:rFonts w:hint="eastAsia" w:eastAsia="方正仿宋_GBK" w:cs="Times New Roman"/>
          <w:spacing w:val="-6"/>
          <w:sz w:val="32"/>
          <w:szCs w:val="32"/>
          <w:highlight w:val="none"/>
          <w:lang w:val="en-US" w:eastAsia="zh-CN"/>
        </w:rPr>
        <w:t>，达到市定考核目标。</w:t>
      </w:r>
      <w:r>
        <w:rPr>
          <w:rFonts w:hint="eastAsia" w:ascii="Times New Roman" w:hAnsi="Times New Roman" w:eastAsia="方正仿宋_GBK" w:cs="Times New Roman"/>
          <w:b/>
          <w:bCs/>
          <w:kern w:val="0"/>
          <w:sz w:val="32"/>
          <w:szCs w:val="32"/>
          <w:highlight w:val="none"/>
          <w:lang w:val="en-US" w:eastAsia="zh-CN" w:bidi="ar-SA"/>
        </w:rPr>
        <w:t>三是</w:t>
      </w:r>
      <w:r>
        <w:rPr>
          <w:rFonts w:hint="eastAsia" w:eastAsia="方正仿宋_GBK" w:cs="Times New Roman"/>
          <w:b/>
          <w:bCs/>
          <w:kern w:val="0"/>
          <w:sz w:val="32"/>
          <w:szCs w:val="32"/>
          <w:highlight w:val="none"/>
          <w:lang w:val="en-US" w:eastAsia="zh-CN" w:bidi="ar-SA"/>
        </w:rPr>
        <w:t>兜准兜牢民生底线。</w:t>
      </w:r>
      <w:r>
        <w:rPr>
          <w:rFonts w:hint="eastAsia" w:eastAsia="方正仿宋_GBK" w:cs="Times New Roman"/>
          <w:spacing w:val="-6"/>
          <w:sz w:val="32"/>
          <w:szCs w:val="32"/>
          <w:highlight w:val="none"/>
          <w:lang w:val="en-US" w:eastAsia="zh-CN"/>
        </w:rPr>
        <w:t>拨付专项资金3亿元，用于城乡居民基本医疗保险、医疗救助补助、基本公共卫生服务、落实国家基本药物制度等，着力减轻人民群众看病就医负担。其中：城乡居民基本医疗保险人均财政补助提高30元，达到每人每年640元，惠及群众49.9万人，基本公共卫生服务经费人均财政补助标准提高5元，达到每人每年89元，惠及60.52万人。拨付专项资金2.87亿元，用于城乡居民基本养老保险补助，惠及群众20.1万人。拨付困难群众补助资金4494.23万元，用于低保对象、特困人员、孤儿、残疾人、临时救助等基本生活保障。拨付就业补助资金1328.24万元，落实就业优先政策，提高就业服务能力。</w:t>
      </w:r>
      <w:r>
        <w:rPr>
          <w:rFonts w:hint="eastAsia" w:eastAsia="方正仿宋_GBK" w:cs="Times New Roman"/>
          <w:b/>
          <w:bCs/>
          <w:spacing w:val="-6"/>
          <w:sz w:val="32"/>
          <w:szCs w:val="32"/>
          <w:highlight w:val="none"/>
          <w:lang w:val="en-US" w:eastAsia="zh-CN"/>
        </w:rPr>
        <w:t>四</w:t>
      </w:r>
      <w:r>
        <w:rPr>
          <w:rFonts w:hint="eastAsia" w:eastAsia="方正仿宋_GBK" w:cs="Times New Roman"/>
          <w:b/>
          <w:bCs/>
          <w:kern w:val="0"/>
          <w:sz w:val="32"/>
          <w:szCs w:val="32"/>
          <w:highlight w:val="none"/>
          <w:u w:val="none"/>
          <w:lang w:val="en-US" w:eastAsia="zh-CN"/>
        </w:rPr>
        <w:t>是</w:t>
      </w:r>
      <w:r>
        <w:rPr>
          <w:rFonts w:hint="eastAsia" w:ascii="Times New Roman" w:hAnsi="Times New Roman" w:eastAsia="方正仿宋_GBK" w:cs="Times New Roman"/>
          <w:b/>
          <w:bCs/>
          <w:kern w:val="0"/>
          <w:sz w:val="32"/>
          <w:szCs w:val="32"/>
          <w:highlight w:val="none"/>
          <w:u w:val="none"/>
          <w:lang w:val="en-US" w:eastAsia="zh-CN"/>
        </w:rPr>
        <w:t>支持</w:t>
      </w:r>
      <w:r>
        <w:rPr>
          <w:rFonts w:hint="eastAsia" w:eastAsia="方正仿宋_GBK" w:cs="Times New Roman"/>
          <w:b/>
          <w:bCs/>
          <w:color w:val="auto"/>
          <w:sz w:val="32"/>
          <w:szCs w:val="32"/>
          <w:highlight w:val="none"/>
          <w:lang w:val="en-US" w:eastAsia="zh-CN"/>
        </w:rPr>
        <w:t>改善</w:t>
      </w:r>
      <w:r>
        <w:rPr>
          <w:rFonts w:hint="eastAsia" w:ascii="Times New Roman" w:hAnsi="Times New Roman" w:eastAsia="方正仿宋_GBK" w:cs="Times New Roman"/>
          <w:b/>
          <w:bCs/>
          <w:kern w:val="0"/>
          <w:sz w:val="32"/>
          <w:szCs w:val="32"/>
          <w:highlight w:val="none"/>
          <w:u w:val="none"/>
          <w:lang w:val="en-US" w:eastAsia="zh-CN"/>
        </w:rPr>
        <w:t>城乡基础设施</w:t>
      </w:r>
      <w:r>
        <w:rPr>
          <w:rFonts w:hint="eastAsia" w:eastAsia="方正仿宋_GBK" w:cs="Times New Roman"/>
          <w:b/>
          <w:bCs/>
          <w:kern w:val="0"/>
          <w:sz w:val="32"/>
          <w:szCs w:val="32"/>
          <w:highlight w:val="none"/>
          <w:u w:val="none"/>
          <w:lang w:val="en-US" w:eastAsia="zh-CN"/>
        </w:rPr>
        <w:t>和</w:t>
      </w:r>
      <w:r>
        <w:rPr>
          <w:rFonts w:hint="eastAsia" w:ascii="Times New Roman" w:hAnsi="Times New Roman" w:eastAsia="方正仿宋_GBK" w:cs="Times New Roman"/>
          <w:b/>
          <w:bCs/>
          <w:color w:val="auto"/>
          <w:sz w:val="32"/>
          <w:szCs w:val="32"/>
          <w:highlight w:val="none"/>
          <w:lang w:val="en-US" w:eastAsia="zh-CN"/>
        </w:rPr>
        <w:t>人居环境</w:t>
      </w:r>
      <w:r>
        <w:rPr>
          <w:rFonts w:hint="eastAsia" w:eastAsia="方正仿宋_GBK" w:cs="Times New Roman"/>
          <w:b/>
          <w:bCs/>
          <w:kern w:val="0"/>
          <w:sz w:val="32"/>
          <w:szCs w:val="32"/>
          <w:highlight w:val="none"/>
          <w:u w:val="none"/>
          <w:lang w:val="en-US" w:eastAsia="zh-CN"/>
        </w:rPr>
        <w:t>。</w:t>
      </w:r>
      <w:r>
        <w:rPr>
          <w:rFonts w:hint="default" w:eastAsia="方正仿宋_GBK" w:cs="Times New Roman"/>
          <w:spacing w:val="-6"/>
          <w:sz w:val="32"/>
          <w:szCs w:val="32"/>
          <w:highlight w:val="none"/>
          <w:lang w:val="en-US" w:eastAsia="zh-CN"/>
        </w:rPr>
        <w:t>拨付资金</w:t>
      </w:r>
      <w:r>
        <w:rPr>
          <w:rFonts w:hint="eastAsia" w:eastAsia="方正仿宋_GBK" w:cs="Times New Roman"/>
          <w:spacing w:val="-6"/>
          <w:sz w:val="32"/>
          <w:szCs w:val="32"/>
          <w:highlight w:val="none"/>
          <w:lang w:val="en-US" w:eastAsia="zh-CN"/>
        </w:rPr>
        <w:t>2.89亿</w:t>
      </w:r>
      <w:r>
        <w:rPr>
          <w:rFonts w:hint="default" w:eastAsia="方正仿宋_GBK" w:cs="Times New Roman"/>
          <w:spacing w:val="-6"/>
          <w:sz w:val="32"/>
          <w:szCs w:val="32"/>
          <w:highlight w:val="none"/>
          <w:lang w:val="en-US" w:eastAsia="zh-CN"/>
        </w:rPr>
        <w:t>元</w:t>
      </w:r>
      <w:r>
        <w:rPr>
          <w:rFonts w:hint="eastAsia" w:eastAsia="方正仿宋_GBK" w:cs="Times New Roman"/>
          <w:spacing w:val="-6"/>
          <w:sz w:val="32"/>
          <w:szCs w:val="32"/>
          <w:highlight w:val="none"/>
          <w:lang w:val="en-US" w:eastAsia="zh-CN"/>
        </w:rPr>
        <w:t>，</w:t>
      </w:r>
      <w:r>
        <w:rPr>
          <w:rFonts w:hint="default" w:eastAsia="方正仿宋_GBK" w:cs="Times New Roman"/>
          <w:spacing w:val="-6"/>
          <w:sz w:val="32"/>
          <w:szCs w:val="32"/>
          <w:highlight w:val="none"/>
          <w:lang w:val="en-US" w:eastAsia="zh-CN"/>
        </w:rPr>
        <w:t>用于城乡环卫及垃圾焚烧处理</w:t>
      </w:r>
      <w:r>
        <w:rPr>
          <w:rFonts w:hint="eastAsia" w:eastAsia="方正仿宋_GBK" w:cs="Times New Roman"/>
          <w:spacing w:val="-6"/>
          <w:sz w:val="32"/>
          <w:szCs w:val="32"/>
          <w:highlight w:val="none"/>
          <w:lang w:val="en-US" w:eastAsia="zh-CN"/>
        </w:rPr>
        <w:t>、公厕维护、</w:t>
      </w:r>
      <w:r>
        <w:rPr>
          <w:rFonts w:hint="default" w:eastAsia="方正仿宋_GBK" w:cs="Times New Roman"/>
          <w:spacing w:val="-6"/>
          <w:sz w:val="32"/>
          <w:szCs w:val="32"/>
          <w:highlight w:val="none"/>
          <w:lang w:val="en-US" w:eastAsia="zh-CN"/>
        </w:rPr>
        <w:t>老旧小区</w:t>
      </w:r>
      <w:r>
        <w:rPr>
          <w:rFonts w:hint="eastAsia" w:eastAsia="方正仿宋_GBK" w:cs="Times New Roman"/>
          <w:spacing w:val="-6"/>
          <w:sz w:val="32"/>
          <w:szCs w:val="32"/>
          <w:highlight w:val="none"/>
          <w:lang w:val="en-US" w:eastAsia="zh-CN"/>
        </w:rPr>
        <w:t>和</w:t>
      </w:r>
      <w:r>
        <w:rPr>
          <w:rFonts w:hint="default" w:eastAsia="方正仿宋_GBK" w:cs="Times New Roman"/>
          <w:spacing w:val="-6"/>
          <w:sz w:val="32"/>
          <w:szCs w:val="32"/>
          <w:highlight w:val="none"/>
          <w:lang w:val="en-US" w:eastAsia="zh-CN"/>
        </w:rPr>
        <w:t>棚户区改造、城乡道路提升改造工程、高压线路架空入地、</w:t>
      </w:r>
      <w:r>
        <w:rPr>
          <w:rFonts w:hint="eastAsia" w:eastAsia="方正仿宋_GBK" w:cs="Times New Roman"/>
          <w:spacing w:val="-6"/>
          <w:sz w:val="32"/>
          <w:szCs w:val="32"/>
          <w:highlight w:val="none"/>
          <w:lang w:val="en-US" w:eastAsia="zh-CN"/>
        </w:rPr>
        <w:t>”四好农村路“等，加快公共服务共建共享。</w:t>
      </w:r>
    </w:p>
    <w:p w14:paraId="4DBF467E">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40" w:firstLineChars="200"/>
        <w:jc w:val="both"/>
        <w:textAlignment w:val="auto"/>
        <w:rPr>
          <w:rFonts w:hint="default" w:eastAsia="方正仿宋_GBK" w:cs="Times New Roman"/>
          <w:spacing w:val="-6"/>
          <w:sz w:val="32"/>
          <w:szCs w:val="32"/>
          <w:highlight w:val="none"/>
          <w:lang w:val="en-US" w:eastAsia="zh-CN"/>
        </w:rPr>
      </w:pPr>
      <w:r>
        <w:rPr>
          <w:rFonts w:hint="eastAsia" w:ascii="Times New Roman" w:hAnsi="Times New Roman" w:eastAsia="方正仿宋_GBK" w:cs="Times New Roman"/>
          <w:b/>
          <w:bCs/>
          <w:kern w:val="0"/>
          <w:sz w:val="32"/>
          <w:szCs w:val="32"/>
          <w:highlight w:val="none"/>
          <w:lang w:val="en-US" w:eastAsia="zh-CN"/>
        </w:rPr>
        <w:t>4.“绿”字赋能，绘就发展鲜明底色。</w:t>
      </w:r>
      <w:r>
        <w:rPr>
          <w:rFonts w:hint="eastAsia" w:eastAsia="方正仿宋_GBK" w:cs="Times New Roman"/>
          <w:spacing w:val="-6"/>
          <w:sz w:val="32"/>
          <w:szCs w:val="32"/>
          <w:highlight w:val="none"/>
          <w:lang w:val="en-US" w:eastAsia="zh-CN"/>
        </w:rPr>
        <w:t>坚持绿水青山就是金山银山理念，持续推动生态文明建设。拨付资金</w:t>
      </w:r>
      <w:r>
        <w:rPr>
          <w:rFonts w:hint="default" w:eastAsia="方正仿宋_GBK" w:cs="Times New Roman"/>
          <w:spacing w:val="-6"/>
          <w:sz w:val="32"/>
          <w:szCs w:val="32"/>
          <w:highlight w:val="none"/>
          <w:lang w:val="en-US" w:eastAsia="zh-CN"/>
        </w:rPr>
        <w:t>3865万元</w:t>
      </w:r>
      <w:r>
        <w:rPr>
          <w:rFonts w:hint="eastAsia" w:eastAsia="方正仿宋_GBK" w:cs="Times New Roman"/>
          <w:spacing w:val="-6"/>
          <w:sz w:val="32"/>
          <w:szCs w:val="32"/>
          <w:highlight w:val="none"/>
          <w:lang w:val="en-US" w:eastAsia="zh-CN"/>
        </w:rPr>
        <w:t>用于</w:t>
      </w:r>
      <w:r>
        <w:rPr>
          <w:rFonts w:hint="default" w:eastAsia="方正仿宋_GBK" w:cs="Times New Roman"/>
          <w:spacing w:val="-6"/>
          <w:sz w:val="32"/>
          <w:szCs w:val="32"/>
          <w:highlight w:val="none"/>
          <w:lang w:val="en-US" w:eastAsia="zh-CN"/>
        </w:rPr>
        <w:t>推进白洋淀上游矿山恢复治理</w:t>
      </w:r>
      <w:r>
        <w:rPr>
          <w:rFonts w:hint="eastAsia" w:eastAsia="方正仿宋_GBK" w:cs="Times New Roman"/>
          <w:spacing w:val="-6"/>
          <w:sz w:val="32"/>
          <w:szCs w:val="32"/>
          <w:highlight w:val="none"/>
          <w:lang w:val="en-US" w:eastAsia="zh-CN"/>
        </w:rPr>
        <w:t>，持续</w:t>
      </w:r>
      <w:r>
        <w:rPr>
          <w:rFonts w:hint="default" w:eastAsia="方正仿宋_GBK" w:cs="Times New Roman"/>
          <w:spacing w:val="-6"/>
          <w:sz w:val="32"/>
          <w:szCs w:val="32"/>
          <w:highlight w:val="none"/>
          <w:lang w:val="en-US" w:eastAsia="zh-CN"/>
        </w:rPr>
        <w:t>改善和保护水生态。</w:t>
      </w:r>
      <w:r>
        <w:rPr>
          <w:rFonts w:hint="eastAsia" w:eastAsia="方正仿宋_GBK" w:cs="Times New Roman"/>
          <w:spacing w:val="-6"/>
          <w:sz w:val="32"/>
          <w:szCs w:val="32"/>
          <w:highlight w:val="none"/>
          <w:lang w:val="en-US" w:eastAsia="zh-CN"/>
        </w:rPr>
        <w:t>拨付</w:t>
      </w:r>
      <w:r>
        <w:rPr>
          <w:rFonts w:hint="default" w:eastAsia="方正仿宋_GBK" w:cs="Times New Roman"/>
          <w:spacing w:val="-6"/>
          <w:sz w:val="32"/>
          <w:szCs w:val="32"/>
          <w:highlight w:val="none"/>
          <w:lang w:val="en-US" w:eastAsia="zh-CN"/>
        </w:rPr>
        <w:t>资金</w:t>
      </w:r>
      <w:r>
        <w:rPr>
          <w:rFonts w:hint="eastAsia" w:eastAsia="方正仿宋_GBK" w:cs="Times New Roman"/>
          <w:spacing w:val="-6"/>
          <w:sz w:val="32"/>
          <w:szCs w:val="32"/>
          <w:highlight w:val="none"/>
          <w:lang w:val="en-US" w:eastAsia="zh-CN"/>
        </w:rPr>
        <w:t>2.68亿元，用于</w:t>
      </w:r>
      <w:r>
        <w:rPr>
          <w:rFonts w:hint="default" w:eastAsia="方正仿宋_GBK" w:cs="Times New Roman"/>
          <w:spacing w:val="-6"/>
          <w:sz w:val="32"/>
          <w:szCs w:val="32"/>
          <w:highlight w:val="none"/>
          <w:lang w:val="en-US" w:eastAsia="zh-CN"/>
        </w:rPr>
        <w:t>农村冬季</w:t>
      </w:r>
      <w:r>
        <w:rPr>
          <w:rFonts w:hint="eastAsia" w:eastAsia="方正仿宋_GBK" w:cs="Times New Roman"/>
          <w:spacing w:val="-6"/>
          <w:sz w:val="32"/>
          <w:szCs w:val="32"/>
          <w:highlight w:val="none"/>
          <w:lang w:val="en-US" w:eastAsia="zh-CN"/>
        </w:rPr>
        <w:t>“</w:t>
      </w:r>
      <w:r>
        <w:rPr>
          <w:rFonts w:hint="default" w:eastAsia="方正仿宋_GBK" w:cs="Times New Roman"/>
          <w:spacing w:val="-6"/>
          <w:sz w:val="32"/>
          <w:szCs w:val="32"/>
          <w:highlight w:val="none"/>
          <w:lang w:val="en-US" w:eastAsia="zh-CN"/>
        </w:rPr>
        <w:t>双代</w:t>
      </w:r>
      <w:r>
        <w:rPr>
          <w:rFonts w:hint="eastAsia" w:eastAsia="方正仿宋_GBK" w:cs="Times New Roman"/>
          <w:spacing w:val="-6"/>
          <w:sz w:val="32"/>
          <w:szCs w:val="32"/>
          <w:highlight w:val="none"/>
          <w:lang w:val="en-US" w:eastAsia="zh-CN"/>
        </w:rPr>
        <w:t>”</w:t>
      </w:r>
      <w:r>
        <w:rPr>
          <w:rFonts w:hint="default" w:eastAsia="方正仿宋_GBK" w:cs="Times New Roman"/>
          <w:spacing w:val="-6"/>
          <w:sz w:val="32"/>
          <w:szCs w:val="32"/>
          <w:highlight w:val="none"/>
          <w:lang w:val="en-US" w:eastAsia="zh-CN"/>
        </w:rPr>
        <w:t>清洁取暖补贴</w:t>
      </w:r>
      <w:r>
        <w:rPr>
          <w:rFonts w:hint="eastAsia" w:eastAsia="方正仿宋_GBK" w:cs="Times New Roman"/>
          <w:spacing w:val="-6"/>
          <w:sz w:val="32"/>
          <w:szCs w:val="32"/>
          <w:highlight w:val="none"/>
          <w:lang w:val="en-US" w:eastAsia="zh-CN"/>
        </w:rPr>
        <w:t>、</w:t>
      </w:r>
      <w:r>
        <w:rPr>
          <w:rFonts w:hint="default" w:eastAsia="方正仿宋_GBK" w:cs="Times New Roman"/>
          <w:spacing w:val="-6"/>
          <w:sz w:val="32"/>
          <w:szCs w:val="32"/>
          <w:highlight w:val="none"/>
          <w:lang w:val="en-US" w:eastAsia="zh-CN"/>
        </w:rPr>
        <w:t>洁净型煤补贴</w:t>
      </w:r>
      <w:r>
        <w:rPr>
          <w:rFonts w:hint="eastAsia" w:eastAsia="方正仿宋_GBK" w:cs="Times New Roman"/>
          <w:spacing w:val="-6"/>
          <w:sz w:val="32"/>
          <w:szCs w:val="32"/>
          <w:highlight w:val="none"/>
          <w:lang w:val="en-US" w:eastAsia="zh-CN"/>
        </w:rPr>
        <w:t>、</w:t>
      </w:r>
      <w:r>
        <w:rPr>
          <w:rFonts w:hint="default" w:eastAsia="方正仿宋_GBK" w:cs="Times New Roman"/>
          <w:spacing w:val="-6"/>
          <w:sz w:val="32"/>
          <w:szCs w:val="32"/>
          <w:highlight w:val="none"/>
          <w:lang w:val="en-US" w:eastAsia="zh-CN"/>
        </w:rPr>
        <w:t>大气污染防治</w:t>
      </w:r>
      <w:r>
        <w:rPr>
          <w:rFonts w:hint="eastAsia" w:eastAsia="方正仿宋_GBK" w:cs="Times New Roman"/>
          <w:spacing w:val="-6"/>
          <w:sz w:val="32"/>
          <w:szCs w:val="32"/>
          <w:highlight w:val="none"/>
          <w:lang w:val="en-US" w:eastAsia="zh-CN"/>
        </w:rPr>
        <w:t>、</w:t>
      </w:r>
      <w:r>
        <w:rPr>
          <w:rFonts w:hint="default" w:eastAsia="方正仿宋_GBK" w:cs="Times New Roman"/>
          <w:spacing w:val="-6"/>
          <w:sz w:val="32"/>
          <w:szCs w:val="32"/>
          <w:highlight w:val="none"/>
          <w:lang w:val="en-US" w:eastAsia="zh-CN"/>
        </w:rPr>
        <w:t>污水处理</w:t>
      </w:r>
      <w:r>
        <w:rPr>
          <w:rFonts w:hint="eastAsia" w:eastAsia="方正仿宋_GBK" w:cs="Times New Roman"/>
          <w:spacing w:val="-6"/>
          <w:sz w:val="32"/>
          <w:szCs w:val="32"/>
          <w:highlight w:val="none"/>
          <w:lang w:val="en-US" w:eastAsia="zh-CN"/>
        </w:rPr>
        <w:t>、</w:t>
      </w:r>
      <w:r>
        <w:rPr>
          <w:rFonts w:hint="default" w:eastAsia="方正仿宋_GBK" w:cs="Times New Roman"/>
          <w:spacing w:val="-6"/>
          <w:sz w:val="32"/>
          <w:szCs w:val="32"/>
          <w:highlight w:val="none"/>
          <w:lang w:val="en-US" w:eastAsia="zh-CN"/>
        </w:rPr>
        <w:t>土地绿化流转</w:t>
      </w:r>
      <w:r>
        <w:rPr>
          <w:rFonts w:hint="eastAsia" w:eastAsia="方正仿宋_GBK" w:cs="Times New Roman"/>
          <w:spacing w:val="-6"/>
          <w:sz w:val="32"/>
          <w:szCs w:val="32"/>
          <w:highlight w:val="none"/>
          <w:lang w:val="en-US" w:eastAsia="zh-CN"/>
        </w:rPr>
        <w:t>等，改善</w:t>
      </w:r>
      <w:r>
        <w:rPr>
          <w:rFonts w:hint="default" w:eastAsia="方正仿宋_GBK" w:cs="Times New Roman"/>
          <w:spacing w:val="-6"/>
          <w:sz w:val="32"/>
          <w:szCs w:val="32"/>
          <w:highlight w:val="none"/>
          <w:lang w:val="en-US" w:eastAsia="zh-CN"/>
        </w:rPr>
        <w:t>大气、水、土壤</w:t>
      </w:r>
      <w:r>
        <w:rPr>
          <w:rFonts w:hint="eastAsia" w:eastAsia="方正仿宋_GBK" w:cs="Times New Roman"/>
          <w:spacing w:val="-6"/>
          <w:sz w:val="32"/>
          <w:szCs w:val="32"/>
          <w:highlight w:val="none"/>
          <w:lang w:val="en-US" w:eastAsia="zh-CN"/>
        </w:rPr>
        <w:t>环境</w:t>
      </w:r>
      <w:r>
        <w:rPr>
          <w:rFonts w:hint="default" w:eastAsia="方正仿宋_GBK" w:cs="Times New Roman"/>
          <w:spacing w:val="-6"/>
          <w:sz w:val="32"/>
          <w:szCs w:val="32"/>
          <w:highlight w:val="none"/>
          <w:lang w:val="en-US" w:eastAsia="zh-CN"/>
        </w:rPr>
        <w:t>。</w:t>
      </w:r>
      <w:r>
        <w:rPr>
          <w:rFonts w:hint="eastAsia" w:eastAsia="方正仿宋_GBK" w:cs="Times New Roman"/>
          <w:spacing w:val="-6"/>
          <w:sz w:val="32"/>
          <w:szCs w:val="32"/>
          <w:highlight w:val="none"/>
          <w:lang w:val="en-US" w:eastAsia="zh-CN"/>
        </w:rPr>
        <w:t>争取</w:t>
      </w:r>
      <w:r>
        <w:rPr>
          <w:rFonts w:hint="default" w:eastAsia="方正仿宋_GBK" w:cs="Times New Roman"/>
          <w:spacing w:val="-6"/>
          <w:sz w:val="32"/>
          <w:szCs w:val="32"/>
          <w:highlight w:val="none"/>
          <w:lang w:val="en-US" w:eastAsia="zh-CN"/>
        </w:rPr>
        <w:t>瀑河上游生态廊道建设及生态环境整治工程项目中央专项资金1691万元，已支出1000万元</w:t>
      </w:r>
      <w:r>
        <w:rPr>
          <w:rFonts w:hint="eastAsia" w:eastAsia="方正仿宋_GBK" w:cs="Times New Roman"/>
          <w:spacing w:val="-6"/>
          <w:sz w:val="32"/>
          <w:szCs w:val="32"/>
          <w:highlight w:val="none"/>
          <w:lang w:val="en-US" w:eastAsia="zh-CN"/>
        </w:rPr>
        <w:t>，推进</w:t>
      </w:r>
      <w:r>
        <w:rPr>
          <w:rFonts w:hint="default" w:eastAsia="方正仿宋_GBK" w:cs="Times New Roman"/>
          <w:spacing w:val="-6"/>
          <w:sz w:val="32"/>
          <w:szCs w:val="32"/>
          <w:highlight w:val="none"/>
          <w:lang w:val="en-US" w:eastAsia="zh-CN"/>
        </w:rPr>
        <w:t>山水林田湖草沙</w:t>
      </w:r>
      <w:r>
        <w:rPr>
          <w:rFonts w:hint="eastAsia" w:eastAsia="方正仿宋_GBK" w:cs="Times New Roman"/>
          <w:spacing w:val="-6"/>
          <w:sz w:val="32"/>
          <w:szCs w:val="32"/>
          <w:highlight w:val="none"/>
          <w:lang w:val="en-US" w:eastAsia="zh-CN"/>
        </w:rPr>
        <w:t>一体化保护和系统治理</w:t>
      </w:r>
      <w:r>
        <w:rPr>
          <w:rFonts w:hint="default" w:eastAsia="方正仿宋_GBK" w:cs="Times New Roman"/>
          <w:spacing w:val="-6"/>
          <w:sz w:val="32"/>
          <w:szCs w:val="32"/>
          <w:highlight w:val="none"/>
          <w:lang w:val="en-US" w:eastAsia="zh-CN"/>
        </w:rPr>
        <w:t>。</w:t>
      </w:r>
    </w:p>
    <w:p w14:paraId="663F3673">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40" w:firstLineChars="200"/>
        <w:jc w:val="both"/>
        <w:textAlignment w:val="auto"/>
        <w:rPr>
          <w:rFonts w:hint="eastAsia" w:eastAsia="方正仿宋_GBK" w:cs="Times New Roman"/>
          <w:spacing w:val="-6"/>
          <w:sz w:val="32"/>
          <w:szCs w:val="32"/>
          <w:highlight w:val="none"/>
          <w:lang w:val="en-US" w:eastAsia="zh-CN"/>
        </w:rPr>
      </w:pPr>
      <w:r>
        <w:rPr>
          <w:rFonts w:hint="eastAsia" w:ascii="Times New Roman" w:hAnsi="Times New Roman" w:eastAsia="方正仿宋_GBK" w:cs="Times New Roman"/>
          <w:b/>
          <w:bCs/>
          <w:kern w:val="0"/>
          <w:sz w:val="32"/>
          <w:szCs w:val="32"/>
          <w:highlight w:val="none"/>
          <w:lang w:val="en-US" w:eastAsia="zh-CN"/>
        </w:rPr>
        <w:t>5.“防”字为重，筑牢安全发展根基。</w:t>
      </w:r>
      <w:r>
        <w:rPr>
          <w:rFonts w:hint="default" w:eastAsia="方正仿宋_GBK" w:cs="Times New Roman"/>
          <w:spacing w:val="-6"/>
          <w:sz w:val="32"/>
          <w:szCs w:val="32"/>
          <w:highlight w:val="none"/>
          <w:lang w:val="en-US" w:eastAsia="zh-CN"/>
        </w:rPr>
        <w:t>平衡好促发展和防风险的关系，</w:t>
      </w:r>
      <w:r>
        <w:rPr>
          <w:rFonts w:hint="eastAsia" w:eastAsia="方正仿宋_GBK" w:cs="Times New Roman"/>
          <w:spacing w:val="-6"/>
          <w:sz w:val="32"/>
          <w:szCs w:val="32"/>
          <w:highlight w:val="none"/>
          <w:lang w:val="en-US" w:eastAsia="zh-CN"/>
        </w:rPr>
        <w:t>拨付专项资金1.76亿元，用于政法保障、维稳、消防、安全生产，全力保障人民群众生命财产安全和社会大局稳定。抓紧抓实救灾资金保障，拨付救灾资金3718万元用于应急救援和灾后重建，提升应对风险灾害能力，有序推进灾区生产生活秩序全面恢复。强化政府债务限额管理，坚决遏制隐性债务增量，坚决杜绝违规举债融资，努力维护经济安全。</w:t>
      </w:r>
    </w:p>
    <w:p w14:paraId="757D1A06">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16" w:firstLineChars="200"/>
        <w:jc w:val="both"/>
        <w:textAlignment w:val="auto"/>
        <w:rPr>
          <w:rFonts w:hint="eastAsia" w:eastAsia="方正仿宋_GBK" w:cs="Times New Roman"/>
          <w:spacing w:val="-6"/>
          <w:sz w:val="32"/>
          <w:szCs w:val="32"/>
          <w:highlight w:val="none"/>
          <w:lang w:val="en-US" w:eastAsia="zh-CN"/>
        </w:rPr>
      </w:pPr>
      <w:r>
        <w:rPr>
          <w:rFonts w:hint="eastAsia" w:eastAsia="方正仿宋_GBK" w:cs="Times New Roman"/>
          <w:b/>
          <w:bCs/>
          <w:spacing w:val="-6"/>
          <w:sz w:val="32"/>
          <w:szCs w:val="32"/>
          <w:highlight w:val="none"/>
          <w:lang w:val="en-US" w:eastAsia="zh-CN"/>
        </w:rPr>
        <w:t>6.</w:t>
      </w:r>
      <w:r>
        <w:rPr>
          <w:rFonts w:hint="eastAsia" w:ascii="Times New Roman" w:hAnsi="Times New Roman" w:eastAsia="方正仿宋_GBK" w:cs="Times New Roman"/>
          <w:b/>
          <w:bCs/>
          <w:kern w:val="0"/>
          <w:sz w:val="32"/>
          <w:szCs w:val="32"/>
          <w:highlight w:val="none"/>
          <w:lang w:val="en-US" w:eastAsia="zh-CN"/>
        </w:rPr>
        <w:t>“改”字增效，提升财政治理</w:t>
      </w:r>
      <w:r>
        <w:rPr>
          <w:rFonts w:hint="eastAsia" w:eastAsia="方正仿宋_GBK" w:cs="Times New Roman"/>
          <w:b/>
          <w:bCs/>
          <w:kern w:val="0"/>
          <w:sz w:val="32"/>
          <w:szCs w:val="32"/>
          <w:highlight w:val="none"/>
          <w:lang w:val="en-US" w:eastAsia="zh-CN"/>
        </w:rPr>
        <w:t>水平</w:t>
      </w:r>
      <w:r>
        <w:rPr>
          <w:rFonts w:hint="eastAsia" w:ascii="Times New Roman" w:hAnsi="Times New Roman" w:eastAsia="方正仿宋_GBK" w:cs="Times New Roman"/>
          <w:b/>
          <w:bCs/>
          <w:kern w:val="0"/>
          <w:sz w:val="32"/>
          <w:szCs w:val="32"/>
          <w:highlight w:val="none"/>
          <w:lang w:val="en-US" w:eastAsia="zh-CN"/>
        </w:rPr>
        <w:t>。</w:t>
      </w:r>
      <w:r>
        <w:rPr>
          <w:rFonts w:hint="eastAsia" w:eastAsia="方正仿宋_GBK" w:cs="Times New Roman"/>
          <w:spacing w:val="-6"/>
          <w:sz w:val="32"/>
          <w:szCs w:val="32"/>
          <w:highlight w:val="none"/>
          <w:lang w:val="en-US" w:eastAsia="zh-CN"/>
        </w:rPr>
        <w:t>建立健全“行政绩效+业务绩效”相结合的一体化绩效考核模式，调整对乡镇和区直部门的财政管理绩效考核，将重大政策落实、预算编制管理、预算执行管理、资产管理、债务管理、预算信息化等指标纳入对乡镇和区直部门的考核，推动财政管理工作升级扩面。打造“预算评审+事前绩效评估”双轮驱动、深度融合的预算绩效管理新模式，规范政府项目资金审批程序，助力政府科学决策。以“保定市财政数字化转型和数字财政建设试点”为契机，打造以财政大数据应用为支撑、现代信息技术为主要手段、模块化定制的财政财务工作场景，提升财政管理与服务、财政分析与决策智能化水平，成为全市数字技术和财政业务深度融合的典范。</w:t>
      </w:r>
    </w:p>
    <w:p w14:paraId="7771F852">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16" w:firstLineChars="200"/>
        <w:jc w:val="both"/>
        <w:textAlignment w:val="auto"/>
        <w:rPr>
          <w:rFonts w:hint="eastAsia" w:ascii="Times New Roman" w:hAnsi="Times New Roman" w:eastAsia="仿宋_GB2312" w:cs="宋体"/>
          <w:spacing w:val="-4"/>
          <w:kern w:val="0"/>
          <w:sz w:val="32"/>
          <w:szCs w:val="32"/>
          <w:highlight w:val="none"/>
        </w:rPr>
      </w:pPr>
      <w:r>
        <w:rPr>
          <w:rFonts w:hint="eastAsia" w:eastAsia="方正仿宋_GBK" w:cs="Times New Roman"/>
          <w:spacing w:val="-6"/>
          <w:sz w:val="32"/>
          <w:szCs w:val="32"/>
          <w:highlight w:val="none"/>
          <w:lang w:val="en-US" w:eastAsia="zh-CN"/>
        </w:rPr>
        <w:t xml:space="preserve">在肯定成绩的同时，我们也清醒地认识到新形势下财政工作面临新的困难和挑战，主要表现在：财源基础抗冲击能力不足，财政增收难度大；减收增支因素进一步凸显，收支矛盾日益突出；部门绩效理念有待增强，提升预算绩效还有较大空间；争取债券规模大，偿还债务压力进一步加剧。对此，我们将坚持问题导向，进一步统筹谋划，采取有效措施，努力加以解决。    </w:t>
      </w:r>
      <w:r>
        <w:rPr>
          <w:rFonts w:hint="eastAsia" w:ascii="Times New Roman" w:hAnsi="Times New Roman" w:eastAsia="仿宋_GB2312" w:cs="宋体"/>
          <w:spacing w:val="-4"/>
          <w:kern w:val="0"/>
          <w:sz w:val="32"/>
          <w:szCs w:val="32"/>
          <w:highlight w:val="none"/>
        </w:rPr>
        <w:t xml:space="preserve"> </w:t>
      </w:r>
    </w:p>
    <w:p w14:paraId="6A9A251C">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24" w:firstLineChars="200"/>
        <w:jc w:val="both"/>
        <w:textAlignment w:val="auto"/>
        <w:rPr>
          <w:rFonts w:hint="eastAsia" w:ascii="Times New Roman" w:hAnsi="Times New Roman" w:eastAsia="方正黑体_GBK" w:cs="方正黑体_GBK"/>
          <w:spacing w:val="-4"/>
          <w:sz w:val="32"/>
          <w:szCs w:val="32"/>
          <w:highlight w:val="none"/>
        </w:rPr>
      </w:pPr>
      <w:r>
        <w:rPr>
          <w:rFonts w:hint="eastAsia" w:ascii="Times New Roman" w:hAnsi="Times New Roman" w:eastAsia="方正黑体_GBK" w:cs="方正黑体_GBK"/>
          <w:spacing w:val="-4"/>
          <w:sz w:val="32"/>
          <w:szCs w:val="32"/>
          <w:highlight w:val="none"/>
        </w:rPr>
        <w:t>二、202</w:t>
      </w:r>
      <w:r>
        <w:rPr>
          <w:rFonts w:hint="eastAsia" w:eastAsia="方正黑体_GBK" w:cs="方正黑体_GBK"/>
          <w:spacing w:val="-4"/>
          <w:sz w:val="32"/>
          <w:szCs w:val="32"/>
          <w:highlight w:val="none"/>
          <w:lang w:val="en-US" w:eastAsia="zh-CN"/>
        </w:rPr>
        <w:t>4</w:t>
      </w:r>
      <w:r>
        <w:rPr>
          <w:rFonts w:hint="eastAsia" w:ascii="Times New Roman" w:hAnsi="Times New Roman" w:eastAsia="方正黑体_GBK" w:cs="方正黑体_GBK"/>
          <w:spacing w:val="-4"/>
          <w:sz w:val="32"/>
          <w:szCs w:val="32"/>
          <w:highlight w:val="none"/>
        </w:rPr>
        <w:t>年预算（草案）</w:t>
      </w:r>
    </w:p>
    <w:p w14:paraId="02F51DCB">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16" w:firstLineChars="200"/>
        <w:jc w:val="both"/>
        <w:textAlignment w:val="auto"/>
        <w:rPr>
          <w:rFonts w:hint="eastAsia" w:ascii="Times New Roman" w:hAnsi="Times New Roman" w:eastAsia="方正楷体_GBK" w:cs="方正楷体_GBK"/>
          <w:b w:val="0"/>
          <w:bCs/>
          <w:spacing w:val="-6"/>
          <w:sz w:val="32"/>
          <w:szCs w:val="32"/>
          <w:highlight w:val="none"/>
        </w:rPr>
      </w:pPr>
      <w:r>
        <w:rPr>
          <w:rFonts w:hint="eastAsia" w:ascii="Times New Roman" w:hAnsi="Times New Roman" w:eastAsia="方正楷体_GBK" w:cs="方正楷体_GBK"/>
          <w:b w:val="0"/>
          <w:bCs/>
          <w:spacing w:val="-6"/>
          <w:sz w:val="32"/>
          <w:szCs w:val="32"/>
          <w:highlight w:val="none"/>
        </w:rPr>
        <w:t>（一）202</w:t>
      </w:r>
      <w:r>
        <w:rPr>
          <w:rFonts w:hint="eastAsia" w:eastAsia="方正楷体_GBK" w:cs="方正楷体_GBK"/>
          <w:b w:val="0"/>
          <w:bCs/>
          <w:spacing w:val="-6"/>
          <w:sz w:val="32"/>
          <w:szCs w:val="32"/>
          <w:highlight w:val="none"/>
          <w:lang w:val="en-US" w:eastAsia="zh-CN"/>
        </w:rPr>
        <w:t>4</w:t>
      </w:r>
      <w:r>
        <w:rPr>
          <w:rFonts w:hint="eastAsia" w:ascii="Times New Roman" w:hAnsi="Times New Roman" w:eastAsia="方正楷体_GBK" w:cs="方正楷体_GBK"/>
          <w:b w:val="0"/>
          <w:bCs/>
          <w:spacing w:val="-6"/>
          <w:sz w:val="32"/>
          <w:szCs w:val="32"/>
          <w:highlight w:val="none"/>
        </w:rPr>
        <w:t>年预算安排的指导思想</w:t>
      </w:r>
    </w:p>
    <w:p w14:paraId="221FD4D2">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16" w:firstLineChars="200"/>
        <w:jc w:val="both"/>
        <w:textAlignment w:val="auto"/>
        <w:rPr>
          <w:rFonts w:hint="eastAsia" w:eastAsia="方正仿宋_GBK" w:cs="Times New Roman"/>
          <w:spacing w:val="-6"/>
          <w:sz w:val="32"/>
          <w:szCs w:val="32"/>
          <w:highlight w:val="none"/>
          <w:lang w:val="en-US" w:eastAsia="zh-CN"/>
        </w:rPr>
      </w:pPr>
      <w:r>
        <w:rPr>
          <w:rFonts w:hint="eastAsia" w:eastAsia="方正仿宋_GBK" w:cs="Times New Roman"/>
          <w:spacing w:val="-6"/>
          <w:sz w:val="32"/>
          <w:szCs w:val="32"/>
          <w:highlight w:val="none"/>
          <w:lang w:val="en-US" w:eastAsia="zh-CN"/>
        </w:rPr>
        <w:t>坚持以习近平新时代中国特色社会主义思想为指导，全面贯彻党的二十大和二十届二中全会精神，落实中央和省委、市委、区委经济工作会议部署，坚持稳中求进、以进促稳、先立后破，完整、准确、全面贯彻新发展理念，积极服务和融入新发展格局，着力推动高质量发展。严格遵守《预算法》，坚持党政机关过“紧日子”，大力优化财政支出结构，兜牢“三保”底线。落实积极财政政策适度加力、提质增效要求，严肃财经纪律，提高财政资金使用绩效，切实增强经济活力、防范化解风险、改善社会预期，巩固和增强经济回升向好态势，为加快建设新时代经济强区、美丽徐水提供持续有力的财政支撑。</w:t>
      </w:r>
    </w:p>
    <w:p w14:paraId="70D58A6D">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16" w:firstLineChars="200"/>
        <w:jc w:val="both"/>
        <w:textAlignment w:val="auto"/>
        <w:rPr>
          <w:rFonts w:hint="eastAsia" w:ascii="Times New Roman" w:hAnsi="Times New Roman" w:eastAsia="方正楷体_GBK" w:cs="方正楷体_GBK"/>
          <w:b w:val="0"/>
          <w:bCs/>
          <w:spacing w:val="-6"/>
          <w:sz w:val="32"/>
          <w:szCs w:val="32"/>
          <w:highlight w:val="none"/>
        </w:rPr>
      </w:pPr>
      <w:r>
        <w:rPr>
          <w:rFonts w:hint="eastAsia" w:ascii="Times New Roman" w:hAnsi="Times New Roman" w:eastAsia="方正楷体_GBK" w:cs="方正楷体_GBK"/>
          <w:b w:val="0"/>
          <w:bCs/>
          <w:spacing w:val="-6"/>
          <w:sz w:val="32"/>
          <w:szCs w:val="32"/>
          <w:highlight w:val="none"/>
        </w:rPr>
        <w:t>（二）预算安排的基本原则</w:t>
      </w:r>
    </w:p>
    <w:p w14:paraId="7D00DFB3">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24" w:firstLineChars="200"/>
        <w:jc w:val="both"/>
        <w:textAlignment w:val="auto"/>
        <w:rPr>
          <w:rFonts w:hint="eastAsia" w:eastAsia="方正仿宋_GBK" w:cs="Times New Roman"/>
          <w:spacing w:val="-6"/>
          <w:sz w:val="32"/>
          <w:szCs w:val="32"/>
          <w:highlight w:val="none"/>
          <w:lang w:val="en-US" w:eastAsia="zh-CN"/>
        </w:rPr>
      </w:pPr>
      <w:r>
        <w:rPr>
          <w:rFonts w:hint="eastAsia" w:eastAsia="方正仿宋_GBK" w:cs="Times New Roman"/>
          <w:b/>
          <w:bCs/>
          <w:color w:val="auto"/>
          <w:spacing w:val="-4"/>
          <w:sz w:val="32"/>
          <w:szCs w:val="32"/>
          <w:highlight w:val="none"/>
          <w:lang w:val="en-US" w:eastAsia="zh-CN"/>
        </w:rPr>
        <w:t>一</w:t>
      </w:r>
      <w:r>
        <w:rPr>
          <w:rFonts w:hint="eastAsia" w:ascii="Times New Roman" w:hAnsi="Times New Roman" w:eastAsia="方正仿宋_GBK" w:cs="Times New Roman"/>
          <w:b/>
          <w:bCs/>
          <w:color w:val="auto"/>
          <w:spacing w:val="-4"/>
          <w:sz w:val="32"/>
          <w:szCs w:val="32"/>
          <w:highlight w:val="none"/>
        </w:rPr>
        <w:t>是</w:t>
      </w:r>
      <w:r>
        <w:rPr>
          <w:rFonts w:hint="eastAsia" w:ascii="Times New Roman" w:hAnsi="Times New Roman" w:eastAsia="方正仿宋_GBK" w:cs="Times New Roman"/>
          <w:b/>
          <w:bCs/>
          <w:color w:val="000000"/>
          <w:sz w:val="32"/>
          <w:szCs w:val="32"/>
          <w:highlight w:val="none"/>
          <w:lang w:val="en-US" w:eastAsia="zh-CN"/>
        </w:rPr>
        <w:t>依法依规。</w:t>
      </w:r>
      <w:r>
        <w:rPr>
          <w:rFonts w:hint="eastAsia" w:eastAsia="方正仿宋_GBK" w:cs="Times New Roman"/>
          <w:spacing w:val="-6"/>
          <w:sz w:val="32"/>
          <w:szCs w:val="32"/>
          <w:highlight w:val="none"/>
          <w:lang w:val="en-US" w:eastAsia="zh-CN"/>
        </w:rPr>
        <w:t>严格执行《预算法》关于预算管理职权、预算收支范围、预算编制、预算执行、预算调整等方面规定。</w:t>
      </w:r>
      <w:r>
        <w:rPr>
          <w:rFonts w:hint="eastAsia" w:eastAsia="方正仿宋_GBK" w:cs="Times New Roman"/>
          <w:b/>
          <w:bCs/>
          <w:spacing w:val="-4"/>
          <w:sz w:val="32"/>
          <w:szCs w:val="32"/>
          <w:highlight w:val="none"/>
          <w:u w:val="none"/>
          <w:lang w:val="en-US" w:eastAsia="zh-CN"/>
        </w:rPr>
        <w:t>二</w:t>
      </w:r>
      <w:r>
        <w:rPr>
          <w:rFonts w:hint="eastAsia" w:ascii="Times New Roman" w:hAnsi="Times New Roman" w:eastAsia="方正仿宋_GBK" w:cs="Times New Roman"/>
          <w:b/>
          <w:bCs/>
          <w:spacing w:val="-4"/>
          <w:sz w:val="32"/>
          <w:szCs w:val="32"/>
          <w:highlight w:val="none"/>
          <w:u w:val="none"/>
          <w:lang w:val="en-US" w:eastAsia="zh-CN"/>
        </w:rPr>
        <w:t>是</w:t>
      </w:r>
      <w:r>
        <w:rPr>
          <w:rFonts w:hint="eastAsia" w:ascii="Times New Roman" w:hAnsi="Times New Roman" w:eastAsia="方正仿宋_GBK" w:cs="Times New Roman"/>
          <w:b/>
          <w:bCs/>
          <w:spacing w:val="-4"/>
          <w:sz w:val="32"/>
          <w:szCs w:val="32"/>
          <w:highlight w:val="none"/>
          <w:lang w:val="en-US" w:eastAsia="zh-CN"/>
        </w:rPr>
        <w:t>量入为出</w:t>
      </w:r>
      <w:r>
        <w:rPr>
          <w:rFonts w:hint="eastAsia" w:ascii="Times New Roman" w:hAnsi="Times New Roman" w:eastAsia="方正仿宋_GBK" w:cs="Times New Roman"/>
          <w:spacing w:val="-4"/>
          <w:sz w:val="32"/>
          <w:szCs w:val="32"/>
          <w:highlight w:val="none"/>
          <w:lang w:val="en-US" w:eastAsia="zh-CN"/>
        </w:rPr>
        <w:t>。</w:t>
      </w:r>
      <w:r>
        <w:rPr>
          <w:rFonts w:hint="eastAsia" w:eastAsia="方正仿宋_GBK" w:cs="Times New Roman"/>
          <w:spacing w:val="-6"/>
          <w:sz w:val="32"/>
          <w:szCs w:val="32"/>
          <w:highlight w:val="none"/>
          <w:lang w:val="en-US" w:eastAsia="zh-CN"/>
        </w:rPr>
        <w:t>提高财政资源配置效率，收入预算与经济社会发展相适应，支出预算与财政承受能力相适应，做到量力而行、收支平衡。</w:t>
      </w:r>
      <w:r>
        <w:rPr>
          <w:rFonts w:hint="eastAsia" w:ascii="Times New Roman" w:hAnsi="Times New Roman" w:eastAsia="方正仿宋_GBK" w:cs="Times New Roman"/>
          <w:b/>
          <w:bCs/>
          <w:sz w:val="32"/>
          <w:highlight w:val="none"/>
        </w:rPr>
        <w:t>三</w:t>
      </w:r>
      <w:r>
        <w:rPr>
          <w:rFonts w:ascii="Times New Roman" w:hAnsi="Times New Roman" w:eastAsia="方正仿宋_GBK" w:cs="Times New Roman"/>
          <w:b/>
          <w:bCs/>
          <w:sz w:val="32"/>
          <w:highlight w:val="none"/>
        </w:rPr>
        <w:t>是</w:t>
      </w:r>
      <w:r>
        <w:rPr>
          <w:rFonts w:hint="eastAsia" w:ascii="Times New Roman" w:hAnsi="Times New Roman" w:eastAsia="方正仿宋_GBK" w:cs="Times New Roman"/>
          <w:b/>
          <w:bCs/>
          <w:spacing w:val="-4"/>
          <w:sz w:val="32"/>
          <w:szCs w:val="32"/>
          <w:highlight w:val="none"/>
          <w:lang w:val="en-US" w:eastAsia="zh-CN"/>
        </w:rPr>
        <w:t>突出重点</w:t>
      </w:r>
      <w:r>
        <w:rPr>
          <w:rFonts w:hint="eastAsia" w:ascii="Times New Roman" w:hAnsi="Times New Roman" w:eastAsia="方正仿宋_GBK" w:cs="Times New Roman"/>
          <w:b/>
          <w:bCs/>
          <w:sz w:val="32"/>
          <w:highlight w:val="none"/>
          <w:lang w:eastAsia="zh-CN"/>
        </w:rPr>
        <w:t>。</w:t>
      </w:r>
      <w:r>
        <w:rPr>
          <w:rFonts w:hint="eastAsia" w:eastAsia="方正仿宋_GBK" w:cs="Times New Roman"/>
          <w:spacing w:val="-6"/>
          <w:sz w:val="32"/>
          <w:szCs w:val="32"/>
          <w:highlight w:val="none"/>
          <w:lang w:val="en-US" w:eastAsia="zh-CN"/>
        </w:rPr>
        <w:t>优先保障民生支出和发展急需，加大对“三保”、教育科技、乡村振兴、医疗卫生、京雄保一体化等重点领域保障力度，集中财力办大事。</w:t>
      </w:r>
      <w:r>
        <w:rPr>
          <w:rFonts w:hint="eastAsia" w:ascii="Times New Roman" w:hAnsi="Times New Roman" w:eastAsia="方正仿宋_GBK" w:cs="Times New Roman"/>
          <w:b/>
          <w:bCs/>
          <w:spacing w:val="-4"/>
          <w:sz w:val="32"/>
          <w:szCs w:val="32"/>
          <w:highlight w:val="none"/>
        </w:rPr>
        <w:t>四是</w:t>
      </w:r>
      <w:r>
        <w:rPr>
          <w:rFonts w:hint="eastAsia" w:ascii="Times New Roman" w:hAnsi="Times New Roman" w:eastAsia="方正仿宋_GBK" w:cs="Times New Roman"/>
          <w:b/>
          <w:bCs/>
          <w:color w:val="000000"/>
          <w:sz w:val="32"/>
          <w:szCs w:val="32"/>
          <w:highlight w:val="none"/>
          <w:lang w:val="en-US" w:eastAsia="zh-CN"/>
        </w:rPr>
        <w:t>厉行节约。</w:t>
      </w:r>
      <w:r>
        <w:rPr>
          <w:rFonts w:hint="eastAsia" w:eastAsia="方正仿宋_GBK" w:cs="Times New Roman"/>
          <w:spacing w:val="-6"/>
          <w:sz w:val="32"/>
          <w:szCs w:val="32"/>
          <w:highlight w:val="none"/>
          <w:lang w:val="en-US" w:eastAsia="zh-CN"/>
        </w:rPr>
        <w:t>不折不扣贯彻落实党政机关过紧日子要求，有保有压，严控一般性支出，把有限的资金用在刀刃上。</w:t>
      </w:r>
      <w:r>
        <w:rPr>
          <w:rFonts w:hint="eastAsia" w:ascii="Times New Roman" w:hAnsi="Times New Roman" w:eastAsia="方正仿宋_GBK" w:cs="Times New Roman"/>
          <w:b/>
          <w:bCs/>
          <w:color w:val="000000"/>
          <w:sz w:val="32"/>
          <w:szCs w:val="32"/>
          <w:highlight w:val="none"/>
        </w:rPr>
        <w:t>五是</w:t>
      </w:r>
      <w:r>
        <w:rPr>
          <w:rFonts w:hint="eastAsia" w:ascii="Times New Roman" w:hAnsi="Times New Roman" w:eastAsia="方正仿宋_GBK" w:cs="Times New Roman"/>
          <w:b/>
          <w:bCs/>
          <w:sz w:val="32"/>
          <w:highlight w:val="none"/>
          <w:lang w:val="en-US" w:eastAsia="zh-CN"/>
        </w:rPr>
        <w:t>绩效为</w:t>
      </w:r>
      <w:r>
        <w:rPr>
          <w:rFonts w:hint="eastAsia" w:eastAsia="方正仿宋_GBK" w:cs="Times New Roman"/>
          <w:b/>
          <w:bCs/>
          <w:sz w:val="32"/>
          <w:highlight w:val="none"/>
          <w:lang w:val="en-US" w:eastAsia="zh-CN"/>
        </w:rPr>
        <w:t>重。</w:t>
      </w:r>
      <w:r>
        <w:rPr>
          <w:rFonts w:hint="eastAsia" w:eastAsia="方正仿宋_GBK" w:cs="Times New Roman"/>
          <w:spacing w:val="-6"/>
          <w:sz w:val="32"/>
          <w:szCs w:val="32"/>
          <w:highlight w:val="none"/>
          <w:lang w:val="en-US" w:eastAsia="zh-CN"/>
        </w:rPr>
        <w:t>加快构建全方位、全过程、全覆盖预算绩效管理体系，着力提升财政政策和资金的精准性、有效性。</w:t>
      </w:r>
      <w:r>
        <w:rPr>
          <w:rFonts w:hint="eastAsia" w:ascii="Times New Roman" w:hAnsi="Times New Roman" w:eastAsia="方正仿宋_GBK" w:cs="Times New Roman"/>
          <w:b/>
          <w:bCs/>
          <w:color w:val="000000"/>
          <w:sz w:val="32"/>
          <w:szCs w:val="32"/>
          <w:highlight w:val="none"/>
        </w:rPr>
        <w:t>六是</w:t>
      </w:r>
      <w:r>
        <w:rPr>
          <w:rFonts w:hint="eastAsia" w:ascii="Times New Roman" w:hAnsi="Times New Roman" w:eastAsia="方正仿宋_GBK" w:cs="Times New Roman"/>
          <w:b/>
          <w:bCs/>
          <w:color w:val="000000"/>
          <w:sz w:val="32"/>
          <w:szCs w:val="32"/>
          <w:highlight w:val="none"/>
          <w:lang w:val="en-US" w:eastAsia="zh-CN"/>
        </w:rPr>
        <w:t>防控风险</w:t>
      </w:r>
      <w:r>
        <w:rPr>
          <w:rFonts w:hint="eastAsia" w:eastAsia="方正仿宋_GBK" w:cs="Times New Roman"/>
          <w:b/>
          <w:bCs/>
          <w:color w:val="000000"/>
          <w:sz w:val="32"/>
          <w:szCs w:val="32"/>
          <w:highlight w:val="none"/>
          <w:lang w:val="en-US" w:eastAsia="zh-CN"/>
        </w:rPr>
        <w:t>。</w:t>
      </w:r>
      <w:r>
        <w:rPr>
          <w:rFonts w:hint="eastAsia" w:eastAsia="方正仿宋_GBK" w:cs="Times New Roman"/>
          <w:spacing w:val="-6"/>
          <w:sz w:val="32"/>
          <w:szCs w:val="32"/>
          <w:highlight w:val="none"/>
          <w:lang w:val="en-US" w:eastAsia="zh-CN"/>
        </w:rPr>
        <w:t>严格政府债务限额管理和预算管理，政府债务保持合理适度，确保财政平稳运行和收支平衡。</w:t>
      </w:r>
    </w:p>
    <w:p w14:paraId="1DB370AF">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16" w:firstLineChars="200"/>
        <w:jc w:val="both"/>
        <w:textAlignment w:val="auto"/>
        <w:rPr>
          <w:rFonts w:hint="eastAsia" w:ascii="Times New Roman" w:hAnsi="Times New Roman" w:eastAsia="方正楷体_GBK" w:cs="方正楷体_GBK"/>
          <w:b w:val="0"/>
          <w:bCs/>
          <w:spacing w:val="-6"/>
          <w:sz w:val="32"/>
          <w:szCs w:val="32"/>
          <w:highlight w:val="none"/>
        </w:rPr>
      </w:pPr>
      <w:r>
        <w:rPr>
          <w:rFonts w:hint="eastAsia" w:ascii="Times New Roman" w:hAnsi="Times New Roman" w:eastAsia="方正楷体_GBK" w:cs="方正楷体_GBK"/>
          <w:b w:val="0"/>
          <w:bCs/>
          <w:spacing w:val="-6"/>
          <w:sz w:val="32"/>
          <w:szCs w:val="32"/>
          <w:highlight w:val="none"/>
        </w:rPr>
        <w:t>（三）预算安排</w:t>
      </w:r>
    </w:p>
    <w:p w14:paraId="1DFC32F1">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24" w:firstLineChars="200"/>
        <w:jc w:val="both"/>
        <w:textAlignment w:val="auto"/>
        <w:rPr>
          <w:rFonts w:ascii="Times New Roman" w:hAnsi="Times New Roman" w:eastAsia="方正仿宋_GBK" w:cs="Times New Roman"/>
          <w:b/>
          <w:spacing w:val="-4"/>
          <w:sz w:val="32"/>
          <w:szCs w:val="32"/>
          <w:highlight w:val="none"/>
        </w:rPr>
      </w:pPr>
      <w:r>
        <w:rPr>
          <w:rFonts w:ascii="Times New Roman" w:hAnsi="Times New Roman" w:eastAsia="方正仿宋_GBK" w:cs="Times New Roman"/>
          <w:b/>
          <w:bCs/>
          <w:spacing w:val="-4"/>
          <w:kern w:val="0"/>
          <w:sz w:val="32"/>
          <w:szCs w:val="32"/>
          <w:highlight w:val="none"/>
        </w:rPr>
        <w:t>1</w:t>
      </w:r>
      <w:r>
        <w:rPr>
          <w:rFonts w:hint="eastAsia" w:ascii="Times New Roman" w:hAnsi="Times New Roman" w:eastAsia="方正仿宋_GBK" w:cs="Times New Roman"/>
          <w:b/>
          <w:bCs/>
          <w:spacing w:val="-4"/>
          <w:kern w:val="0"/>
          <w:sz w:val="32"/>
          <w:szCs w:val="32"/>
          <w:highlight w:val="none"/>
        </w:rPr>
        <w:t>.一般公共预算安排情况</w:t>
      </w:r>
    </w:p>
    <w:p w14:paraId="0A8A46D2">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24" w:firstLineChars="200"/>
        <w:jc w:val="both"/>
        <w:textAlignment w:val="auto"/>
        <w:rPr>
          <w:rFonts w:hint="eastAsia" w:eastAsia="方正仿宋_GBK" w:cs="Times New Roman"/>
          <w:spacing w:val="-6"/>
          <w:sz w:val="32"/>
          <w:szCs w:val="32"/>
          <w:highlight w:val="none"/>
          <w:lang w:val="en-US" w:eastAsia="zh-CN"/>
        </w:rPr>
      </w:pPr>
      <w:r>
        <w:rPr>
          <w:rFonts w:hint="eastAsia" w:ascii="Times New Roman" w:hAnsi="Times New Roman" w:eastAsia="方正仿宋_GBK" w:cs="Times New Roman"/>
          <w:b/>
          <w:bCs/>
          <w:spacing w:val="-4"/>
          <w:kern w:val="0"/>
          <w:sz w:val="32"/>
          <w:szCs w:val="32"/>
          <w:highlight w:val="none"/>
          <w:u w:val="none"/>
        </w:rPr>
        <w:t>（1</w:t>
      </w:r>
      <w:r>
        <w:rPr>
          <w:rFonts w:ascii="Times New Roman" w:hAnsi="Times New Roman" w:eastAsia="方正仿宋_GBK" w:cs="Times New Roman"/>
          <w:b/>
          <w:bCs/>
          <w:spacing w:val="-4"/>
          <w:kern w:val="0"/>
          <w:sz w:val="32"/>
          <w:szCs w:val="32"/>
          <w:highlight w:val="none"/>
          <w:u w:val="none"/>
        </w:rPr>
        <w:t>）</w:t>
      </w:r>
      <w:r>
        <w:rPr>
          <w:rFonts w:hint="eastAsia" w:ascii="Times New Roman" w:hAnsi="Times New Roman" w:eastAsia="方正仿宋_GBK" w:cs="Times New Roman"/>
          <w:b/>
          <w:bCs/>
          <w:spacing w:val="-4"/>
          <w:kern w:val="0"/>
          <w:sz w:val="32"/>
          <w:szCs w:val="32"/>
          <w:highlight w:val="none"/>
          <w:u w:val="none"/>
        </w:rPr>
        <w:t>收入预算。</w:t>
      </w:r>
      <w:r>
        <w:rPr>
          <w:rFonts w:hint="eastAsia" w:eastAsia="方正仿宋_GBK" w:cs="Times New Roman"/>
          <w:spacing w:val="-6"/>
          <w:sz w:val="32"/>
          <w:szCs w:val="32"/>
          <w:highlight w:val="none"/>
          <w:lang w:val="en-US" w:eastAsia="zh-CN"/>
        </w:rPr>
        <w:t>2024年，一般公共预算收入安排</w:t>
      </w:r>
      <w:r>
        <w:rPr>
          <w:rFonts w:hint="default" w:eastAsia="方正仿宋_GBK" w:cs="Times New Roman"/>
          <w:spacing w:val="-6"/>
          <w:sz w:val="32"/>
          <w:szCs w:val="32"/>
          <w:highlight w:val="none"/>
          <w:lang w:val="en-US" w:eastAsia="zh-CN"/>
        </w:rPr>
        <w:t>21.45</w:t>
      </w:r>
      <w:r>
        <w:rPr>
          <w:rFonts w:hint="eastAsia" w:eastAsia="方正仿宋_GBK" w:cs="Times New Roman"/>
          <w:spacing w:val="-6"/>
          <w:sz w:val="32"/>
          <w:szCs w:val="32"/>
          <w:highlight w:val="none"/>
          <w:lang w:val="en-US" w:eastAsia="zh-CN"/>
        </w:rPr>
        <w:t>亿元，较上年增长</w:t>
      </w:r>
      <w:r>
        <w:rPr>
          <w:rFonts w:hint="default" w:eastAsia="方正仿宋_GBK" w:cs="Times New Roman"/>
          <w:spacing w:val="-6"/>
          <w:sz w:val="32"/>
          <w:szCs w:val="32"/>
          <w:highlight w:val="none"/>
          <w:lang w:val="en-US" w:eastAsia="zh-CN"/>
        </w:rPr>
        <w:t>6.5%</w:t>
      </w:r>
      <w:r>
        <w:rPr>
          <w:rFonts w:hint="eastAsia" w:eastAsia="方正仿宋_GBK" w:cs="Times New Roman"/>
          <w:spacing w:val="-6"/>
          <w:sz w:val="32"/>
          <w:szCs w:val="32"/>
          <w:highlight w:val="none"/>
          <w:lang w:val="en-US" w:eastAsia="zh-CN"/>
        </w:rPr>
        <w:t>。</w:t>
      </w:r>
    </w:p>
    <w:p w14:paraId="405B6ED1">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24" w:firstLineChars="200"/>
        <w:jc w:val="both"/>
        <w:textAlignment w:val="auto"/>
        <w:rPr>
          <w:rFonts w:hint="eastAsia" w:eastAsia="方正仿宋_GBK" w:cs="Times New Roman"/>
          <w:spacing w:val="-6"/>
          <w:sz w:val="32"/>
          <w:szCs w:val="32"/>
          <w:highlight w:val="none"/>
          <w:lang w:val="en-US" w:eastAsia="zh-CN"/>
        </w:rPr>
      </w:pPr>
      <w:r>
        <w:rPr>
          <w:rFonts w:hint="eastAsia" w:ascii="Times New Roman" w:hAnsi="Times New Roman" w:eastAsia="方正仿宋_GBK" w:cs="Times New Roman"/>
          <w:b/>
          <w:bCs/>
          <w:spacing w:val="-4"/>
          <w:kern w:val="0"/>
          <w:sz w:val="32"/>
          <w:szCs w:val="32"/>
          <w:highlight w:val="none"/>
          <w:u w:val="none"/>
        </w:rPr>
        <w:t>（2</w:t>
      </w:r>
      <w:r>
        <w:rPr>
          <w:rFonts w:ascii="Times New Roman" w:hAnsi="Times New Roman" w:eastAsia="方正仿宋_GBK" w:cs="Times New Roman"/>
          <w:b/>
          <w:bCs/>
          <w:spacing w:val="-4"/>
          <w:kern w:val="0"/>
          <w:sz w:val="32"/>
          <w:szCs w:val="32"/>
          <w:highlight w:val="none"/>
          <w:u w:val="none"/>
        </w:rPr>
        <w:t>）支出预算。</w:t>
      </w:r>
      <w:r>
        <w:rPr>
          <w:rFonts w:hint="eastAsia" w:eastAsia="方正仿宋_GBK" w:cs="Times New Roman"/>
          <w:spacing w:val="-6"/>
          <w:sz w:val="32"/>
          <w:szCs w:val="32"/>
          <w:highlight w:val="none"/>
          <w:lang w:val="en-US" w:eastAsia="zh-CN"/>
        </w:rPr>
        <w:t>2024年，一般公共预算支出安排</w:t>
      </w:r>
      <w:r>
        <w:rPr>
          <w:rFonts w:hint="default" w:eastAsia="方正仿宋_GBK" w:cs="Times New Roman"/>
          <w:spacing w:val="-6"/>
          <w:sz w:val="32"/>
          <w:szCs w:val="32"/>
          <w:highlight w:val="none"/>
          <w:lang w:val="en-US" w:eastAsia="zh-CN"/>
        </w:rPr>
        <w:t>40.29</w:t>
      </w:r>
      <w:r>
        <w:rPr>
          <w:rFonts w:hint="eastAsia" w:eastAsia="方正仿宋_GBK" w:cs="Times New Roman"/>
          <w:spacing w:val="-6"/>
          <w:sz w:val="32"/>
          <w:szCs w:val="32"/>
          <w:highlight w:val="none"/>
          <w:lang w:val="en-US" w:eastAsia="zh-CN"/>
        </w:rPr>
        <w:t>亿元，主要支出项目安排情况是：一般公共服务支出</w:t>
      </w:r>
      <w:r>
        <w:rPr>
          <w:rFonts w:hint="default" w:eastAsia="方正仿宋_GBK" w:cs="Times New Roman"/>
          <w:spacing w:val="-6"/>
          <w:sz w:val="32"/>
          <w:szCs w:val="32"/>
          <w:highlight w:val="none"/>
          <w:lang w:val="en-US" w:eastAsia="zh-CN"/>
        </w:rPr>
        <w:t>5.23</w:t>
      </w:r>
      <w:r>
        <w:rPr>
          <w:rFonts w:hint="eastAsia" w:eastAsia="方正仿宋_GBK" w:cs="Times New Roman"/>
          <w:spacing w:val="-6"/>
          <w:sz w:val="32"/>
          <w:szCs w:val="32"/>
          <w:highlight w:val="none"/>
          <w:lang w:val="en-US" w:eastAsia="zh-CN"/>
        </w:rPr>
        <w:t>亿元，公共安全支出</w:t>
      </w:r>
      <w:r>
        <w:rPr>
          <w:rFonts w:hint="default" w:eastAsia="方正仿宋_GBK" w:cs="Times New Roman"/>
          <w:spacing w:val="-6"/>
          <w:sz w:val="32"/>
          <w:szCs w:val="32"/>
          <w:highlight w:val="none"/>
          <w:lang w:val="en-US" w:eastAsia="zh-CN"/>
        </w:rPr>
        <w:t>1.35</w:t>
      </w:r>
      <w:r>
        <w:rPr>
          <w:rFonts w:hint="eastAsia" w:eastAsia="方正仿宋_GBK" w:cs="Times New Roman"/>
          <w:spacing w:val="-6"/>
          <w:sz w:val="32"/>
          <w:szCs w:val="32"/>
          <w:highlight w:val="none"/>
          <w:lang w:val="en-US" w:eastAsia="zh-CN"/>
        </w:rPr>
        <w:t>亿元，教育支出</w:t>
      </w:r>
      <w:r>
        <w:rPr>
          <w:rFonts w:hint="default" w:eastAsia="方正仿宋_GBK" w:cs="Times New Roman"/>
          <w:spacing w:val="-6"/>
          <w:sz w:val="32"/>
          <w:szCs w:val="32"/>
          <w:highlight w:val="none"/>
          <w:lang w:val="en-US" w:eastAsia="zh-CN"/>
        </w:rPr>
        <w:t>12.58</w:t>
      </w:r>
      <w:r>
        <w:rPr>
          <w:rFonts w:hint="eastAsia" w:eastAsia="方正仿宋_GBK" w:cs="Times New Roman"/>
          <w:spacing w:val="-6"/>
          <w:sz w:val="32"/>
          <w:szCs w:val="32"/>
          <w:highlight w:val="none"/>
          <w:lang w:val="en-US" w:eastAsia="zh-CN"/>
        </w:rPr>
        <w:t>亿元，科学技术支出</w:t>
      </w:r>
      <w:r>
        <w:rPr>
          <w:rFonts w:hint="default" w:eastAsia="方正仿宋_GBK" w:cs="Times New Roman"/>
          <w:spacing w:val="-6"/>
          <w:sz w:val="32"/>
          <w:szCs w:val="32"/>
          <w:highlight w:val="none"/>
          <w:lang w:val="en-US" w:eastAsia="zh-CN"/>
        </w:rPr>
        <w:t>2652</w:t>
      </w:r>
      <w:r>
        <w:rPr>
          <w:rFonts w:hint="eastAsia" w:eastAsia="方正仿宋_GBK" w:cs="Times New Roman"/>
          <w:spacing w:val="-6"/>
          <w:sz w:val="32"/>
          <w:szCs w:val="32"/>
          <w:highlight w:val="none"/>
          <w:lang w:val="en-US" w:eastAsia="zh-CN"/>
        </w:rPr>
        <w:t>万元，文化旅游体育与传媒支出</w:t>
      </w:r>
      <w:r>
        <w:rPr>
          <w:rFonts w:hint="default" w:eastAsia="方正仿宋_GBK" w:cs="Times New Roman"/>
          <w:spacing w:val="-6"/>
          <w:sz w:val="32"/>
          <w:szCs w:val="32"/>
          <w:highlight w:val="none"/>
          <w:lang w:val="en-US" w:eastAsia="zh-CN"/>
        </w:rPr>
        <w:t>2786</w:t>
      </w:r>
      <w:r>
        <w:rPr>
          <w:rFonts w:hint="eastAsia" w:eastAsia="方正仿宋_GBK" w:cs="Times New Roman"/>
          <w:spacing w:val="-6"/>
          <w:sz w:val="32"/>
          <w:szCs w:val="32"/>
          <w:highlight w:val="none"/>
          <w:lang w:val="en-US" w:eastAsia="zh-CN"/>
        </w:rPr>
        <w:t>万元，社会保障和就业支出</w:t>
      </w:r>
      <w:r>
        <w:rPr>
          <w:rFonts w:hint="default" w:eastAsia="方正仿宋_GBK" w:cs="Times New Roman"/>
          <w:spacing w:val="-6"/>
          <w:sz w:val="32"/>
          <w:szCs w:val="32"/>
          <w:highlight w:val="none"/>
          <w:lang w:val="en-US" w:eastAsia="zh-CN"/>
        </w:rPr>
        <w:t>9.12</w:t>
      </w:r>
      <w:r>
        <w:rPr>
          <w:rFonts w:hint="eastAsia" w:eastAsia="方正仿宋_GBK" w:cs="Times New Roman"/>
          <w:spacing w:val="-6"/>
          <w:sz w:val="32"/>
          <w:szCs w:val="32"/>
          <w:highlight w:val="none"/>
          <w:lang w:val="en-US" w:eastAsia="zh-CN"/>
        </w:rPr>
        <w:t>亿元，卫生健康支出</w:t>
      </w:r>
      <w:r>
        <w:rPr>
          <w:rFonts w:hint="default" w:eastAsia="方正仿宋_GBK" w:cs="Times New Roman"/>
          <w:spacing w:val="-6"/>
          <w:sz w:val="32"/>
          <w:szCs w:val="32"/>
          <w:highlight w:val="none"/>
          <w:lang w:val="en-US" w:eastAsia="zh-CN"/>
        </w:rPr>
        <w:t>3.38</w:t>
      </w:r>
      <w:r>
        <w:rPr>
          <w:rFonts w:hint="eastAsia" w:eastAsia="方正仿宋_GBK" w:cs="Times New Roman"/>
          <w:spacing w:val="-6"/>
          <w:sz w:val="32"/>
          <w:szCs w:val="32"/>
          <w:highlight w:val="none"/>
          <w:lang w:val="en-US" w:eastAsia="zh-CN"/>
        </w:rPr>
        <w:t>亿元，节能环保支出</w:t>
      </w:r>
      <w:r>
        <w:rPr>
          <w:rFonts w:hint="default" w:eastAsia="方正仿宋_GBK" w:cs="Times New Roman"/>
          <w:spacing w:val="-6"/>
          <w:sz w:val="32"/>
          <w:szCs w:val="32"/>
          <w:highlight w:val="none"/>
          <w:lang w:val="en-US" w:eastAsia="zh-CN"/>
        </w:rPr>
        <w:t>1321</w:t>
      </w:r>
      <w:r>
        <w:rPr>
          <w:rFonts w:hint="eastAsia" w:eastAsia="方正仿宋_GBK" w:cs="Times New Roman"/>
          <w:spacing w:val="-6"/>
          <w:sz w:val="32"/>
          <w:szCs w:val="32"/>
          <w:highlight w:val="none"/>
          <w:lang w:val="en-US" w:eastAsia="zh-CN"/>
        </w:rPr>
        <w:t>万元，城乡社区支出</w:t>
      </w:r>
      <w:r>
        <w:rPr>
          <w:rFonts w:hint="default" w:eastAsia="方正仿宋_GBK" w:cs="Times New Roman"/>
          <w:spacing w:val="-6"/>
          <w:sz w:val="32"/>
          <w:szCs w:val="32"/>
          <w:highlight w:val="none"/>
          <w:lang w:val="en-US" w:eastAsia="zh-CN"/>
        </w:rPr>
        <w:t>7425</w:t>
      </w:r>
      <w:r>
        <w:rPr>
          <w:rFonts w:hint="eastAsia" w:eastAsia="方正仿宋_GBK" w:cs="Times New Roman"/>
          <w:spacing w:val="-6"/>
          <w:sz w:val="32"/>
          <w:szCs w:val="32"/>
          <w:highlight w:val="none"/>
          <w:lang w:val="en-US" w:eastAsia="zh-CN"/>
        </w:rPr>
        <w:t>万元，农林水支出</w:t>
      </w:r>
      <w:r>
        <w:rPr>
          <w:rFonts w:hint="default" w:eastAsia="方正仿宋_GBK" w:cs="Times New Roman"/>
          <w:spacing w:val="-6"/>
          <w:sz w:val="32"/>
          <w:szCs w:val="32"/>
          <w:highlight w:val="none"/>
          <w:lang w:val="en-US" w:eastAsia="zh-CN"/>
        </w:rPr>
        <w:t>3.54</w:t>
      </w:r>
      <w:r>
        <w:rPr>
          <w:rFonts w:hint="eastAsia" w:eastAsia="方正仿宋_GBK" w:cs="Times New Roman"/>
          <w:spacing w:val="-6"/>
          <w:sz w:val="32"/>
          <w:szCs w:val="32"/>
          <w:highlight w:val="none"/>
          <w:lang w:val="en-US" w:eastAsia="zh-CN"/>
        </w:rPr>
        <w:t>亿元，交通运输支出</w:t>
      </w:r>
      <w:r>
        <w:rPr>
          <w:rFonts w:hint="default" w:eastAsia="方正仿宋_GBK" w:cs="Times New Roman"/>
          <w:spacing w:val="-6"/>
          <w:sz w:val="32"/>
          <w:szCs w:val="32"/>
          <w:highlight w:val="none"/>
          <w:lang w:val="en-US" w:eastAsia="zh-CN"/>
        </w:rPr>
        <w:t>2414</w:t>
      </w:r>
      <w:r>
        <w:rPr>
          <w:rFonts w:hint="eastAsia" w:eastAsia="方正仿宋_GBK" w:cs="Times New Roman"/>
          <w:spacing w:val="-6"/>
          <w:sz w:val="32"/>
          <w:szCs w:val="32"/>
          <w:highlight w:val="none"/>
          <w:lang w:val="en-US" w:eastAsia="zh-CN"/>
        </w:rPr>
        <w:t>万元，资源勘探工业信息等支出</w:t>
      </w:r>
      <w:r>
        <w:rPr>
          <w:rFonts w:hint="default" w:eastAsia="方正仿宋_GBK" w:cs="Times New Roman"/>
          <w:spacing w:val="-6"/>
          <w:sz w:val="32"/>
          <w:szCs w:val="32"/>
          <w:highlight w:val="none"/>
          <w:lang w:val="en-US" w:eastAsia="zh-CN"/>
        </w:rPr>
        <w:t>479</w:t>
      </w:r>
      <w:r>
        <w:rPr>
          <w:rFonts w:hint="eastAsia" w:eastAsia="方正仿宋_GBK" w:cs="Times New Roman"/>
          <w:spacing w:val="-6"/>
          <w:sz w:val="32"/>
          <w:szCs w:val="32"/>
          <w:highlight w:val="none"/>
          <w:lang w:val="en-US" w:eastAsia="zh-CN"/>
        </w:rPr>
        <w:t>万元，商业服务业等支出</w:t>
      </w:r>
      <w:r>
        <w:rPr>
          <w:rFonts w:hint="default" w:eastAsia="方正仿宋_GBK" w:cs="Times New Roman"/>
          <w:spacing w:val="-6"/>
          <w:sz w:val="32"/>
          <w:szCs w:val="32"/>
          <w:highlight w:val="none"/>
          <w:lang w:val="en-US" w:eastAsia="zh-CN"/>
        </w:rPr>
        <w:t>165</w:t>
      </w:r>
      <w:r>
        <w:rPr>
          <w:rFonts w:hint="eastAsia" w:eastAsia="方正仿宋_GBK" w:cs="Times New Roman"/>
          <w:spacing w:val="-6"/>
          <w:sz w:val="32"/>
          <w:szCs w:val="32"/>
          <w:highlight w:val="none"/>
          <w:lang w:val="en-US" w:eastAsia="zh-CN"/>
        </w:rPr>
        <w:t>万元，金融支出</w:t>
      </w:r>
      <w:r>
        <w:rPr>
          <w:rFonts w:hint="default" w:eastAsia="方正仿宋_GBK" w:cs="Times New Roman"/>
          <w:spacing w:val="-6"/>
          <w:sz w:val="32"/>
          <w:szCs w:val="32"/>
          <w:highlight w:val="none"/>
          <w:lang w:val="en-US" w:eastAsia="zh-CN"/>
        </w:rPr>
        <w:t>101</w:t>
      </w:r>
      <w:r>
        <w:rPr>
          <w:rFonts w:hint="eastAsia" w:eastAsia="方正仿宋_GBK" w:cs="Times New Roman"/>
          <w:spacing w:val="-6"/>
          <w:sz w:val="32"/>
          <w:szCs w:val="32"/>
          <w:highlight w:val="none"/>
          <w:lang w:val="en-US" w:eastAsia="zh-CN"/>
        </w:rPr>
        <w:t>万元，自然资源海洋气象等支出</w:t>
      </w:r>
      <w:r>
        <w:rPr>
          <w:rFonts w:hint="default" w:eastAsia="方正仿宋_GBK" w:cs="Times New Roman"/>
          <w:spacing w:val="-6"/>
          <w:sz w:val="32"/>
          <w:szCs w:val="32"/>
          <w:highlight w:val="none"/>
          <w:lang w:val="en-US" w:eastAsia="zh-CN"/>
        </w:rPr>
        <w:t>3315</w:t>
      </w:r>
      <w:r>
        <w:rPr>
          <w:rFonts w:hint="eastAsia" w:eastAsia="方正仿宋_GBK" w:cs="Times New Roman"/>
          <w:spacing w:val="-6"/>
          <w:sz w:val="32"/>
          <w:szCs w:val="32"/>
          <w:highlight w:val="none"/>
          <w:lang w:val="en-US" w:eastAsia="zh-CN"/>
        </w:rPr>
        <w:t>万元，住房保障支出</w:t>
      </w:r>
      <w:r>
        <w:rPr>
          <w:rFonts w:hint="default" w:eastAsia="方正仿宋_GBK" w:cs="Times New Roman"/>
          <w:spacing w:val="-6"/>
          <w:sz w:val="32"/>
          <w:szCs w:val="32"/>
          <w:highlight w:val="none"/>
          <w:lang w:val="en-US" w:eastAsia="zh-CN"/>
        </w:rPr>
        <w:t>1.28</w:t>
      </w:r>
      <w:r>
        <w:rPr>
          <w:rFonts w:hint="eastAsia" w:eastAsia="方正仿宋_GBK" w:cs="Times New Roman"/>
          <w:spacing w:val="-6"/>
          <w:sz w:val="32"/>
          <w:szCs w:val="32"/>
          <w:highlight w:val="none"/>
          <w:lang w:val="en-US" w:eastAsia="zh-CN"/>
        </w:rPr>
        <w:t>亿元，粮油物资储备支出</w:t>
      </w:r>
      <w:r>
        <w:rPr>
          <w:rFonts w:hint="default" w:eastAsia="方正仿宋_GBK" w:cs="Times New Roman"/>
          <w:spacing w:val="-6"/>
          <w:sz w:val="32"/>
          <w:szCs w:val="32"/>
          <w:highlight w:val="none"/>
          <w:lang w:val="en-US" w:eastAsia="zh-CN"/>
        </w:rPr>
        <w:t>323</w:t>
      </w:r>
      <w:r>
        <w:rPr>
          <w:rFonts w:hint="eastAsia" w:eastAsia="方正仿宋_GBK" w:cs="Times New Roman"/>
          <w:spacing w:val="-6"/>
          <w:sz w:val="32"/>
          <w:szCs w:val="32"/>
          <w:highlight w:val="none"/>
          <w:lang w:val="en-US" w:eastAsia="zh-CN"/>
        </w:rPr>
        <w:t>万元，灾害防治及应急管理支出</w:t>
      </w:r>
      <w:r>
        <w:rPr>
          <w:rFonts w:hint="default" w:eastAsia="方正仿宋_GBK" w:cs="Times New Roman"/>
          <w:spacing w:val="-6"/>
          <w:sz w:val="32"/>
          <w:szCs w:val="32"/>
          <w:highlight w:val="none"/>
          <w:lang w:val="en-US" w:eastAsia="zh-CN"/>
        </w:rPr>
        <w:t>2470</w:t>
      </w:r>
      <w:r>
        <w:rPr>
          <w:rFonts w:hint="eastAsia" w:eastAsia="方正仿宋_GBK" w:cs="Times New Roman"/>
          <w:spacing w:val="-6"/>
          <w:sz w:val="32"/>
          <w:szCs w:val="32"/>
          <w:highlight w:val="none"/>
          <w:lang w:val="en-US" w:eastAsia="zh-CN"/>
        </w:rPr>
        <w:t>万元，预备费</w:t>
      </w:r>
      <w:r>
        <w:rPr>
          <w:rFonts w:hint="default" w:eastAsia="方正仿宋_GBK" w:cs="Times New Roman"/>
          <w:spacing w:val="-6"/>
          <w:sz w:val="32"/>
          <w:szCs w:val="32"/>
          <w:highlight w:val="none"/>
          <w:lang w:val="en-US" w:eastAsia="zh-CN"/>
        </w:rPr>
        <w:t>4500</w:t>
      </w:r>
      <w:r>
        <w:rPr>
          <w:rFonts w:hint="eastAsia" w:eastAsia="方正仿宋_GBK" w:cs="Times New Roman"/>
          <w:spacing w:val="-6"/>
          <w:sz w:val="32"/>
          <w:szCs w:val="32"/>
          <w:highlight w:val="none"/>
          <w:lang w:val="en-US" w:eastAsia="zh-CN"/>
        </w:rPr>
        <w:t>万元，其他支出</w:t>
      </w:r>
      <w:r>
        <w:rPr>
          <w:rFonts w:hint="default" w:eastAsia="方正仿宋_GBK" w:cs="Times New Roman"/>
          <w:spacing w:val="-6"/>
          <w:sz w:val="32"/>
          <w:szCs w:val="32"/>
          <w:highlight w:val="none"/>
          <w:lang w:val="en-US" w:eastAsia="zh-CN"/>
        </w:rPr>
        <w:t>5000</w:t>
      </w:r>
      <w:r>
        <w:rPr>
          <w:rFonts w:hint="eastAsia" w:eastAsia="方正仿宋_GBK" w:cs="Times New Roman"/>
          <w:spacing w:val="-6"/>
          <w:sz w:val="32"/>
          <w:szCs w:val="32"/>
          <w:highlight w:val="none"/>
          <w:lang w:val="en-US" w:eastAsia="zh-CN"/>
        </w:rPr>
        <w:t>万元，债务付息支出</w:t>
      </w:r>
      <w:r>
        <w:rPr>
          <w:rFonts w:hint="default" w:eastAsia="方正仿宋_GBK" w:cs="Times New Roman"/>
          <w:spacing w:val="-6"/>
          <w:sz w:val="32"/>
          <w:szCs w:val="32"/>
          <w:highlight w:val="none"/>
          <w:lang w:val="en-US" w:eastAsia="zh-CN"/>
        </w:rPr>
        <w:t>5145</w:t>
      </w:r>
      <w:r>
        <w:rPr>
          <w:rFonts w:hint="eastAsia" w:eastAsia="方正仿宋_GBK" w:cs="Times New Roman"/>
          <w:spacing w:val="-6"/>
          <w:sz w:val="32"/>
          <w:szCs w:val="32"/>
          <w:highlight w:val="none"/>
          <w:lang w:val="en-US" w:eastAsia="zh-CN"/>
        </w:rPr>
        <w:t>万元，债务发行费用支出</w:t>
      </w:r>
      <w:r>
        <w:rPr>
          <w:rFonts w:hint="default" w:eastAsia="方正仿宋_GBK" w:cs="Times New Roman"/>
          <w:spacing w:val="-6"/>
          <w:sz w:val="32"/>
          <w:szCs w:val="32"/>
          <w:highlight w:val="none"/>
          <w:lang w:val="en-US" w:eastAsia="zh-CN"/>
        </w:rPr>
        <w:t>24</w:t>
      </w:r>
      <w:r>
        <w:rPr>
          <w:rFonts w:hint="eastAsia" w:eastAsia="方正仿宋_GBK" w:cs="Times New Roman"/>
          <w:spacing w:val="-6"/>
          <w:sz w:val="32"/>
          <w:szCs w:val="32"/>
          <w:highlight w:val="none"/>
          <w:lang w:val="en-US" w:eastAsia="zh-CN"/>
        </w:rPr>
        <w:t>万元。</w:t>
      </w:r>
    </w:p>
    <w:p w14:paraId="65C045C2">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24" w:firstLineChars="200"/>
        <w:jc w:val="both"/>
        <w:textAlignment w:val="auto"/>
        <w:rPr>
          <w:rFonts w:hint="eastAsia" w:eastAsia="方正仿宋_GBK" w:cs="Times New Roman"/>
          <w:spacing w:val="-6"/>
          <w:sz w:val="32"/>
          <w:szCs w:val="32"/>
          <w:highlight w:val="none"/>
          <w:lang w:val="en-US" w:eastAsia="zh-CN"/>
        </w:rPr>
      </w:pPr>
      <w:r>
        <w:rPr>
          <w:rFonts w:hint="eastAsia" w:ascii="Times New Roman" w:hAnsi="Times New Roman" w:eastAsia="方正仿宋_GBK" w:cs="Times New Roman"/>
          <w:b/>
          <w:bCs/>
          <w:spacing w:val="-4"/>
          <w:kern w:val="0"/>
          <w:sz w:val="32"/>
          <w:szCs w:val="32"/>
          <w:highlight w:val="none"/>
          <w:u w:val="none"/>
        </w:rPr>
        <w:t>（3</w:t>
      </w:r>
      <w:r>
        <w:rPr>
          <w:rFonts w:ascii="Times New Roman" w:hAnsi="Times New Roman" w:eastAsia="方正仿宋_GBK" w:cs="Times New Roman"/>
          <w:b/>
          <w:bCs/>
          <w:spacing w:val="-4"/>
          <w:kern w:val="0"/>
          <w:sz w:val="32"/>
          <w:szCs w:val="32"/>
          <w:highlight w:val="none"/>
          <w:u w:val="none"/>
        </w:rPr>
        <w:t>）平衡情况。</w:t>
      </w:r>
      <w:r>
        <w:rPr>
          <w:rFonts w:hint="eastAsia" w:eastAsia="方正仿宋_GBK" w:cs="Times New Roman"/>
          <w:spacing w:val="-6"/>
          <w:sz w:val="32"/>
          <w:szCs w:val="32"/>
          <w:highlight w:val="none"/>
          <w:lang w:val="en-US" w:eastAsia="zh-CN"/>
        </w:rPr>
        <w:t>2024年，一般公共预算收入安排</w:t>
      </w:r>
      <w:r>
        <w:rPr>
          <w:rFonts w:hint="default" w:eastAsia="方正仿宋_GBK" w:cs="Times New Roman"/>
          <w:spacing w:val="-6"/>
          <w:sz w:val="32"/>
          <w:szCs w:val="32"/>
          <w:highlight w:val="none"/>
          <w:lang w:val="en-US" w:eastAsia="zh-CN"/>
        </w:rPr>
        <w:t>21.45</w:t>
      </w:r>
      <w:r>
        <w:rPr>
          <w:rFonts w:hint="eastAsia" w:eastAsia="方正仿宋_GBK" w:cs="Times New Roman"/>
          <w:spacing w:val="-6"/>
          <w:sz w:val="32"/>
          <w:szCs w:val="32"/>
          <w:highlight w:val="none"/>
          <w:lang w:val="en-US" w:eastAsia="zh-CN"/>
        </w:rPr>
        <w:t>亿元，上级补助收入</w:t>
      </w:r>
      <w:r>
        <w:rPr>
          <w:rFonts w:hint="default" w:eastAsia="方正仿宋_GBK" w:cs="Times New Roman"/>
          <w:spacing w:val="-6"/>
          <w:sz w:val="32"/>
          <w:szCs w:val="32"/>
          <w:highlight w:val="none"/>
          <w:lang w:val="en-US" w:eastAsia="zh-CN"/>
        </w:rPr>
        <w:t>13.65</w:t>
      </w:r>
      <w:r>
        <w:rPr>
          <w:rFonts w:hint="eastAsia" w:eastAsia="方正仿宋_GBK" w:cs="Times New Roman"/>
          <w:spacing w:val="-6"/>
          <w:sz w:val="32"/>
          <w:szCs w:val="32"/>
          <w:highlight w:val="none"/>
          <w:lang w:val="en-US" w:eastAsia="zh-CN"/>
        </w:rPr>
        <w:t>亿元，调入预算稳定调节基金</w:t>
      </w:r>
      <w:r>
        <w:rPr>
          <w:rFonts w:hint="default" w:eastAsia="方正仿宋_GBK" w:cs="Times New Roman"/>
          <w:spacing w:val="-6"/>
          <w:sz w:val="32"/>
          <w:szCs w:val="32"/>
          <w:highlight w:val="none"/>
          <w:lang w:val="en-US" w:eastAsia="zh-CN"/>
        </w:rPr>
        <w:t>0.28</w:t>
      </w:r>
      <w:r>
        <w:rPr>
          <w:rFonts w:hint="eastAsia" w:eastAsia="方正仿宋_GBK" w:cs="Times New Roman"/>
          <w:spacing w:val="-6"/>
          <w:sz w:val="32"/>
          <w:szCs w:val="32"/>
          <w:highlight w:val="none"/>
          <w:lang w:val="en-US" w:eastAsia="zh-CN"/>
        </w:rPr>
        <w:t>亿元，调入资金</w:t>
      </w:r>
      <w:r>
        <w:rPr>
          <w:rFonts w:hint="default" w:eastAsia="方正仿宋_GBK" w:cs="Times New Roman"/>
          <w:spacing w:val="-6"/>
          <w:sz w:val="32"/>
          <w:szCs w:val="32"/>
          <w:highlight w:val="none"/>
          <w:lang w:val="en-US" w:eastAsia="zh-CN"/>
        </w:rPr>
        <w:t>8.76</w:t>
      </w:r>
      <w:r>
        <w:rPr>
          <w:rFonts w:hint="eastAsia" w:eastAsia="方正仿宋_GBK" w:cs="Times New Roman"/>
          <w:spacing w:val="-6"/>
          <w:sz w:val="32"/>
          <w:szCs w:val="32"/>
          <w:highlight w:val="none"/>
          <w:lang w:val="en-US" w:eastAsia="zh-CN"/>
        </w:rPr>
        <w:t>亿元，收入总计为</w:t>
      </w:r>
      <w:r>
        <w:rPr>
          <w:rFonts w:hint="default" w:eastAsia="方正仿宋_GBK" w:cs="Times New Roman"/>
          <w:spacing w:val="-6"/>
          <w:sz w:val="32"/>
          <w:szCs w:val="32"/>
          <w:highlight w:val="none"/>
          <w:lang w:val="en-US" w:eastAsia="zh-CN"/>
        </w:rPr>
        <w:t>44.14</w:t>
      </w:r>
      <w:r>
        <w:rPr>
          <w:rFonts w:hint="eastAsia" w:eastAsia="方正仿宋_GBK" w:cs="Times New Roman"/>
          <w:spacing w:val="-6"/>
          <w:sz w:val="32"/>
          <w:szCs w:val="32"/>
          <w:highlight w:val="none"/>
          <w:lang w:val="en-US" w:eastAsia="zh-CN"/>
        </w:rPr>
        <w:t>亿元；一般公共预算支出安排</w:t>
      </w:r>
      <w:r>
        <w:rPr>
          <w:rFonts w:hint="default" w:eastAsia="方正仿宋_GBK" w:cs="Times New Roman"/>
          <w:spacing w:val="-6"/>
          <w:sz w:val="32"/>
          <w:szCs w:val="32"/>
          <w:highlight w:val="none"/>
          <w:lang w:val="en-US" w:eastAsia="zh-CN"/>
        </w:rPr>
        <w:t>40.29</w:t>
      </w:r>
      <w:r>
        <w:rPr>
          <w:rFonts w:hint="eastAsia" w:eastAsia="方正仿宋_GBK" w:cs="Times New Roman"/>
          <w:spacing w:val="-6"/>
          <w:sz w:val="32"/>
          <w:szCs w:val="32"/>
          <w:highlight w:val="none"/>
          <w:lang w:val="en-US" w:eastAsia="zh-CN"/>
        </w:rPr>
        <w:t>亿元，上解上级支出</w:t>
      </w:r>
      <w:r>
        <w:rPr>
          <w:rFonts w:hint="default" w:eastAsia="方正仿宋_GBK" w:cs="Times New Roman"/>
          <w:spacing w:val="-6"/>
          <w:sz w:val="32"/>
          <w:szCs w:val="32"/>
          <w:highlight w:val="none"/>
          <w:lang w:val="en-US" w:eastAsia="zh-CN"/>
        </w:rPr>
        <w:t>3.1</w:t>
      </w:r>
      <w:r>
        <w:rPr>
          <w:rFonts w:hint="eastAsia" w:eastAsia="方正仿宋_GBK" w:cs="Times New Roman"/>
          <w:spacing w:val="-6"/>
          <w:sz w:val="32"/>
          <w:szCs w:val="32"/>
          <w:highlight w:val="none"/>
          <w:lang w:val="en-US" w:eastAsia="zh-CN"/>
        </w:rPr>
        <w:t>亿元，债务还本支出</w:t>
      </w:r>
      <w:r>
        <w:rPr>
          <w:rFonts w:hint="default" w:eastAsia="方正仿宋_GBK" w:cs="Times New Roman"/>
          <w:spacing w:val="-6"/>
          <w:sz w:val="32"/>
          <w:szCs w:val="32"/>
          <w:highlight w:val="none"/>
          <w:lang w:val="en-US" w:eastAsia="zh-CN"/>
        </w:rPr>
        <w:t>0.75</w:t>
      </w:r>
      <w:r>
        <w:rPr>
          <w:rFonts w:hint="eastAsia" w:eastAsia="方正仿宋_GBK" w:cs="Times New Roman"/>
          <w:spacing w:val="-6"/>
          <w:sz w:val="32"/>
          <w:szCs w:val="32"/>
          <w:highlight w:val="none"/>
          <w:lang w:val="en-US" w:eastAsia="zh-CN"/>
        </w:rPr>
        <w:t>亿元，支出总计为</w:t>
      </w:r>
      <w:r>
        <w:rPr>
          <w:rFonts w:hint="default" w:eastAsia="方正仿宋_GBK" w:cs="Times New Roman"/>
          <w:spacing w:val="-6"/>
          <w:sz w:val="32"/>
          <w:szCs w:val="32"/>
          <w:highlight w:val="none"/>
          <w:lang w:val="en-US" w:eastAsia="zh-CN"/>
        </w:rPr>
        <w:t>44.14</w:t>
      </w:r>
      <w:r>
        <w:rPr>
          <w:rFonts w:hint="eastAsia" w:eastAsia="方正仿宋_GBK" w:cs="Times New Roman"/>
          <w:spacing w:val="-6"/>
          <w:sz w:val="32"/>
          <w:szCs w:val="32"/>
          <w:highlight w:val="none"/>
          <w:lang w:val="en-US" w:eastAsia="zh-CN"/>
        </w:rPr>
        <w:t>亿元。收支相抵后收支平衡。</w:t>
      </w:r>
    </w:p>
    <w:p w14:paraId="66BED600">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24" w:firstLineChars="200"/>
        <w:jc w:val="both"/>
        <w:textAlignment w:val="auto"/>
        <w:rPr>
          <w:rFonts w:ascii="Times New Roman" w:hAnsi="Times New Roman" w:eastAsia="方正仿宋_GBK" w:cs="Times New Roman"/>
          <w:b/>
          <w:spacing w:val="-4"/>
          <w:sz w:val="32"/>
          <w:szCs w:val="32"/>
          <w:highlight w:val="none"/>
          <w:u w:val="none"/>
        </w:rPr>
      </w:pPr>
      <w:r>
        <w:rPr>
          <w:rFonts w:ascii="Times New Roman" w:hAnsi="Times New Roman" w:eastAsia="方正仿宋_GBK" w:cs="Times New Roman"/>
          <w:b/>
          <w:spacing w:val="-4"/>
          <w:sz w:val="32"/>
          <w:szCs w:val="32"/>
          <w:highlight w:val="none"/>
          <w:u w:val="none"/>
        </w:rPr>
        <w:t>2.政府性基金预算安排情况</w:t>
      </w:r>
    </w:p>
    <w:p w14:paraId="61D5D25B">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16" w:firstLineChars="200"/>
        <w:jc w:val="both"/>
        <w:textAlignment w:val="auto"/>
        <w:rPr>
          <w:rFonts w:hint="default" w:eastAsia="方正仿宋_GBK" w:cs="Times New Roman"/>
          <w:spacing w:val="-6"/>
          <w:sz w:val="32"/>
          <w:szCs w:val="32"/>
          <w:highlight w:val="none"/>
          <w:lang w:val="en-US" w:eastAsia="zh-CN"/>
        </w:rPr>
      </w:pPr>
      <w:r>
        <w:rPr>
          <w:rFonts w:hint="eastAsia" w:eastAsia="方正仿宋_GBK" w:cs="Times New Roman"/>
          <w:spacing w:val="-6"/>
          <w:sz w:val="32"/>
          <w:szCs w:val="32"/>
          <w:highlight w:val="none"/>
          <w:lang w:val="en-US" w:eastAsia="zh-CN"/>
        </w:rPr>
        <w:t>2024年，政府性基金收入安排本级收入</w:t>
      </w:r>
      <w:r>
        <w:rPr>
          <w:rFonts w:hint="default" w:eastAsia="方正仿宋_GBK" w:cs="Times New Roman"/>
          <w:spacing w:val="-6"/>
          <w:sz w:val="32"/>
          <w:szCs w:val="32"/>
          <w:highlight w:val="none"/>
          <w:lang w:val="en-US" w:eastAsia="zh-CN"/>
        </w:rPr>
        <w:t>20.44</w:t>
      </w:r>
      <w:r>
        <w:rPr>
          <w:rFonts w:hint="eastAsia" w:eastAsia="方正仿宋_GBK" w:cs="Times New Roman"/>
          <w:spacing w:val="-6"/>
          <w:sz w:val="32"/>
          <w:szCs w:val="32"/>
          <w:highlight w:val="none"/>
          <w:lang w:val="en-US" w:eastAsia="zh-CN"/>
        </w:rPr>
        <w:t>亿元，上级补助收入</w:t>
      </w:r>
      <w:r>
        <w:rPr>
          <w:rFonts w:hint="default" w:eastAsia="方正仿宋_GBK" w:cs="Times New Roman"/>
          <w:spacing w:val="-6"/>
          <w:sz w:val="32"/>
          <w:szCs w:val="32"/>
          <w:highlight w:val="none"/>
          <w:lang w:val="en-US" w:eastAsia="zh-CN"/>
        </w:rPr>
        <w:t>2308</w:t>
      </w:r>
      <w:r>
        <w:rPr>
          <w:rFonts w:hint="eastAsia" w:eastAsia="方正仿宋_GBK" w:cs="Times New Roman"/>
          <w:spacing w:val="-6"/>
          <w:sz w:val="32"/>
          <w:szCs w:val="32"/>
          <w:highlight w:val="none"/>
          <w:lang w:val="en-US" w:eastAsia="zh-CN"/>
        </w:rPr>
        <w:t>万元，专项债券转贷收入</w:t>
      </w:r>
      <w:r>
        <w:rPr>
          <w:rFonts w:hint="default" w:eastAsia="方正仿宋_GBK" w:cs="Times New Roman"/>
          <w:spacing w:val="-6"/>
          <w:sz w:val="32"/>
          <w:szCs w:val="32"/>
          <w:highlight w:val="none"/>
          <w:lang w:val="en-US" w:eastAsia="zh-CN"/>
        </w:rPr>
        <w:t>17.08</w:t>
      </w:r>
      <w:r>
        <w:rPr>
          <w:rFonts w:hint="eastAsia" w:eastAsia="方正仿宋_GBK" w:cs="Times New Roman"/>
          <w:spacing w:val="-6"/>
          <w:sz w:val="32"/>
          <w:szCs w:val="32"/>
          <w:highlight w:val="none"/>
          <w:lang w:val="en-US" w:eastAsia="zh-CN"/>
        </w:rPr>
        <w:t>亿元，收入总计为</w:t>
      </w:r>
      <w:r>
        <w:rPr>
          <w:rFonts w:hint="default" w:eastAsia="方正仿宋_GBK" w:cs="Times New Roman"/>
          <w:spacing w:val="-6"/>
          <w:sz w:val="32"/>
          <w:szCs w:val="32"/>
          <w:highlight w:val="none"/>
          <w:lang w:val="en-US" w:eastAsia="zh-CN"/>
        </w:rPr>
        <w:t>37.75</w:t>
      </w:r>
      <w:r>
        <w:rPr>
          <w:rFonts w:hint="eastAsia" w:eastAsia="方正仿宋_GBK" w:cs="Times New Roman"/>
          <w:spacing w:val="-6"/>
          <w:sz w:val="32"/>
          <w:szCs w:val="32"/>
          <w:highlight w:val="none"/>
          <w:lang w:val="en-US" w:eastAsia="zh-CN"/>
        </w:rPr>
        <w:t>亿元。政府性基金支出安排</w:t>
      </w:r>
      <w:r>
        <w:rPr>
          <w:rFonts w:hint="default" w:eastAsia="方正仿宋_GBK" w:cs="Times New Roman"/>
          <w:spacing w:val="-6"/>
          <w:sz w:val="32"/>
          <w:szCs w:val="32"/>
          <w:highlight w:val="none"/>
          <w:lang w:val="en-US" w:eastAsia="zh-CN"/>
        </w:rPr>
        <w:t>10.01</w:t>
      </w:r>
      <w:r>
        <w:rPr>
          <w:rFonts w:hint="eastAsia" w:eastAsia="方正仿宋_GBK" w:cs="Times New Roman"/>
          <w:spacing w:val="-6"/>
          <w:sz w:val="32"/>
          <w:szCs w:val="32"/>
          <w:highlight w:val="none"/>
          <w:lang w:val="en-US" w:eastAsia="zh-CN"/>
        </w:rPr>
        <w:t>亿元，其中：文化旅游体育与传媒支出</w:t>
      </w:r>
      <w:r>
        <w:rPr>
          <w:rFonts w:hint="default" w:eastAsia="方正仿宋_GBK" w:cs="Times New Roman"/>
          <w:spacing w:val="-6"/>
          <w:sz w:val="32"/>
          <w:szCs w:val="32"/>
          <w:highlight w:val="none"/>
          <w:lang w:val="en-US" w:eastAsia="zh-CN"/>
        </w:rPr>
        <w:t>99</w:t>
      </w:r>
      <w:r>
        <w:rPr>
          <w:rFonts w:hint="eastAsia" w:eastAsia="方正仿宋_GBK" w:cs="Times New Roman"/>
          <w:spacing w:val="-6"/>
          <w:sz w:val="32"/>
          <w:szCs w:val="32"/>
          <w:highlight w:val="none"/>
          <w:lang w:val="en-US" w:eastAsia="zh-CN"/>
        </w:rPr>
        <w:t>万元；社会保障和就业支出</w:t>
      </w:r>
      <w:r>
        <w:rPr>
          <w:rFonts w:hint="default" w:eastAsia="方正仿宋_GBK" w:cs="Times New Roman"/>
          <w:spacing w:val="-6"/>
          <w:sz w:val="32"/>
          <w:szCs w:val="32"/>
          <w:highlight w:val="none"/>
          <w:lang w:val="en-US" w:eastAsia="zh-CN"/>
        </w:rPr>
        <w:t>1345</w:t>
      </w:r>
      <w:r>
        <w:rPr>
          <w:rFonts w:hint="eastAsia" w:eastAsia="方正仿宋_GBK" w:cs="Times New Roman"/>
          <w:spacing w:val="-6"/>
          <w:sz w:val="32"/>
          <w:szCs w:val="32"/>
          <w:highlight w:val="none"/>
          <w:lang w:val="en-US" w:eastAsia="zh-CN"/>
        </w:rPr>
        <w:t>万元，城乡社区支出</w:t>
      </w:r>
      <w:r>
        <w:rPr>
          <w:rFonts w:hint="default" w:eastAsia="方正仿宋_GBK" w:cs="Times New Roman"/>
          <w:spacing w:val="-6"/>
          <w:sz w:val="32"/>
          <w:szCs w:val="32"/>
          <w:highlight w:val="none"/>
          <w:lang w:val="en-US" w:eastAsia="zh-CN"/>
        </w:rPr>
        <w:t>6.6</w:t>
      </w:r>
      <w:r>
        <w:rPr>
          <w:rFonts w:hint="eastAsia" w:eastAsia="方正仿宋_GBK" w:cs="Times New Roman"/>
          <w:spacing w:val="-6"/>
          <w:sz w:val="32"/>
          <w:szCs w:val="32"/>
          <w:highlight w:val="none"/>
          <w:lang w:val="en-US" w:eastAsia="zh-CN"/>
        </w:rPr>
        <w:t>亿元，其他支出</w:t>
      </w:r>
      <w:r>
        <w:rPr>
          <w:rFonts w:hint="default" w:eastAsia="方正仿宋_GBK" w:cs="Times New Roman"/>
          <w:spacing w:val="-6"/>
          <w:sz w:val="32"/>
          <w:szCs w:val="32"/>
          <w:highlight w:val="none"/>
          <w:lang w:val="en-US" w:eastAsia="zh-CN"/>
        </w:rPr>
        <w:t>1014</w:t>
      </w:r>
      <w:r>
        <w:rPr>
          <w:rFonts w:hint="eastAsia" w:eastAsia="方正仿宋_GBK" w:cs="Times New Roman"/>
          <w:spacing w:val="-6"/>
          <w:sz w:val="32"/>
          <w:szCs w:val="32"/>
          <w:highlight w:val="none"/>
          <w:lang w:val="en-US" w:eastAsia="zh-CN"/>
        </w:rPr>
        <w:t>万元；债务付息支出</w:t>
      </w:r>
      <w:r>
        <w:rPr>
          <w:rFonts w:hint="default" w:eastAsia="方正仿宋_GBK" w:cs="Times New Roman"/>
          <w:spacing w:val="-6"/>
          <w:sz w:val="32"/>
          <w:szCs w:val="32"/>
          <w:highlight w:val="none"/>
          <w:lang w:val="en-US" w:eastAsia="zh-CN"/>
        </w:rPr>
        <w:t>3.13</w:t>
      </w:r>
      <w:r>
        <w:rPr>
          <w:rFonts w:hint="eastAsia" w:eastAsia="方正仿宋_GBK" w:cs="Times New Roman"/>
          <w:spacing w:val="-6"/>
          <w:sz w:val="32"/>
          <w:szCs w:val="32"/>
          <w:highlight w:val="none"/>
          <w:lang w:val="en-US" w:eastAsia="zh-CN"/>
        </w:rPr>
        <w:t>亿元，债务发行费用支出</w:t>
      </w:r>
      <w:r>
        <w:rPr>
          <w:rFonts w:hint="default" w:eastAsia="方正仿宋_GBK" w:cs="Times New Roman"/>
          <w:spacing w:val="-6"/>
          <w:sz w:val="32"/>
          <w:szCs w:val="32"/>
          <w:highlight w:val="none"/>
          <w:lang w:val="en-US" w:eastAsia="zh-CN"/>
        </w:rPr>
        <w:t>326</w:t>
      </w:r>
      <w:r>
        <w:rPr>
          <w:rFonts w:hint="eastAsia" w:eastAsia="方正仿宋_GBK" w:cs="Times New Roman"/>
          <w:spacing w:val="-6"/>
          <w:sz w:val="32"/>
          <w:szCs w:val="32"/>
          <w:highlight w:val="none"/>
          <w:lang w:val="en-US" w:eastAsia="zh-CN"/>
        </w:rPr>
        <w:t>万元，还本支出</w:t>
      </w:r>
      <w:r>
        <w:rPr>
          <w:rFonts w:hint="default" w:eastAsia="方正仿宋_GBK" w:cs="Times New Roman"/>
          <w:spacing w:val="-6"/>
          <w:sz w:val="32"/>
          <w:szCs w:val="32"/>
          <w:highlight w:val="none"/>
          <w:lang w:val="en-US" w:eastAsia="zh-CN"/>
        </w:rPr>
        <w:t>18.98</w:t>
      </w:r>
      <w:r>
        <w:rPr>
          <w:rFonts w:hint="eastAsia" w:eastAsia="方正仿宋_GBK" w:cs="Times New Roman"/>
          <w:spacing w:val="-6"/>
          <w:sz w:val="32"/>
          <w:szCs w:val="32"/>
          <w:highlight w:val="none"/>
          <w:lang w:val="en-US" w:eastAsia="zh-CN"/>
        </w:rPr>
        <w:t>亿元，调出资金</w:t>
      </w:r>
      <w:r>
        <w:rPr>
          <w:rFonts w:hint="default" w:eastAsia="方正仿宋_GBK" w:cs="Times New Roman"/>
          <w:spacing w:val="-6"/>
          <w:sz w:val="32"/>
          <w:szCs w:val="32"/>
          <w:highlight w:val="none"/>
          <w:lang w:val="en-US" w:eastAsia="zh-CN"/>
        </w:rPr>
        <w:t>8.76</w:t>
      </w:r>
      <w:r>
        <w:rPr>
          <w:rFonts w:hint="eastAsia" w:eastAsia="方正仿宋_GBK" w:cs="Times New Roman"/>
          <w:spacing w:val="-6"/>
          <w:sz w:val="32"/>
          <w:szCs w:val="32"/>
          <w:highlight w:val="none"/>
          <w:lang w:val="en-US" w:eastAsia="zh-CN"/>
        </w:rPr>
        <w:t>亿元，支出总计</w:t>
      </w:r>
      <w:r>
        <w:rPr>
          <w:rFonts w:hint="default" w:eastAsia="方正仿宋_GBK" w:cs="Times New Roman"/>
          <w:spacing w:val="-6"/>
          <w:sz w:val="32"/>
          <w:szCs w:val="32"/>
          <w:highlight w:val="none"/>
          <w:lang w:val="en-US" w:eastAsia="zh-CN"/>
        </w:rPr>
        <w:t>37.75</w:t>
      </w:r>
      <w:r>
        <w:rPr>
          <w:rFonts w:hint="eastAsia" w:eastAsia="方正仿宋_GBK" w:cs="Times New Roman"/>
          <w:spacing w:val="-6"/>
          <w:sz w:val="32"/>
          <w:szCs w:val="32"/>
          <w:highlight w:val="none"/>
          <w:lang w:val="en-US" w:eastAsia="zh-CN"/>
        </w:rPr>
        <w:t>亿元。收支相抵后收支平衡。</w:t>
      </w:r>
    </w:p>
    <w:p w14:paraId="43184DC2">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24" w:firstLineChars="200"/>
        <w:jc w:val="both"/>
        <w:textAlignment w:val="auto"/>
        <w:rPr>
          <w:rFonts w:ascii="Times New Roman" w:hAnsi="Times New Roman" w:eastAsia="方正仿宋_GBK" w:cs="Times New Roman"/>
          <w:b/>
          <w:spacing w:val="-4"/>
          <w:sz w:val="32"/>
          <w:szCs w:val="32"/>
          <w:highlight w:val="none"/>
          <w:u w:val="none"/>
        </w:rPr>
      </w:pPr>
      <w:r>
        <w:rPr>
          <w:rFonts w:ascii="Times New Roman" w:hAnsi="Times New Roman" w:eastAsia="方正仿宋_GBK" w:cs="Times New Roman"/>
          <w:b/>
          <w:spacing w:val="-4"/>
          <w:sz w:val="32"/>
          <w:szCs w:val="32"/>
          <w:highlight w:val="none"/>
          <w:u w:val="none"/>
        </w:rPr>
        <w:t>3.社会保险基金预算安排情况</w:t>
      </w:r>
    </w:p>
    <w:p w14:paraId="7CBE0DDB">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16" w:firstLineChars="200"/>
        <w:jc w:val="both"/>
        <w:textAlignment w:val="auto"/>
        <w:rPr>
          <w:rFonts w:hint="eastAsia" w:eastAsia="方正仿宋_GBK" w:cs="Times New Roman"/>
          <w:spacing w:val="-6"/>
          <w:sz w:val="32"/>
          <w:szCs w:val="32"/>
          <w:highlight w:val="none"/>
          <w:lang w:val="en-US" w:eastAsia="zh-CN"/>
        </w:rPr>
      </w:pPr>
      <w:r>
        <w:rPr>
          <w:rFonts w:hint="eastAsia" w:eastAsia="方正仿宋_GBK" w:cs="Times New Roman"/>
          <w:spacing w:val="-6"/>
          <w:sz w:val="32"/>
          <w:szCs w:val="32"/>
          <w:highlight w:val="none"/>
          <w:lang w:val="en-US" w:eastAsia="zh-CN"/>
        </w:rPr>
        <w:t>主要包括两项：机关事业单位基本养老保险基金、城乡居民基本养老保险基金。社保基金收入安排6.6亿元，支出安排6.17亿元，当年收支结余0.43亿元。</w:t>
      </w:r>
    </w:p>
    <w:p w14:paraId="66A65190">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24" w:firstLineChars="200"/>
        <w:jc w:val="both"/>
        <w:textAlignment w:val="auto"/>
        <w:rPr>
          <w:rFonts w:ascii="Times New Roman" w:hAnsi="Times New Roman" w:eastAsia="方正仿宋_GBK" w:cs="Times New Roman"/>
          <w:b/>
          <w:spacing w:val="-4"/>
          <w:sz w:val="32"/>
          <w:szCs w:val="32"/>
          <w:highlight w:val="none"/>
          <w:u w:val="none"/>
        </w:rPr>
      </w:pPr>
      <w:r>
        <w:rPr>
          <w:rFonts w:ascii="Times New Roman" w:hAnsi="Times New Roman" w:eastAsia="方正仿宋_GBK" w:cs="Times New Roman"/>
          <w:b/>
          <w:spacing w:val="-4"/>
          <w:sz w:val="32"/>
          <w:szCs w:val="32"/>
          <w:highlight w:val="none"/>
          <w:u w:val="none"/>
        </w:rPr>
        <w:t>4.</w:t>
      </w:r>
      <w:r>
        <w:rPr>
          <w:rFonts w:hint="eastAsia" w:ascii="Times New Roman" w:hAnsi="Times New Roman" w:eastAsia="方正仿宋_GBK" w:cs="Times New Roman"/>
          <w:b/>
          <w:spacing w:val="-4"/>
          <w:sz w:val="32"/>
          <w:szCs w:val="32"/>
          <w:highlight w:val="none"/>
          <w:u w:val="none"/>
        </w:rPr>
        <w:t>国有</w:t>
      </w:r>
      <w:r>
        <w:rPr>
          <w:rFonts w:ascii="Times New Roman" w:hAnsi="Times New Roman" w:eastAsia="方正仿宋_GBK" w:cs="Times New Roman"/>
          <w:b/>
          <w:spacing w:val="-4"/>
          <w:sz w:val="32"/>
          <w:szCs w:val="32"/>
          <w:highlight w:val="none"/>
          <w:u w:val="none"/>
        </w:rPr>
        <w:t>资本经营预算安排情况</w:t>
      </w:r>
    </w:p>
    <w:p w14:paraId="0159F4A7">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40" w:firstLineChars="200"/>
        <w:jc w:val="both"/>
        <w:textAlignment w:val="auto"/>
        <w:rPr>
          <w:rFonts w:hint="eastAsia" w:ascii="Times New Roman" w:hAnsi="Times New Roman" w:eastAsia="方正仿宋_GBK" w:cs="Times New Roman"/>
          <w:sz w:val="32"/>
          <w:highlight w:val="none"/>
          <w:u w:val="none"/>
          <w:lang w:eastAsia="zh-CN"/>
        </w:rPr>
      </w:pPr>
      <w:r>
        <w:rPr>
          <w:rFonts w:hint="eastAsia" w:ascii="Times New Roman" w:hAnsi="Times New Roman" w:eastAsia="方正仿宋_GBK" w:cs="Times New Roman"/>
          <w:sz w:val="32"/>
          <w:highlight w:val="none"/>
          <w:u w:val="none"/>
          <w:lang w:eastAsia="zh-CN"/>
        </w:rPr>
        <w:t>我区没有应上缴的国有资本经营收益，未编制相应收支预算。</w:t>
      </w:r>
    </w:p>
    <w:p w14:paraId="067CFEEF">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24" w:firstLineChars="200"/>
        <w:jc w:val="both"/>
        <w:textAlignment w:val="auto"/>
        <w:rPr>
          <w:rFonts w:hint="default" w:ascii="Times New Roman" w:hAnsi="Times New Roman" w:eastAsia="黑体"/>
          <w:b/>
          <w:spacing w:val="-4"/>
          <w:sz w:val="32"/>
          <w:szCs w:val="32"/>
          <w:highlight w:val="none"/>
          <w:lang w:val="en-US" w:eastAsia="zh-CN"/>
        </w:rPr>
      </w:pPr>
      <w:r>
        <w:rPr>
          <w:rFonts w:hint="eastAsia" w:ascii="Times New Roman" w:hAnsi="Times New Roman" w:eastAsia="黑体"/>
          <w:spacing w:val="-4"/>
          <w:sz w:val="32"/>
          <w:szCs w:val="32"/>
          <w:highlight w:val="none"/>
        </w:rPr>
        <w:t>三、20</w:t>
      </w:r>
      <w:r>
        <w:rPr>
          <w:rFonts w:ascii="Times New Roman" w:hAnsi="Times New Roman" w:eastAsia="黑体"/>
          <w:spacing w:val="-4"/>
          <w:sz w:val="32"/>
          <w:szCs w:val="32"/>
          <w:highlight w:val="none"/>
        </w:rPr>
        <w:t>2</w:t>
      </w:r>
      <w:r>
        <w:rPr>
          <w:rFonts w:hint="eastAsia" w:eastAsia="黑体"/>
          <w:spacing w:val="-4"/>
          <w:sz w:val="32"/>
          <w:szCs w:val="32"/>
          <w:highlight w:val="none"/>
          <w:lang w:val="en-US" w:eastAsia="zh-CN"/>
        </w:rPr>
        <w:t>4</w:t>
      </w:r>
      <w:r>
        <w:rPr>
          <w:rFonts w:hint="eastAsia" w:ascii="Times New Roman" w:hAnsi="Times New Roman" w:eastAsia="黑体"/>
          <w:spacing w:val="-4"/>
          <w:sz w:val="32"/>
          <w:szCs w:val="32"/>
          <w:highlight w:val="none"/>
        </w:rPr>
        <w:t>年</w:t>
      </w:r>
      <w:r>
        <w:rPr>
          <w:rFonts w:hint="eastAsia" w:eastAsia="黑体"/>
          <w:spacing w:val="-4"/>
          <w:sz w:val="32"/>
          <w:szCs w:val="32"/>
          <w:highlight w:val="none"/>
          <w:lang w:val="en-US" w:eastAsia="zh-CN"/>
        </w:rPr>
        <w:t>重点工作措施</w:t>
      </w:r>
    </w:p>
    <w:p w14:paraId="1DD05346">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16" w:firstLineChars="200"/>
        <w:jc w:val="both"/>
        <w:textAlignment w:val="auto"/>
        <w:rPr>
          <w:rFonts w:hint="eastAsia" w:eastAsia="方正仿宋_GBK" w:cs="Times New Roman"/>
          <w:spacing w:val="-6"/>
          <w:sz w:val="32"/>
          <w:szCs w:val="32"/>
          <w:highlight w:val="none"/>
          <w:lang w:val="en-US" w:eastAsia="zh-CN"/>
        </w:rPr>
      </w:pPr>
      <w:r>
        <w:rPr>
          <w:rFonts w:hint="eastAsia" w:eastAsia="方正仿宋_GBK" w:cs="Times New Roman"/>
          <w:spacing w:val="-6"/>
          <w:sz w:val="32"/>
          <w:szCs w:val="32"/>
          <w:highlight w:val="none"/>
          <w:lang w:val="en-US" w:eastAsia="zh-CN"/>
        </w:rPr>
        <w:t>2024年是实现“十四五”规划目标任务的关键一年，也是推动经济社会稳中向好、实现质的有效提升和量的合理增长的关键一年，做好</w:t>
      </w:r>
      <w:r>
        <w:rPr>
          <w:rFonts w:hint="default" w:eastAsia="方正仿宋_GBK" w:cs="Times New Roman"/>
          <w:spacing w:val="-6"/>
          <w:sz w:val="32"/>
          <w:szCs w:val="32"/>
          <w:highlight w:val="none"/>
          <w:lang w:val="en-US" w:eastAsia="zh-CN"/>
        </w:rPr>
        <w:t>202</w:t>
      </w:r>
      <w:r>
        <w:rPr>
          <w:rFonts w:hint="eastAsia" w:eastAsia="方正仿宋_GBK" w:cs="Times New Roman"/>
          <w:spacing w:val="-6"/>
          <w:sz w:val="32"/>
          <w:szCs w:val="32"/>
          <w:highlight w:val="none"/>
          <w:lang w:val="en-US" w:eastAsia="zh-CN"/>
        </w:rPr>
        <w:t>4年各项财政工作，对加快建设新时代经济强区、美丽徐水，奋力谱写中国式现代化建设徐水篇章意义重大。</w:t>
      </w:r>
    </w:p>
    <w:p w14:paraId="780D2D96">
      <w:pPr>
        <w:keepNext w:val="0"/>
        <w:keepLines w:val="0"/>
        <w:pageBreakBefore w:val="0"/>
        <w:widowControl w:val="0"/>
        <w:numPr>
          <w:ilvl w:val="0"/>
          <w:numId w:val="0"/>
        </w:numPr>
        <w:pBdr>
          <w:bottom w:val="single" w:color="FFFFFF" w:sz="4" w:space="31"/>
        </w:pBdr>
        <w:kinsoku/>
        <w:wordWrap/>
        <w:overflowPunct/>
        <w:topLinePunct/>
        <w:autoSpaceDE/>
        <w:autoSpaceDN/>
        <w:bidi w:val="0"/>
        <w:adjustRightInd/>
        <w:snapToGrid/>
        <w:spacing w:line="580" w:lineRule="exact"/>
        <w:ind w:firstLine="640" w:firstLineChars="200"/>
        <w:jc w:val="both"/>
        <w:textAlignment w:val="auto"/>
        <w:rPr>
          <w:rFonts w:hint="eastAsia" w:eastAsia="方正仿宋_GBK" w:cs="Times New Roman"/>
          <w:spacing w:val="-6"/>
          <w:sz w:val="32"/>
          <w:szCs w:val="32"/>
          <w:highlight w:val="none"/>
          <w:lang w:val="en-US" w:eastAsia="zh-CN"/>
        </w:rPr>
      </w:pPr>
      <w:r>
        <w:rPr>
          <w:rFonts w:hint="eastAsia" w:ascii="方正楷体_GBK" w:hAnsi="方正楷体_GBK" w:eastAsia="方正楷体_GBK" w:cs="方正楷体_GBK"/>
          <w:b w:val="0"/>
          <w:bCs w:val="0"/>
          <w:kern w:val="2"/>
          <w:sz w:val="32"/>
          <w:szCs w:val="32"/>
          <w:highlight w:val="none"/>
          <w:lang w:val="en-US" w:eastAsia="zh-CN" w:bidi="ar-SA"/>
        </w:rPr>
        <w:t>（一）聚焦落实积极的财政政策，巩固和增强经济回升向好态势。</w:t>
      </w:r>
      <w:r>
        <w:rPr>
          <w:rFonts w:hint="eastAsia" w:eastAsia="方正仿宋_GBK" w:cs="Times New Roman"/>
          <w:spacing w:val="-6"/>
          <w:sz w:val="32"/>
          <w:szCs w:val="32"/>
          <w:highlight w:val="none"/>
          <w:lang w:val="en-US" w:eastAsia="zh-CN"/>
        </w:rPr>
        <w:t>强化宏观政策逆周期和跨周期调节，继续实施积极的财政政策，适度加力、提质增效。</w:t>
      </w:r>
      <w:r>
        <w:rPr>
          <w:rFonts w:hint="eastAsia" w:ascii="Times New Roman" w:hAnsi="Times New Roman" w:eastAsia="方正仿宋_GBK" w:cs="Times New Roman"/>
          <w:b/>
          <w:bCs/>
          <w:color w:val="000000"/>
          <w:sz w:val="32"/>
          <w:szCs w:val="32"/>
          <w:highlight w:val="none"/>
          <w:lang w:val="en-US" w:eastAsia="zh-CN"/>
        </w:rPr>
        <w:t>落实</w:t>
      </w:r>
      <w:r>
        <w:rPr>
          <w:rFonts w:hint="eastAsia" w:eastAsia="方正仿宋_GBK" w:cs="Times New Roman"/>
          <w:b/>
          <w:bCs/>
          <w:color w:val="000000"/>
          <w:sz w:val="32"/>
          <w:szCs w:val="32"/>
          <w:highlight w:val="none"/>
          <w:lang w:val="en-US" w:eastAsia="zh-CN"/>
        </w:rPr>
        <w:t>结构性</w:t>
      </w:r>
      <w:r>
        <w:rPr>
          <w:rFonts w:hint="eastAsia" w:ascii="Times New Roman" w:hAnsi="Times New Roman" w:eastAsia="方正仿宋_GBK" w:cs="Times New Roman"/>
          <w:b/>
          <w:bCs/>
          <w:color w:val="000000"/>
          <w:sz w:val="32"/>
          <w:szCs w:val="32"/>
          <w:highlight w:val="none"/>
          <w:lang w:val="en-US" w:eastAsia="zh-CN"/>
        </w:rPr>
        <w:t>减税降费政策</w:t>
      </w:r>
      <w:r>
        <w:rPr>
          <w:rFonts w:hint="eastAsia" w:ascii="Times New Roman" w:hAnsi="Times New Roman" w:eastAsia="方正仿宋_GBK" w:cs="Times New Roman"/>
          <w:color w:val="000000"/>
          <w:sz w:val="32"/>
          <w:szCs w:val="32"/>
          <w:highlight w:val="none"/>
          <w:lang w:val="en-US" w:eastAsia="zh-CN"/>
        </w:rPr>
        <w:t>，</w:t>
      </w:r>
      <w:r>
        <w:rPr>
          <w:rFonts w:hint="eastAsia" w:eastAsia="方正仿宋_GBK" w:cs="Times New Roman"/>
          <w:color w:val="000000"/>
          <w:sz w:val="32"/>
          <w:szCs w:val="32"/>
          <w:highlight w:val="none"/>
          <w:lang w:val="en-US" w:eastAsia="zh-CN"/>
        </w:rPr>
        <w:t>重点支持科技创新和制造业发展，</w:t>
      </w:r>
      <w:r>
        <w:rPr>
          <w:rFonts w:hint="eastAsia" w:eastAsia="方正仿宋_GBK" w:cs="Times New Roman"/>
          <w:spacing w:val="-6"/>
          <w:sz w:val="32"/>
          <w:szCs w:val="32"/>
          <w:highlight w:val="none"/>
          <w:lang w:val="en-US" w:eastAsia="zh-CN"/>
        </w:rPr>
        <w:t>加大惠企助企力度，继续释放纾困惠企红利和政策效应空间，增强企业活力，提振市场信心。</w:t>
      </w:r>
      <w:r>
        <w:rPr>
          <w:rFonts w:hint="eastAsia" w:ascii="Times New Roman" w:hAnsi="Times New Roman" w:eastAsia="方正仿宋_GBK" w:cs="Times New Roman"/>
          <w:b/>
          <w:bCs/>
          <w:snapToGrid w:val="0"/>
          <w:kern w:val="0"/>
          <w:sz w:val="32"/>
          <w:szCs w:val="32"/>
          <w:highlight w:val="none"/>
          <w:lang w:val="en-US" w:eastAsia="zh-CN"/>
        </w:rPr>
        <w:t>保持</w:t>
      </w:r>
      <w:r>
        <w:rPr>
          <w:rFonts w:hint="eastAsia" w:eastAsia="方正仿宋_GBK" w:cs="Times New Roman"/>
          <w:b/>
          <w:bCs/>
          <w:snapToGrid w:val="0"/>
          <w:kern w:val="0"/>
          <w:sz w:val="32"/>
          <w:szCs w:val="32"/>
          <w:highlight w:val="none"/>
          <w:lang w:val="en-US" w:eastAsia="zh-CN"/>
        </w:rPr>
        <w:t>适当</w:t>
      </w:r>
      <w:r>
        <w:rPr>
          <w:rFonts w:hint="eastAsia" w:ascii="Times New Roman" w:hAnsi="Times New Roman" w:eastAsia="方正仿宋_GBK" w:cs="Times New Roman"/>
          <w:b/>
          <w:bCs/>
          <w:snapToGrid w:val="0"/>
          <w:kern w:val="0"/>
          <w:sz w:val="32"/>
          <w:szCs w:val="32"/>
          <w:highlight w:val="none"/>
          <w:lang w:val="en-US" w:eastAsia="zh-CN"/>
        </w:rPr>
        <w:t>财政支出强度</w:t>
      </w:r>
      <w:r>
        <w:rPr>
          <w:rFonts w:hint="eastAsia" w:eastAsia="方正仿宋_GBK" w:cs="Times New Roman"/>
          <w:b/>
          <w:bCs/>
          <w:snapToGrid w:val="0"/>
          <w:kern w:val="0"/>
          <w:sz w:val="32"/>
          <w:szCs w:val="32"/>
          <w:highlight w:val="none"/>
          <w:lang w:val="en-US" w:eastAsia="zh-CN"/>
        </w:rPr>
        <w:t>，</w:t>
      </w:r>
      <w:r>
        <w:rPr>
          <w:rFonts w:hint="eastAsia" w:eastAsia="方正仿宋_GBK" w:cs="Times New Roman"/>
          <w:spacing w:val="-6"/>
          <w:sz w:val="32"/>
          <w:szCs w:val="32"/>
          <w:highlight w:val="none"/>
          <w:lang w:val="en-US" w:eastAsia="zh-CN"/>
        </w:rPr>
        <w:t>积极争取上级资金，充分运用国债资金、政府债券、专项转移支付、财政贴息等政策工具，以政府投资和政策激励带动全社会投资。</w:t>
      </w:r>
      <w:r>
        <w:rPr>
          <w:rFonts w:hint="eastAsia" w:ascii="Times New Roman" w:hAnsi="Times New Roman" w:eastAsia="方正仿宋_GBK" w:cs="Times New Roman"/>
          <w:b/>
          <w:bCs/>
          <w:kern w:val="2"/>
          <w:sz w:val="32"/>
          <w:szCs w:val="32"/>
          <w:highlight w:val="none"/>
          <w:lang w:val="en-US" w:eastAsia="zh-CN" w:bidi="ar-SA"/>
        </w:rPr>
        <w:t>合理加快财政支出进度，</w:t>
      </w:r>
      <w:r>
        <w:rPr>
          <w:rFonts w:hint="eastAsia" w:eastAsia="方正仿宋_GBK" w:cs="Times New Roman"/>
          <w:spacing w:val="-6"/>
          <w:sz w:val="32"/>
          <w:szCs w:val="32"/>
          <w:highlight w:val="none"/>
          <w:lang w:val="en-US" w:eastAsia="zh-CN"/>
        </w:rPr>
        <w:t>压实主管部门和项目单位责任，着力推动专项债早发行、早使用、早见效，助力补短板、扩内需，落实常态化财政资金直达机制，资金下达“一竿子插到底”，确保精准直达受益对象。</w:t>
      </w:r>
      <w:r>
        <w:rPr>
          <w:rFonts w:hint="eastAsia" w:ascii="仿宋" w:hAnsi="仿宋" w:eastAsia="仿宋" w:cs="仿宋"/>
          <w:b/>
          <w:bCs/>
          <w:color w:val="000000"/>
          <w:kern w:val="0"/>
          <w:sz w:val="31"/>
          <w:szCs w:val="31"/>
          <w:highlight w:val="none"/>
          <w:lang w:val="en-US" w:eastAsia="zh-CN" w:bidi="ar"/>
        </w:rPr>
        <w:t>持续优化营商环境，</w:t>
      </w:r>
      <w:r>
        <w:rPr>
          <w:rFonts w:hint="eastAsia" w:eastAsia="方正仿宋_GBK" w:cs="Times New Roman"/>
          <w:spacing w:val="-6"/>
          <w:sz w:val="32"/>
          <w:szCs w:val="32"/>
          <w:highlight w:val="none"/>
          <w:lang w:val="en-US" w:eastAsia="zh-CN"/>
        </w:rPr>
        <w:t>支持办好促消费活动，稳定汽车家电等大宗消费，释放消费活力。用好政府采购优惠政策，提高中小企业市场占有份额，为企业减负增效。巩固涉企违规收费整治成果，健全防范乱收费、乱罚款、乱摊派长效机制。</w:t>
      </w:r>
      <w:r>
        <w:rPr>
          <w:rFonts w:hint="eastAsia" w:eastAsia="方正仿宋_GBK" w:cs="Times New Roman"/>
          <w:b/>
          <w:bCs/>
          <w:spacing w:val="-6"/>
          <w:sz w:val="32"/>
          <w:szCs w:val="32"/>
          <w:highlight w:val="none"/>
          <w:lang w:val="en-US" w:eastAsia="zh-CN"/>
        </w:rPr>
        <w:t>重点支持工业制造和区域承载能力建设，</w:t>
      </w:r>
      <w:r>
        <w:rPr>
          <w:rFonts w:hint="eastAsia" w:eastAsia="方正仿宋_GBK" w:cs="Times New Roman"/>
          <w:spacing w:val="-6"/>
          <w:sz w:val="32"/>
          <w:szCs w:val="32"/>
          <w:highlight w:val="none"/>
          <w:lang w:val="en-US" w:eastAsia="zh-CN"/>
        </w:rPr>
        <w:t>集中财力支持精准招商引资、重点项目建设和壮大特色产业，加快形成龙头企业引领、“专精特新”企业支撑、创新型中小企业为基础的产业发展体系。大力支持河北徐水经济开发区基础设施和配套项目以及城区路网建设，积极服务保障雄忻高铁、京雄保城际、S524等基础设施建设，在服务保障中实现同步崛起、共同发展。</w:t>
      </w:r>
    </w:p>
    <w:p w14:paraId="2D43E34B">
      <w:pPr>
        <w:keepNext w:val="0"/>
        <w:keepLines w:val="0"/>
        <w:pageBreakBefore w:val="0"/>
        <w:widowControl w:val="0"/>
        <w:numPr>
          <w:ilvl w:val="0"/>
          <w:numId w:val="0"/>
        </w:numPr>
        <w:pBdr>
          <w:bottom w:val="single" w:color="FFFFFF" w:sz="4" w:space="31"/>
        </w:pBdr>
        <w:kinsoku/>
        <w:wordWrap/>
        <w:overflowPunct/>
        <w:topLinePunct/>
        <w:autoSpaceDE/>
        <w:autoSpaceDN/>
        <w:bidi w:val="0"/>
        <w:adjustRightInd/>
        <w:snapToGrid/>
        <w:spacing w:line="580" w:lineRule="exact"/>
        <w:ind w:firstLine="640" w:firstLineChars="200"/>
        <w:jc w:val="both"/>
        <w:textAlignment w:val="auto"/>
        <w:rPr>
          <w:rFonts w:hint="eastAsia" w:eastAsia="方正仿宋_GBK" w:cs="Times New Roman"/>
          <w:spacing w:val="-6"/>
          <w:sz w:val="32"/>
          <w:szCs w:val="32"/>
          <w:highlight w:val="none"/>
          <w:lang w:val="en-US" w:eastAsia="zh-CN"/>
        </w:rPr>
      </w:pPr>
      <w:r>
        <w:rPr>
          <w:rFonts w:hint="eastAsia" w:ascii="方正楷体_GBK" w:hAnsi="方正楷体_GBK" w:eastAsia="方正楷体_GBK" w:cs="方正楷体_GBK"/>
          <w:b w:val="0"/>
          <w:bCs w:val="0"/>
          <w:kern w:val="2"/>
          <w:sz w:val="32"/>
          <w:szCs w:val="32"/>
          <w:highlight w:val="none"/>
          <w:lang w:val="en-US" w:eastAsia="zh-CN" w:bidi="ar-SA"/>
        </w:rPr>
        <w:t>（二）聚焦保障和改善民生，支持办好各项事业。</w:t>
      </w:r>
      <w:r>
        <w:rPr>
          <w:rFonts w:hint="eastAsia" w:eastAsia="方正仿宋_GBK" w:cs="Times New Roman"/>
          <w:b w:val="0"/>
          <w:bCs w:val="0"/>
          <w:spacing w:val="-6"/>
          <w:sz w:val="32"/>
          <w:szCs w:val="32"/>
          <w:highlight w:val="none"/>
          <w:lang w:val="en-US" w:eastAsia="zh-CN"/>
        </w:rPr>
        <w:t>严格落实过“紧日子”要求，坚持有所为有所不为，</w:t>
      </w:r>
      <w:r>
        <w:rPr>
          <w:rFonts w:hint="eastAsia" w:eastAsia="方正仿宋_GBK" w:cs="Times New Roman"/>
          <w:spacing w:val="-6"/>
          <w:sz w:val="32"/>
          <w:szCs w:val="32"/>
          <w:highlight w:val="none"/>
          <w:lang w:val="en-US" w:eastAsia="zh-CN"/>
        </w:rPr>
        <w:t>严控一般性支出，挤出钱来兜牢“三保”底线，持续做好教育、社保、就业等基本民生保障，落实落细各类补偿救助政策，加强对困难群众救助帮扶，不断织密扎牢民生兜底安全网。大力支持灾后重建、利用政府债券和增发国债资金，加快实现灾毁设施修复重建，提高城市排水防涝能力和应急管理能力。大力支持城乡基础设施建设，深入实施城市更新行动。大力支持乡村振兴，用好财政衔接推进乡村振兴补助资金，落实各项惠农补贴政策，持续改善农村人居环境。大力支持绿色发展，精准治气、系统治水、综合治土，共建幸福美好家园。</w:t>
      </w:r>
    </w:p>
    <w:p w14:paraId="1AAC495B">
      <w:pPr>
        <w:keepNext w:val="0"/>
        <w:keepLines w:val="0"/>
        <w:pageBreakBefore w:val="0"/>
        <w:widowControl w:val="0"/>
        <w:numPr>
          <w:ilvl w:val="0"/>
          <w:numId w:val="0"/>
        </w:numPr>
        <w:pBdr>
          <w:bottom w:val="single" w:color="FFFFFF" w:sz="4" w:space="31"/>
        </w:pBdr>
        <w:kinsoku/>
        <w:wordWrap/>
        <w:overflowPunct/>
        <w:topLinePunct/>
        <w:autoSpaceDE/>
        <w:autoSpaceDN/>
        <w:bidi w:val="0"/>
        <w:adjustRightInd/>
        <w:snapToGrid/>
        <w:spacing w:line="580" w:lineRule="exact"/>
        <w:ind w:firstLine="640" w:firstLineChars="200"/>
        <w:jc w:val="both"/>
        <w:textAlignment w:val="auto"/>
        <w:rPr>
          <w:rFonts w:hint="eastAsia" w:eastAsia="方正仿宋_GBK" w:cs="Times New Roman"/>
          <w:spacing w:val="-6"/>
          <w:sz w:val="32"/>
          <w:szCs w:val="32"/>
          <w:highlight w:val="none"/>
          <w:lang w:val="en-US" w:eastAsia="zh-CN"/>
        </w:rPr>
      </w:pPr>
      <w:r>
        <w:rPr>
          <w:rFonts w:hint="eastAsia" w:ascii="方正楷体_GBK" w:hAnsi="方正楷体_GBK" w:eastAsia="方正楷体_GBK" w:cs="方正楷体_GBK"/>
          <w:b w:val="0"/>
          <w:bCs w:val="0"/>
          <w:kern w:val="2"/>
          <w:sz w:val="32"/>
          <w:szCs w:val="32"/>
          <w:highlight w:val="none"/>
          <w:lang w:val="en-US" w:eastAsia="zh-CN" w:bidi="ar-SA"/>
        </w:rPr>
        <w:t>（三）聚焦政府债务管理，防范化解财政运行风险。</w:t>
      </w:r>
      <w:r>
        <w:rPr>
          <w:rFonts w:hint="eastAsia" w:eastAsia="方正仿宋_GBK" w:cs="Times New Roman"/>
          <w:spacing w:val="-6"/>
          <w:sz w:val="32"/>
          <w:szCs w:val="32"/>
          <w:highlight w:val="none"/>
          <w:lang w:val="en-US" w:eastAsia="zh-CN"/>
        </w:rPr>
        <w:t>统筹好</w:t>
      </w:r>
      <w:r>
        <w:rPr>
          <w:rFonts w:hint="default" w:eastAsia="方正仿宋_GBK" w:cs="Times New Roman"/>
          <w:spacing w:val="-6"/>
          <w:sz w:val="32"/>
          <w:szCs w:val="32"/>
          <w:highlight w:val="none"/>
          <w:lang w:val="en-US" w:eastAsia="zh-CN"/>
        </w:rPr>
        <w:t>促发展和防风险</w:t>
      </w:r>
      <w:r>
        <w:rPr>
          <w:rFonts w:hint="eastAsia" w:eastAsia="方正仿宋_GBK" w:cs="Times New Roman"/>
          <w:spacing w:val="-6"/>
          <w:sz w:val="32"/>
          <w:szCs w:val="32"/>
          <w:highlight w:val="none"/>
          <w:lang w:val="en-US" w:eastAsia="zh-CN"/>
        </w:rPr>
        <w:t>，</w:t>
      </w:r>
      <w:r>
        <w:rPr>
          <w:rFonts w:hint="default" w:eastAsia="方正仿宋_GBK" w:cs="Times New Roman"/>
          <w:spacing w:val="-6"/>
          <w:sz w:val="32"/>
          <w:szCs w:val="32"/>
          <w:highlight w:val="none"/>
          <w:lang w:val="en-US" w:eastAsia="zh-CN"/>
        </w:rPr>
        <w:t>坚持化存量、遏增量</w:t>
      </w:r>
      <w:r>
        <w:rPr>
          <w:rFonts w:hint="eastAsia" w:eastAsia="方正仿宋_GBK" w:cs="Times New Roman"/>
          <w:spacing w:val="-6"/>
          <w:sz w:val="32"/>
          <w:szCs w:val="32"/>
          <w:highlight w:val="none"/>
          <w:lang w:val="en-US" w:eastAsia="zh-CN"/>
        </w:rPr>
        <w:t>，</w:t>
      </w:r>
      <w:r>
        <w:rPr>
          <w:rFonts w:hint="default" w:eastAsia="方正仿宋_GBK" w:cs="Times New Roman"/>
          <w:spacing w:val="-6"/>
          <w:sz w:val="32"/>
          <w:szCs w:val="32"/>
          <w:highlight w:val="none"/>
          <w:lang w:val="en-US" w:eastAsia="zh-CN"/>
        </w:rPr>
        <w:t>严格政府债务管理，优先安排债券还本付息</w:t>
      </w:r>
      <w:r>
        <w:rPr>
          <w:rFonts w:hint="eastAsia" w:eastAsia="方正仿宋_GBK" w:cs="Times New Roman"/>
          <w:spacing w:val="-6"/>
          <w:sz w:val="32"/>
          <w:szCs w:val="32"/>
          <w:highlight w:val="none"/>
          <w:lang w:val="en-US" w:eastAsia="zh-CN"/>
        </w:rPr>
        <w:t>，做好隐性债务风险化解工作，</w:t>
      </w:r>
      <w:r>
        <w:rPr>
          <w:rFonts w:hint="default" w:eastAsia="方正仿宋_GBK" w:cs="Times New Roman"/>
          <w:spacing w:val="-6"/>
          <w:sz w:val="32"/>
          <w:szCs w:val="32"/>
          <w:highlight w:val="none"/>
          <w:lang w:val="en-US" w:eastAsia="zh-CN"/>
        </w:rPr>
        <w:t>提高风险预判</w:t>
      </w:r>
      <w:r>
        <w:rPr>
          <w:rFonts w:hint="eastAsia" w:eastAsia="方正仿宋_GBK" w:cs="Times New Roman"/>
          <w:spacing w:val="-6"/>
          <w:sz w:val="32"/>
          <w:szCs w:val="32"/>
          <w:highlight w:val="none"/>
          <w:lang w:val="en-US" w:eastAsia="zh-CN"/>
        </w:rPr>
        <w:t>、</w:t>
      </w:r>
      <w:r>
        <w:rPr>
          <w:rFonts w:hint="default" w:eastAsia="方正仿宋_GBK" w:cs="Times New Roman"/>
          <w:spacing w:val="-6"/>
          <w:sz w:val="32"/>
          <w:szCs w:val="32"/>
          <w:highlight w:val="none"/>
          <w:lang w:val="en-US" w:eastAsia="zh-CN"/>
        </w:rPr>
        <w:t>应对能力，确保债务规模与</w:t>
      </w:r>
      <w:r>
        <w:rPr>
          <w:rFonts w:hint="eastAsia" w:eastAsia="方正仿宋_GBK" w:cs="Times New Roman"/>
          <w:spacing w:val="-6"/>
          <w:sz w:val="32"/>
          <w:szCs w:val="32"/>
          <w:highlight w:val="none"/>
          <w:lang w:val="en-US" w:eastAsia="zh-CN"/>
        </w:rPr>
        <w:t>全区财政</w:t>
      </w:r>
      <w:r>
        <w:rPr>
          <w:rFonts w:hint="default" w:eastAsia="方正仿宋_GBK" w:cs="Times New Roman"/>
          <w:spacing w:val="-6"/>
          <w:sz w:val="32"/>
          <w:szCs w:val="32"/>
          <w:highlight w:val="none"/>
          <w:lang w:val="en-US" w:eastAsia="zh-CN"/>
        </w:rPr>
        <w:t>状况相适应，牢牢守住不发生系统性风险的底线。</w:t>
      </w:r>
      <w:r>
        <w:rPr>
          <w:rFonts w:hint="eastAsia" w:eastAsia="方正仿宋_GBK" w:cs="Times New Roman"/>
          <w:spacing w:val="-6"/>
          <w:sz w:val="32"/>
          <w:szCs w:val="32"/>
          <w:highlight w:val="none"/>
          <w:lang w:val="en-US" w:eastAsia="zh-CN"/>
        </w:rPr>
        <w:t>加强调研分析，加强库款保障情况监测预警，确保“三保”不出问题。</w:t>
      </w:r>
    </w:p>
    <w:p w14:paraId="516EB884">
      <w:pPr>
        <w:keepNext w:val="0"/>
        <w:keepLines w:val="0"/>
        <w:pageBreakBefore w:val="0"/>
        <w:widowControl w:val="0"/>
        <w:numPr>
          <w:ilvl w:val="0"/>
          <w:numId w:val="0"/>
        </w:numPr>
        <w:pBdr>
          <w:bottom w:val="single" w:color="FFFFFF" w:sz="4" w:space="31"/>
        </w:pBdr>
        <w:kinsoku/>
        <w:wordWrap/>
        <w:overflowPunct/>
        <w:topLinePunct/>
        <w:autoSpaceDE/>
        <w:autoSpaceDN/>
        <w:bidi w:val="0"/>
        <w:adjustRightInd/>
        <w:snapToGrid/>
        <w:spacing w:line="580" w:lineRule="exact"/>
        <w:ind w:firstLine="640" w:firstLineChars="200"/>
        <w:jc w:val="both"/>
        <w:textAlignment w:val="auto"/>
        <w:rPr>
          <w:rFonts w:hint="eastAsia" w:eastAsia="方正仿宋_GBK" w:cs="Times New Roman"/>
          <w:spacing w:val="-6"/>
          <w:sz w:val="32"/>
          <w:szCs w:val="32"/>
          <w:highlight w:val="none"/>
          <w:lang w:val="en-US" w:eastAsia="zh-CN"/>
        </w:rPr>
      </w:pPr>
      <w:r>
        <w:rPr>
          <w:rFonts w:hint="eastAsia" w:ascii="方正楷体_GBK" w:hAnsi="方正楷体_GBK" w:eastAsia="方正楷体_GBK" w:cs="方正楷体_GBK"/>
          <w:b w:val="0"/>
          <w:bCs w:val="0"/>
          <w:kern w:val="2"/>
          <w:sz w:val="32"/>
          <w:szCs w:val="32"/>
          <w:highlight w:val="none"/>
          <w:lang w:val="en-US" w:eastAsia="zh-CN" w:bidi="ar-SA"/>
        </w:rPr>
        <w:t>（四）聚焦财会监督与法治工作，</w:t>
      </w:r>
      <w:r>
        <w:rPr>
          <w:rFonts w:hint="eastAsia" w:ascii="楷体" w:hAnsi="楷体" w:eastAsia="楷体" w:cs="楷体"/>
          <w:sz w:val="32"/>
          <w:szCs w:val="32"/>
          <w:highlight w:val="none"/>
          <w:shd w:val="clear" w:color="auto" w:fill="FFFFFF"/>
        </w:rPr>
        <w:t>进一步严肃财经纪律。</w:t>
      </w:r>
      <w:r>
        <w:rPr>
          <w:rFonts w:hint="eastAsia" w:eastAsia="方正仿宋_GBK" w:cs="Times New Roman"/>
          <w:spacing w:val="-6"/>
          <w:sz w:val="32"/>
          <w:szCs w:val="32"/>
          <w:highlight w:val="none"/>
          <w:lang w:val="en-US" w:eastAsia="zh-CN"/>
        </w:rPr>
        <w:t>深入贯彻落实《关于进一步加强财会监督工作的意见》，健全财会监督体系，完善工作机制，依法依规定开展财政、财务、会计监督，重点抓好财会监督专项行动、预算执行监督专项行动和重点民生资金专项整治行动。坚持依法行政和依法理财，在法律法规、规章制度规定的范围内组织收入、管理支出、推进改革、防范风险，强化预算约束、执行控制，严禁超预算、无预算支出。加强内控制度建设，把分权制约落到实处，促进财政管理法治化、规范化。</w:t>
      </w:r>
    </w:p>
    <w:p w14:paraId="6BBA7B41">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40" w:firstLineChars="200"/>
        <w:jc w:val="both"/>
        <w:textAlignment w:val="auto"/>
        <w:rPr>
          <w:rFonts w:hint="eastAsia" w:eastAsia="方正仿宋_GBK" w:cs="Times New Roman"/>
          <w:spacing w:val="-6"/>
          <w:sz w:val="32"/>
          <w:szCs w:val="32"/>
          <w:highlight w:val="none"/>
          <w:lang w:val="en-US" w:eastAsia="zh-CN"/>
        </w:rPr>
      </w:pPr>
      <w:r>
        <w:rPr>
          <w:rFonts w:hint="eastAsia" w:eastAsia="方正楷体_GBK" w:cs="方正楷体_GBK"/>
          <w:b w:val="0"/>
          <w:bCs/>
          <w:kern w:val="0"/>
          <w:sz w:val="32"/>
          <w:szCs w:val="32"/>
          <w:highlight w:val="none"/>
          <w:lang w:val="en-US" w:eastAsia="zh-CN"/>
        </w:rPr>
        <w:t>（五）聚焦财政管理与改革，提升财政治理水平</w:t>
      </w:r>
      <w:r>
        <w:rPr>
          <w:rFonts w:hint="eastAsia" w:ascii="Times New Roman" w:hAnsi="Times New Roman" w:eastAsia="方正仿宋_GBK" w:cs="Times New Roman"/>
          <w:b/>
          <w:bCs/>
          <w:sz w:val="32"/>
          <w:szCs w:val="32"/>
          <w:highlight w:val="none"/>
          <w:lang w:val="en-US" w:eastAsia="zh-CN"/>
        </w:rPr>
        <w:t>。</w:t>
      </w:r>
      <w:r>
        <w:rPr>
          <w:rFonts w:hint="eastAsia" w:eastAsia="方正仿宋_GBK" w:cs="Times New Roman"/>
          <w:spacing w:val="-6"/>
          <w:sz w:val="32"/>
          <w:szCs w:val="32"/>
          <w:highlight w:val="none"/>
          <w:lang w:val="en-US" w:eastAsia="zh-CN"/>
        </w:rPr>
        <w:t>深入推进预算绩效管理，扎实开展事前绩效评估，为政府决策提供科学依据；提升绩效目标指标质量，强化目标导向和全程绩效监控，以全程绩效监控推动绩效提升；强化绩效评价和结果应用，建设具有徐水特色的全流程绩效管理新模式。打造科学的政府投资项目全生命周期管理平台，逐步实现政府投资项目过程全管控、绩效全覆盖，构建项目信息共享和财政、发改、审批等项目管理部门常态化沟通机制，形成“内部一体、外部协同、上下贯通”的政府投资项目管理新局面。开展全成本预算绩效管理改革，以农村公益事业财政奖补项目为试点，对政府投资项目实施前进行成本、质量、效益分析比较，实现以成本定标准、以标准促改革、以改革提质效的目标。加快财政数字化转型，在“数字财政”系统一期九项功能上线基础上，加快二期、三期功能上线，为“数字保定”建设贡献徐水力量。</w:t>
      </w:r>
    </w:p>
    <w:p w14:paraId="1237CCBA">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16" w:firstLineChars="200"/>
        <w:jc w:val="both"/>
        <w:textAlignment w:val="auto"/>
        <w:rPr>
          <w:rFonts w:hint="eastAsia" w:eastAsia="方正仿宋_GBK" w:cs="Times New Roman"/>
          <w:spacing w:val="-6"/>
          <w:sz w:val="32"/>
          <w:szCs w:val="32"/>
          <w:highlight w:val="none"/>
          <w:lang w:val="en-US" w:eastAsia="zh-CN"/>
        </w:rPr>
        <w:sectPr>
          <w:footerReference r:id="rId3" w:type="default"/>
          <w:pgSz w:w="11906" w:h="16838"/>
          <w:pgMar w:top="2098" w:right="1474" w:bottom="1984" w:left="1587" w:header="851" w:footer="992" w:gutter="0"/>
          <w:pgNumType w:fmt="numberInDash"/>
          <w:cols w:space="425" w:num="1"/>
          <w:docGrid w:type="lines" w:linePitch="312" w:charSpace="0"/>
        </w:sectPr>
      </w:pPr>
      <w:r>
        <w:rPr>
          <w:rFonts w:hint="eastAsia" w:eastAsia="方正仿宋_GBK" w:cs="Times New Roman"/>
          <w:spacing w:val="-6"/>
          <w:sz w:val="32"/>
          <w:szCs w:val="32"/>
          <w:highlight w:val="none"/>
          <w:lang w:val="en-US" w:eastAsia="zh-CN"/>
        </w:rPr>
        <w:t>各位代表，</w:t>
      </w:r>
      <w:r>
        <w:rPr>
          <w:rFonts w:hint="default" w:eastAsia="方正仿宋_GBK" w:cs="Times New Roman"/>
          <w:spacing w:val="-6"/>
          <w:sz w:val="32"/>
          <w:szCs w:val="32"/>
          <w:highlight w:val="none"/>
          <w:lang w:val="en-US" w:eastAsia="zh-CN"/>
        </w:rPr>
        <w:t>202</w:t>
      </w:r>
      <w:r>
        <w:rPr>
          <w:rFonts w:hint="eastAsia" w:eastAsia="方正仿宋_GBK" w:cs="Times New Roman"/>
          <w:spacing w:val="-6"/>
          <w:sz w:val="32"/>
          <w:szCs w:val="32"/>
          <w:highlight w:val="none"/>
          <w:lang w:val="en-US" w:eastAsia="zh-CN"/>
        </w:rPr>
        <w:t>4年财政形势依然复杂严峻，困难问题仍然突出而紧迫，做好财政工作任务艰巨、意义重大、使命光荣。我们将在区委的坚强领导下，在区人大及其常委会的有效监督下，在社会各界的大力支持下，坚定信心、迎难而上、开拓进取，以奋发有为的精神状态和“时时放心不下”的责任意识，扎实推动财政各项工作高质量发展，加快建设经济强区、美丽徐水，为全面建设高品质有韧性的现代化新保定作出更大贡献！</w:t>
      </w:r>
    </w:p>
    <w:p w14:paraId="71BC231E">
      <w:pPr>
        <w:pStyle w:val="17"/>
        <w:ind w:left="0" w:leftChars="0" w:firstLine="0" w:firstLineChars="0"/>
        <w:rPr>
          <w:rFonts w:hint="eastAsia" w:eastAsia="方正仿宋_GBK" w:cs="Times New Roman"/>
          <w:sz w:val="32"/>
          <w:szCs w:val="32"/>
          <w:highlight w:val="none"/>
          <w:lang w:eastAsia="zh-CN"/>
        </w:rPr>
      </w:pPr>
      <w:r>
        <w:rPr>
          <w:rFonts w:hint="eastAsia" w:eastAsia="方正仿宋_GBK" w:cs="Times New Roman"/>
          <w:sz w:val="32"/>
          <w:szCs w:val="32"/>
          <w:lang w:eastAsia="zh-CN"/>
        </w:rPr>
        <w:t>附</w:t>
      </w:r>
      <w:r>
        <w:rPr>
          <w:rFonts w:hint="eastAsia" w:eastAsia="方正仿宋_GBK" w:cs="Times New Roman"/>
          <w:sz w:val="32"/>
          <w:szCs w:val="32"/>
          <w:highlight w:val="none"/>
          <w:lang w:eastAsia="zh-CN"/>
        </w:rPr>
        <w:t>表</w:t>
      </w:r>
    </w:p>
    <w:p w14:paraId="181C444F">
      <w:pPr>
        <w:pStyle w:val="17"/>
        <w:ind w:left="0" w:leftChars="0" w:firstLine="0" w:firstLineChars="0"/>
        <w:jc w:val="center"/>
        <w:rPr>
          <w:rFonts w:hint="default" w:eastAsia="方正仿宋_GBK" w:cs="Times New Roman"/>
          <w:sz w:val="32"/>
          <w:szCs w:val="32"/>
          <w:highlight w:val="none"/>
          <w:lang w:val="en-US" w:eastAsia="zh-CN"/>
        </w:rPr>
      </w:pPr>
      <w:r>
        <w:rPr>
          <w:rFonts w:hint="default" w:ascii="仿宋" w:hAnsi="仿宋" w:eastAsia="仿宋" w:cs="宋体"/>
          <w:b/>
          <w:spacing w:val="-4"/>
          <w:kern w:val="0"/>
          <w:sz w:val="32"/>
          <w:szCs w:val="32"/>
          <w:highlight w:val="none"/>
          <w:lang w:val="en-US" w:eastAsia="zh-CN" w:bidi="ar-SA"/>
        </w:rPr>
        <w:t>2023年一般公共预算收入情况表</w:t>
      </w:r>
    </w:p>
    <w:tbl>
      <w:tblPr>
        <w:tblStyle w:val="12"/>
        <w:tblW w:w="84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79"/>
        <w:gridCol w:w="1365"/>
        <w:gridCol w:w="1410"/>
        <w:gridCol w:w="1515"/>
      </w:tblGrid>
      <w:tr w14:paraId="7B18C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79" w:type="dxa"/>
            <w:tcBorders>
              <w:top w:val="nil"/>
              <w:left w:val="nil"/>
              <w:bottom w:val="nil"/>
              <w:right w:val="nil"/>
            </w:tcBorders>
            <w:shd w:val="clear" w:color="auto" w:fill="auto"/>
            <w:noWrap/>
            <w:vAlign w:val="bottom"/>
          </w:tcPr>
          <w:p w14:paraId="12A94B57">
            <w:pPr>
              <w:rPr>
                <w:rFonts w:hint="eastAsia" w:ascii="宋体" w:hAnsi="宋体" w:eastAsia="宋体" w:cs="宋体"/>
                <w:i w:val="0"/>
                <w:iCs w:val="0"/>
                <w:color w:val="000000"/>
                <w:sz w:val="24"/>
                <w:szCs w:val="24"/>
                <w:highlight w:val="none"/>
                <w:u w:val="none"/>
              </w:rPr>
            </w:pPr>
          </w:p>
        </w:tc>
        <w:tc>
          <w:tcPr>
            <w:tcW w:w="1365" w:type="dxa"/>
            <w:tcBorders>
              <w:top w:val="nil"/>
              <w:left w:val="nil"/>
              <w:bottom w:val="nil"/>
              <w:right w:val="nil"/>
            </w:tcBorders>
            <w:shd w:val="clear" w:color="auto" w:fill="auto"/>
            <w:noWrap/>
            <w:vAlign w:val="bottom"/>
          </w:tcPr>
          <w:p w14:paraId="17E64D6C">
            <w:pPr>
              <w:rPr>
                <w:rFonts w:hint="eastAsia" w:ascii="宋体" w:hAnsi="宋体" w:eastAsia="宋体" w:cs="宋体"/>
                <w:i w:val="0"/>
                <w:iCs w:val="0"/>
                <w:color w:val="000000"/>
                <w:sz w:val="24"/>
                <w:szCs w:val="24"/>
                <w:highlight w:val="none"/>
                <w:u w:val="none"/>
              </w:rPr>
            </w:pPr>
          </w:p>
        </w:tc>
        <w:tc>
          <w:tcPr>
            <w:tcW w:w="1410" w:type="dxa"/>
            <w:tcBorders>
              <w:top w:val="nil"/>
              <w:left w:val="nil"/>
              <w:bottom w:val="nil"/>
              <w:right w:val="nil"/>
            </w:tcBorders>
            <w:shd w:val="clear" w:color="auto" w:fill="auto"/>
            <w:noWrap/>
            <w:vAlign w:val="bottom"/>
          </w:tcPr>
          <w:p w14:paraId="677FCF66">
            <w:pPr>
              <w:rPr>
                <w:rFonts w:hint="eastAsia" w:ascii="宋体" w:hAnsi="宋体" w:eastAsia="宋体" w:cs="宋体"/>
                <w:i w:val="0"/>
                <w:iCs w:val="0"/>
                <w:color w:val="000000"/>
                <w:sz w:val="24"/>
                <w:szCs w:val="24"/>
                <w:highlight w:val="none"/>
                <w:u w:val="none"/>
              </w:rPr>
            </w:pPr>
          </w:p>
        </w:tc>
        <w:tc>
          <w:tcPr>
            <w:tcW w:w="1515" w:type="dxa"/>
            <w:tcBorders>
              <w:top w:val="nil"/>
              <w:left w:val="nil"/>
              <w:bottom w:val="nil"/>
              <w:right w:val="nil"/>
            </w:tcBorders>
            <w:shd w:val="clear" w:color="auto" w:fill="auto"/>
            <w:noWrap/>
            <w:vAlign w:val="bottom"/>
          </w:tcPr>
          <w:p w14:paraId="0715BDB6">
            <w:pPr>
              <w:keepNext w:val="0"/>
              <w:keepLines w:val="0"/>
              <w:widowControl/>
              <w:suppressLineNumbers w:val="0"/>
              <w:jc w:val="left"/>
              <w:textAlignment w:val="bottom"/>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单位：万元</w:t>
            </w:r>
          </w:p>
        </w:tc>
      </w:tr>
      <w:tr w14:paraId="03154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E56D12">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科目名称</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2CCB22">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本年累计</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A63C84">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占预算（%）</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86136F">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增长（%）</w:t>
            </w:r>
          </w:p>
        </w:tc>
      </w:tr>
      <w:tr w14:paraId="209BE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A03BC">
            <w:pPr>
              <w:jc w:val="center"/>
              <w:rPr>
                <w:rFonts w:hint="eastAsia" w:ascii="宋体" w:hAnsi="宋体" w:eastAsia="宋体" w:cs="宋体"/>
                <w:b/>
                <w:bCs/>
                <w:i w:val="0"/>
                <w:iCs w:val="0"/>
                <w:color w:val="000000"/>
                <w:sz w:val="24"/>
                <w:szCs w:val="24"/>
                <w:highlight w:val="none"/>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54402">
            <w:pPr>
              <w:jc w:val="center"/>
              <w:rPr>
                <w:rFonts w:hint="eastAsia" w:ascii="宋体" w:hAnsi="宋体" w:eastAsia="宋体" w:cs="宋体"/>
                <w:b/>
                <w:bCs/>
                <w:i w:val="0"/>
                <w:iCs w:val="0"/>
                <w:color w:val="000000"/>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C31B1">
            <w:pPr>
              <w:jc w:val="center"/>
              <w:rPr>
                <w:rFonts w:hint="eastAsia" w:ascii="宋体" w:hAnsi="宋体" w:eastAsia="宋体" w:cs="宋体"/>
                <w:b/>
                <w:bCs/>
                <w:i w:val="0"/>
                <w:iCs w:val="0"/>
                <w:color w:val="000000"/>
                <w:sz w:val="24"/>
                <w:szCs w:val="24"/>
                <w:highlight w:val="none"/>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BC49D">
            <w:pPr>
              <w:jc w:val="center"/>
              <w:rPr>
                <w:rFonts w:hint="eastAsia" w:ascii="宋体" w:hAnsi="宋体" w:eastAsia="宋体" w:cs="宋体"/>
                <w:b/>
                <w:bCs/>
                <w:i w:val="0"/>
                <w:iCs w:val="0"/>
                <w:color w:val="000000"/>
                <w:sz w:val="24"/>
                <w:szCs w:val="24"/>
                <w:highlight w:val="none"/>
                <w:u w:val="none"/>
              </w:rPr>
            </w:pPr>
          </w:p>
        </w:tc>
      </w:tr>
      <w:tr w14:paraId="6F457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34E3F8A">
            <w:pPr>
              <w:keepNext w:val="0"/>
              <w:keepLines w:val="0"/>
              <w:widowControl/>
              <w:suppressLineNumbers w:val="0"/>
              <w:jc w:val="left"/>
              <w:textAlignment w:val="bottom"/>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一般公共预算收入合计</w:t>
            </w: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9288946">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201338.2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A547E7B">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100.7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CBB9676">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FF0000"/>
                <w:kern w:val="0"/>
                <w:sz w:val="24"/>
                <w:szCs w:val="24"/>
                <w:highlight w:val="none"/>
                <w:u w:val="none"/>
                <w:lang w:val="en-US" w:eastAsia="zh-CN" w:bidi="ar"/>
              </w:rPr>
              <w:t xml:space="preserve">-11.8 </w:t>
            </w:r>
          </w:p>
        </w:tc>
      </w:tr>
      <w:tr w14:paraId="7A9DF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9A475E">
            <w:pPr>
              <w:keepNext w:val="0"/>
              <w:keepLines w:val="0"/>
              <w:widowControl/>
              <w:suppressLineNumbers w:val="0"/>
              <w:jc w:val="left"/>
              <w:textAlignment w:val="bottom"/>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1.税收收入小计</w:t>
            </w: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4B3313D">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161019.6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2FED496">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100.4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32F11C3">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FF0000"/>
                <w:kern w:val="0"/>
                <w:sz w:val="24"/>
                <w:szCs w:val="24"/>
                <w:highlight w:val="none"/>
                <w:u w:val="none"/>
                <w:lang w:val="en-US" w:eastAsia="zh-CN" w:bidi="ar"/>
              </w:rPr>
              <w:t xml:space="preserve">-2.2 </w:t>
            </w:r>
          </w:p>
        </w:tc>
      </w:tr>
      <w:tr w14:paraId="4E4E2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315C41">
            <w:pPr>
              <w:keepNext w:val="0"/>
              <w:keepLines w:val="0"/>
              <w:widowControl/>
              <w:suppressLineNumbers w:val="0"/>
              <w:jc w:val="lef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增值税</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5E9B76">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56197.5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1256229">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100.0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375327B">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FF0000"/>
                <w:kern w:val="0"/>
                <w:sz w:val="24"/>
                <w:szCs w:val="24"/>
                <w:highlight w:val="none"/>
                <w:u w:val="none"/>
                <w:lang w:val="en-US" w:eastAsia="zh-CN" w:bidi="ar"/>
              </w:rPr>
              <w:t xml:space="preserve">-9.4 </w:t>
            </w:r>
          </w:p>
        </w:tc>
      </w:tr>
      <w:tr w14:paraId="5601F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6D0E9C">
            <w:pPr>
              <w:keepNext w:val="0"/>
              <w:keepLines w:val="0"/>
              <w:widowControl/>
              <w:suppressLineNumbers w:val="0"/>
              <w:jc w:val="lef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改征增值税</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9739A9">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0.0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AFEA4AD">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0.0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F6CE757">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0.0 </w:t>
            </w:r>
          </w:p>
        </w:tc>
      </w:tr>
      <w:tr w14:paraId="0E572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7EF325F">
            <w:pPr>
              <w:keepNext w:val="0"/>
              <w:keepLines w:val="0"/>
              <w:widowControl/>
              <w:suppressLineNumbers w:val="0"/>
              <w:jc w:val="lef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企业所得税</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608B79">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19243.2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B15E4E6">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100.0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26BA3C4">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86.9 </w:t>
            </w:r>
          </w:p>
        </w:tc>
      </w:tr>
      <w:tr w14:paraId="3DBB6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96C289E">
            <w:pPr>
              <w:keepNext w:val="0"/>
              <w:keepLines w:val="0"/>
              <w:widowControl/>
              <w:suppressLineNumbers w:val="0"/>
              <w:jc w:val="lef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个人所得税</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FDE325">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3825.0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1893127">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100.0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D7FF986">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20.3 </w:t>
            </w:r>
          </w:p>
        </w:tc>
      </w:tr>
      <w:tr w14:paraId="3373E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89952C3">
            <w:pPr>
              <w:keepNext w:val="0"/>
              <w:keepLines w:val="0"/>
              <w:widowControl/>
              <w:suppressLineNumbers w:val="0"/>
              <w:jc w:val="lef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资源税</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3F185E">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214.5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1B603DB">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100.0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3B13EC8">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FF0000"/>
                <w:kern w:val="0"/>
                <w:sz w:val="24"/>
                <w:szCs w:val="24"/>
                <w:highlight w:val="none"/>
                <w:u w:val="none"/>
                <w:lang w:val="en-US" w:eastAsia="zh-CN" w:bidi="ar"/>
              </w:rPr>
              <w:t xml:space="preserve">-72.4 </w:t>
            </w:r>
          </w:p>
        </w:tc>
      </w:tr>
      <w:tr w14:paraId="64506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CFECAE4">
            <w:pPr>
              <w:keepNext w:val="0"/>
              <w:keepLines w:val="0"/>
              <w:widowControl/>
              <w:suppressLineNumbers w:val="0"/>
              <w:jc w:val="lef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城市维护建设税</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684E14">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22667.8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1E16436">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100.0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2CDA275">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FF0000"/>
                <w:kern w:val="0"/>
                <w:sz w:val="24"/>
                <w:szCs w:val="24"/>
                <w:highlight w:val="none"/>
                <w:u w:val="none"/>
                <w:lang w:val="en-US" w:eastAsia="zh-CN" w:bidi="ar"/>
              </w:rPr>
              <w:t xml:space="preserve">-20.0 </w:t>
            </w:r>
          </w:p>
        </w:tc>
      </w:tr>
      <w:tr w14:paraId="55FBE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8063D81">
            <w:pPr>
              <w:keepNext w:val="0"/>
              <w:keepLines w:val="0"/>
              <w:widowControl/>
              <w:suppressLineNumbers w:val="0"/>
              <w:jc w:val="lef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房产税</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B84F5E">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10404.5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0971EA8">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100.0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DD417CD">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4.3 </w:t>
            </w:r>
          </w:p>
        </w:tc>
      </w:tr>
      <w:tr w14:paraId="7716F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0F63005">
            <w:pPr>
              <w:keepNext w:val="0"/>
              <w:keepLines w:val="0"/>
              <w:widowControl/>
              <w:suppressLineNumbers w:val="0"/>
              <w:jc w:val="lef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印花税</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669E4B">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7656.6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08A01D5">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100.0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D36E496">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22.3 </w:t>
            </w:r>
          </w:p>
        </w:tc>
      </w:tr>
      <w:tr w14:paraId="34B3D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1954CB9">
            <w:pPr>
              <w:keepNext w:val="0"/>
              <w:keepLines w:val="0"/>
              <w:widowControl/>
              <w:suppressLineNumbers w:val="0"/>
              <w:jc w:val="lef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城镇土地使用税</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B57252">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10353.1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9B71CAF">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100.0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144A730">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FF0000"/>
                <w:kern w:val="0"/>
                <w:sz w:val="24"/>
                <w:szCs w:val="24"/>
                <w:highlight w:val="none"/>
                <w:u w:val="none"/>
                <w:lang w:val="en-US" w:eastAsia="zh-CN" w:bidi="ar"/>
              </w:rPr>
              <w:t xml:space="preserve">-1.0 </w:t>
            </w:r>
          </w:p>
        </w:tc>
      </w:tr>
      <w:tr w14:paraId="58FB3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2C02B1A">
            <w:pPr>
              <w:keepNext w:val="0"/>
              <w:keepLines w:val="0"/>
              <w:widowControl/>
              <w:suppressLineNumbers w:val="0"/>
              <w:jc w:val="lef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土地增值税</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937A78">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9593.2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E703BA9">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100.0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FF7AC7A">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FF0000"/>
                <w:kern w:val="0"/>
                <w:sz w:val="24"/>
                <w:szCs w:val="24"/>
                <w:highlight w:val="none"/>
                <w:u w:val="none"/>
                <w:lang w:val="en-US" w:eastAsia="zh-CN" w:bidi="ar"/>
              </w:rPr>
              <w:t xml:space="preserve">-45.7 </w:t>
            </w:r>
          </w:p>
        </w:tc>
      </w:tr>
      <w:tr w14:paraId="6424C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0BDA09F">
            <w:pPr>
              <w:keepNext w:val="0"/>
              <w:keepLines w:val="0"/>
              <w:widowControl/>
              <w:suppressLineNumbers w:val="0"/>
              <w:jc w:val="lef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车船税</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F2CF91">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5672.3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197C3CE">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100.0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885AB53">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5.1 </w:t>
            </w:r>
          </w:p>
        </w:tc>
      </w:tr>
      <w:tr w14:paraId="47E77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9FCCC28">
            <w:pPr>
              <w:keepNext w:val="0"/>
              <w:keepLines w:val="0"/>
              <w:widowControl/>
              <w:suppressLineNumbers w:val="0"/>
              <w:jc w:val="lef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耕地占用税</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A69678">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1703.0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9A121C0">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100.0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78EF03D">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0.2 </w:t>
            </w:r>
          </w:p>
        </w:tc>
      </w:tr>
      <w:tr w14:paraId="25F31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DB4DCFA">
            <w:pPr>
              <w:keepNext w:val="0"/>
              <w:keepLines w:val="0"/>
              <w:widowControl/>
              <w:suppressLineNumbers w:val="0"/>
              <w:jc w:val="lef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契税</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3C9BB1">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13313.7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D81DB96">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105.1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A7A6E91">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57.5 </w:t>
            </w:r>
          </w:p>
        </w:tc>
      </w:tr>
      <w:tr w14:paraId="0CFE1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E56AE03">
            <w:pPr>
              <w:keepNext w:val="0"/>
              <w:keepLines w:val="0"/>
              <w:widowControl/>
              <w:suppressLineNumbers w:val="0"/>
              <w:jc w:val="lef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环保税</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3992D6">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175.2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3A05928">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100.0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37C0C1A">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39.9 </w:t>
            </w:r>
          </w:p>
        </w:tc>
      </w:tr>
      <w:tr w14:paraId="73841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CF70004">
            <w:pPr>
              <w:keepNext w:val="0"/>
              <w:keepLines w:val="0"/>
              <w:widowControl/>
              <w:suppressLineNumbers w:val="0"/>
              <w:jc w:val="lef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其他税收收入</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256D59">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0.0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28E968F">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0.0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66C0DD5">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0.0 </w:t>
            </w:r>
          </w:p>
        </w:tc>
      </w:tr>
      <w:tr w14:paraId="6644E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9997F5">
            <w:pPr>
              <w:keepNext w:val="0"/>
              <w:keepLines w:val="0"/>
              <w:widowControl/>
              <w:suppressLineNumbers w:val="0"/>
              <w:jc w:val="left"/>
              <w:textAlignment w:val="bottom"/>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2.非税收入小计</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B8E55F">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40318.6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FF1B802">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101.8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8D37747">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FF0000"/>
                <w:kern w:val="0"/>
                <w:sz w:val="24"/>
                <w:szCs w:val="24"/>
                <w:highlight w:val="none"/>
                <w:u w:val="none"/>
                <w:lang w:val="en-US" w:eastAsia="zh-CN" w:bidi="ar"/>
              </w:rPr>
              <w:t xml:space="preserve">-36.7 </w:t>
            </w:r>
          </w:p>
        </w:tc>
      </w:tr>
      <w:tr w14:paraId="1EED7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0989982">
            <w:pPr>
              <w:keepNext w:val="0"/>
              <w:keepLines w:val="0"/>
              <w:widowControl/>
              <w:suppressLineNumbers w:val="0"/>
              <w:jc w:val="lef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专项收入</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718AA5">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14358.4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FC0E099">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100.0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BD491FA">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FF0000"/>
                <w:kern w:val="0"/>
                <w:sz w:val="24"/>
                <w:szCs w:val="24"/>
                <w:highlight w:val="none"/>
                <w:u w:val="none"/>
                <w:lang w:val="en-US" w:eastAsia="zh-CN" w:bidi="ar"/>
              </w:rPr>
              <w:t xml:space="preserve">-19.7 </w:t>
            </w:r>
          </w:p>
        </w:tc>
      </w:tr>
      <w:tr w14:paraId="6B02F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435AD1">
            <w:pPr>
              <w:keepNext w:val="0"/>
              <w:keepLines w:val="0"/>
              <w:widowControl/>
              <w:suppressLineNumbers w:val="0"/>
              <w:jc w:val="lef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教育费附加收入</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CC9DC9">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9679.7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93C0AE2">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100.0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B8FAF37">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FF0000"/>
                <w:kern w:val="0"/>
                <w:sz w:val="24"/>
                <w:szCs w:val="24"/>
                <w:highlight w:val="none"/>
                <w:u w:val="none"/>
                <w:lang w:val="en-US" w:eastAsia="zh-CN" w:bidi="ar"/>
              </w:rPr>
              <w:t xml:space="preserve">-15.8 </w:t>
            </w:r>
          </w:p>
        </w:tc>
      </w:tr>
      <w:tr w14:paraId="0B8BF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6CCD081">
            <w:pPr>
              <w:keepNext w:val="0"/>
              <w:keepLines w:val="0"/>
              <w:widowControl/>
              <w:suppressLineNumbers w:val="0"/>
              <w:jc w:val="lef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行政事业性收费收入</w:t>
            </w: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F462149">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2598.6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CA67375">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100.0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7A64B10">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FF0000"/>
                <w:kern w:val="0"/>
                <w:sz w:val="24"/>
                <w:szCs w:val="24"/>
                <w:highlight w:val="none"/>
                <w:u w:val="none"/>
                <w:lang w:val="en-US" w:eastAsia="zh-CN" w:bidi="ar"/>
              </w:rPr>
              <w:t xml:space="preserve">-34.6 </w:t>
            </w:r>
          </w:p>
        </w:tc>
      </w:tr>
      <w:tr w14:paraId="1B462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95B156E">
            <w:pPr>
              <w:keepNext w:val="0"/>
              <w:keepLines w:val="0"/>
              <w:widowControl/>
              <w:suppressLineNumbers w:val="0"/>
              <w:jc w:val="lef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罚没收入</w:t>
            </w: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B316AFE">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2096.8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FB672CB">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100.0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2F9CC81">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FF0000"/>
                <w:kern w:val="0"/>
                <w:sz w:val="24"/>
                <w:szCs w:val="24"/>
                <w:highlight w:val="none"/>
                <w:u w:val="none"/>
                <w:lang w:val="en-US" w:eastAsia="zh-CN" w:bidi="ar"/>
              </w:rPr>
              <w:t xml:space="preserve">-42.6 </w:t>
            </w:r>
          </w:p>
        </w:tc>
      </w:tr>
      <w:tr w14:paraId="0C322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5C6EB20">
            <w:pPr>
              <w:keepNext w:val="0"/>
              <w:keepLines w:val="0"/>
              <w:widowControl/>
              <w:suppressLineNumbers w:val="0"/>
              <w:jc w:val="lef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国有资源(资产）有偿使用收入</w:t>
            </w: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13C97E0">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21198.3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4B702D9">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103.4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ED21E7B">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FF0000"/>
                <w:kern w:val="0"/>
                <w:sz w:val="24"/>
                <w:szCs w:val="24"/>
                <w:highlight w:val="none"/>
                <w:u w:val="none"/>
                <w:lang w:val="en-US" w:eastAsia="zh-CN" w:bidi="ar"/>
              </w:rPr>
              <w:t xml:space="preserve">-14.0 </w:t>
            </w:r>
          </w:p>
        </w:tc>
      </w:tr>
      <w:tr w14:paraId="563E8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56F73E0">
            <w:pPr>
              <w:keepNext w:val="0"/>
              <w:keepLines w:val="0"/>
              <w:widowControl/>
              <w:suppressLineNumbers w:val="0"/>
              <w:jc w:val="lef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捐赠收入</w:t>
            </w: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235A3ED">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0.0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62C4AA8">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0.0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2DCCFC4">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0.0 </w:t>
            </w:r>
          </w:p>
        </w:tc>
      </w:tr>
      <w:tr w14:paraId="0827B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4B9C372">
            <w:pPr>
              <w:keepNext w:val="0"/>
              <w:keepLines w:val="0"/>
              <w:widowControl/>
              <w:suppressLineNumbers w:val="0"/>
              <w:jc w:val="lef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政府住房基金收入</w:t>
            </w: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3B468B2">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66.6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DF8CF10">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100.1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6A89F59">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FF0000"/>
                <w:kern w:val="0"/>
                <w:sz w:val="24"/>
                <w:szCs w:val="24"/>
                <w:highlight w:val="none"/>
                <w:u w:val="none"/>
                <w:lang w:val="en-US" w:eastAsia="zh-CN" w:bidi="ar"/>
              </w:rPr>
              <w:t xml:space="preserve">-99.5 </w:t>
            </w:r>
          </w:p>
        </w:tc>
      </w:tr>
      <w:tr w14:paraId="35A89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02AC11">
            <w:pPr>
              <w:keepNext w:val="0"/>
              <w:keepLines w:val="0"/>
              <w:widowControl/>
              <w:suppressLineNumbers w:val="0"/>
              <w:jc w:val="lef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其他收入</w:t>
            </w: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9B10F2C">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0.0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DF97A4B">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0.0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0405509">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0.0 </w:t>
            </w:r>
          </w:p>
        </w:tc>
      </w:tr>
    </w:tbl>
    <w:p w14:paraId="08D33470">
      <w:pPr>
        <w:pBdr>
          <w:bottom w:val="single" w:color="FFFFFF" w:sz="4" w:space="9"/>
        </w:pBdr>
        <w:autoSpaceDE w:val="0"/>
        <w:adjustRightInd w:val="0"/>
        <w:snapToGrid w:val="0"/>
        <w:spacing w:line="600" w:lineRule="exact"/>
        <w:jc w:val="center"/>
        <w:rPr>
          <w:rFonts w:hint="eastAsia" w:ascii="仿宋" w:hAnsi="仿宋" w:eastAsia="仿宋" w:cs="宋体"/>
          <w:b/>
          <w:spacing w:val="-4"/>
          <w:kern w:val="0"/>
          <w:sz w:val="32"/>
          <w:szCs w:val="32"/>
          <w:highlight w:val="none"/>
        </w:rPr>
      </w:pPr>
      <w:r>
        <w:rPr>
          <w:rFonts w:hint="eastAsia" w:ascii="仿宋" w:hAnsi="仿宋" w:eastAsia="仿宋" w:cs="宋体"/>
          <w:b/>
          <w:spacing w:val="-4"/>
          <w:kern w:val="0"/>
          <w:sz w:val="32"/>
          <w:szCs w:val="32"/>
          <w:highlight w:val="none"/>
        </w:rPr>
        <w:t>2023年一般公共预算支出情况表</w:t>
      </w:r>
    </w:p>
    <w:tbl>
      <w:tblPr>
        <w:tblStyle w:val="12"/>
        <w:tblW w:w="84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79"/>
        <w:gridCol w:w="1380"/>
        <w:gridCol w:w="1395"/>
        <w:gridCol w:w="1515"/>
      </w:tblGrid>
      <w:tr w14:paraId="758EF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4179" w:type="dxa"/>
            <w:tcBorders>
              <w:top w:val="nil"/>
              <w:left w:val="nil"/>
              <w:bottom w:val="nil"/>
              <w:right w:val="nil"/>
            </w:tcBorders>
            <w:shd w:val="clear" w:color="auto" w:fill="auto"/>
            <w:noWrap/>
            <w:vAlign w:val="bottom"/>
          </w:tcPr>
          <w:p w14:paraId="2E75B3E7">
            <w:pPr>
              <w:rPr>
                <w:rFonts w:hint="eastAsia" w:ascii="宋体" w:hAnsi="宋体" w:eastAsia="宋体" w:cs="宋体"/>
                <w:i w:val="0"/>
                <w:iCs w:val="0"/>
                <w:color w:val="000000"/>
                <w:sz w:val="24"/>
                <w:szCs w:val="24"/>
                <w:highlight w:val="none"/>
                <w:u w:val="none"/>
              </w:rPr>
            </w:pPr>
          </w:p>
        </w:tc>
        <w:tc>
          <w:tcPr>
            <w:tcW w:w="1380" w:type="dxa"/>
            <w:tcBorders>
              <w:top w:val="nil"/>
              <w:left w:val="nil"/>
              <w:bottom w:val="single" w:color="000000" w:sz="4" w:space="0"/>
              <w:right w:val="nil"/>
            </w:tcBorders>
            <w:shd w:val="clear" w:color="auto" w:fill="auto"/>
            <w:noWrap/>
            <w:vAlign w:val="bottom"/>
          </w:tcPr>
          <w:p w14:paraId="09B24E79">
            <w:pPr>
              <w:rPr>
                <w:rFonts w:hint="eastAsia" w:ascii="宋体" w:hAnsi="宋体" w:eastAsia="宋体" w:cs="宋体"/>
                <w:i w:val="0"/>
                <w:iCs w:val="0"/>
                <w:color w:val="000000"/>
                <w:sz w:val="24"/>
                <w:szCs w:val="24"/>
                <w:highlight w:val="none"/>
                <w:u w:val="none"/>
              </w:rPr>
            </w:pPr>
          </w:p>
        </w:tc>
        <w:tc>
          <w:tcPr>
            <w:tcW w:w="2910" w:type="dxa"/>
            <w:gridSpan w:val="2"/>
            <w:tcBorders>
              <w:top w:val="nil"/>
              <w:left w:val="nil"/>
              <w:bottom w:val="single" w:color="000000" w:sz="4" w:space="0"/>
              <w:right w:val="nil"/>
            </w:tcBorders>
            <w:shd w:val="clear" w:color="auto" w:fill="auto"/>
            <w:noWrap/>
            <w:vAlign w:val="center"/>
          </w:tcPr>
          <w:p w14:paraId="0E0FBD49">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单位：万元</w:t>
            </w:r>
          </w:p>
        </w:tc>
      </w:tr>
      <w:tr w14:paraId="197F1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17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0EC31">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Style w:val="20"/>
                <w:highlight w:val="none"/>
                <w:lang w:val="en-US" w:eastAsia="zh-CN" w:bidi="ar"/>
              </w:rPr>
              <w:t>项   目</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79F398">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本年累计</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EC1AE2">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Style w:val="21"/>
                <w:highlight w:val="none"/>
                <w:lang w:val="en-US" w:eastAsia="zh-CN" w:bidi="ar"/>
              </w:rPr>
              <w:t>占预算（</w:t>
            </w:r>
            <w:r>
              <w:rPr>
                <w:rStyle w:val="22"/>
                <w:rFonts w:eastAsia="宋体"/>
                <w:highlight w:val="none"/>
                <w:lang w:val="en-US" w:eastAsia="zh-CN" w:bidi="ar"/>
              </w:rPr>
              <w:t>%</w:t>
            </w:r>
            <w:r>
              <w:rPr>
                <w:rStyle w:val="21"/>
                <w:highlight w:val="none"/>
                <w:lang w:val="en-US" w:eastAsia="zh-CN" w:bidi="ar"/>
              </w:rPr>
              <w:t>）</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846C67">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Style w:val="20"/>
                <w:highlight w:val="none"/>
                <w:lang w:val="en-US" w:eastAsia="zh-CN" w:bidi="ar"/>
              </w:rPr>
              <w:t>增长（</w:t>
            </w:r>
            <w:r>
              <w:rPr>
                <w:rStyle w:val="23"/>
                <w:rFonts w:eastAsia="宋体"/>
                <w:highlight w:val="none"/>
                <w:lang w:val="en-US" w:eastAsia="zh-CN" w:bidi="ar"/>
              </w:rPr>
              <w:t>%</w:t>
            </w:r>
            <w:r>
              <w:rPr>
                <w:rStyle w:val="20"/>
                <w:highlight w:val="none"/>
                <w:lang w:val="en-US" w:eastAsia="zh-CN" w:bidi="ar"/>
              </w:rPr>
              <w:t>）</w:t>
            </w:r>
          </w:p>
        </w:tc>
      </w:tr>
      <w:tr w14:paraId="6328E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1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D43BD">
            <w:pPr>
              <w:jc w:val="center"/>
              <w:rPr>
                <w:rFonts w:hint="eastAsia" w:ascii="宋体" w:hAnsi="宋体" w:eastAsia="宋体" w:cs="宋体"/>
                <w:b/>
                <w:bCs/>
                <w:i w:val="0"/>
                <w:iCs w:val="0"/>
                <w:color w:val="000000"/>
                <w:sz w:val="24"/>
                <w:szCs w:val="24"/>
                <w:highlight w:val="none"/>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362F8">
            <w:pPr>
              <w:jc w:val="center"/>
              <w:rPr>
                <w:rFonts w:hint="eastAsia" w:ascii="宋体" w:hAnsi="宋体" w:eastAsia="宋体" w:cs="宋体"/>
                <w:b/>
                <w:bCs/>
                <w:i w:val="0"/>
                <w:iCs w:val="0"/>
                <w:color w:val="000000"/>
                <w:sz w:val="24"/>
                <w:szCs w:val="24"/>
                <w:highlight w:val="none"/>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4DBBC">
            <w:pPr>
              <w:jc w:val="center"/>
              <w:rPr>
                <w:rFonts w:hint="eastAsia" w:ascii="宋体" w:hAnsi="宋体" w:eastAsia="宋体" w:cs="宋体"/>
                <w:b/>
                <w:bCs/>
                <w:i w:val="0"/>
                <w:iCs w:val="0"/>
                <w:color w:val="000000"/>
                <w:sz w:val="22"/>
                <w:szCs w:val="22"/>
                <w:highlight w:val="none"/>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515A6">
            <w:pPr>
              <w:jc w:val="center"/>
              <w:rPr>
                <w:rFonts w:hint="eastAsia" w:ascii="宋体" w:hAnsi="宋体" w:eastAsia="宋体" w:cs="宋体"/>
                <w:b/>
                <w:bCs/>
                <w:i w:val="0"/>
                <w:iCs w:val="0"/>
                <w:color w:val="000000"/>
                <w:sz w:val="24"/>
                <w:szCs w:val="24"/>
                <w:highlight w:val="none"/>
                <w:u w:val="none"/>
              </w:rPr>
            </w:pPr>
          </w:p>
        </w:tc>
      </w:tr>
      <w:tr w14:paraId="35B63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D8184">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1.一般公共服务支出</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AC7AE">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37935 </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0ABC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99.3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93D5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FF0000"/>
                <w:kern w:val="0"/>
                <w:sz w:val="22"/>
                <w:szCs w:val="22"/>
                <w:highlight w:val="none"/>
                <w:u w:val="none"/>
                <w:lang w:val="en-US" w:eastAsia="zh-CN" w:bidi="ar"/>
              </w:rPr>
              <w:t xml:space="preserve">-35.2 </w:t>
            </w:r>
          </w:p>
        </w:tc>
      </w:tr>
      <w:tr w14:paraId="11D00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DD2BA">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2.公共安全支出</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32304">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15021 </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9A1D7">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100.0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9CACB">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FF0000"/>
                <w:kern w:val="0"/>
                <w:sz w:val="24"/>
                <w:szCs w:val="24"/>
                <w:highlight w:val="none"/>
                <w:u w:val="none"/>
                <w:lang w:val="en-US" w:eastAsia="zh-CN" w:bidi="ar"/>
              </w:rPr>
              <w:t xml:space="preserve">-23.1 </w:t>
            </w:r>
          </w:p>
        </w:tc>
      </w:tr>
      <w:tr w14:paraId="51AB4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653A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其中：公安</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0189D4">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13494 </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E497B">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100.0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7458C">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FF0000"/>
                <w:kern w:val="0"/>
                <w:sz w:val="24"/>
                <w:szCs w:val="24"/>
                <w:highlight w:val="none"/>
                <w:u w:val="none"/>
                <w:lang w:val="en-US" w:eastAsia="zh-CN" w:bidi="ar"/>
              </w:rPr>
              <w:t xml:space="preserve">-1.3 </w:t>
            </w:r>
          </w:p>
        </w:tc>
      </w:tr>
      <w:tr w14:paraId="303FF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61E0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检察</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CE689">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105 </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EC89B">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100.0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87ACF">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FF0000"/>
                <w:kern w:val="0"/>
                <w:sz w:val="24"/>
                <w:szCs w:val="24"/>
                <w:highlight w:val="none"/>
                <w:u w:val="none"/>
                <w:lang w:val="en-US" w:eastAsia="zh-CN" w:bidi="ar"/>
              </w:rPr>
              <w:t xml:space="preserve">-92.5 </w:t>
            </w:r>
          </w:p>
        </w:tc>
      </w:tr>
      <w:tr w14:paraId="38A05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69AB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法院</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491FE">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305 </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F698B">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100.0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0C1A6">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FF0000"/>
                <w:kern w:val="0"/>
                <w:sz w:val="24"/>
                <w:szCs w:val="24"/>
                <w:highlight w:val="none"/>
                <w:u w:val="none"/>
                <w:lang w:val="en-US" w:eastAsia="zh-CN" w:bidi="ar"/>
              </w:rPr>
              <w:t xml:space="preserve">-89.8 </w:t>
            </w:r>
          </w:p>
        </w:tc>
      </w:tr>
      <w:tr w14:paraId="7FAC0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52D5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司法</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3370E">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1112 </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9FB6F">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100.0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5DE58">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FF0000"/>
                <w:kern w:val="0"/>
                <w:sz w:val="24"/>
                <w:szCs w:val="24"/>
                <w:highlight w:val="none"/>
                <w:u w:val="none"/>
                <w:lang w:val="en-US" w:eastAsia="zh-CN" w:bidi="ar"/>
              </w:rPr>
              <w:t xml:space="preserve">-13.1 </w:t>
            </w:r>
          </w:p>
        </w:tc>
      </w:tr>
      <w:tr w14:paraId="449B1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DEDD2">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3.教育支出</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F5E9CD">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124623 </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8C305">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97.7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C2E7B7">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0.5 </w:t>
            </w:r>
          </w:p>
        </w:tc>
      </w:tr>
      <w:tr w14:paraId="571EF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0633D">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4.科学技术支出</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CBB68">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6267 </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F88DC">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100.0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23CF6">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0.0 </w:t>
            </w:r>
          </w:p>
        </w:tc>
      </w:tr>
      <w:tr w14:paraId="5E903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F3C4F">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5.文化旅游体育与传媒支出</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8AD34">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2923 </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37D58">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100.0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D3C01">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0.2 </w:t>
            </w:r>
          </w:p>
        </w:tc>
      </w:tr>
      <w:tr w14:paraId="58F65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CAF0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其中：文化和旅游</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00C5D">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1812 </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0FE31">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100.0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84161">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FF0000"/>
                <w:kern w:val="0"/>
                <w:sz w:val="24"/>
                <w:szCs w:val="24"/>
                <w:highlight w:val="none"/>
                <w:u w:val="none"/>
                <w:lang w:val="en-US" w:eastAsia="zh-CN" w:bidi="ar"/>
              </w:rPr>
              <w:t xml:space="preserve">-20.3 </w:t>
            </w:r>
          </w:p>
        </w:tc>
      </w:tr>
      <w:tr w14:paraId="47AB0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4D1A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体育</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73F1C">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18 </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EE574">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100.0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63A97">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FF0000"/>
                <w:kern w:val="0"/>
                <w:sz w:val="24"/>
                <w:szCs w:val="24"/>
                <w:highlight w:val="none"/>
                <w:u w:val="none"/>
                <w:lang w:val="en-US" w:eastAsia="zh-CN" w:bidi="ar"/>
              </w:rPr>
              <w:t xml:space="preserve">-83.9 </w:t>
            </w:r>
          </w:p>
        </w:tc>
      </w:tr>
      <w:tr w14:paraId="1EA50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576F9">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6.社会保障和就业支出</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2737C">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78880 </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7C77C">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99.6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D3D6CC">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28.6 </w:t>
            </w:r>
          </w:p>
        </w:tc>
      </w:tr>
      <w:tr w14:paraId="4E1FE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46F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其中：人力资源和社会保障管理事务</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5E50C">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1202 </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0D90E">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100.0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7F6EE">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FF0000"/>
                <w:kern w:val="0"/>
                <w:sz w:val="24"/>
                <w:szCs w:val="24"/>
                <w:highlight w:val="none"/>
                <w:u w:val="none"/>
                <w:lang w:val="en-US" w:eastAsia="zh-CN" w:bidi="ar"/>
              </w:rPr>
              <w:t xml:space="preserve">-20.3 </w:t>
            </w:r>
          </w:p>
        </w:tc>
      </w:tr>
      <w:tr w14:paraId="1B412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A7E0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民政管理事务</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25569">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379 </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31DB1">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96.6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90B52">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FF0000"/>
                <w:kern w:val="0"/>
                <w:sz w:val="24"/>
                <w:szCs w:val="24"/>
                <w:highlight w:val="none"/>
                <w:u w:val="none"/>
                <w:lang w:val="en-US" w:eastAsia="zh-CN" w:bidi="ar"/>
              </w:rPr>
              <w:t xml:space="preserve">-40.7 </w:t>
            </w:r>
          </w:p>
        </w:tc>
      </w:tr>
      <w:tr w14:paraId="50DB5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D77A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行政事业单位养老支出</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91B58">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43037 </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DDA78">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100.0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16902">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55.6 </w:t>
            </w:r>
          </w:p>
        </w:tc>
      </w:tr>
      <w:tr w14:paraId="4F41C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1EA1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抚恤</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B951C">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4506 </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41918">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99.1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374955">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5.8 </w:t>
            </w:r>
          </w:p>
        </w:tc>
      </w:tr>
      <w:tr w14:paraId="62154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743F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退役安置</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66077">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3249 </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20870">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100.0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DB227">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0.6 </w:t>
            </w:r>
          </w:p>
        </w:tc>
      </w:tr>
      <w:tr w14:paraId="3C8CA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57BEE">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7.卫生健康支出</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F9AE9">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35273 </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4654D">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98.5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909BF">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FF0000"/>
                <w:kern w:val="0"/>
                <w:sz w:val="24"/>
                <w:szCs w:val="24"/>
                <w:highlight w:val="none"/>
                <w:u w:val="none"/>
                <w:lang w:val="en-US" w:eastAsia="zh-CN" w:bidi="ar"/>
              </w:rPr>
              <w:t xml:space="preserve">-15.3 </w:t>
            </w:r>
          </w:p>
        </w:tc>
      </w:tr>
      <w:tr w14:paraId="5E213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AF64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其中：卫生健康管理事务</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2164E">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1639 </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41787">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100.0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E3829">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FF0000"/>
                <w:kern w:val="0"/>
                <w:sz w:val="24"/>
                <w:szCs w:val="24"/>
                <w:highlight w:val="none"/>
                <w:u w:val="none"/>
                <w:lang w:val="en-US" w:eastAsia="zh-CN" w:bidi="ar"/>
              </w:rPr>
              <w:t xml:space="preserve">-56.0 </w:t>
            </w:r>
          </w:p>
        </w:tc>
      </w:tr>
      <w:tr w14:paraId="4DAAC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7FA9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医疗保障管理事务</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35608">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389 </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6A71A">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100.0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78A63">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FF0000"/>
                <w:kern w:val="0"/>
                <w:sz w:val="24"/>
                <w:szCs w:val="24"/>
                <w:highlight w:val="none"/>
                <w:u w:val="none"/>
                <w:lang w:val="en-US" w:eastAsia="zh-CN" w:bidi="ar"/>
              </w:rPr>
              <w:t xml:space="preserve">-2.3 </w:t>
            </w:r>
          </w:p>
        </w:tc>
      </w:tr>
      <w:tr w14:paraId="2D92E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64AF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计划生育事务 </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8E29E">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1616 </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AB982">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100.0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7852C">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7.5 </w:t>
            </w:r>
          </w:p>
        </w:tc>
      </w:tr>
      <w:tr w14:paraId="315BF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0DED02">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8.节能环保支出</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ECB01">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16884 </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9DB18">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100.0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D10AD">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67.4 </w:t>
            </w:r>
          </w:p>
        </w:tc>
      </w:tr>
      <w:tr w14:paraId="23054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739FA">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9.城乡社区支出</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DC0155">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24148 </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736152">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90.3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36FF2">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16.2 </w:t>
            </w:r>
          </w:p>
        </w:tc>
      </w:tr>
      <w:tr w14:paraId="320FF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4C3DB">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10.农林水支出</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1AD15">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37873 </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2B883">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77.4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1DDA73">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7.7 </w:t>
            </w:r>
          </w:p>
        </w:tc>
      </w:tr>
      <w:tr w14:paraId="08774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089B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其中：农业农村</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A78BF">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16748 </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CFDC8">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60.5 </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A2612">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3.0 </w:t>
            </w:r>
          </w:p>
        </w:tc>
      </w:tr>
      <w:tr w14:paraId="2747A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CDB3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林业和草原</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916E5">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296 </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EE7E7">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19D81">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284.4 </w:t>
            </w:r>
          </w:p>
        </w:tc>
      </w:tr>
      <w:tr w14:paraId="1E8AB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5AF9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水利</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92E18">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4495 </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1365F0">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98.5 </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D933C">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3.0 </w:t>
            </w:r>
          </w:p>
        </w:tc>
      </w:tr>
      <w:tr w14:paraId="4D2A4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8FE7D">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11.交通运输支出</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40278">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6233 </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2A909B">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98.7 </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52333">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FF0000"/>
                <w:kern w:val="0"/>
                <w:sz w:val="24"/>
                <w:szCs w:val="24"/>
                <w:highlight w:val="none"/>
                <w:u w:val="none"/>
                <w:lang w:val="en-US" w:eastAsia="zh-CN" w:bidi="ar"/>
              </w:rPr>
              <w:t xml:space="preserve">-7.0 </w:t>
            </w:r>
          </w:p>
        </w:tc>
      </w:tr>
      <w:tr w14:paraId="04F6F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EEE01">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12.资源勘探工业信息等支出</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B2A94">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606 </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9B2BF">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5C4E3">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FF0000"/>
                <w:kern w:val="0"/>
                <w:sz w:val="24"/>
                <w:szCs w:val="24"/>
                <w:highlight w:val="none"/>
                <w:u w:val="none"/>
                <w:lang w:val="en-US" w:eastAsia="zh-CN" w:bidi="ar"/>
              </w:rPr>
              <w:t xml:space="preserve">-32.8 </w:t>
            </w:r>
          </w:p>
        </w:tc>
      </w:tr>
      <w:tr w14:paraId="561DB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9D929">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13.商业服务业等支出</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BC704">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443 </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53BBC">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2CCD4">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FF0000"/>
                <w:kern w:val="0"/>
                <w:sz w:val="24"/>
                <w:szCs w:val="24"/>
                <w:highlight w:val="none"/>
                <w:u w:val="none"/>
                <w:lang w:val="en-US" w:eastAsia="zh-CN" w:bidi="ar"/>
              </w:rPr>
              <w:t xml:space="preserve">-60.5 </w:t>
            </w:r>
          </w:p>
        </w:tc>
      </w:tr>
      <w:tr w14:paraId="009D4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76066">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14.金融支出</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D1AF1">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111 </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0AB8A">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22724">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FF0000"/>
                <w:kern w:val="0"/>
                <w:sz w:val="24"/>
                <w:szCs w:val="24"/>
                <w:highlight w:val="none"/>
                <w:u w:val="none"/>
                <w:lang w:val="en-US" w:eastAsia="zh-CN" w:bidi="ar"/>
              </w:rPr>
              <w:t xml:space="preserve">-82.2 </w:t>
            </w:r>
          </w:p>
        </w:tc>
      </w:tr>
      <w:tr w14:paraId="43326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253DE">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highlight w:val="none"/>
                <w:u w:val="none"/>
                <w:lang w:val="en-US" w:eastAsia="zh-CN" w:bidi="ar-SA"/>
              </w:rPr>
            </w:pPr>
            <w:r>
              <w:rPr>
                <w:rStyle w:val="20"/>
                <w:sz w:val="24"/>
                <w:szCs w:val="24"/>
                <w:highlight w:val="none"/>
                <w:lang w:val="en-US" w:eastAsia="zh-CN" w:bidi="ar"/>
              </w:rPr>
              <w:t>项   目</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CE6BA">
            <w:pPr>
              <w:keepNext w:val="0"/>
              <w:keepLines w:val="0"/>
              <w:widowControl/>
              <w:suppressLineNumbers w:val="0"/>
              <w:jc w:val="right"/>
              <w:textAlignment w:val="center"/>
              <w:rPr>
                <w:rFonts w:hint="default" w:ascii="宋体" w:hAnsi="宋体" w:eastAsia="宋体" w:cs="宋体"/>
                <w:b/>
                <w:bCs/>
                <w:i w:val="0"/>
                <w:iCs w:val="0"/>
                <w:color w:val="000000"/>
                <w:kern w:val="2"/>
                <w:sz w:val="24"/>
                <w:szCs w:val="24"/>
                <w:highlight w:val="none"/>
                <w:u w:val="none"/>
                <w:lang w:val="en-US" w:eastAsia="zh-CN" w:bidi="ar-SA"/>
              </w:rPr>
            </w:pPr>
            <w:r>
              <w:rPr>
                <w:rFonts w:hint="eastAsia" w:ascii="宋体" w:hAnsi="宋体" w:cs="宋体"/>
                <w:b/>
                <w:bCs/>
                <w:i w:val="0"/>
                <w:iCs w:val="0"/>
                <w:color w:val="000000"/>
                <w:kern w:val="2"/>
                <w:sz w:val="24"/>
                <w:szCs w:val="24"/>
                <w:highlight w:val="none"/>
                <w:u w:val="none"/>
                <w:lang w:val="en-US" w:eastAsia="zh-CN" w:bidi="ar-SA"/>
              </w:rPr>
              <w:t>本年累计</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65C3D">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highlight w:val="none"/>
                <w:u w:val="none"/>
                <w:lang w:val="en-US" w:eastAsia="zh-CN" w:bidi="ar-SA"/>
              </w:rPr>
            </w:pPr>
            <w:r>
              <w:rPr>
                <w:rStyle w:val="21"/>
                <w:sz w:val="22"/>
                <w:szCs w:val="22"/>
                <w:highlight w:val="none"/>
                <w:lang w:val="en-US" w:eastAsia="zh-CN" w:bidi="ar"/>
              </w:rPr>
              <w:t>占预算（</w:t>
            </w:r>
            <w:r>
              <w:rPr>
                <w:rStyle w:val="22"/>
                <w:rFonts w:eastAsia="宋体"/>
                <w:sz w:val="22"/>
                <w:szCs w:val="22"/>
                <w:highlight w:val="none"/>
                <w:lang w:val="en-US" w:eastAsia="zh-CN" w:bidi="ar"/>
              </w:rPr>
              <w:t>%</w:t>
            </w:r>
            <w:r>
              <w:rPr>
                <w:rStyle w:val="21"/>
                <w:sz w:val="22"/>
                <w:szCs w:val="22"/>
                <w:highlight w:val="none"/>
                <w:lang w:val="en-US" w:eastAsia="zh-CN" w:bidi="ar"/>
              </w:rPr>
              <w:t>）</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20251">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highlight w:val="none"/>
                <w:u w:val="none"/>
                <w:lang w:val="en-US" w:eastAsia="zh-CN" w:bidi="ar-SA"/>
              </w:rPr>
            </w:pPr>
            <w:r>
              <w:rPr>
                <w:rStyle w:val="20"/>
                <w:highlight w:val="none"/>
                <w:lang w:val="en-US" w:eastAsia="zh-CN" w:bidi="ar"/>
              </w:rPr>
              <w:t>增长（</w:t>
            </w:r>
            <w:r>
              <w:rPr>
                <w:rStyle w:val="23"/>
                <w:rFonts w:eastAsia="宋体"/>
                <w:highlight w:val="none"/>
                <w:lang w:val="en-US" w:eastAsia="zh-CN" w:bidi="ar"/>
              </w:rPr>
              <w:t>%</w:t>
            </w:r>
            <w:r>
              <w:rPr>
                <w:rStyle w:val="20"/>
                <w:highlight w:val="none"/>
                <w:lang w:val="en-US" w:eastAsia="zh-CN" w:bidi="ar"/>
              </w:rPr>
              <w:t>）</w:t>
            </w:r>
          </w:p>
        </w:tc>
      </w:tr>
      <w:tr w14:paraId="52DA8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3E408">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15.自然资源海洋气象等支出</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1F801">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8463 </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FEF3F6">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EC440">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43.9 </w:t>
            </w:r>
          </w:p>
        </w:tc>
      </w:tr>
      <w:tr w14:paraId="770C9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394BC">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16.住房保障支出</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EA22E">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9559 </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AA43A">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99.5 </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31C80">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FF0000"/>
                <w:kern w:val="0"/>
                <w:sz w:val="24"/>
                <w:szCs w:val="24"/>
                <w:highlight w:val="none"/>
                <w:u w:val="none"/>
                <w:lang w:val="en-US" w:eastAsia="zh-CN" w:bidi="ar"/>
              </w:rPr>
              <w:t xml:space="preserve">-20.9 </w:t>
            </w:r>
          </w:p>
        </w:tc>
      </w:tr>
      <w:tr w14:paraId="37A85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90127">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17.粮油物资储备支出</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43771">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450 </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C2278">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A4739">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33.1 </w:t>
            </w:r>
          </w:p>
        </w:tc>
      </w:tr>
      <w:tr w14:paraId="73B2C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A6BF8">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18.灾害防治及应急管理支出</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7E065">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3559 </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2472F">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26.4 </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9FE66">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73.2 </w:t>
            </w:r>
          </w:p>
        </w:tc>
      </w:tr>
      <w:tr w14:paraId="1DCF7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07434">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Style w:val="21"/>
                <w:highlight w:val="none"/>
                <w:lang w:val="en-US" w:eastAsia="zh-CN" w:bidi="ar"/>
              </w:rPr>
              <w:t>19.债务付息支出</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173AE">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4447 </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E056F">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100.0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788A9">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5.3 </w:t>
            </w:r>
          </w:p>
        </w:tc>
      </w:tr>
      <w:tr w14:paraId="31989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E140F">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Style w:val="21"/>
                <w:highlight w:val="none"/>
                <w:lang w:val="en-US" w:eastAsia="zh-CN" w:bidi="ar"/>
              </w:rPr>
              <w:t>20.债务发行费用支出</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DB955">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24 </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7C252A">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100.0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28B61">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26.3 </w:t>
            </w:r>
          </w:p>
        </w:tc>
      </w:tr>
      <w:tr w14:paraId="77BC0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C216C">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一般公共预算支出合计</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A5CE7">
            <w:pPr>
              <w:keepNext w:val="0"/>
              <w:keepLines w:val="0"/>
              <w:widowControl/>
              <w:suppressLineNumbers w:val="0"/>
              <w:jc w:val="right"/>
              <w:textAlignment w:val="center"/>
              <w:rPr>
                <w:rFonts w:hint="eastAsia"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 xml:space="preserve">413722 </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4ABBD">
            <w:pPr>
              <w:keepNext w:val="0"/>
              <w:keepLines w:val="0"/>
              <w:widowControl/>
              <w:suppressLineNumbers w:val="0"/>
              <w:jc w:val="right"/>
              <w:textAlignment w:val="center"/>
              <w:rPr>
                <w:rFonts w:hint="eastAsia"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 xml:space="preserve">93.7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B7E95">
            <w:pPr>
              <w:keepNext w:val="0"/>
              <w:keepLines w:val="0"/>
              <w:widowControl/>
              <w:suppressLineNumbers w:val="0"/>
              <w:jc w:val="right"/>
              <w:textAlignment w:val="center"/>
              <w:rPr>
                <w:rFonts w:hint="eastAsia"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FF0000"/>
                <w:kern w:val="0"/>
                <w:sz w:val="24"/>
                <w:szCs w:val="24"/>
                <w:highlight w:val="none"/>
                <w:u w:val="none"/>
                <w:lang w:val="en-US" w:eastAsia="zh-CN" w:bidi="ar"/>
              </w:rPr>
              <w:t xml:space="preserve">-0.1 </w:t>
            </w:r>
          </w:p>
        </w:tc>
      </w:tr>
    </w:tbl>
    <w:p w14:paraId="6ABD3075">
      <w:pPr>
        <w:pStyle w:val="17"/>
        <w:ind w:left="0" w:leftChars="0" w:firstLine="0" w:firstLineChars="0"/>
        <w:rPr>
          <w:rFonts w:hint="eastAsia"/>
          <w:highlight w:val="none"/>
        </w:rPr>
      </w:pPr>
    </w:p>
    <w:p w14:paraId="1105C9B3">
      <w:pPr>
        <w:pStyle w:val="17"/>
        <w:ind w:left="0" w:leftChars="0" w:firstLine="0" w:firstLineChars="0"/>
        <w:jc w:val="both"/>
        <w:rPr>
          <w:rFonts w:hint="default" w:eastAsia="方正仿宋_GBK" w:cs="Times New Roman"/>
          <w:sz w:val="32"/>
          <w:szCs w:val="32"/>
          <w:highlight w:val="none"/>
          <w:lang w:val="en-US" w:eastAsia="zh-CN"/>
        </w:rPr>
      </w:pPr>
    </w:p>
    <w:p w14:paraId="20716ECC">
      <w:pPr>
        <w:pStyle w:val="17"/>
        <w:ind w:left="0" w:leftChars="0" w:firstLine="0" w:firstLineChars="0"/>
        <w:jc w:val="both"/>
        <w:rPr>
          <w:rFonts w:hint="default" w:eastAsia="方正仿宋_GBK" w:cs="Times New Roman"/>
          <w:sz w:val="32"/>
          <w:szCs w:val="32"/>
          <w:highlight w:val="none"/>
          <w:lang w:val="en-US" w:eastAsia="zh-CN"/>
        </w:rPr>
      </w:pPr>
    </w:p>
    <w:p w14:paraId="3C7DA567">
      <w:pPr>
        <w:pStyle w:val="17"/>
        <w:ind w:left="0" w:leftChars="0" w:firstLine="0" w:firstLineChars="0"/>
        <w:jc w:val="both"/>
        <w:rPr>
          <w:rFonts w:hint="default" w:eastAsia="方正仿宋_GBK" w:cs="Times New Roman"/>
          <w:sz w:val="32"/>
          <w:szCs w:val="32"/>
          <w:highlight w:val="none"/>
          <w:lang w:val="en-US" w:eastAsia="zh-CN"/>
        </w:rPr>
      </w:pPr>
    </w:p>
    <w:p w14:paraId="595E360A">
      <w:pPr>
        <w:pStyle w:val="17"/>
        <w:ind w:left="0" w:leftChars="0" w:firstLine="0" w:firstLineChars="0"/>
        <w:jc w:val="both"/>
        <w:rPr>
          <w:rFonts w:hint="default" w:eastAsia="方正仿宋_GBK" w:cs="Times New Roman"/>
          <w:sz w:val="32"/>
          <w:szCs w:val="32"/>
          <w:highlight w:val="none"/>
          <w:lang w:val="en-US" w:eastAsia="zh-CN"/>
        </w:rPr>
      </w:pPr>
    </w:p>
    <w:p w14:paraId="157C0F53">
      <w:pPr>
        <w:pStyle w:val="17"/>
        <w:ind w:left="0" w:leftChars="0" w:firstLine="0" w:firstLineChars="0"/>
        <w:jc w:val="both"/>
        <w:rPr>
          <w:rFonts w:hint="default" w:eastAsia="方正仿宋_GBK" w:cs="Times New Roman"/>
          <w:sz w:val="32"/>
          <w:szCs w:val="32"/>
          <w:highlight w:val="none"/>
          <w:lang w:val="en-US" w:eastAsia="zh-CN"/>
        </w:rPr>
      </w:pPr>
    </w:p>
    <w:p w14:paraId="039BF974">
      <w:pPr>
        <w:pStyle w:val="17"/>
        <w:ind w:left="0" w:leftChars="0" w:firstLine="0" w:firstLineChars="0"/>
        <w:jc w:val="both"/>
        <w:rPr>
          <w:rFonts w:hint="default" w:eastAsia="方正仿宋_GBK" w:cs="Times New Roman"/>
          <w:sz w:val="32"/>
          <w:szCs w:val="32"/>
          <w:highlight w:val="none"/>
          <w:lang w:val="en-US" w:eastAsia="zh-CN"/>
        </w:rPr>
      </w:pPr>
    </w:p>
    <w:p w14:paraId="24F7B08A">
      <w:pPr>
        <w:pStyle w:val="17"/>
        <w:ind w:left="0" w:leftChars="0" w:firstLine="0" w:firstLineChars="0"/>
        <w:jc w:val="both"/>
        <w:rPr>
          <w:rFonts w:hint="default" w:eastAsia="方正仿宋_GBK" w:cs="Times New Roman"/>
          <w:sz w:val="32"/>
          <w:szCs w:val="32"/>
          <w:highlight w:val="none"/>
          <w:lang w:val="en-US" w:eastAsia="zh-CN"/>
        </w:rPr>
      </w:pPr>
    </w:p>
    <w:p w14:paraId="5D6D5096">
      <w:pPr>
        <w:pStyle w:val="17"/>
        <w:ind w:left="0" w:leftChars="0" w:firstLine="0" w:firstLineChars="0"/>
        <w:jc w:val="both"/>
        <w:rPr>
          <w:rFonts w:hint="default" w:eastAsia="方正仿宋_GBK" w:cs="Times New Roman"/>
          <w:sz w:val="32"/>
          <w:szCs w:val="32"/>
          <w:highlight w:val="none"/>
          <w:lang w:val="en-US" w:eastAsia="zh-CN"/>
        </w:rPr>
      </w:pPr>
    </w:p>
    <w:p w14:paraId="1A4CE051">
      <w:pPr>
        <w:pStyle w:val="17"/>
        <w:ind w:left="0" w:leftChars="0" w:firstLine="0" w:firstLineChars="0"/>
        <w:jc w:val="both"/>
        <w:rPr>
          <w:rFonts w:hint="default" w:eastAsia="方正仿宋_GBK" w:cs="Times New Roman"/>
          <w:sz w:val="32"/>
          <w:szCs w:val="32"/>
          <w:highlight w:val="none"/>
          <w:lang w:val="en-US" w:eastAsia="zh-CN"/>
        </w:rPr>
      </w:pPr>
    </w:p>
    <w:p w14:paraId="0CCCB991">
      <w:pPr>
        <w:pStyle w:val="17"/>
        <w:ind w:left="0" w:leftChars="0" w:firstLine="0" w:firstLineChars="0"/>
        <w:jc w:val="both"/>
        <w:rPr>
          <w:rFonts w:hint="default" w:eastAsia="方正仿宋_GBK" w:cs="Times New Roman"/>
          <w:sz w:val="32"/>
          <w:szCs w:val="32"/>
          <w:highlight w:val="none"/>
          <w:lang w:val="en-US" w:eastAsia="zh-CN"/>
        </w:rPr>
      </w:pPr>
    </w:p>
    <w:p w14:paraId="76CBAD0A">
      <w:pPr>
        <w:pStyle w:val="17"/>
        <w:ind w:left="0" w:leftChars="0" w:firstLine="0" w:firstLineChars="0"/>
        <w:jc w:val="both"/>
        <w:rPr>
          <w:rFonts w:hint="default" w:eastAsia="方正仿宋_GBK" w:cs="Times New Roman"/>
          <w:sz w:val="32"/>
          <w:szCs w:val="32"/>
          <w:highlight w:val="none"/>
          <w:lang w:val="en-US" w:eastAsia="zh-CN"/>
        </w:rPr>
      </w:pPr>
    </w:p>
    <w:p w14:paraId="03781A79">
      <w:pPr>
        <w:pStyle w:val="17"/>
        <w:ind w:left="0" w:leftChars="0" w:firstLine="0" w:firstLineChars="0"/>
        <w:jc w:val="both"/>
        <w:rPr>
          <w:rFonts w:hint="default" w:eastAsia="方正仿宋_GBK" w:cs="Times New Roman"/>
          <w:sz w:val="32"/>
          <w:szCs w:val="32"/>
          <w:highlight w:val="none"/>
          <w:lang w:val="en-US" w:eastAsia="zh-CN"/>
        </w:rPr>
      </w:pPr>
    </w:p>
    <w:p w14:paraId="69EB2CB4">
      <w:pPr>
        <w:pStyle w:val="17"/>
        <w:ind w:left="0" w:leftChars="0" w:firstLine="0" w:firstLineChars="0"/>
        <w:jc w:val="both"/>
        <w:rPr>
          <w:rFonts w:hint="default" w:eastAsia="方正仿宋_GBK" w:cs="Times New Roman"/>
          <w:sz w:val="32"/>
          <w:szCs w:val="32"/>
          <w:highlight w:val="none"/>
          <w:lang w:val="en-US" w:eastAsia="zh-CN"/>
        </w:rPr>
      </w:pPr>
    </w:p>
    <w:p w14:paraId="5FC24007">
      <w:pPr>
        <w:pStyle w:val="17"/>
        <w:ind w:left="0" w:leftChars="0" w:firstLine="0" w:firstLineChars="0"/>
        <w:jc w:val="both"/>
        <w:rPr>
          <w:rFonts w:hint="default" w:eastAsia="方正仿宋_GBK" w:cs="Times New Roman"/>
          <w:sz w:val="32"/>
          <w:szCs w:val="32"/>
          <w:highlight w:val="none"/>
          <w:lang w:val="en-US" w:eastAsia="zh-CN"/>
        </w:rPr>
      </w:pPr>
    </w:p>
    <w:p w14:paraId="0CBC3A12">
      <w:pPr>
        <w:pStyle w:val="17"/>
        <w:ind w:left="0" w:leftChars="0" w:firstLine="0" w:firstLineChars="0"/>
        <w:jc w:val="both"/>
        <w:rPr>
          <w:rFonts w:hint="default" w:eastAsia="方正仿宋_GBK" w:cs="Times New Roman"/>
          <w:sz w:val="32"/>
          <w:szCs w:val="32"/>
          <w:highlight w:val="none"/>
          <w:lang w:val="en-US" w:eastAsia="zh-CN"/>
        </w:rPr>
      </w:pPr>
    </w:p>
    <w:p w14:paraId="57E4A941">
      <w:pPr>
        <w:pBdr>
          <w:bottom w:val="single" w:color="FFFFFF" w:sz="4" w:space="29"/>
        </w:pBdr>
        <w:autoSpaceDE w:val="0"/>
        <w:adjustRightInd w:val="0"/>
        <w:snapToGrid w:val="0"/>
        <w:spacing w:line="600" w:lineRule="exact"/>
        <w:jc w:val="center"/>
        <w:rPr>
          <w:rFonts w:hint="eastAsia" w:ascii="仿宋" w:hAnsi="仿宋" w:eastAsia="仿宋" w:cs="宋体"/>
          <w:b/>
          <w:spacing w:val="-4"/>
          <w:kern w:val="0"/>
          <w:sz w:val="32"/>
          <w:szCs w:val="32"/>
          <w:highlight w:val="none"/>
        </w:rPr>
      </w:pPr>
      <w:r>
        <w:rPr>
          <w:rFonts w:hint="eastAsia" w:ascii="仿宋" w:hAnsi="仿宋" w:eastAsia="仿宋" w:cs="宋体"/>
          <w:b/>
          <w:spacing w:val="-4"/>
          <w:kern w:val="0"/>
          <w:sz w:val="32"/>
          <w:szCs w:val="32"/>
          <w:highlight w:val="none"/>
        </w:rPr>
        <w:t>2023年政府性基金收入情况表</w:t>
      </w:r>
    </w:p>
    <w:tbl>
      <w:tblPr>
        <w:tblStyle w:val="12"/>
        <w:tblW w:w="91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0"/>
        <w:gridCol w:w="3414"/>
        <w:gridCol w:w="1530"/>
        <w:gridCol w:w="1530"/>
        <w:gridCol w:w="1455"/>
      </w:tblGrid>
      <w:tr w14:paraId="07DBF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200" w:type="dxa"/>
            <w:tcBorders>
              <w:top w:val="nil"/>
              <w:left w:val="nil"/>
              <w:bottom w:val="nil"/>
              <w:right w:val="nil"/>
            </w:tcBorders>
            <w:shd w:val="clear" w:color="auto" w:fill="auto"/>
            <w:noWrap/>
            <w:vAlign w:val="bottom"/>
          </w:tcPr>
          <w:p w14:paraId="331FFC00">
            <w:pPr>
              <w:jc w:val="center"/>
              <w:rPr>
                <w:rFonts w:hint="eastAsia" w:ascii="宋体" w:hAnsi="宋体" w:eastAsia="宋体" w:cs="宋体"/>
                <w:b/>
                <w:bCs/>
                <w:i w:val="0"/>
                <w:iCs w:val="0"/>
                <w:color w:val="000000"/>
                <w:sz w:val="24"/>
                <w:szCs w:val="24"/>
                <w:highlight w:val="none"/>
                <w:u w:val="none"/>
              </w:rPr>
            </w:pPr>
          </w:p>
        </w:tc>
        <w:tc>
          <w:tcPr>
            <w:tcW w:w="3414" w:type="dxa"/>
            <w:tcBorders>
              <w:top w:val="nil"/>
              <w:left w:val="nil"/>
              <w:bottom w:val="nil"/>
              <w:right w:val="nil"/>
            </w:tcBorders>
            <w:shd w:val="clear" w:color="auto" w:fill="auto"/>
            <w:noWrap/>
            <w:vAlign w:val="bottom"/>
          </w:tcPr>
          <w:p w14:paraId="760DADD0">
            <w:pPr>
              <w:jc w:val="center"/>
              <w:rPr>
                <w:rFonts w:hint="eastAsia" w:ascii="宋体" w:hAnsi="宋体" w:eastAsia="宋体" w:cs="宋体"/>
                <w:b/>
                <w:bCs/>
                <w:i w:val="0"/>
                <w:iCs w:val="0"/>
                <w:color w:val="000000"/>
                <w:sz w:val="24"/>
                <w:szCs w:val="24"/>
                <w:highlight w:val="none"/>
                <w:u w:val="none"/>
              </w:rPr>
            </w:pPr>
          </w:p>
        </w:tc>
        <w:tc>
          <w:tcPr>
            <w:tcW w:w="1530" w:type="dxa"/>
            <w:tcBorders>
              <w:top w:val="nil"/>
              <w:left w:val="nil"/>
              <w:bottom w:val="nil"/>
              <w:right w:val="nil"/>
            </w:tcBorders>
            <w:shd w:val="clear" w:color="auto" w:fill="auto"/>
            <w:noWrap/>
            <w:vAlign w:val="bottom"/>
          </w:tcPr>
          <w:p w14:paraId="53DD758F">
            <w:pPr>
              <w:jc w:val="center"/>
              <w:rPr>
                <w:rFonts w:hint="eastAsia" w:ascii="宋体" w:hAnsi="宋体" w:eastAsia="宋体" w:cs="宋体"/>
                <w:b/>
                <w:bCs/>
                <w:i w:val="0"/>
                <w:iCs w:val="0"/>
                <w:color w:val="000000"/>
                <w:sz w:val="24"/>
                <w:szCs w:val="24"/>
                <w:highlight w:val="none"/>
                <w:u w:val="none"/>
              </w:rPr>
            </w:pPr>
          </w:p>
        </w:tc>
        <w:tc>
          <w:tcPr>
            <w:tcW w:w="1530" w:type="dxa"/>
            <w:tcBorders>
              <w:top w:val="nil"/>
              <w:left w:val="nil"/>
              <w:bottom w:val="nil"/>
              <w:right w:val="nil"/>
            </w:tcBorders>
            <w:shd w:val="clear" w:color="auto" w:fill="auto"/>
            <w:noWrap/>
            <w:vAlign w:val="bottom"/>
          </w:tcPr>
          <w:p w14:paraId="76EAE68A">
            <w:pPr>
              <w:jc w:val="center"/>
              <w:rPr>
                <w:rFonts w:hint="eastAsia" w:ascii="宋体" w:hAnsi="宋体" w:eastAsia="宋体" w:cs="宋体"/>
                <w:b/>
                <w:bCs/>
                <w:i w:val="0"/>
                <w:iCs w:val="0"/>
                <w:color w:val="000000"/>
                <w:sz w:val="24"/>
                <w:szCs w:val="24"/>
                <w:highlight w:val="none"/>
                <w:u w:val="none"/>
              </w:rPr>
            </w:pPr>
          </w:p>
        </w:tc>
        <w:tc>
          <w:tcPr>
            <w:tcW w:w="1455" w:type="dxa"/>
            <w:tcBorders>
              <w:top w:val="nil"/>
              <w:left w:val="nil"/>
              <w:bottom w:val="nil"/>
              <w:right w:val="nil"/>
            </w:tcBorders>
            <w:shd w:val="clear" w:color="auto" w:fill="auto"/>
            <w:noWrap/>
            <w:vAlign w:val="bottom"/>
          </w:tcPr>
          <w:p w14:paraId="032D2391">
            <w:pPr>
              <w:keepNext w:val="0"/>
              <w:keepLines w:val="0"/>
              <w:widowControl/>
              <w:suppressLineNumbers w:val="0"/>
              <w:jc w:val="center"/>
              <w:textAlignment w:val="bottom"/>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单位：万元</w:t>
            </w:r>
          </w:p>
        </w:tc>
      </w:tr>
      <w:tr w14:paraId="44D98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6A9FD">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科目编码</w:t>
            </w:r>
          </w:p>
        </w:tc>
        <w:tc>
          <w:tcPr>
            <w:tcW w:w="3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0F043">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科目名称</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EB6F4">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本年累计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3CC4E">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占预算（%）</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FB500">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增长（%）</w:t>
            </w:r>
          </w:p>
        </w:tc>
      </w:tr>
      <w:tr w14:paraId="198EF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46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16F78">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小 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521AE">
            <w:pPr>
              <w:keepNext w:val="0"/>
              <w:keepLines w:val="0"/>
              <w:widowControl/>
              <w:suppressLineNumbers w:val="0"/>
              <w:jc w:val="right"/>
              <w:textAlignment w:val="center"/>
              <w:rPr>
                <w:rFonts w:hint="default" w:ascii="宋体" w:hAnsi="宋体" w:eastAsia="宋体" w:cs="宋体"/>
                <w:b/>
                <w:bCs/>
                <w:i w:val="0"/>
                <w:iCs w:val="0"/>
                <w:color w:val="000000"/>
                <w:sz w:val="24"/>
                <w:szCs w:val="24"/>
                <w:highlight w:val="none"/>
                <w:u w:val="none"/>
                <w:lang w:val="en-US"/>
              </w:rPr>
            </w:pPr>
            <w:r>
              <w:rPr>
                <w:rFonts w:hint="default" w:ascii="宋体" w:hAnsi="宋体" w:cs="宋体"/>
                <w:b/>
                <w:bCs/>
                <w:i w:val="0"/>
                <w:iCs w:val="0"/>
                <w:color w:val="000000"/>
                <w:kern w:val="0"/>
                <w:sz w:val="24"/>
                <w:szCs w:val="24"/>
                <w:highlight w:val="none"/>
                <w:u w:val="none"/>
                <w:lang w:val="en-US" w:eastAsia="zh-CN" w:bidi="ar"/>
              </w:rPr>
              <w:t>88488</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53384">
            <w:pPr>
              <w:keepNext w:val="0"/>
              <w:keepLines w:val="0"/>
              <w:widowControl/>
              <w:suppressLineNumbers w:val="0"/>
              <w:jc w:val="right"/>
              <w:textAlignment w:val="bottom"/>
              <w:rPr>
                <w:rFonts w:hint="eastAsia" w:ascii="宋体" w:hAnsi="宋体" w:eastAsia="宋体" w:cs="宋体"/>
                <w:b/>
                <w:bCs/>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101.7 </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0871A">
            <w:pPr>
              <w:keepNext w:val="0"/>
              <w:keepLines w:val="0"/>
              <w:widowControl/>
              <w:suppressLineNumbers w:val="0"/>
              <w:jc w:val="right"/>
              <w:textAlignment w:val="bottom"/>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FF0000"/>
                <w:kern w:val="0"/>
                <w:sz w:val="24"/>
                <w:szCs w:val="24"/>
                <w:highlight w:val="none"/>
                <w:u w:val="none"/>
                <w:lang w:val="en-US" w:eastAsia="zh-CN" w:bidi="ar"/>
              </w:rPr>
              <w:t xml:space="preserve">-17.2 </w:t>
            </w:r>
          </w:p>
        </w:tc>
      </w:tr>
      <w:tr w14:paraId="17306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B4ADD">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1030146</w:t>
            </w:r>
          </w:p>
        </w:tc>
        <w:tc>
          <w:tcPr>
            <w:tcW w:w="3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3231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1、国有土地收益基金收入</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75CEA">
            <w:pPr>
              <w:keepNext w:val="0"/>
              <w:keepLines w:val="0"/>
              <w:widowControl/>
              <w:suppressLineNumbers w:val="0"/>
              <w:jc w:val="right"/>
              <w:textAlignment w:val="bottom"/>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 xml:space="preserve">6144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FBBB1">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101.7 </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C2A16">
            <w:pPr>
              <w:keepNext w:val="0"/>
              <w:keepLines w:val="0"/>
              <w:widowControl/>
              <w:suppressLineNumbers w:val="0"/>
              <w:jc w:val="right"/>
              <w:textAlignment w:val="bottom"/>
              <w:rPr>
                <w:rFonts w:hint="eastAsia" w:ascii="宋体" w:hAnsi="宋体" w:eastAsia="宋体" w:cs="宋体"/>
                <w:i w:val="0"/>
                <w:iCs w:val="0"/>
                <w:color w:val="FF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53.7 </w:t>
            </w:r>
          </w:p>
        </w:tc>
      </w:tr>
      <w:tr w14:paraId="5749B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85735">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1030147</w:t>
            </w:r>
          </w:p>
        </w:tc>
        <w:tc>
          <w:tcPr>
            <w:tcW w:w="3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3E39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2、农业土地开发资金收入</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72230">
            <w:pPr>
              <w:keepNext w:val="0"/>
              <w:keepLines w:val="0"/>
              <w:widowControl/>
              <w:suppressLineNumbers w:val="0"/>
              <w:jc w:val="right"/>
              <w:textAlignment w:val="bottom"/>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 xml:space="preserve">160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0D30D">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107.4 </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1F47B">
            <w:pPr>
              <w:keepNext w:val="0"/>
              <w:keepLines w:val="0"/>
              <w:widowControl/>
              <w:suppressLineNumbers w:val="0"/>
              <w:jc w:val="right"/>
              <w:textAlignment w:val="bottom"/>
              <w:rPr>
                <w:rFonts w:hint="eastAsia" w:ascii="宋体" w:hAnsi="宋体" w:eastAsia="宋体" w:cs="宋体"/>
                <w:i w:val="0"/>
                <w:iCs w:val="0"/>
                <w:color w:val="FF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32.6 </w:t>
            </w:r>
          </w:p>
        </w:tc>
      </w:tr>
      <w:tr w14:paraId="0BD0B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69841">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1030148</w:t>
            </w:r>
          </w:p>
        </w:tc>
        <w:tc>
          <w:tcPr>
            <w:tcW w:w="3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088B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3、国有土地使用权出让收入</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8318D">
            <w:pPr>
              <w:keepNext w:val="0"/>
              <w:keepLines w:val="0"/>
              <w:widowControl/>
              <w:suppressLineNumbers w:val="0"/>
              <w:jc w:val="right"/>
              <w:textAlignment w:val="bottom"/>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 xml:space="preserve">74145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C0027">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101.8 </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B7F4F">
            <w:pPr>
              <w:keepNext w:val="0"/>
              <w:keepLines w:val="0"/>
              <w:widowControl/>
              <w:suppressLineNumbers w:val="0"/>
              <w:jc w:val="right"/>
              <w:textAlignment w:val="bottom"/>
              <w:rPr>
                <w:rFonts w:hint="eastAsia" w:ascii="宋体" w:hAnsi="宋体" w:eastAsia="宋体" w:cs="宋体"/>
                <w:i w:val="0"/>
                <w:iCs w:val="0"/>
                <w:color w:val="FF0000"/>
                <w:sz w:val="24"/>
                <w:szCs w:val="24"/>
                <w:highlight w:val="none"/>
                <w:u w:val="none"/>
              </w:rPr>
            </w:pPr>
            <w:r>
              <w:rPr>
                <w:rFonts w:hint="eastAsia" w:ascii="宋体" w:hAnsi="宋体" w:eastAsia="宋体" w:cs="宋体"/>
                <w:i w:val="0"/>
                <w:iCs w:val="0"/>
                <w:color w:val="FF0000"/>
                <w:kern w:val="0"/>
                <w:sz w:val="24"/>
                <w:szCs w:val="24"/>
                <w:highlight w:val="none"/>
                <w:u w:val="none"/>
                <w:lang w:val="en-US" w:eastAsia="zh-CN" w:bidi="ar"/>
              </w:rPr>
              <w:t xml:space="preserve">-21.4 </w:t>
            </w:r>
          </w:p>
        </w:tc>
      </w:tr>
      <w:tr w14:paraId="611CA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DF529">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1030155</w:t>
            </w:r>
          </w:p>
        </w:tc>
        <w:tc>
          <w:tcPr>
            <w:tcW w:w="3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BEEA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4、彩票公益金收入</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DED01">
            <w:pPr>
              <w:keepNext w:val="0"/>
              <w:keepLines w:val="0"/>
              <w:widowControl/>
              <w:suppressLineNumbers w:val="0"/>
              <w:jc w:val="right"/>
              <w:textAlignment w:val="bottom"/>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 xml:space="preserve">261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30BA5">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110.1 </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8487A">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14.8 </w:t>
            </w:r>
          </w:p>
        </w:tc>
      </w:tr>
      <w:tr w14:paraId="545E5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B58DE">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1030156</w:t>
            </w:r>
          </w:p>
        </w:tc>
        <w:tc>
          <w:tcPr>
            <w:tcW w:w="3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8038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5、城市基础设施配套费收入</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97E0C">
            <w:pPr>
              <w:keepNext w:val="0"/>
              <w:keepLines w:val="0"/>
              <w:widowControl/>
              <w:suppressLineNumbers w:val="0"/>
              <w:jc w:val="right"/>
              <w:textAlignment w:val="bottom"/>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 xml:space="preserve">5710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91205">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100.0 </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36C15">
            <w:pPr>
              <w:keepNext w:val="0"/>
              <w:keepLines w:val="0"/>
              <w:widowControl/>
              <w:suppressLineNumbers w:val="0"/>
              <w:jc w:val="right"/>
              <w:textAlignment w:val="bottom"/>
              <w:rPr>
                <w:rFonts w:hint="eastAsia" w:ascii="宋体" w:hAnsi="宋体" w:eastAsia="宋体" w:cs="宋体"/>
                <w:i w:val="0"/>
                <w:iCs w:val="0"/>
                <w:color w:val="FF0000"/>
                <w:sz w:val="24"/>
                <w:szCs w:val="24"/>
                <w:highlight w:val="none"/>
                <w:u w:val="none"/>
              </w:rPr>
            </w:pPr>
            <w:r>
              <w:rPr>
                <w:rFonts w:hint="eastAsia" w:ascii="宋体" w:hAnsi="宋体" w:eastAsia="宋体" w:cs="宋体"/>
                <w:i w:val="0"/>
                <w:iCs w:val="0"/>
                <w:color w:val="FF0000"/>
                <w:kern w:val="0"/>
                <w:sz w:val="24"/>
                <w:szCs w:val="24"/>
                <w:highlight w:val="none"/>
                <w:u w:val="none"/>
                <w:lang w:val="en-US" w:eastAsia="zh-CN" w:bidi="ar"/>
              </w:rPr>
              <w:t xml:space="preserve">-17.5 </w:t>
            </w:r>
          </w:p>
        </w:tc>
      </w:tr>
      <w:tr w14:paraId="0D09C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319CF">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1030178</w:t>
            </w:r>
          </w:p>
        </w:tc>
        <w:tc>
          <w:tcPr>
            <w:tcW w:w="3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92D6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6、污水处理费收入</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6E65A">
            <w:pPr>
              <w:keepNext w:val="0"/>
              <w:keepLines w:val="0"/>
              <w:widowControl/>
              <w:suppressLineNumbers w:val="0"/>
              <w:jc w:val="right"/>
              <w:textAlignment w:val="bottom"/>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 xml:space="preserve">847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AC204">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106.9 </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4B8B9">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FF0000"/>
                <w:kern w:val="0"/>
                <w:sz w:val="24"/>
                <w:szCs w:val="24"/>
                <w:highlight w:val="none"/>
                <w:u w:val="none"/>
                <w:lang w:val="en-US" w:eastAsia="zh-CN" w:bidi="ar"/>
              </w:rPr>
              <w:t xml:space="preserve">-30.0 </w:t>
            </w:r>
          </w:p>
        </w:tc>
      </w:tr>
      <w:tr w14:paraId="39B23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620FA">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1030199</w:t>
            </w:r>
          </w:p>
        </w:tc>
        <w:tc>
          <w:tcPr>
            <w:tcW w:w="3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1A4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7、新型墙体材料专项基金收入</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B6C22">
            <w:pPr>
              <w:keepNext w:val="0"/>
              <w:keepLines w:val="0"/>
              <w:widowControl/>
              <w:suppressLineNumbers w:val="0"/>
              <w:jc w:val="right"/>
              <w:textAlignment w:val="bottom"/>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 xml:space="preserve">375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9C567">
            <w:pPr>
              <w:keepNext w:val="0"/>
              <w:keepLines w:val="0"/>
              <w:widowControl/>
              <w:suppressLineNumbers w:val="0"/>
              <w:jc w:val="right"/>
              <w:textAlignment w:val="bottom"/>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 xml:space="preserve">100.0 </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E4B77">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4139.1 </w:t>
            </w:r>
          </w:p>
        </w:tc>
      </w:tr>
    </w:tbl>
    <w:p w14:paraId="0A593018">
      <w:pPr>
        <w:pStyle w:val="17"/>
        <w:ind w:left="0" w:leftChars="0" w:firstLine="0" w:firstLineChars="0"/>
        <w:rPr>
          <w:rFonts w:hint="eastAsia"/>
          <w:highlight w:val="none"/>
        </w:rPr>
      </w:pPr>
    </w:p>
    <w:p w14:paraId="60521AFE">
      <w:pPr>
        <w:pStyle w:val="17"/>
        <w:ind w:left="0" w:leftChars="0" w:firstLine="0" w:firstLineChars="0"/>
        <w:jc w:val="both"/>
        <w:rPr>
          <w:rFonts w:hint="default" w:eastAsia="方正仿宋_GBK" w:cs="Times New Roman"/>
          <w:sz w:val="32"/>
          <w:szCs w:val="32"/>
          <w:highlight w:val="none"/>
          <w:lang w:val="en-US" w:eastAsia="zh-CN"/>
        </w:rPr>
      </w:pPr>
    </w:p>
    <w:p w14:paraId="54E2BBC7">
      <w:pPr>
        <w:pStyle w:val="17"/>
        <w:ind w:left="0" w:leftChars="0" w:firstLine="0" w:firstLineChars="0"/>
        <w:jc w:val="both"/>
        <w:rPr>
          <w:rFonts w:hint="default" w:eastAsia="方正仿宋_GBK" w:cs="Times New Roman"/>
          <w:sz w:val="32"/>
          <w:szCs w:val="32"/>
          <w:highlight w:val="none"/>
          <w:lang w:val="en-US" w:eastAsia="zh-CN"/>
        </w:rPr>
      </w:pPr>
    </w:p>
    <w:p w14:paraId="0AB7EBB3">
      <w:pPr>
        <w:pStyle w:val="17"/>
        <w:ind w:left="0" w:leftChars="0" w:firstLine="0" w:firstLineChars="0"/>
        <w:jc w:val="both"/>
        <w:rPr>
          <w:rFonts w:hint="default" w:eastAsia="方正仿宋_GBK" w:cs="Times New Roman"/>
          <w:sz w:val="32"/>
          <w:szCs w:val="32"/>
          <w:highlight w:val="none"/>
          <w:lang w:val="en-US" w:eastAsia="zh-CN"/>
        </w:rPr>
      </w:pPr>
    </w:p>
    <w:p w14:paraId="303CE9B9">
      <w:pPr>
        <w:pStyle w:val="17"/>
        <w:ind w:left="0" w:leftChars="0" w:firstLine="0" w:firstLineChars="0"/>
        <w:jc w:val="both"/>
        <w:rPr>
          <w:rFonts w:hint="default" w:eastAsia="方正仿宋_GBK" w:cs="Times New Roman"/>
          <w:sz w:val="32"/>
          <w:szCs w:val="32"/>
          <w:highlight w:val="none"/>
          <w:lang w:val="en-US" w:eastAsia="zh-CN"/>
        </w:rPr>
      </w:pPr>
    </w:p>
    <w:p w14:paraId="540B799B">
      <w:pPr>
        <w:pStyle w:val="17"/>
        <w:ind w:left="0" w:leftChars="0" w:firstLine="0" w:firstLineChars="0"/>
        <w:jc w:val="both"/>
        <w:rPr>
          <w:rFonts w:hint="default" w:eastAsia="方正仿宋_GBK" w:cs="Times New Roman"/>
          <w:sz w:val="32"/>
          <w:szCs w:val="32"/>
          <w:highlight w:val="none"/>
          <w:lang w:val="en-US" w:eastAsia="zh-CN"/>
        </w:rPr>
      </w:pPr>
    </w:p>
    <w:p w14:paraId="2A3432B6">
      <w:pPr>
        <w:pStyle w:val="17"/>
        <w:ind w:left="0" w:leftChars="0" w:firstLine="0" w:firstLineChars="0"/>
        <w:jc w:val="both"/>
        <w:rPr>
          <w:rFonts w:hint="default" w:eastAsia="方正仿宋_GBK" w:cs="Times New Roman"/>
          <w:sz w:val="32"/>
          <w:szCs w:val="32"/>
          <w:highlight w:val="none"/>
          <w:lang w:val="en-US" w:eastAsia="zh-CN"/>
        </w:rPr>
      </w:pPr>
    </w:p>
    <w:p w14:paraId="2B8973E1">
      <w:pPr>
        <w:pBdr>
          <w:bottom w:val="single" w:color="FFFFFF" w:sz="4" w:space="31"/>
        </w:pBdr>
        <w:autoSpaceDE w:val="0"/>
        <w:adjustRightInd w:val="0"/>
        <w:snapToGrid w:val="0"/>
        <w:spacing w:line="600" w:lineRule="exact"/>
        <w:jc w:val="center"/>
        <w:rPr>
          <w:rFonts w:hint="eastAsia" w:ascii="仿宋" w:hAnsi="仿宋" w:eastAsia="仿宋" w:cs="宋体"/>
          <w:b/>
          <w:spacing w:val="-4"/>
          <w:kern w:val="0"/>
          <w:sz w:val="32"/>
          <w:szCs w:val="32"/>
          <w:highlight w:val="none"/>
        </w:rPr>
      </w:pPr>
      <w:r>
        <w:rPr>
          <w:rFonts w:hint="eastAsia" w:ascii="仿宋" w:hAnsi="仿宋" w:eastAsia="仿宋" w:cs="宋体"/>
          <w:b/>
          <w:spacing w:val="-4"/>
          <w:kern w:val="0"/>
          <w:sz w:val="32"/>
          <w:szCs w:val="32"/>
          <w:highlight w:val="none"/>
        </w:rPr>
        <w:t>2023年政府性基金支出情况表</w:t>
      </w:r>
    </w:p>
    <w:tbl>
      <w:tblPr>
        <w:tblStyle w:val="12"/>
        <w:tblW w:w="85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34"/>
        <w:gridCol w:w="2700"/>
        <w:gridCol w:w="1545"/>
        <w:gridCol w:w="1590"/>
        <w:gridCol w:w="1605"/>
      </w:tblGrid>
      <w:tr w14:paraId="5C1AF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8574" w:type="dxa"/>
            <w:gridSpan w:val="5"/>
            <w:tcBorders>
              <w:top w:val="nil"/>
              <w:left w:val="nil"/>
              <w:bottom w:val="nil"/>
              <w:right w:val="nil"/>
            </w:tcBorders>
            <w:shd w:val="clear" w:color="auto" w:fill="auto"/>
            <w:noWrap/>
            <w:vAlign w:val="bottom"/>
          </w:tcPr>
          <w:p w14:paraId="3F88E54A">
            <w:pPr>
              <w:keepNext w:val="0"/>
              <w:keepLines w:val="0"/>
              <w:widowControl/>
              <w:suppressLineNumbers w:val="0"/>
              <w:jc w:val="right"/>
              <w:textAlignment w:val="bottom"/>
              <w:rPr>
                <w:rFonts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单位：万元</w:t>
            </w:r>
          </w:p>
        </w:tc>
      </w:tr>
      <w:tr w14:paraId="5D7C6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113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E0ACF62">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单位科目编码</w:t>
            </w:r>
          </w:p>
        </w:tc>
        <w:tc>
          <w:tcPr>
            <w:tcW w:w="2700" w:type="dxa"/>
            <w:tcBorders>
              <w:top w:val="single" w:color="000000" w:sz="8" w:space="0"/>
              <w:left w:val="nil"/>
              <w:bottom w:val="single" w:color="000000" w:sz="8" w:space="0"/>
              <w:right w:val="single" w:color="000000" w:sz="8" w:space="0"/>
            </w:tcBorders>
            <w:shd w:val="clear" w:color="auto" w:fill="auto"/>
            <w:vAlign w:val="center"/>
          </w:tcPr>
          <w:p w14:paraId="18618F31">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科目名称</w:t>
            </w:r>
          </w:p>
        </w:tc>
        <w:tc>
          <w:tcPr>
            <w:tcW w:w="1545" w:type="dxa"/>
            <w:tcBorders>
              <w:top w:val="single" w:color="000000" w:sz="8" w:space="0"/>
              <w:left w:val="nil"/>
              <w:bottom w:val="single" w:color="000000" w:sz="8" w:space="0"/>
              <w:right w:val="single" w:color="000000" w:sz="8" w:space="0"/>
            </w:tcBorders>
            <w:shd w:val="clear" w:color="auto" w:fill="auto"/>
            <w:vAlign w:val="center"/>
          </w:tcPr>
          <w:p w14:paraId="35817A74">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本年累计</w:t>
            </w:r>
          </w:p>
        </w:tc>
        <w:tc>
          <w:tcPr>
            <w:tcW w:w="1590" w:type="dxa"/>
            <w:tcBorders>
              <w:top w:val="single" w:color="000000" w:sz="8" w:space="0"/>
              <w:left w:val="nil"/>
              <w:bottom w:val="single" w:color="000000" w:sz="8" w:space="0"/>
              <w:right w:val="single" w:color="000000" w:sz="8" w:space="0"/>
            </w:tcBorders>
            <w:shd w:val="clear" w:color="auto" w:fill="auto"/>
            <w:vAlign w:val="center"/>
          </w:tcPr>
          <w:p w14:paraId="0E089BF3">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占预算（%）</w:t>
            </w:r>
          </w:p>
        </w:tc>
        <w:tc>
          <w:tcPr>
            <w:tcW w:w="1605" w:type="dxa"/>
            <w:tcBorders>
              <w:top w:val="single" w:color="000000" w:sz="8" w:space="0"/>
              <w:left w:val="nil"/>
              <w:bottom w:val="single" w:color="000000" w:sz="8" w:space="0"/>
              <w:right w:val="single" w:color="000000" w:sz="8" w:space="0"/>
            </w:tcBorders>
            <w:shd w:val="clear" w:color="auto" w:fill="auto"/>
            <w:vAlign w:val="center"/>
          </w:tcPr>
          <w:p w14:paraId="50ECB75E">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增长（%）</w:t>
            </w:r>
          </w:p>
        </w:tc>
      </w:tr>
      <w:tr w14:paraId="16FC6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11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D4BB0B6">
            <w:pPr>
              <w:jc w:val="center"/>
              <w:rPr>
                <w:rFonts w:hint="eastAsia" w:ascii="仿宋" w:hAnsi="仿宋" w:eastAsia="仿宋" w:cs="仿宋"/>
                <w:b/>
                <w:bCs/>
                <w:i w:val="0"/>
                <w:iCs w:val="0"/>
                <w:color w:val="000000"/>
                <w:sz w:val="24"/>
                <w:szCs w:val="24"/>
                <w:highlight w:val="none"/>
                <w:u w:val="none"/>
              </w:rPr>
            </w:pPr>
          </w:p>
        </w:tc>
        <w:tc>
          <w:tcPr>
            <w:tcW w:w="2700" w:type="dxa"/>
            <w:tcBorders>
              <w:top w:val="nil"/>
              <w:left w:val="nil"/>
              <w:bottom w:val="single" w:color="000000" w:sz="8" w:space="0"/>
              <w:right w:val="single" w:color="000000" w:sz="8" w:space="0"/>
            </w:tcBorders>
            <w:shd w:val="clear" w:color="auto" w:fill="auto"/>
            <w:noWrap/>
            <w:vAlign w:val="center"/>
          </w:tcPr>
          <w:p w14:paraId="3E57B3EA">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基金支出小计</w:t>
            </w:r>
          </w:p>
        </w:tc>
        <w:tc>
          <w:tcPr>
            <w:tcW w:w="1545" w:type="dxa"/>
            <w:tcBorders>
              <w:top w:val="nil"/>
              <w:left w:val="nil"/>
              <w:bottom w:val="single" w:color="000000" w:sz="8" w:space="0"/>
              <w:right w:val="single" w:color="000000" w:sz="8" w:space="0"/>
            </w:tcBorders>
            <w:shd w:val="clear" w:color="auto" w:fill="FFFFFF"/>
            <w:noWrap/>
            <w:vAlign w:val="center"/>
          </w:tcPr>
          <w:p w14:paraId="114304D2">
            <w:pPr>
              <w:keepNext w:val="0"/>
              <w:keepLines w:val="0"/>
              <w:widowControl/>
              <w:suppressLineNumbers w:val="0"/>
              <w:jc w:val="right"/>
              <w:textAlignment w:val="center"/>
              <w:rPr>
                <w:rFonts w:hint="default" w:ascii="仿宋" w:hAnsi="仿宋" w:eastAsia="仿宋" w:cs="仿宋"/>
                <w:b/>
                <w:bCs/>
                <w:i w:val="0"/>
                <w:iCs w:val="0"/>
                <w:color w:val="000000"/>
                <w:sz w:val="24"/>
                <w:szCs w:val="24"/>
                <w:highlight w:val="none"/>
                <w:u w:val="none"/>
                <w:lang w:val="en-US"/>
              </w:rPr>
            </w:pPr>
            <w:r>
              <w:rPr>
                <w:rFonts w:hint="default" w:ascii="仿宋" w:hAnsi="仿宋" w:eastAsia="仿宋" w:cs="仿宋"/>
                <w:b/>
                <w:bCs/>
                <w:i w:val="0"/>
                <w:iCs w:val="0"/>
                <w:color w:val="000000"/>
                <w:kern w:val="0"/>
                <w:sz w:val="24"/>
                <w:szCs w:val="24"/>
                <w:highlight w:val="none"/>
                <w:u w:val="none"/>
                <w:lang w:val="en-US" w:eastAsia="zh-CN" w:bidi="ar"/>
              </w:rPr>
              <w:t>283851</w:t>
            </w:r>
          </w:p>
        </w:tc>
        <w:tc>
          <w:tcPr>
            <w:tcW w:w="1590" w:type="dxa"/>
            <w:tcBorders>
              <w:top w:val="nil"/>
              <w:left w:val="nil"/>
              <w:bottom w:val="single" w:color="000000" w:sz="8" w:space="0"/>
              <w:right w:val="single" w:color="000000" w:sz="8" w:space="0"/>
            </w:tcBorders>
            <w:shd w:val="clear" w:color="auto" w:fill="FFFFFF"/>
            <w:noWrap/>
            <w:vAlign w:val="center"/>
          </w:tcPr>
          <w:p w14:paraId="22CC82AD">
            <w:pPr>
              <w:keepNext w:val="0"/>
              <w:keepLines w:val="0"/>
              <w:widowControl/>
              <w:suppressLineNumbers w:val="0"/>
              <w:jc w:val="righ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 xml:space="preserve">98.0 </w:t>
            </w:r>
          </w:p>
        </w:tc>
        <w:tc>
          <w:tcPr>
            <w:tcW w:w="1605" w:type="dxa"/>
            <w:tcBorders>
              <w:top w:val="nil"/>
              <w:left w:val="nil"/>
              <w:bottom w:val="single" w:color="000000" w:sz="8" w:space="0"/>
              <w:right w:val="single" w:color="000000" w:sz="8" w:space="0"/>
            </w:tcBorders>
            <w:shd w:val="clear" w:color="auto" w:fill="FFFFFF"/>
            <w:noWrap/>
            <w:vAlign w:val="center"/>
          </w:tcPr>
          <w:p w14:paraId="0AB4B5A0">
            <w:pPr>
              <w:keepNext w:val="0"/>
              <w:keepLines w:val="0"/>
              <w:widowControl/>
              <w:suppressLineNumbers w:val="0"/>
              <w:jc w:val="right"/>
              <w:textAlignment w:val="center"/>
              <w:rPr>
                <w:rFonts w:hint="default" w:ascii="仿宋" w:hAnsi="仿宋" w:eastAsia="仿宋" w:cs="仿宋"/>
                <w:b/>
                <w:bCs/>
                <w:i w:val="0"/>
                <w:iCs w:val="0"/>
                <w:color w:val="000000"/>
                <w:sz w:val="24"/>
                <w:szCs w:val="24"/>
                <w:highlight w:val="none"/>
                <w:u w:val="none"/>
                <w:lang w:val="en-US"/>
              </w:rPr>
            </w:pPr>
            <w:r>
              <w:rPr>
                <w:rFonts w:hint="eastAsia" w:ascii="仿宋" w:hAnsi="仿宋" w:eastAsia="仿宋" w:cs="仿宋"/>
                <w:b/>
                <w:bCs/>
                <w:i w:val="0"/>
                <w:iCs w:val="0"/>
                <w:color w:val="FF0000"/>
                <w:kern w:val="0"/>
                <w:sz w:val="24"/>
                <w:szCs w:val="24"/>
                <w:highlight w:val="none"/>
                <w:u w:val="none"/>
                <w:lang w:val="en-US" w:eastAsia="zh-CN" w:bidi="ar"/>
              </w:rPr>
              <w:t xml:space="preserve">-28.2 </w:t>
            </w:r>
          </w:p>
        </w:tc>
      </w:tr>
      <w:tr w14:paraId="35024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134" w:type="dxa"/>
            <w:tcBorders>
              <w:top w:val="nil"/>
              <w:left w:val="single" w:color="000000" w:sz="8" w:space="0"/>
              <w:bottom w:val="single" w:color="000000" w:sz="8" w:space="0"/>
              <w:right w:val="single" w:color="000000" w:sz="8" w:space="0"/>
            </w:tcBorders>
            <w:shd w:val="clear" w:color="auto" w:fill="auto"/>
            <w:noWrap/>
            <w:vAlign w:val="center"/>
          </w:tcPr>
          <w:p w14:paraId="4EFA8A2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207</w:t>
            </w:r>
          </w:p>
        </w:tc>
        <w:tc>
          <w:tcPr>
            <w:tcW w:w="2700" w:type="dxa"/>
            <w:tcBorders>
              <w:top w:val="nil"/>
              <w:left w:val="nil"/>
              <w:bottom w:val="single" w:color="000000" w:sz="8" w:space="0"/>
              <w:right w:val="single" w:color="000000" w:sz="8" w:space="0"/>
            </w:tcBorders>
            <w:shd w:val="clear" w:color="auto" w:fill="FFFFFF"/>
            <w:noWrap/>
            <w:vAlign w:val="center"/>
          </w:tcPr>
          <w:p w14:paraId="1659D506">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1.文化体育与传媒支出</w:t>
            </w:r>
          </w:p>
        </w:tc>
        <w:tc>
          <w:tcPr>
            <w:tcW w:w="1545" w:type="dxa"/>
            <w:tcBorders>
              <w:top w:val="nil"/>
              <w:left w:val="nil"/>
              <w:bottom w:val="single" w:color="000000" w:sz="8" w:space="0"/>
              <w:right w:val="single" w:color="000000" w:sz="8" w:space="0"/>
            </w:tcBorders>
            <w:shd w:val="clear" w:color="auto" w:fill="FFFFFF"/>
            <w:noWrap/>
            <w:vAlign w:val="center"/>
          </w:tcPr>
          <w:p w14:paraId="098A150F">
            <w:pPr>
              <w:keepNext w:val="0"/>
              <w:keepLines w:val="0"/>
              <w:widowControl/>
              <w:suppressLineNumbers w:val="0"/>
              <w:jc w:val="right"/>
              <w:textAlignment w:val="center"/>
              <w:rPr>
                <w:rFonts w:hint="default" w:ascii="仿宋" w:hAnsi="仿宋" w:eastAsia="仿宋" w:cs="仿宋"/>
                <w:i w:val="0"/>
                <w:iCs w:val="0"/>
                <w:color w:val="000000"/>
                <w:sz w:val="24"/>
                <w:szCs w:val="24"/>
                <w:highlight w:val="none"/>
                <w:u w:val="none"/>
                <w:lang w:val="en-US"/>
              </w:rPr>
            </w:pPr>
            <w:r>
              <w:rPr>
                <w:rFonts w:hint="default" w:ascii="仿宋" w:hAnsi="仿宋" w:eastAsia="仿宋" w:cs="仿宋"/>
                <w:i w:val="0"/>
                <w:iCs w:val="0"/>
                <w:color w:val="000000"/>
                <w:kern w:val="0"/>
                <w:sz w:val="24"/>
                <w:szCs w:val="24"/>
                <w:highlight w:val="none"/>
                <w:u w:val="none"/>
                <w:lang w:val="en-US" w:eastAsia="zh-CN" w:bidi="ar"/>
              </w:rPr>
              <w:t>71</w:t>
            </w:r>
          </w:p>
        </w:tc>
        <w:tc>
          <w:tcPr>
            <w:tcW w:w="1590" w:type="dxa"/>
            <w:tcBorders>
              <w:top w:val="nil"/>
              <w:left w:val="nil"/>
              <w:bottom w:val="single" w:color="000000" w:sz="8" w:space="0"/>
              <w:right w:val="single" w:color="000000" w:sz="8" w:space="0"/>
            </w:tcBorders>
            <w:shd w:val="clear" w:color="auto" w:fill="FFFFFF"/>
            <w:noWrap/>
            <w:vAlign w:val="center"/>
          </w:tcPr>
          <w:p w14:paraId="29B27270">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100.0 </w:t>
            </w:r>
          </w:p>
        </w:tc>
        <w:tc>
          <w:tcPr>
            <w:tcW w:w="1605" w:type="dxa"/>
            <w:tcBorders>
              <w:top w:val="nil"/>
              <w:left w:val="nil"/>
              <w:bottom w:val="single" w:color="000000" w:sz="8" w:space="0"/>
              <w:right w:val="single" w:color="000000" w:sz="8" w:space="0"/>
            </w:tcBorders>
            <w:shd w:val="clear" w:color="auto" w:fill="FFFFFF"/>
            <w:noWrap/>
            <w:vAlign w:val="center"/>
          </w:tcPr>
          <w:p w14:paraId="2A390C11">
            <w:pPr>
              <w:keepNext w:val="0"/>
              <w:keepLines w:val="0"/>
              <w:widowControl/>
              <w:suppressLineNumbers w:val="0"/>
              <w:jc w:val="right"/>
              <w:textAlignment w:val="center"/>
              <w:rPr>
                <w:rFonts w:hint="eastAsia" w:ascii="仿宋" w:hAnsi="仿宋" w:eastAsia="仿宋" w:cs="仿宋"/>
                <w:b/>
                <w:bCs/>
                <w:i w:val="0"/>
                <w:iCs w:val="0"/>
                <w:color w:val="FF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 xml:space="preserve">446.2 </w:t>
            </w:r>
          </w:p>
        </w:tc>
      </w:tr>
      <w:tr w14:paraId="7EEB5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134" w:type="dxa"/>
            <w:tcBorders>
              <w:top w:val="nil"/>
              <w:left w:val="single" w:color="000000" w:sz="8" w:space="0"/>
              <w:bottom w:val="single" w:color="000000" w:sz="8" w:space="0"/>
              <w:right w:val="single" w:color="000000" w:sz="8" w:space="0"/>
            </w:tcBorders>
            <w:shd w:val="clear" w:color="auto" w:fill="auto"/>
            <w:noWrap/>
            <w:vAlign w:val="center"/>
          </w:tcPr>
          <w:p w14:paraId="67F7225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208</w:t>
            </w:r>
          </w:p>
        </w:tc>
        <w:tc>
          <w:tcPr>
            <w:tcW w:w="2700" w:type="dxa"/>
            <w:tcBorders>
              <w:top w:val="nil"/>
              <w:left w:val="nil"/>
              <w:bottom w:val="single" w:color="000000" w:sz="8" w:space="0"/>
              <w:right w:val="single" w:color="000000" w:sz="8" w:space="0"/>
            </w:tcBorders>
            <w:shd w:val="clear" w:color="auto" w:fill="auto"/>
            <w:noWrap/>
            <w:vAlign w:val="center"/>
          </w:tcPr>
          <w:p w14:paraId="02B976F6">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2.社会保障和就业支出</w:t>
            </w:r>
          </w:p>
        </w:tc>
        <w:tc>
          <w:tcPr>
            <w:tcW w:w="1545" w:type="dxa"/>
            <w:tcBorders>
              <w:top w:val="nil"/>
              <w:left w:val="nil"/>
              <w:bottom w:val="single" w:color="000000" w:sz="8" w:space="0"/>
              <w:right w:val="single" w:color="000000" w:sz="8" w:space="0"/>
            </w:tcBorders>
            <w:shd w:val="clear" w:color="auto" w:fill="FFFFFF"/>
            <w:noWrap/>
            <w:vAlign w:val="center"/>
          </w:tcPr>
          <w:p w14:paraId="4FC5B67A">
            <w:pPr>
              <w:keepNext w:val="0"/>
              <w:keepLines w:val="0"/>
              <w:widowControl/>
              <w:suppressLineNumbers w:val="0"/>
              <w:jc w:val="right"/>
              <w:textAlignment w:val="center"/>
              <w:rPr>
                <w:rFonts w:hint="default" w:ascii="仿宋" w:hAnsi="仿宋" w:eastAsia="仿宋" w:cs="仿宋"/>
                <w:i w:val="0"/>
                <w:iCs w:val="0"/>
                <w:color w:val="000000"/>
                <w:sz w:val="24"/>
                <w:szCs w:val="24"/>
                <w:highlight w:val="none"/>
                <w:u w:val="none"/>
                <w:lang w:val="en-US"/>
              </w:rPr>
            </w:pPr>
            <w:r>
              <w:rPr>
                <w:rFonts w:hint="default" w:ascii="仿宋" w:hAnsi="仿宋" w:eastAsia="仿宋" w:cs="仿宋"/>
                <w:i w:val="0"/>
                <w:iCs w:val="0"/>
                <w:color w:val="000000"/>
                <w:kern w:val="0"/>
                <w:sz w:val="24"/>
                <w:szCs w:val="24"/>
                <w:highlight w:val="none"/>
                <w:u w:val="none"/>
                <w:lang w:val="en-US" w:eastAsia="zh-CN" w:bidi="ar"/>
              </w:rPr>
              <w:t>2510</w:t>
            </w:r>
          </w:p>
        </w:tc>
        <w:tc>
          <w:tcPr>
            <w:tcW w:w="1590" w:type="dxa"/>
            <w:tcBorders>
              <w:top w:val="nil"/>
              <w:left w:val="nil"/>
              <w:bottom w:val="single" w:color="000000" w:sz="8" w:space="0"/>
              <w:right w:val="single" w:color="000000" w:sz="8" w:space="0"/>
            </w:tcBorders>
            <w:shd w:val="clear" w:color="auto" w:fill="FFFFFF"/>
            <w:noWrap/>
            <w:vAlign w:val="center"/>
          </w:tcPr>
          <w:p w14:paraId="2D261539">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79.9 </w:t>
            </w:r>
          </w:p>
        </w:tc>
        <w:tc>
          <w:tcPr>
            <w:tcW w:w="1605" w:type="dxa"/>
            <w:tcBorders>
              <w:top w:val="nil"/>
              <w:left w:val="nil"/>
              <w:bottom w:val="single" w:color="000000" w:sz="8" w:space="0"/>
              <w:right w:val="single" w:color="000000" w:sz="8" w:space="0"/>
            </w:tcBorders>
            <w:shd w:val="clear" w:color="auto" w:fill="FFFFFF"/>
            <w:noWrap/>
            <w:vAlign w:val="center"/>
          </w:tcPr>
          <w:p w14:paraId="14C40796">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 xml:space="preserve">71.7 </w:t>
            </w:r>
          </w:p>
        </w:tc>
      </w:tr>
      <w:tr w14:paraId="40B4E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134" w:type="dxa"/>
            <w:tcBorders>
              <w:top w:val="nil"/>
              <w:left w:val="single" w:color="000000" w:sz="8" w:space="0"/>
              <w:bottom w:val="single" w:color="000000" w:sz="8" w:space="0"/>
              <w:right w:val="single" w:color="000000" w:sz="8" w:space="0"/>
            </w:tcBorders>
            <w:shd w:val="clear" w:color="auto" w:fill="auto"/>
            <w:noWrap/>
            <w:vAlign w:val="center"/>
          </w:tcPr>
          <w:p w14:paraId="2D1F93E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212</w:t>
            </w:r>
          </w:p>
        </w:tc>
        <w:tc>
          <w:tcPr>
            <w:tcW w:w="2700" w:type="dxa"/>
            <w:tcBorders>
              <w:top w:val="nil"/>
              <w:left w:val="nil"/>
              <w:bottom w:val="single" w:color="000000" w:sz="8" w:space="0"/>
              <w:right w:val="single" w:color="000000" w:sz="8" w:space="0"/>
            </w:tcBorders>
            <w:shd w:val="clear" w:color="auto" w:fill="auto"/>
            <w:noWrap/>
            <w:vAlign w:val="center"/>
          </w:tcPr>
          <w:p w14:paraId="372C3D28">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3.城乡社区支出</w:t>
            </w:r>
          </w:p>
        </w:tc>
        <w:tc>
          <w:tcPr>
            <w:tcW w:w="1545" w:type="dxa"/>
            <w:tcBorders>
              <w:top w:val="nil"/>
              <w:left w:val="nil"/>
              <w:bottom w:val="single" w:color="000000" w:sz="8" w:space="0"/>
              <w:right w:val="single" w:color="000000" w:sz="8" w:space="0"/>
            </w:tcBorders>
            <w:shd w:val="clear" w:color="auto" w:fill="FFFFFF"/>
            <w:noWrap/>
            <w:vAlign w:val="center"/>
          </w:tcPr>
          <w:p w14:paraId="427D5394">
            <w:pPr>
              <w:keepNext w:val="0"/>
              <w:keepLines w:val="0"/>
              <w:widowControl/>
              <w:suppressLineNumbers w:val="0"/>
              <w:jc w:val="right"/>
              <w:textAlignment w:val="center"/>
              <w:rPr>
                <w:rFonts w:hint="default" w:ascii="仿宋" w:hAnsi="仿宋" w:eastAsia="仿宋" w:cs="仿宋"/>
                <w:i w:val="0"/>
                <w:iCs w:val="0"/>
                <w:color w:val="000000"/>
                <w:sz w:val="24"/>
                <w:szCs w:val="24"/>
                <w:highlight w:val="none"/>
                <w:u w:val="none"/>
                <w:lang w:val="en-US"/>
              </w:rPr>
            </w:pPr>
            <w:r>
              <w:rPr>
                <w:rFonts w:hint="default" w:ascii="仿宋" w:hAnsi="仿宋" w:eastAsia="仿宋" w:cs="仿宋"/>
                <w:i w:val="0"/>
                <w:iCs w:val="0"/>
                <w:color w:val="000000"/>
                <w:kern w:val="0"/>
                <w:sz w:val="24"/>
                <w:szCs w:val="24"/>
                <w:highlight w:val="none"/>
                <w:u w:val="none"/>
                <w:lang w:val="en-US" w:eastAsia="zh-CN" w:bidi="ar"/>
              </w:rPr>
              <w:t>92809</w:t>
            </w:r>
          </w:p>
        </w:tc>
        <w:tc>
          <w:tcPr>
            <w:tcW w:w="1590" w:type="dxa"/>
            <w:tcBorders>
              <w:top w:val="nil"/>
              <w:left w:val="nil"/>
              <w:bottom w:val="single" w:color="000000" w:sz="8" w:space="0"/>
              <w:right w:val="single" w:color="000000" w:sz="8" w:space="0"/>
            </w:tcBorders>
            <w:shd w:val="clear" w:color="auto" w:fill="FFFFFF"/>
            <w:noWrap/>
            <w:vAlign w:val="center"/>
          </w:tcPr>
          <w:p w14:paraId="3FD45858">
            <w:pPr>
              <w:keepNext w:val="0"/>
              <w:keepLines w:val="0"/>
              <w:widowControl/>
              <w:suppressLineNumbers w:val="0"/>
              <w:jc w:val="right"/>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 xml:space="preserve">100.0 </w:t>
            </w:r>
          </w:p>
        </w:tc>
        <w:tc>
          <w:tcPr>
            <w:tcW w:w="1605" w:type="dxa"/>
            <w:tcBorders>
              <w:top w:val="nil"/>
              <w:left w:val="nil"/>
              <w:bottom w:val="single" w:color="000000" w:sz="8" w:space="0"/>
              <w:right w:val="single" w:color="000000" w:sz="8" w:space="0"/>
            </w:tcBorders>
            <w:shd w:val="clear" w:color="auto" w:fill="FFFFFF"/>
            <w:noWrap/>
            <w:vAlign w:val="center"/>
          </w:tcPr>
          <w:p w14:paraId="44F2DE6A">
            <w:pPr>
              <w:keepNext w:val="0"/>
              <w:keepLines w:val="0"/>
              <w:widowControl/>
              <w:suppressLineNumbers w:val="0"/>
              <w:jc w:val="right"/>
              <w:textAlignment w:val="center"/>
              <w:rPr>
                <w:rFonts w:hint="eastAsia" w:ascii="仿宋" w:hAnsi="仿宋" w:eastAsia="仿宋" w:cs="仿宋"/>
                <w:b/>
                <w:bCs/>
                <w:i w:val="0"/>
                <w:iCs w:val="0"/>
                <w:color w:val="FF0000"/>
                <w:sz w:val="24"/>
                <w:szCs w:val="24"/>
                <w:highlight w:val="none"/>
                <w:u w:val="none"/>
              </w:rPr>
            </w:pPr>
            <w:r>
              <w:rPr>
                <w:rFonts w:hint="eastAsia" w:ascii="仿宋" w:hAnsi="仿宋" w:eastAsia="仿宋" w:cs="仿宋"/>
                <w:b/>
                <w:bCs/>
                <w:i w:val="0"/>
                <w:iCs w:val="0"/>
                <w:color w:val="FF0000"/>
                <w:kern w:val="0"/>
                <w:sz w:val="24"/>
                <w:szCs w:val="24"/>
                <w:highlight w:val="none"/>
                <w:u w:val="none"/>
                <w:lang w:val="en-US" w:eastAsia="zh-CN" w:bidi="ar"/>
              </w:rPr>
              <w:t xml:space="preserve">-32.8 </w:t>
            </w:r>
          </w:p>
        </w:tc>
      </w:tr>
      <w:tr w14:paraId="4391A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134" w:type="dxa"/>
            <w:tcBorders>
              <w:top w:val="nil"/>
              <w:left w:val="single" w:color="000000" w:sz="8" w:space="0"/>
              <w:bottom w:val="single" w:color="000000" w:sz="8" w:space="0"/>
              <w:right w:val="single" w:color="000000" w:sz="8" w:space="0"/>
            </w:tcBorders>
            <w:shd w:val="clear" w:color="auto" w:fill="auto"/>
            <w:noWrap/>
            <w:vAlign w:val="center"/>
          </w:tcPr>
          <w:p w14:paraId="480EA0F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229</w:t>
            </w:r>
          </w:p>
        </w:tc>
        <w:tc>
          <w:tcPr>
            <w:tcW w:w="2700" w:type="dxa"/>
            <w:tcBorders>
              <w:top w:val="nil"/>
              <w:left w:val="nil"/>
              <w:bottom w:val="single" w:color="000000" w:sz="8" w:space="0"/>
              <w:right w:val="single" w:color="000000" w:sz="8" w:space="0"/>
            </w:tcBorders>
            <w:shd w:val="clear" w:color="auto" w:fill="FFFFFF"/>
            <w:noWrap/>
            <w:vAlign w:val="center"/>
          </w:tcPr>
          <w:p w14:paraId="56AD7F42">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5.其他支出</w:t>
            </w:r>
          </w:p>
        </w:tc>
        <w:tc>
          <w:tcPr>
            <w:tcW w:w="1545" w:type="dxa"/>
            <w:tcBorders>
              <w:top w:val="nil"/>
              <w:left w:val="nil"/>
              <w:bottom w:val="single" w:color="000000" w:sz="8" w:space="0"/>
              <w:right w:val="single" w:color="000000" w:sz="8" w:space="0"/>
            </w:tcBorders>
            <w:shd w:val="clear" w:color="auto" w:fill="FFFFFF"/>
            <w:noWrap/>
            <w:vAlign w:val="center"/>
          </w:tcPr>
          <w:p w14:paraId="4E3E0C54">
            <w:pPr>
              <w:keepNext w:val="0"/>
              <w:keepLines w:val="0"/>
              <w:widowControl/>
              <w:suppressLineNumbers w:val="0"/>
              <w:jc w:val="right"/>
              <w:textAlignment w:val="center"/>
              <w:rPr>
                <w:rFonts w:hint="default" w:ascii="仿宋" w:hAnsi="仿宋" w:eastAsia="仿宋" w:cs="仿宋"/>
                <w:i w:val="0"/>
                <w:iCs w:val="0"/>
                <w:color w:val="000000"/>
                <w:sz w:val="24"/>
                <w:szCs w:val="24"/>
                <w:highlight w:val="none"/>
                <w:u w:val="none"/>
                <w:lang w:val="en-US"/>
              </w:rPr>
            </w:pPr>
            <w:r>
              <w:rPr>
                <w:rFonts w:hint="default" w:ascii="仿宋" w:hAnsi="仿宋" w:eastAsia="仿宋" w:cs="仿宋"/>
                <w:i w:val="0"/>
                <w:iCs w:val="0"/>
                <w:color w:val="000000"/>
                <w:sz w:val="24"/>
                <w:szCs w:val="24"/>
                <w:highlight w:val="none"/>
                <w:u w:val="none"/>
                <w:lang w:val="en-US"/>
              </w:rPr>
              <w:t>164573</w:t>
            </w:r>
          </w:p>
        </w:tc>
        <w:tc>
          <w:tcPr>
            <w:tcW w:w="1590" w:type="dxa"/>
            <w:tcBorders>
              <w:top w:val="nil"/>
              <w:left w:val="nil"/>
              <w:bottom w:val="single" w:color="000000" w:sz="8" w:space="0"/>
              <w:right w:val="single" w:color="000000" w:sz="8" w:space="0"/>
            </w:tcBorders>
            <w:shd w:val="clear" w:color="auto" w:fill="FFFFFF"/>
            <w:noWrap/>
            <w:vAlign w:val="center"/>
          </w:tcPr>
          <w:p w14:paraId="2B6A5D04">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97.0 </w:t>
            </w:r>
          </w:p>
        </w:tc>
        <w:tc>
          <w:tcPr>
            <w:tcW w:w="1605" w:type="dxa"/>
            <w:tcBorders>
              <w:top w:val="nil"/>
              <w:left w:val="nil"/>
              <w:bottom w:val="single" w:color="000000" w:sz="8" w:space="0"/>
              <w:right w:val="single" w:color="000000" w:sz="8" w:space="0"/>
            </w:tcBorders>
            <w:shd w:val="clear" w:color="auto" w:fill="FFFFFF"/>
            <w:noWrap/>
            <w:vAlign w:val="center"/>
          </w:tcPr>
          <w:p w14:paraId="7939B283">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bCs/>
                <w:i w:val="0"/>
                <w:iCs w:val="0"/>
                <w:color w:val="FF0000"/>
                <w:kern w:val="0"/>
                <w:sz w:val="24"/>
                <w:szCs w:val="24"/>
                <w:highlight w:val="none"/>
                <w:u w:val="none"/>
                <w:lang w:val="en-US" w:eastAsia="zh-CN" w:bidi="ar"/>
              </w:rPr>
              <w:t xml:space="preserve">-30.6 </w:t>
            </w:r>
          </w:p>
        </w:tc>
      </w:tr>
      <w:tr w14:paraId="7F843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34" w:type="dxa"/>
            <w:tcBorders>
              <w:top w:val="nil"/>
              <w:left w:val="single" w:color="000000" w:sz="8" w:space="0"/>
              <w:bottom w:val="single" w:color="000000" w:sz="8" w:space="0"/>
              <w:right w:val="single" w:color="000000" w:sz="8" w:space="0"/>
            </w:tcBorders>
            <w:shd w:val="clear" w:color="auto" w:fill="auto"/>
            <w:noWrap/>
            <w:vAlign w:val="center"/>
          </w:tcPr>
          <w:p w14:paraId="7828B9F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232</w:t>
            </w:r>
          </w:p>
        </w:tc>
        <w:tc>
          <w:tcPr>
            <w:tcW w:w="2700" w:type="dxa"/>
            <w:tcBorders>
              <w:top w:val="nil"/>
              <w:left w:val="nil"/>
              <w:bottom w:val="single" w:color="000000" w:sz="8" w:space="0"/>
              <w:right w:val="single" w:color="000000" w:sz="8" w:space="0"/>
            </w:tcBorders>
            <w:shd w:val="clear" w:color="auto" w:fill="FFFFFF"/>
            <w:noWrap/>
            <w:vAlign w:val="center"/>
          </w:tcPr>
          <w:p w14:paraId="49D45145">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6.债务付息支出</w:t>
            </w:r>
          </w:p>
        </w:tc>
        <w:tc>
          <w:tcPr>
            <w:tcW w:w="1545" w:type="dxa"/>
            <w:tcBorders>
              <w:top w:val="nil"/>
              <w:left w:val="nil"/>
              <w:bottom w:val="single" w:color="000000" w:sz="8" w:space="0"/>
              <w:right w:val="single" w:color="000000" w:sz="8" w:space="0"/>
            </w:tcBorders>
            <w:shd w:val="clear" w:color="auto" w:fill="FFFFFF"/>
            <w:noWrap/>
            <w:vAlign w:val="center"/>
          </w:tcPr>
          <w:p w14:paraId="16B1E4EF">
            <w:pPr>
              <w:keepNext w:val="0"/>
              <w:keepLines w:val="0"/>
              <w:widowControl/>
              <w:suppressLineNumbers w:val="0"/>
              <w:jc w:val="right"/>
              <w:textAlignment w:val="center"/>
              <w:rPr>
                <w:rFonts w:hint="default" w:ascii="仿宋" w:hAnsi="仿宋" w:eastAsia="仿宋" w:cs="仿宋"/>
                <w:i w:val="0"/>
                <w:iCs w:val="0"/>
                <w:color w:val="000000"/>
                <w:sz w:val="24"/>
                <w:szCs w:val="24"/>
                <w:highlight w:val="none"/>
                <w:u w:val="none"/>
                <w:lang w:val="en-US"/>
              </w:rPr>
            </w:pPr>
            <w:r>
              <w:rPr>
                <w:rFonts w:hint="default" w:ascii="仿宋" w:hAnsi="仿宋" w:eastAsia="仿宋" w:cs="仿宋"/>
                <w:i w:val="0"/>
                <w:iCs w:val="0"/>
                <w:color w:val="000000"/>
                <w:sz w:val="24"/>
                <w:szCs w:val="24"/>
                <w:highlight w:val="none"/>
                <w:u w:val="none"/>
                <w:lang w:val="en-US"/>
              </w:rPr>
              <w:t>23776</w:t>
            </w:r>
          </w:p>
        </w:tc>
        <w:tc>
          <w:tcPr>
            <w:tcW w:w="1590" w:type="dxa"/>
            <w:tcBorders>
              <w:top w:val="nil"/>
              <w:left w:val="nil"/>
              <w:bottom w:val="single" w:color="000000" w:sz="8" w:space="0"/>
              <w:right w:val="single" w:color="000000" w:sz="8" w:space="0"/>
            </w:tcBorders>
            <w:shd w:val="clear" w:color="auto" w:fill="FFFFFF"/>
            <w:noWrap/>
            <w:vAlign w:val="center"/>
          </w:tcPr>
          <w:p w14:paraId="539C1D0B">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100.0 </w:t>
            </w:r>
          </w:p>
        </w:tc>
        <w:tc>
          <w:tcPr>
            <w:tcW w:w="1605" w:type="dxa"/>
            <w:tcBorders>
              <w:top w:val="nil"/>
              <w:left w:val="nil"/>
              <w:bottom w:val="single" w:color="000000" w:sz="8" w:space="0"/>
              <w:right w:val="single" w:color="000000" w:sz="8" w:space="0"/>
            </w:tcBorders>
            <w:shd w:val="clear" w:color="auto" w:fill="FFFFFF"/>
            <w:noWrap/>
            <w:vAlign w:val="center"/>
          </w:tcPr>
          <w:p w14:paraId="02A66B2C">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 xml:space="preserve">27.7 </w:t>
            </w:r>
          </w:p>
        </w:tc>
      </w:tr>
      <w:tr w14:paraId="63196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134" w:type="dxa"/>
            <w:tcBorders>
              <w:top w:val="nil"/>
              <w:left w:val="single" w:color="000000" w:sz="8" w:space="0"/>
              <w:bottom w:val="single" w:color="000000" w:sz="8" w:space="0"/>
              <w:right w:val="single" w:color="000000" w:sz="8" w:space="0"/>
            </w:tcBorders>
            <w:shd w:val="clear" w:color="auto" w:fill="auto"/>
            <w:noWrap/>
            <w:vAlign w:val="center"/>
          </w:tcPr>
          <w:p w14:paraId="302061F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233</w:t>
            </w:r>
          </w:p>
        </w:tc>
        <w:tc>
          <w:tcPr>
            <w:tcW w:w="2700" w:type="dxa"/>
            <w:tcBorders>
              <w:top w:val="nil"/>
              <w:left w:val="nil"/>
              <w:bottom w:val="single" w:color="000000" w:sz="8" w:space="0"/>
              <w:right w:val="single" w:color="000000" w:sz="8" w:space="0"/>
            </w:tcBorders>
            <w:shd w:val="clear" w:color="auto" w:fill="FFFFFF"/>
            <w:noWrap/>
            <w:vAlign w:val="center"/>
          </w:tcPr>
          <w:p w14:paraId="3C09AD45">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7.债务发行费用支出</w:t>
            </w:r>
          </w:p>
        </w:tc>
        <w:tc>
          <w:tcPr>
            <w:tcW w:w="1545" w:type="dxa"/>
            <w:tcBorders>
              <w:top w:val="nil"/>
              <w:left w:val="nil"/>
              <w:bottom w:val="single" w:color="000000" w:sz="8" w:space="0"/>
              <w:right w:val="single" w:color="000000" w:sz="8" w:space="0"/>
            </w:tcBorders>
            <w:shd w:val="clear" w:color="auto" w:fill="FFFFFF"/>
            <w:noWrap/>
            <w:vAlign w:val="center"/>
          </w:tcPr>
          <w:p w14:paraId="30784F94">
            <w:pPr>
              <w:keepNext w:val="0"/>
              <w:keepLines w:val="0"/>
              <w:widowControl/>
              <w:suppressLineNumbers w:val="0"/>
              <w:jc w:val="right"/>
              <w:textAlignment w:val="center"/>
              <w:rPr>
                <w:rFonts w:hint="default" w:ascii="仿宋" w:hAnsi="仿宋" w:eastAsia="仿宋" w:cs="仿宋"/>
                <w:i w:val="0"/>
                <w:iCs w:val="0"/>
                <w:color w:val="000000"/>
                <w:sz w:val="24"/>
                <w:szCs w:val="24"/>
                <w:highlight w:val="none"/>
                <w:u w:val="none"/>
                <w:lang w:val="en-US"/>
              </w:rPr>
            </w:pPr>
            <w:r>
              <w:rPr>
                <w:rFonts w:hint="default" w:ascii="仿宋" w:hAnsi="仿宋" w:eastAsia="仿宋" w:cs="仿宋"/>
                <w:i w:val="0"/>
                <w:iCs w:val="0"/>
                <w:color w:val="000000"/>
                <w:sz w:val="24"/>
                <w:szCs w:val="24"/>
                <w:highlight w:val="none"/>
                <w:u w:val="none"/>
                <w:lang w:val="en-US"/>
              </w:rPr>
              <w:t>112</w:t>
            </w:r>
          </w:p>
        </w:tc>
        <w:tc>
          <w:tcPr>
            <w:tcW w:w="1590" w:type="dxa"/>
            <w:tcBorders>
              <w:top w:val="nil"/>
              <w:left w:val="nil"/>
              <w:bottom w:val="single" w:color="000000" w:sz="8" w:space="0"/>
              <w:right w:val="single" w:color="000000" w:sz="8" w:space="0"/>
            </w:tcBorders>
            <w:shd w:val="clear" w:color="auto" w:fill="FFFFFF"/>
            <w:noWrap/>
            <w:vAlign w:val="center"/>
          </w:tcPr>
          <w:p w14:paraId="4A0D0714">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100.0 </w:t>
            </w:r>
          </w:p>
        </w:tc>
        <w:tc>
          <w:tcPr>
            <w:tcW w:w="1605" w:type="dxa"/>
            <w:tcBorders>
              <w:top w:val="nil"/>
              <w:left w:val="nil"/>
              <w:bottom w:val="single" w:color="000000" w:sz="8" w:space="0"/>
              <w:right w:val="single" w:color="000000" w:sz="8" w:space="0"/>
            </w:tcBorders>
            <w:shd w:val="clear" w:color="auto" w:fill="FFFFFF"/>
            <w:noWrap/>
            <w:vAlign w:val="center"/>
          </w:tcPr>
          <w:p w14:paraId="024C1278">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bCs/>
                <w:i w:val="0"/>
                <w:iCs w:val="0"/>
                <w:color w:val="FF0000"/>
                <w:kern w:val="0"/>
                <w:sz w:val="24"/>
                <w:szCs w:val="24"/>
                <w:highlight w:val="none"/>
                <w:u w:val="none"/>
                <w:lang w:val="en-US" w:eastAsia="zh-CN" w:bidi="ar"/>
              </w:rPr>
              <w:t xml:space="preserve">-53.9 </w:t>
            </w:r>
          </w:p>
        </w:tc>
      </w:tr>
    </w:tbl>
    <w:p w14:paraId="3DF09A94">
      <w:pPr>
        <w:pStyle w:val="17"/>
        <w:ind w:left="0" w:leftChars="0" w:firstLine="0" w:firstLineChars="0"/>
        <w:rPr>
          <w:rFonts w:hint="default"/>
          <w:highlight w:val="none"/>
          <w:lang w:val="en-US" w:eastAsia="zh-CN"/>
        </w:rPr>
      </w:pPr>
    </w:p>
    <w:p w14:paraId="673A8C23">
      <w:pPr>
        <w:pStyle w:val="17"/>
        <w:ind w:left="0" w:leftChars="0" w:firstLine="0" w:firstLineChars="0"/>
        <w:rPr>
          <w:rFonts w:hint="default"/>
          <w:highlight w:val="none"/>
          <w:lang w:val="en-US" w:eastAsia="zh-CN"/>
        </w:rPr>
      </w:pPr>
    </w:p>
    <w:p w14:paraId="4289705F">
      <w:pPr>
        <w:pStyle w:val="17"/>
        <w:ind w:left="0" w:leftChars="0" w:firstLine="0" w:firstLineChars="0"/>
        <w:rPr>
          <w:rFonts w:hint="default"/>
          <w:highlight w:val="none"/>
          <w:lang w:val="en-US" w:eastAsia="zh-CN"/>
        </w:rPr>
      </w:pPr>
    </w:p>
    <w:p w14:paraId="00460613">
      <w:pPr>
        <w:pStyle w:val="17"/>
        <w:ind w:left="0" w:leftChars="0" w:firstLine="0" w:firstLineChars="0"/>
        <w:rPr>
          <w:rFonts w:hint="default"/>
          <w:highlight w:val="none"/>
          <w:lang w:val="en-US" w:eastAsia="zh-CN"/>
        </w:rPr>
      </w:pPr>
    </w:p>
    <w:p w14:paraId="6C2AEE97">
      <w:pPr>
        <w:pStyle w:val="17"/>
        <w:ind w:left="0" w:leftChars="0" w:firstLine="0" w:firstLineChars="0"/>
        <w:rPr>
          <w:rFonts w:hint="default"/>
          <w:highlight w:val="none"/>
          <w:lang w:val="en-US" w:eastAsia="zh-CN"/>
        </w:rPr>
      </w:pPr>
    </w:p>
    <w:p w14:paraId="1363D31E">
      <w:pPr>
        <w:pStyle w:val="17"/>
        <w:ind w:left="0" w:leftChars="0" w:firstLine="0" w:firstLineChars="0"/>
        <w:rPr>
          <w:rFonts w:hint="default"/>
          <w:highlight w:val="none"/>
          <w:lang w:val="en-US" w:eastAsia="zh-CN"/>
        </w:rPr>
      </w:pPr>
    </w:p>
    <w:p w14:paraId="09771E19">
      <w:pPr>
        <w:pStyle w:val="17"/>
        <w:ind w:left="0" w:leftChars="0" w:firstLine="0" w:firstLineChars="0"/>
        <w:rPr>
          <w:rFonts w:hint="default"/>
          <w:highlight w:val="none"/>
          <w:lang w:val="en-US" w:eastAsia="zh-CN"/>
        </w:rPr>
      </w:pPr>
    </w:p>
    <w:p w14:paraId="12B59E86">
      <w:pPr>
        <w:pStyle w:val="17"/>
        <w:ind w:left="0" w:leftChars="0" w:firstLine="0" w:firstLineChars="0"/>
        <w:rPr>
          <w:rFonts w:hint="default"/>
          <w:highlight w:val="none"/>
          <w:lang w:val="en-US" w:eastAsia="zh-CN"/>
        </w:rPr>
      </w:pPr>
    </w:p>
    <w:p w14:paraId="04FCDA37">
      <w:pPr>
        <w:pStyle w:val="17"/>
        <w:ind w:left="0" w:leftChars="0" w:firstLine="0" w:firstLineChars="0"/>
        <w:rPr>
          <w:rFonts w:hint="default"/>
          <w:highlight w:val="none"/>
          <w:lang w:val="en-US" w:eastAsia="zh-CN"/>
        </w:rPr>
      </w:pPr>
    </w:p>
    <w:p w14:paraId="592C2DF1">
      <w:pPr>
        <w:pStyle w:val="17"/>
        <w:ind w:left="0" w:leftChars="0" w:firstLine="0" w:firstLineChars="0"/>
        <w:rPr>
          <w:rFonts w:hint="default"/>
          <w:highlight w:val="none"/>
          <w:lang w:val="en-US" w:eastAsia="zh-CN"/>
        </w:rPr>
      </w:pPr>
    </w:p>
    <w:p w14:paraId="1A4A5E0D">
      <w:pPr>
        <w:pStyle w:val="17"/>
        <w:ind w:left="0" w:leftChars="0" w:firstLine="0" w:firstLineChars="0"/>
        <w:rPr>
          <w:rFonts w:hint="default"/>
          <w:highlight w:val="none"/>
          <w:lang w:val="en-US" w:eastAsia="zh-CN"/>
        </w:rPr>
      </w:pPr>
    </w:p>
    <w:p w14:paraId="2C492E18">
      <w:pPr>
        <w:pStyle w:val="17"/>
        <w:ind w:left="0" w:leftChars="0" w:firstLine="0" w:firstLineChars="0"/>
        <w:rPr>
          <w:rFonts w:hint="default"/>
          <w:highlight w:val="none"/>
          <w:lang w:val="en-US" w:eastAsia="zh-CN"/>
        </w:rPr>
      </w:pPr>
    </w:p>
    <w:p w14:paraId="26DFD14A">
      <w:pPr>
        <w:pStyle w:val="17"/>
        <w:ind w:left="0" w:leftChars="0" w:firstLine="0" w:firstLineChars="0"/>
        <w:rPr>
          <w:rFonts w:hint="default"/>
          <w:highlight w:val="none"/>
          <w:lang w:val="en-US" w:eastAsia="zh-CN"/>
        </w:rPr>
      </w:pPr>
    </w:p>
    <w:p w14:paraId="5048292B">
      <w:pPr>
        <w:pStyle w:val="17"/>
        <w:ind w:left="0" w:leftChars="0" w:firstLine="0" w:firstLineChars="0"/>
        <w:rPr>
          <w:rFonts w:hint="default"/>
          <w:highlight w:val="none"/>
          <w:lang w:val="en-US" w:eastAsia="zh-CN"/>
        </w:rPr>
      </w:pPr>
    </w:p>
    <w:p w14:paraId="0100E42E">
      <w:pPr>
        <w:pStyle w:val="17"/>
        <w:ind w:left="0" w:leftChars="0" w:firstLine="0" w:firstLineChars="0"/>
        <w:rPr>
          <w:rFonts w:hint="default"/>
          <w:highlight w:val="none"/>
          <w:lang w:val="en-US" w:eastAsia="zh-CN"/>
        </w:rPr>
      </w:pPr>
    </w:p>
    <w:p w14:paraId="4395BC31">
      <w:pPr>
        <w:pStyle w:val="17"/>
        <w:ind w:left="0" w:leftChars="0" w:firstLine="0" w:firstLineChars="0"/>
        <w:rPr>
          <w:rFonts w:hint="default"/>
          <w:highlight w:val="none"/>
          <w:lang w:val="en-US" w:eastAsia="zh-CN"/>
        </w:rPr>
      </w:pPr>
    </w:p>
    <w:p w14:paraId="62D407B5">
      <w:pPr>
        <w:pStyle w:val="17"/>
        <w:ind w:left="0" w:leftChars="0" w:firstLine="0" w:firstLineChars="0"/>
        <w:rPr>
          <w:rFonts w:hint="default"/>
          <w:highlight w:val="none"/>
          <w:lang w:val="en-US" w:eastAsia="zh-CN"/>
        </w:rPr>
      </w:pPr>
    </w:p>
    <w:p w14:paraId="72CBF2EE">
      <w:pPr>
        <w:pStyle w:val="17"/>
        <w:ind w:left="0" w:leftChars="0" w:firstLine="0" w:firstLineChars="0"/>
        <w:rPr>
          <w:rFonts w:hint="default"/>
          <w:highlight w:val="none"/>
          <w:lang w:val="en-US" w:eastAsia="zh-CN"/>
        </w:rPr>
      </w:pPr>
    </w:p>
    <w:p w14:paraId="4C573EA6">
      <w:pPr>
        <w:pStyle w:val="17"/>
        <w:ind w:left="0" w:leftChars="0" w:firstLine="0" w:firstLineChars="0"/>
        <w:rPr>
          <w:rFonts w:hint="default"/>
          <w:highlight w:val="none"/>
          <w:lang w:val="en-US" w:eastAsia="zh-CN"/>
        </w:rPr>
      </w:pPr>
    </w:p>
    <w:p w14:paraId="001DBE30">
      <w:pPr>
        <w:pStyle w:val="17"/>
        <w:ind w:left="0" w:leftChars="0" w:firstLine="0" w:firstLineChars="0"/>
        <w:rPr>
          <w:rFonts w:hint="default"/>
          <w:highlight w:val="none"/>
          <w:lang w:val="en-US" w:eastAsia="zh-CN"/>
        </w:rPr>
      </w:pPr>
    </w:p>
    <w:p w14:paraId="578113C3">
      <w:pPr>
        <w:pStyle w:val="17"/>
        <w:ind w:left="0" w:leftChars="0" w:firstLine="0" w:firstLineChars="0"/>
        <w:rPr>
          <w:rFonts w:hint="default"/>
          <w:highlight w:val="none"/>
          <w:lang w:val="en-US" w:eastAsia="zh-CN"/>
        </w:rPr>
      </w:pPr>
    </w:p>
    <w:p w14:paraId="55A0DA99">
      <w:pPr>
        <w:pStyle w:val="17"/>
        <w:ind w:left="0" w:leftChars="0" w:firstLine="0" w:firstLineChars="0"/>
        <w:rPr>
          <w:rFonts w:hint="default"/>
          <w:highlight w:val="none"/>
          <w:lang w:val="en-US" w:eastAsia="zh-CN"/>
        </w:rPr>
      </w:pPr>
    </w:p>
    <w:p w14:paraId="0680260E">
      <w:pPr>
        <w:pStyle w:val="17"/>
        <w:ind w:left="0" w:leftChars="0" w:firstLine="0" w:firstLineChars="0"/>
        <w:rPr>
          <w:rFonts w:hint="default"/>
          <w:highlight w:val="none"/>
          <w:lang w:val="en-US" w:eastAsia="zh-CN"/>
        </w:rPr>
      </w:pPr>
    </w:p>
    <w:p w14:paraId="45589326">
      <w:pPr>
        <w:pBdr>
          <w:bottom w:val="single" w:color="FFFFFF" w:sz="4" w:space="31"/>
        </w:pBdr>
        <w:autoSpaceDE w:val="0"/>
        <w:adjustRightInd w:val="0"/>
        <w:snapToGrid w:val="0"/>
        <w:spacing w:line="600" w:lineRule="exact"/>
        <w:jc w:val="center"/>
        <w:rPr>
          <w:rFonts w:hint="eastAsia" w:ascii="仿宋" w:hAnsi="仿宋" w:eastAsia="仿宋" w:cs="宋体"/>
          <w:b/>
          <w:spacing w:val="-4"/>
          <w:kern w:val="0"/>
          <w:sz w:val="32"/>
          <w:szCs w:val="32"/>
          <w:highlight w:val="none"/>
        </w:rPr>
      </w:pPr>
      <w:r>
        <w:rPr>
          <w:rFonts w:hint="eastAsia" w:ascii="仿宋" w:hAnsi="仿宋" w:eastAsia="仿宋" w:cs="宋体"/>
          <w:b/>
          <w:spacing w:val="-4"/>
          <w:kern w:val="0"/>
          <w:sz w:val="32"/>
          <w:szCs w:val="32"/>
          <w:highlight w:val="none"/>
        </w:rPr>
        <w:t>2023年社会保险基金收入情况表</w:t>
      </w:r>
    </w:p>
    <w:tbl>
      <w:tblPr>
        <w:tblStyle w:val="12"/>
        <w:tblW w:w="8182" w:type="dxa"/>
        <w:jc w:val="center"/>
        <w:tblLayout w:type="autofit"/>
        <w:tblCellMar>
          <w:top w:w="0" w:type="dxa"/>
          <w:left w:w="108" w:type="dxa"/>
          <w:bottom w:w="0" w:type="dxa"/>
          <w:right w:w="108" w:type="dxa"/>
        </w:tblCellMar>
      </w:tblPr>
      <w:tblGrid>
        <w:gridCol w:w="1745"/>
        <w:gridCol w:w="4719"/>
        <w:gridCol w:w="1718"/>
      </w:tblGrid>
      <w:tr w14:paraId="150CA2A3">
        <w:tblPrEx>
          <w:tblCellMar>
            <w:top w:w="0" w:type="dxa"/>
            <w:left w:w="108" w:type="dxa"/>
            <w:bottom w:w="0" w:type="dxa"/>
            <w:right w:w="108" w:type="dxa"/>
          </w:tblCellMar>
        </w:tblPrEx>
        <w:trPr>
          <w:trHeight w:val="480" w:hRule="atLeast"/>
          <w:jc w:val="center"/>
        </w:trPr>
        <w:tc>
          <w:tcPr>
            <w:tcW w:w="1745" w:type="dxa"/>
            <w:tcBorders>
              <w:top w:val="nil"/>
              <w:left w:val="nil"/>
              <w:bottom w:val="nil"/>
              <w:right w:val="nil"/>
            </w:tcBorders>
            <w:noWrap/>
            <w:vAlign w:val="center"/>
          </w:tcPr>
          <w:p w14:paraId="3F1A0F0A">
            <w:pPr>
              <w:widowControl/>
              <w:jc w:val="left"/>
              <w:rPr>
                <w:rFonts w:ascii="仿宋" w:hAnsi="仿宋" w:eastAsia="仿宋" w:cs="Times New Roman"/>
                <w:kern w:val="0"/>
                <w:sz w:val="22"/>
                <w:szCs w:val="22"/>
                <w:highlight w:val="none"/>
              </w:rPr>
            </w:pPr>
          </w:p>
        </w:tc>
        <w:tc>
          <w:tcPr>
            <w:tcW w:w="4719" w:type="dxa"/>
            <w:tcBorders>
              <w:top w:val="nil"/>
              <w:left w:val="nil"/>
              <w:bottom w:val="nil"/>
              <w:right w:val="nil"/>
            </w:tcBorders>
            <w:noWrap/>
            <w:vAlign w:val="center"/>
          </w:tcPr>
          <w:p w14:paraId="4DE43EFA">
            <w:pPr>
              <w:widowControl/>
              <w:jc w:val="left"/>
              <w:rPr>
                <w:rFonts w:ascii="仿宋" w:hAnsi="仿宋" w:eastAsia="仿宋" w:cs="Times New Roman"/>
                <w:kern w:val="0"/>
                <w:sz w:val="22"/>
                <w:szCs w:val="22"/>
                <w:highlight w:val="none"/>
              </w:rPr>
            </w:pPr>
          </w:p>
        </w:tc>
        <w:tc>
          <w:tcPr>
            <w:tcW w:w="1718" w:type="dxa"/>
            <w:tcBorders>
              <w:top w:val="nil"/>
              <w:left w:val="nil"/>
              <w:bottom w:val="nil"/>
              <w:right w:val="nil"/>
            </w:tcBorders>
            <w:noWrap/>
            <w:vAlign w:val="center"/>
          </w:tcPr>
          <w:p w14:paraId="0ABA383F">
            <w:pPr>
              <w:widowControl/>
              <w:jc w:val="right"/>
              <w:rPr>
                <w:rFonts w:ascii="仿宋" w:hAnsi="仿宋" w:eastAsia="仿宋" w:cs="Times New Roman"/>
                <w:b/>
                <w:kern w:val="0"/>
                <w:sz w:val="22"/>
                <w:szCs w:val="22"/>
                <w:highlight w:val="none"/>
              </w:rPr>
            </w:pPr>
            <w:r>
              <w:rPr>
                <w:rFonts w:hint="eastAsia" w:ascii="仿宋" w:hAnsi="仿宋" w:eastAsia="仿宋" w:cs="Times New Roman"/>
                <w:b/>
                <w:kern w:val="0"/>
                <w:sz w:val="22"/>
                <w:szCs w:val="22"/>
                <w:highlight w:val="none"/>
              </w:rPr>
              <w:t>单位：万元</w:t>
            </w:r>
          </w:p>
        </w:tc>
      </w:tr>
      <w:tr w14:paraId="687080E8">
        <w:tblPrEx>
          <w:tblCellMar>
            <w:top w:w="0" w:type="dxa"/>
            <w:left w:w="108" w:type="dxa"/>
            <w:bottom w:w="0" w:type="dxa"/>
            <w:right w:w="108" w:type="dxa"/>
          </w:tblCellMar>
        </w:tblPrEx>
        <w:trPr>
          <w:trHeight w:val="660" w:hRule="atLeast"/>
          <w:jc w:val="center"/>
        </w:trPr>
        <w:tc>
          <w:tcPr>
            <w:tcW w:w="1745" w:type="dxa"/>
            <w:tcBorders>
              <w:top w:val="single" w:color="auto" w:sz="4" w:space="0"/>
              <w:left w:val="single" w:color="auto" w:sz="4" w:space="0"/>
              <w:bottom w:val="single" w:color="auto" w:sz="4" w:space="0"/>
              <w:right w:val="single" w:color="auto" w:sz="4" w:space="0"/>
            </w:tcBorders>
            <w:noWrap/>
            <w:vAlign w:val="center"/>
          </w:tcPr>
          <w:p w14:paraId="2C142D95">
            <w:pPr>
              <w:widowControl/>
              <w:jc w:val="center"/>
              <w:rPr>
                <w:rFonts w:ascii="仿宋" w:hAnsi="仿宋" w:eastAsia="仿宋" w:cs="Times New Roman"/>
                <w:b/>
                <w:bCs/>
                <w:kern w:val="0"/>
                <w:sz w:val="24"/>
                <w:highlight w:val="none"/>
              </w:rPr>
            </w:pPr>
            <w:r>
              <w:rPr>
                <w:rFonts w:hint="eastAsia" w:ascii="仿宋" w:hAnsi="仿宋" w:eastAsia="仿宋" w:cs="Times New Roman"/>
                <w:b/>
                <w:bCs/>
                <w:kern w:val="0"/>
                <w:sz w:val="24"/>
                <w:highlight w:val="none"/>
              </w:rPr>
              <w:t>科目编码</w:t>
            </w:r>
          </w:p>
        </w:tc>
        <w:tc>
          <w:tcPr>
            <w:tcW w:w="4719" w:type="dxa"/>
            <w:tcBorders>
              <w:top w:val="single" w:color="auto" w:sz="4" w:space="0"/>
              <w:left w:val="nil"/>
              <w:bottom w:val="single" w:color="auto" w:sz="4" w:space="0"/>
              <w:right w:val="single" w:color="auto" w:sz="4" w:space="0"/>
            </w:tcBorders>
            <w:noWrap/>
            <w:vAlign w:val="center"/>
          </w:tcPr>
          <w:p w14:paraId="7165C257">
            <w:pPr>
              <w:widowControl/>
              <w:jc w:val="center"/>
              <w:rPr>
                <w:rFonts w:ascii="仿宋" w:hAnsi="仿宋" w:eastAsia="仿宋" w:cs="Times New Roman"/>
                <w:b/>
                <w:bCs/>
                <w:kern w:val="0"/>
                <w:sz w:val="24"/>
                <w:highlight w:val="none"/>
              </w:rPr>
            </w:pPr>
            <w:r>
              <w:rPr>
                <w:rFonts w:hint="eastAsia" w:ascii="仿宋" w:hAnsi="仿宋" w:eastAsia="仿宋" w:cs="Times New Roman"/>
                <w:b/>
                <w:bCs/>
                <w:kern w:val="0"/>
                <w:sz w:val="24"/>
                <w:highlight w:val="none"/>
              </w:rPr>
              <w:t>科目名称</w:t>
            </w:r>
          </w:p>
        </w:tc>
        <w:tc>
          <w:tcPr>
            <w:tcW w:w="1718" w:type="dxa"/>
            <w:tcBorders>
              <w:top w:val="single" w:color="auto" w:sz="4" w:space="0"/>
              <w:left w:val="nil"/>
              <w:bottom w:val="single" w:color="auto" w:sz="4" w:space="0"/>
              <w:right w:val="single" w:color="auto" w:sz="4" w:space="0"/>
            </w:tcBorders>
            <w:noWrap/>
            <w:vAlign w:val="center"/>
          </w:tcPr>
          <w:p w14:paraId="58223E83">
            <w:pPr>
              <w:widowControl/>
              <w:jc w:val="center"/>
              <w:rPr>
                <w:rFonts w:ascii="仿宋" w:hAnsi="仿宋" w:eastAsia="仿宋" w:cs="宋体"/>
                <w:b/>
                <w:bCs/>
                <w:kern w:val="0"/>
                <w:sz w:val="24"/>
                <w:highlight w:val="none"/>
              </w:rPr>
            </w:pPr>
            <w:r>
              <w:rPr>
                <w:rFonts w:hint="eastAsia" w:ascii="仿宋" w:hAnsi="仿宋" w:eastAsia="仿宋" w:cs="宋体"/>
                <w:b/>
                <w:bCs/>
                <w:kern w:val="0"/>
                <w:sz w:val="24"/>
                <w:highlight w:val="none"/>
              </w:rPr>
              <w:t>执行数</w:t>
            </w:r>
          </w:p>
        </w:tc>
      </w:tr>
      <w:tr w14:paraId="6AD278FA">
        <w:tblPrEx>
          <w:tblCellMar>
            <w:top w:w="0" w:type="dxa"/>
            <w:left w:w="108" w:type="dxa"/>
            <w:bottom w:w="0" w:type="dxa"/>
            <w:right w:w="108" w:type="dxa"/>
          </w:tblCellMar>
        </w:tblPrEx>
        <w:trPr>
          <w:trHeight w:val="495" w:hRule="atLeast"/>
          <w:jc w:val="center"/>
        </w:trPr>
        <w:tc>
          <w:tcPr>
            <w:tcW w:w="1745" w:type="dxa"/>
            <w:tcBorders>
              <w:top w:val="nil"/>
              <w:left w:val="single" w:color="auto" w:sz="4" w:space="0"/>
              <w:bottom w:val="single" w:color="auto" w:sz="4" w:space="0"/>
              <w:right w:val="single" w:color="auto" w:sz="4" w:space="0"/>
            </w:tcBorders>
            <w:noWrap/>
            <w:vAlign w:val="center"/>
          </w:tcPr>
          <w:p w14:paraId="5839E915">
            <w:pPr>
              <w:widowControl/>
              <w:jc w:val="left"/>
              <w:rPr>
                <w:rFonts w:ascii="仿宋" w:hAnsi="仿宋" w:eastAsia="仿宋" w:cs="Times New Roman"/>
                <w:b/>
                <w:bCs/>
                <w:kern w:val="0"/>
                <w:sz w:val="24"/>
                <w:highlight w:val="none"/>
              </w:rPr>
            </w:pPr>
            <w:r>
              <w:rPr>
                <w:rFonts w:ascii="仿宋" w:hAnsi="仿宋" w:eastAsia="仿宋" w:cs="Times New Roman"/>
                <w:b/>
                <w:bCs/>
                <w:kern w:val="0"/>
                <w:sz w:val="24"/>
                <w:highlight w:val="none"/>
              </w:rPr>
              <w:t>102</w:t>
            </w:r>
          </w:p>
        </w:tc>
        <w:tc>
          <w:tcPr>
            <w:tcW w:w="4719" w:type="dxa"/>
            <w:tcBorders>
              <w:top w:val="nil"/>
              <w:left w:val="nil"/>
              <w:bottom w:val="single" w:color="auto" w:sz="4" w:space="0"/>
              <w:right w:val="single" w:color="auto" w:sz="4" w:space="0"/>
            </w:tcBorders>
            <w:noWrap/>
            <w:vAlign w:val="center"/>
          </w:tcPr>
          <w:p w14:paraId="394025BE">
            <w:pPr>
              <w:widowControl/>
              <w:jc w:val="left"/>
              <w:rPr>
                <w:rFonts w:ascii="仿宋" w:hAnsi="仿宋" w:eastAsia="仿宋" w:cs="Times New Roman"/>
                <w:b/>
                <w:bCs/>
                <w:kern w:val="0"/>
                <w:sz w:val="24"/>
                <w:highlight w:val="none"/>
              </w:rPr>
            </w:pPr>
            <w:r>
              <w:rPr>
                <w:rFonts w:hint="eastAsia" w:ascii="仿宋" w:hAnsi="仿宋" w:eastAsia="仿宋" w:cs="Times New Roman"/>
                <w:b/>
                <w:bCs/>
                <w:kern w:val="0"/>
                <w:sz w:val="24"/>
                <w:highlight w:val="none"/>
              </w:rPr>
              <w:t>社保保险基金收入</w:t>
            </w:r>
          </w:p>
        </w:tc>
        <w:tc>
          <w:tcPr>
            <w:tcW w:w="1718" w:type="dxa"/>
            <w:tcBorders>
              <w:top w:val="nil"/>
              <w:left w:val="nil"/>
              <w:bottom w:val="single" w:color="auto" w:sz="4" w:space="0"/>
              <w:right w:val="single" w:color="auto" w:sz="4" w:space="0"/>
            </w:tcBorders>
            <w:noWrap/>
            <w:vAlign w:val="center"/>
          </w:tcPr>
          <w:p w14:paraId="02C78606">
            <w:pPr>
              <w:widowControl/>
              <w:jc w:val="right"/>
              <w:rPr>
                <w:rFonts w:hint="default" w:ascii="仿宋" w:hAnsi="仿宋" w:eastAsia="仿宋" w:cs="Times New Roman"/>
                <w:b/>
                <w:bCs/>
                <w:kern w:val="0"/>
                <w:sz w:val="24"/>
                <w:highlight w:val="none"/>
                <w:lang w:val="en-US"/>
              </w:rPr>
            </w:pPr>
            <w:r>
              <w:rPr>
                <w:rFonts w:hint="eastAsia" w:ascii="仿宋" w:hAnsi="仿宋" w:eastAsia="仿宋" w:cs="Times New Roman"/>
                <w:b/>
                <w:bCs/>
                <w:kern w:val="0"/>
                <w:sz w:val="24"/>
                <w:lang w:val="en-US" w:eastAsia="zh-CN"/>
              </w:rPr>
              <w:t>60903</w:t>
            </w:r>
          </w:p>
        </w:tc>
      </w:tr>
      <w:tr w14:paraId="52C498D0">
        <w:tblPrEx>
          <w:tblCellMar>
            <w:top w:w="0" w:type="dxa"/>
            <w:left w:w="108" w:type="dxa"/>
            <w:bottom w:w="0" w:type="dxa"/>
            <w:right w:w="108" w:type="dxa"/>
          </w:tblCellMar>
        </w:tblPrEx>
        <w:trPr>
          <w:trHeight w:val="495" w:hRule="atLeast"/>
          <w:jc w:val="center"/>
        </w:trPr>
        <w:tc>
          <w:tcPr>
            <w:tcW w:w="1745" w:type="dxa"/>
            <w:tcBorders>
              <w:top w:val="nil"/>
              <w:left w:val="single" w:color="auto" w:sz="4" w:space="0"/>
              <w:bottom w:val="single" w:color="auto" w:sz="4" w:space="0"/>
              <w:right w:val="single" w:color="auto" w:sz="4" w:space="0"/>
            </w:tcBorders>
            <w:noWrap/>
            <w:vAlign w:val="center"/>
          </w:tcPr>
          <w:p w14:paraId="22C51946">
            <w:pPr>
              <w:widowControl/>
              <w:ind w:firstLine="241" w:firstLineChars="100"/>
              <w:jc w:val="left"/>
              <w:rPr>
                <w:rFonts w:ascii="仿宋" w:hAnsi="仿宋" w:eastAsia="仿宋" w:cs="Times New Roman"/>
                <w:b/>
                <w:bCs/>
                <w:kern w:val="0"/>
                <w:sz w:val="24"/>
                <w:highlight w:val="none"/>
              </w:rPr>
            </w:pPr>
            <w:r>
              <w:rPr>
                <w:rFonts w:ascii="仿宋" w:hAnsi="仿宋" w:eastAsia="仿宋" w:cs="Times New Roman"/>
                <w:b/>
                <w:bCs/>
                <w:kern w:val="0"/>
                <w:sz w:val="24"/>
                <w:highlight w:val="none"/>
              </w:rPr>
              <w:t>10210</w:t>
            </w:r>
          </w:p>
        </w:tc>
        <w:tc>
          <w:tcPr>
            <w:tcW w:w="4719" w:type="dxa"/>
            <w:tcBorders>
              <w:top w:val="nil"/>
              <w:left w:val="nil"/>
              <w:bottom w:val="single" w:color="auto" w:sz="4" w:space="0"/>
              <w:right w:val="single" w:color="auto" w:sz="4" w:space="0"/>
            </w:tcBorders>
            <w:noWrap/>
            <w:vAlign w:val="center"/>
          </w:tcPr>
          <w:p w14:paraId="669DB4EA">
            <w:pPr>
              <w:widowControl/>
              <w:ind w:firstLine="241" w:firstLineChars="100"/>
              <w:jc w:val="left"/>
              <w:rPr>
                <w:rFonts w:ascii="仿宋" w:hAnsi="仿宋" w:eastAsia="仿宋" w:cs="宋体"/>
                <w:b/>
                <w:bCs/>
                <w:kern w:val="0"/>
                <w:sz w:val="24"/>
                <w:highlight w:val="none"/>
              </w:rPr>
            </w:pPr>
            <w:r>
              <w:rPr>
                <w:rFonts w:hint="eastAsia" w:ascii="仿宋" w:hAnsi="仿宋" w:eastAsia="仿宋" w:cs="宋体"/>
                <w:b/>
                <w:bCs/>
                <w:kern w:val="0"/>
                <w:sz w:val="24"/>
                <w:highlight w:val="none"/>
              </w:rPr>
              <w:t>城乡居民基本养老保险基金收入</w:t>
            </w:r>
          </w:p>
        </w:tc>
        <w:tc>
          <w:tcPr>
            <w:tcW w:w="1718" w:type="dxa"/>
            <w:tcBorders>
              <w:top w:val="nil"/>
              <w:left w:val="nil"/>
              <w:bottom w:val="single" w:color="auto" w:sz="4" w:space="0"/>
              <w:right w:val="single" w:color="auto" w:sz="4" w:space="0"/>
            </w:tcBorders>
            <w:noWrap/>
            <w:vAlign w:val="center"/>
          </w:tcPr>
          <w:p w14:paraId="0A6CED63">
            <w:pPr>
              <w:widowControl/>
              <w:jc w:val="right"/>
              <w:rPr>
                <w:rFonts w:hint="default" w:ascii="仿宋" w:hAnsi="仿宋" w:eastAsia="仿宋" w:cs="Times New Roman"/>
                <w:b/>
                <w:bCs/>
                <w:kern w:val="0"/>
                <w:sz w:val="24"/>
                <w:highlight w:val="none"/>
                <w:lang w:val="en-US"/>
              </w:rPr>
            </w:pPr>
            <w:r>
              <w:rPr>
                <w:rFonts w:hint="eastAsia" w:ascii="仿宋" w:hAnsi="仿宋" w:eastAsia="仿宋" w:cs="Times New Roman"/>
                <w:b/>
                <w:bCs/>
                <w:kern w:val="0"/>
                <w:sz w:val="24"/>
                <w:lang w:val="en-US" w:eastAsia="zh-CN"/>
              </w:rPr>
              <w:t>24330</w:t>
            </w:r>
          </w:p>
        </w:tc>
      </w:tr>
      <w:tr w14:paraId="2B348DD4">
        <w:tblPrEx>
          <w:tblCellMar>
            <w:top w:w="0" w:type="dxa"/>
            <w:left w:w="108" w:type="dxa"/>
            <w:bottom w:w="0" w:type="dxa"/>
            <w:right w:w="108" w:type="dxa"/>
          </w:tblCellMar>
        </w:tblPrEx>
        <w:trPr>
          <w:trHeight w:val="495" w:hRule="atLeast"/>
          <w:jc w:val="center"/>
        </w:trPr>
        <w:tc>
          <w:tcPr>
            <w:tcW w:w="1745" w:type="dxa"/>
            <w:tcBorders>
              <w:top w:val="nil"/>
              <w:left w:val="single" w:color="auto" w:sz="4" w:space="0"/>
              <w:bottom w:val="single" w:color="auto" w:sz="4" w:space="0"/>
              <w:right w:val="single" w:color="auto" w:sz="4" w:space="0"/>
            </w:tcBorders>
            <w:noWrap/>
            <w:vAlign w:val="center"/>
          </w:tcPr>
          <w:p w14:paraId="1465B21F">
            <w:pPr>
              <w:widowControl/>
              <w:ind w:firstLine="241" w:firstLineChars="100"/>
              <w:jc w:val="left"/>
              <w:rPr>
                <w:rFonts w:ascii="仿宋" w:hAnsi="仿宋" w:eastAsia="仿宋" w:cs="Times New Roman"/>
                <w:b/>
                <w:bCs/>
                <w:kern w:val="0"/>
                <w:sz w:val="24"/>
                <w:highlight w:val="none"/>
              </w:rPr>
            </w:pPr>
            <w:r>
              <w:rPr>
                <w:rFonts w:ascii="仿宋" w:hAnsi="仿宋" w:eastAsia="仿宋" w:cs="Times New Roman"/>
                <w:b/>
                <w:bCs/>
                <w:kern w:val="0"/>
                <w:sz w:val="24"/>
                <w:highlight w:val="none"/>
              </w:rPr>
              <w:t>10211</w:t>
            </w:r>
          </w:p>
        </w:tc>
        <w:tc>
          <w:tcPr>
            <w:tcW w:w="4719" w:type="dxa"/>
            <w:tcBorders>
              <w:top w:val="nil"/>
              <w:left w:val="nil"/>
              <w:bottom w:val="single" w:color="auto" w:sz="4" w:space="0"/>
              <w:right w:val="single" w:color="auto" w:sz="4" w:space="0"/>
            </w:tcBorders>
            <w:noWrap/>
            <w:vAlign w:val="center"/>
          </w:tcPr>
          <w:p w14:paraId="2F6078B0">
            <w:pPr>
              <w:widowControl/>
              <w:ind w:firstLine="241" w:firstLineChars="100"/>
              <w:jc w:val="left"/>
              <w:rPr>
                <w:rFonts w:ascii="仿宋" w:hAnsi="仿宋" w:eastAsia="仿宋" w:cs="宋体"/>
                <w:b/>
                <w:bCs/>
                <w:kern w:val="0"/>
                <w:sz w:val="24"/>
                <w:highlight w:val="none"/>
              </w:rPr>
            </w:pPr>
            <w:r>
              <w:rPr>
                <w:rFonts w:hint="eastAsia" w:ascii="仿宋" w:hAnsi="仿宋" w:eastAsia="仿宋" w:cs="宋体"/>
                <w:b/>
                <w:bCs/>
                <w:kern w:val="0"/>
                <w:sz w:val="24"/>
                <w:highlight w:val="none"/>
              </w:rPr>
              <w:t>机关事业单位基本养老保险</w:t>
            </w:r>
            <w:r>
              <w:rPr>
                <w:rFonts w:hint="eastAsia" w:ascii="仿宋" w:hAnsi="仿宋" w:eastAsia="仿宋" w:cs="宋体"/>
                <w:b/>
                <w:bCs/>
                <w:kern w:val="0"/>
                <w:sz w:val="24"/>
                <w:highlight w:val="none"/>
                <w:lang w:eastAsia="zh-CN"/>
              </w:rPr>
              <w:t>基金</w:t>
            </w:r>
            <w:r>
              <w:rPr>
                <w:rFonts w:hint="eastAsia" w:ascii="仿宋" w:hAnsi="仿宋" w:eastAsia="仿宋" w:cs="宋体"/>
                <w:b/>
                <w:bCs/>
                <w:kern w:val="0"/>
                <w:sz w:val="24"/>
                <w:highlight w:val="none"/>
              </w:rPr>
              <w:t>收入</w:t>
            </w:r>
          </w:p>
        </w:tc>
        <w:tc>
          <w:tcPr>
            <w:tcW w:w="1718" w:type="dxa"/>
            <w:tcBorders>
              <w:top w:val="nil"/>
              <w:left w:val="nil"/>
              <w:bottom w:val="single" w:color="auto" w:sz="4" w:space="0"/>
              <w:right w:val="single" w:color="auto" w:sz="4" w:space="0"/>
            </w:tcBorders>
            <w:noWrap/>
            <w:vAlign w:val="center"/>
          </w:tcPr>
          <w:p w14:paraId="286536C8">
            <w:pPr>
              <w:widowControl/>
              <w:jc w:val="right"/>
              <w:rPr>
                <w:rFonts w:hint="default" w:ascii="仿宋" w:hAnsi="仿宋" w:eastAsia="仿宋" w:cs="Times New Roman"/>
                <w:b/>
                <w:bCs/>
                <w:kern w:val="0"/>
                <w:sz w:val="24"/>
                <w:highlight w:val="none"/>
                <w:lang w:val="en-US"/>
              </w:rPr>
            </w:pPr>
            <w:r>
              <w:rPr>
                <w:rFonts w:hint="eastAsia" w:ascii="仿宋" w:hAnsi="仿宋" w:eastAsia="仿宋" w:cs="Times New Roman"/>
                <w:b/>
                <w:bCs/>
                <w:kern w:val="0"/>
                <w:sz w:val="24"/>
                <w:lang w:val="en-US" w:eastAsia="zh-CN"/>
              </w:rPr>
              <w:t>36573</w:t>
            </w:r>
          </w:p>
        </w:tc>
      </w:tr>
      <w:tr w14:paraId="71A78C43">
        <w:tblPrEx>
          <w:tblCellMar>
            <w:top w:w="0" w:type="dxa"/>
            <w:left w:w="108" w:type="dxa"/>
            <w:bottom w:w="0" w:type="dxa"/>
            <w:right w:w="108" w:type="dxa"/>
          </w:tblCellMar>
        </w:tblPrEx>
        <w:trPr>
          <w:trHeight w:val="495" w:hRule="atLeast"/>
          <w:jc w:val="center"/>
        </w:trPr>
        <w:tc>
          <w:tcPr>
            <w:tcW w:w="6464" w:type="dxa"/>
            <w:gridSpan w:val="2"/>
            <w:tcBorders>
              <w:top w:val="single" w:color="auto" w:sz="4" w:space="0"/>
              <w:left w:val="single" w:color="auto" w:sz="4" w:space="0"/>
              <w:bottom w:val="single" w:color="auto" w:sz="4" w:space="0"/>
              <w:right w:val="single" w:color="auto" w:sz="4" w:space="0"/>
            </w:tcBorders>
            <w:noWrap/>
            <w:vAlign w:val="center"/>
          </w:tcPr>
          <w:p w14:paraId="428F0B7B">
            <w:pPr>
              <w:widowControl/>
              <w:jc w:val="center"/>
              <w:rPr>
                <w:rFonts w:ascii="仿宋" w:hAnsi="仿宋" w:eastAsia="仿宋" w:cs="Times New Roman"/>
                <w:b/>
                <w:bCs/>
                <w:kern w:val="0"/>
                <w:sz w:val="24"/>
                <w:highlight w:val="none"/>
              </w:rPr>
            </w:pPr>
            <w:r>
              <w:rPr>
                <w:rFonts w:hint="eastAsia" w:ascii="仿宋" w:hAnsi="仿宋" w:eastAsia="仿宋" w:cs="Times New Roman"/>
                <w:b/>
                <w:bCs/>
                <w:kern w:val="0"/>
                <w:sz w:val="24"/>
                <w:highlight w:val="none"/>
              </w:rPr>
              <w:t>合计</w:t>
            </w:r>
          </w:p>
        </w:tc>
        <w:tc>
          <w:tcPr>
            <w:tcW w:w="1718" w:type="dxa"/>
            <w:tcBorders>
              <w:top w:val="nil"/>
              <w:left w:val="nil"/>
              <w:bottom w:val="single" w:color="auto" w:sz="4" w:space="0"/>
              <w:right w:val="single" w:color="auto" w:sz="4" w:space="0"/>
            </w:tcBorders>
            <w:noWrap/>
            <w:vAlign w:val="center"/>
          </w:tcPr>
          <w:p w14:paraId="28EA6C83">
            <w:pPr>
              <w:widowControl/>
              <w:jc w:val="right"/>
              <w:rPr>
                <w:rFonts w:hint="default" w:ascii="仿宋" w:hAnsi="仿宋" w:eastAsia="仿宋" w:cs="Times New Roman"/>
                <w:b/>
                <w:bCs/>
                <w:kern w:val="0"/>
                <w:sz w:val="24"/>
                <w:highlight w:val="none"/>
                <w:lang w:val="en-US"/>
              </w:rPr>
            </w:pPr>
            <w:r>
              <w:rPr>
                <w:rFonts w:hint="eastAsia" w:ascii="仿宋" w:hAnsi="仿宋" w:eastAsia="仿宋" w:cs="Times New Roman"/>
                <w:b/>
                <w:bCs/>
                <w:kern w:val="0"/>
                <w:sz w:val="24"/>
                <w:lang w:val="en-US" w:eastAsia="zh-CN"/>
              </w:rPr>
              <w:t>60903</w:t>
            </w:r>
          </w:p>
        </w:tc>
      </w:tr>
    </w:tbl>
    <w:p w14:paraId="7B6C9E99">
      <w:pPr>
        <w:pBdr>
          <w:bottom w:val="single" w:color="FFFFFF" w:sz="4" w:space="31"/>
        </w:pBdr>
        <w:autoSpaceDE w:val="0"/>
        <w:adjustRightInd w:val="0"/>
        <w:snapToGrid w:val="0"/>
        <w:spacing w:line="600" w:lineRule="exact"/>
        <w:ind w:firstLine="627" w:firstLineChars="200"/>
        <w:jc w:val="center"/>
        <w:rPr>
          <w:rFonts w:hint="eastAsia" w:ascii="仿宋" w:hAnsi="仿宋" w:eastAsia="仿宋" w:cs="宋体"/>
          <w:b/>
          <w:spacing w:val="-4"/>
          <w:kern w:val="0"/>
          <w:sz w:val="32"/>
          <w:szCs w:val="32"/>
          <w:highlight w:val="none"/>
        </w:rPr>
      </w:pPr>
    </w:p>
    <w:p w14:paraId="6C44630C">
      <w:pPr>
        <w:pStyle w:val="17"/>
        <w:ind w:left="0" w:leftChars="0" w:firstLine="0" w:firstLineChars="0"/>
        <w:rPr>
          <w:rFonts w:hint="default"/>
          <w:highlight w:val="none"/>
          <w:lang w:val="en-US" w:eastAsia="zh-CN"/>
        </w:rPr>
      </w:pPr>
    </w:p>
    <w:p w14:paraId="647778CE">
      <w:pPr>
        <w:pStyle w:val="17"/>
        <w:ind w:left="0" w:leftChars="0" w:firstLine="0" w:firstLineChars="0"/>
        <w:rPr>
          <w:rFonts w:hint="default"/>
          <w:highlight w:val="none"/>
          <w:lang w:val="en-US" w:eastAsia="zh-CN"/>
        </w:rPr>
      </w:pPr>
    </w:p>
    <w:p w14:paraId="47D5D9D6">
      <w:pPr>
        <w:pStyle w:val="17"/>
        <w:ind w:left="0" w:leftChars="0" w:firstLine="0" w:firstLineChars="0"/>
        <w:rPr>
          <w:rFonts w:hint="default"/>
          <w:highlight w:val="none"/>
          <w:lang w:val="en-US" w:eastAsia="zh-CN"/>
        </w:rPr>
      </w:pPr>
    </w:p>
    <w:p w14:paraId="6F05DA68">
      <w:pPr>
        <w:pStyle w:val="17"/>
        <w:ind w:left="0" w:leftChars="0" w:firstLine="0" w:firstLineChars="0"/>
        <w:rPr>
          <w:rFonts w:hint="default"/>
          <w:highlight w:val="none"/>
          <w:lang w:val="en-US" w:eastAsia="zh-CN"/>
        </w:rPr>
      </w:pPr>
    </w:p>
    <w:p w14:paraId="733070A0">
      <w:pPr>
        <w:pStyle w:val="17"/>
        <w:ind w:left="0" w:leftChars="0" w:firstLine="0" w:firstLineChars="0"/>
        <w:rPr>
          <w:rFonts w:hint="default"/>
          <w:highlight w:val="none"/>
          <w:lang w:val="en-US" w:eastAsia="zh-CN"/>
        </w:rPr>
      </w:pPr>
    </w:p>
    <w:p w14:paraId="506CD4F1">
      <w:pPr>
        <w:pStyle w:val="17"/>
        <w:ind w:left="0" w:leftChars="0" w:firstLine="0" w:firstLineChars="0"/>
        <w:rPr>
          <w:rFonts w:hint="default"/>
          <w:highlight w:val="none"/>
          <w:lang w:val="en-US" w:eastAsia="zh-CN"/>
        </w:rPr>
      </w:pPr>
    </w:p>
    <w:p w14:paraId="0CE0EA88">
      <w:pPr>
        <w:pStyle w:val="17"/>
        <w:ind w:left="0" w:leftChars="0" w:firstLine="0" w:firstLineChars="0"/>
        <w:rPr>
          <w:rFonts w:hint="default"/>
          <w:highlight w:val="none"/>
          <w:lang w:val="en-US" w:eastAsia="zh-CN"/>
        </w:rPr>
      </w:pPr>
    </w:p>
    <w:p w14:paraId="75393C8D">
      <w:pPr>
        <w:pStyle w:val="17"/>
        <w:ind w:left="0" w:leftChars="0" w:firstLine="0" w:firstLineChars="0"/>
        <w:rPr>
          <w:rFonts w:hint="default"/>
          <w:highlight w:val="none"/>
          <w:lang w:val="en-US" w:eastAsia="zh-CN"/>
        </w:rPr>
      </w:pPr>
    </w:p>
    <w:p w14:paraId="7E4CF69D">
      <w:pPr>
        <w:pStyle w:val="17"/>
        <w:ind w:left="0" w:leftChars="0" w:firstLine="0" w:firstLineChars="0"/>
        <w:rPr>
          <w:rFonts w:hint="default"/>
          <w:highlight w:val="none"/>
          <w:lang w:val="en-US" w:eastAsia="zh-CN"/>
        </w:rPr>
      </w:pPr>
    </w:p>
    <w:p w14:paraId="102ED504">
      <w:pPr>
        <w:pStyle w:val="17"/>
        <w:ind w:left="0" w:leftChars="0" w:firstLine="0" w:firstLineChars="0"/>
        <w:rPr>
          <w:rFonts w:hint="default"/>
          <w:highlight w:val="none"/>
          <w:lang w:val="en-US" w:eastAsia="zh-CN"/>
        </w:rPr>
      </w:pPr>
    </w:p>
    <w:p w14:paraId="7B239448">
      <w:pPr>
        <w:pStyle w:val="17"/>
        <w:ind w:left="0" w:leftChars="0" w:firstLine="0" w:firstLineChars="0"/>
        <w:rPr>
          <w:rFonts w:hint="default"/>
          <w:highlight w:val="none"/>
          <w:lang w:val="en-US" w:eastAsia="zh-CN"/>
        </w:rPr>
      </w:pPr>
    </w:p>
    <w:p w14:paraId="7E5804E3">
      <w:pPr>
        <w:pStyle w:val="17"/>
        <w:ind w:left="0" w:leftChars="0" w:firstLine="0" w:firstLineChars="0"/>
        <w:rPr>
          <w:rFonts w:hint="default"/>
          <w:highlight w:val="none"/>
          <w:lang w:val="en-US" w:eastAsia="zh-CN"/>
        </w:rPr>
      </w:pPr>
    </w:p>
    <w:p w14:paraId="508041D8">
      <w:pPr>
        <w:pStyle w:val="17"/>
        <w:ind w:left="0" w:leftChars="0" w:firstLine="0" w:firstLineChars="0"/>
        <w:rPr>
          <w:rFonts w:hint="default"/>
          <w:highlight w:val="none"/>
          <w:lang w:val="en-US" w:eastAsia="zh-CN"/>
        </w:rPr>
      </w:pPr>
    </w:p>
    <w:p w14:paraId="2D3AAE49">
      <w:pPr>
        <w:pStyle w:val="17"/>
        <w:ind w:left="0" w:leftChars="0" w:firstLine="0" w:firstLineChars="0"/>
        <w:rPr>
          <w:rFonts w:hint="default"/>
          <w:highlight w:val="none"/>
          <w:lang w:val="en-US" w:eastAsia="zh-CN"/>
        </w:rPr>
      </w:pPr>
    </w:p>
    <w:p w14:paraId="4AF67752">
      <w:pPr>
        <w:pStyle w:val="17"/>
        <w:ind w:left="0" w:leftChars="0" w:firstLine="0" w:firstLineChars="0"/>
        <w:rPr>
          <w:rFonts w:hint="default"/>
          <w:highlight w:val="none"/>
          <w:lang w:val="en-US" w:eastAsia="zh-CN"/>
        </w:rPr>
      </w:pPr>
    </w:p>
    <w:p w14:paraId="09296A68">
      <w:pPr>
        <w:pStyle w:val="17"/>
        <w:ind w:left="0" w:leftChars="0" w:firstLine="0" w:firstLineChars="0"/>
        <w:rPr>
          <w:rFonts w:hint="default"/>
          <w:highlight w:val="none"/>
          <w:lang w:val="en-US" w:eastAsia="zh-CN"/>
        </w:rPr>
      </w:pPr>
    </w:p>
    <w:p w14:paraId="262F19D4">
      <w:pPr>
        <w:pStyle w:val="17"/>
        <w:ind w:left="0" w:leftChars="0" w:firstLine="0" w:firstLineChars="0"/>
        <w:rPr>
          <w:rFonts w:hint="default"/>
          <w:highlight w:val="none"/>
          <w:lang w:val="en-US" w:eastAsia="zh-CN"/>
        </w:rPr>
      </w:pPr>
    </w:p>
    <w:p w14:paraId="32D84832">
      <w:pPr>
        <w:pStyle w:val="17"/>
        <w:ind w:left="0" w:leftChars="0" w:firstLine="0" w:firstLineChars="0"/>
        <w:rPr>
          <w:rFonts w:hint="default"/>
          <w:highlight w:val="none"/>
          <w:lang w:val="en-US" w:eastAsia="zh-CN"/>
        </w:rPr>
      </w:pPr>
    </w:p>
    <w:p w14:paraId="693ADDED">
      <w:pPr>
        <w:pStyle w:val="17"/>
        <w:ind w:left="0" w:leftChars="0" w:firstLine="0" w:firstLineChars="0"/>
        <w:rPr>
          <w:rFonts w:hint="default"/>
          <w:highlight w:val="none"/>
          <w:lang w:val="en-US" w:eastAsia="zh-CN"/>
        </w:rPr>
      </w:pPr>
    </w:p>
    <w:p w14:paraId="2BD12FFF">
      <w:pPr>
        <w:pStyle w:val="17"/>
        <w:ind w:left="0" w:leftChars="0" w:firstLine="0" w:firstLineChars="0"/>
        <w:rPr>
          <w:rFonts w:hint="default"/>
          <w:highlight w:val="none"/>
          <w:lang w:val="en-US" w:eastAsia="zh-CN"/>
        </w:rPr>
      </w:pPr>
    </w:p>
    <w:p w14:paraId="4EB60A42">
      <w:pPr>
        <w:pStyle w:val="17"/>
        <w:ind w:left="0" w:leftChars="0" w:firstLine="0" w:firstLineChars="0"/>
        <w:rPr>
          <w:rFonts w:hint="default"/>
          <w:highlight w:val="none"/>
          <w:lang w:val="en-US" w:eastAsia="zh-CN"/>
        </w:rPr>
      </w:pPr>
    </w:p>
    <w:p w14:paraId="54F49E4D">
      <w:pPr>
        <w:pStyle w:val="17"/>
        <w:ind w:left="0" w:leftChars="0" w:firstLine="0" w:firstLineChars="0"/>
        <w:rPr>
          <w:rFonts w:hint="default"/>
          <w:highlight w:val="none"/>
          <w:lang w:val="en-US" w:eastAsia="zh-CN"/>
        </w:rPr>
      </w:pPr>
    </w:p>
    <w:p w14:paraId="2DF6E421">
      <w:pPr>
        <w:pBdr>
          <w:bottom w:val="single" w:color="FFFFFF" w:sz="4" w:space="31"/>
        </w:pBdr>
        <w:autoSpaceDE w:val="0"/>
        <w:adjustRightInd w:val="0"/>
        <w:snapToGrid w:val="0"/>
        <w:spacing w:line="600" w:lineRule="exact"/>
        <w:jc w:val="center"/>
        <w:rPr>
          <w:rFonts w:hint="eastAsia" w:ascii="仿宋" w:hAnsi="仿宋" w:eastAsia="仿宋" w:cs="宋体"/>
          <w:b/>
          <w:spacing w:val="-4"/>
          <w:kern w:val="0"/>
          <w:sz w:val="32"/>
          <w:szCs w:val="32"/>
          <w:highlight w:val="none"/>
        </w:rPr>
      </w:pPr>
      <w:r>
        <w:rPr>
          <w:rFonts w:hint="eastAsia" w:ascii="仿宋" w:hAnsi="仿宋" w:eastAsia="仿宋" w:cs="宋体"/>
          <w:b/>
          <w:spacing w:val="-4"/>
          <w:kern w:val="0"/>
          <w:sz w:val="32"/>
          <w:szCs w:val="32"/>
          <w:highlight w:val="none"/>
        </w:rPr>
        <w:t>2023年社会保险基金支出情况表</w:t>
      </w:r>
    </w:p>
    <w:tbl>
      <w:tblPr>
        <w:tblStyle w:val="12"/>
        <w:tblW w:w="8171" w:type="dxa"/>
        <w:tblInd w:w="316" w:type="dxa"/>
        <w:tblLayout w:type="fixed"/>
        <w:tblCellMar>
          <w:top w:w="0" w:type="dxa"/>
          <w:left w:w="108" w:type="dxa"/>
          <w:bottom w:w="0" w:type="dxa"/>
          <w:right w:w="108" w:type="dxa"/>
        </w:tblCellMar>
      </w:tblPr>
      <w:tblGrid>
        <w:gridCol w:w="1945"/>
        <w:gridCol w:w="4490"/>
        <w:gridCol w:w="1736"/>
      </w:tblGrid>
      <w:tr w14:paraId="0BCE8653">
        <w:tblPrEx>
          <w:tblCellMar>
            <w:top w:w="0" w:type="dxa"/>
            <w:left w:w="108" w:type="dxa"/>
            <w:bottom w:w="0" w:type="dxa"/>
            <w:right w:w="108" w:type="dxa"/>
          </w:tblCellMar>
        </w:tblPrEx>
        <w:trPr>
          <w:trHeight w:val="420" w:hRule="atLeast"/>
        </w:trPr>
        <w:tc>
          <w:tcPr>
            <w:tcW w:w="1945" w:type="dxa"/>
            <w:tcBorders>
              <w:top w:val="nil"/>
              <w:left w:val="nil"/>
              <w:bottom w:val="nil"/>
              <w:right w:val="nil"/>
            </w:tcBorders>
            <w:noWrap/>
            <w:vAlign w:val="top"/>
          </w:tcPr>
          <w:p w14:paraId="7AA8AADE">
            <w:pPr>
              <w:widowControl/>
              <w:jc w:val="left"/>
              <w:rPr>
                <w:rFonts w:ascii="仿宋" w:hAnsi="仿宋" w:eastAsia="仿宋" w:cs="Times New Roman"/>
                <w:kern w:val="0"/>
                <w:sz w:val="22"/>
                <w:szCs w:val="22"/>
                <w:highlight w:val="none"/>
              </w:rPr>
            </w:pPr>
          </w:p>
        </w:tc>
        <w:tc>
          <w:tcPr>
            <w:tcW w:w="4490" w:type="dxa"/>
            <w:tcBorders>
              <w:top w:val="nil"/>
              <w:left w:val="nil"/>
              <w:bottom w:val="nil"/>
              <w:right w:val="nil"/>
            </w:tcBorders>
            <w:noWrap/>
            <w:vAlign w:val="top"/>
          </w:tcPr>
          <w:p w14:paraId="02B35090">
            <w:pPr>
              <w:widowControl/>
              <w:jc w:val="left"/>
              <w:rPr>
                <w:rFonts w:ascii="仿宋" w:hAnsi="仿宋" w:eastAsia="仿宋" w:cs="Times New Roman"/>
                <w:kern w:val="0"/>
                <w:sz w:val="22"/>
                <w:szCs w:val="22"/>
                <w:highlight w:val="none"/>
              </w:rPr>
            </w:pPr>
          </w:p>
        </w:tc>
        <w:tc>
          <w:tcPr>
            <w:tcW w:w="1736" w:type="dxa"/>
            <w:tcBorders>
              <w:top w:val="nil"/>
              <w:left w:val="nil"/>
              <w:bottom w:val="nil"/>
              <w:right w:val="nil"/>
            </w:tcBorders>
            <w:noWrap/>
            <w:vAlign w:val="top"/>
          </w:tcPr>
          <w:p w14:paraId="04478109">
            <w:pPr>
              <w:widowControl/>
              <w:jc w:val="right"/>
              <w:rPr>
                <w:rFonts w:ascii="仿宋" w:hAnsi="仿宋" w:eastAsia="仿宋" w:cs="Times New Roman"/>
                <w:b/>
                <w:kern w:val="0"/>
                <w:sz w:val="22"/>
                <w:szCs w:val="22"/>
                <w:highlight w:val="none"/>
              </w:rPr>
            </w:pPr>
            <w:r>
              <w:rPr>
                <w:rFonts w:hint="eastAsia" w:ascii="仿宋" w:hAnsi="仿宋" w:eastAsia="仿宋" w:cs="Times New Roman"/>
                <w:b/>
                <w:kern w:val="0"/>
                <w:sz w:val="22"/>
                <w:szCs w:val="22"/>
                <w:highlight w:val="none"/>
              </w:rPr>
              <w:t>单位：万元</w:t>
            </w:r>
          </w:p>
        </w:tc>
      </w:tr>
      <w:tr w14:paraId="676CC62B">
        <w:tblPrEx>
          <w:tblCellMar>
            <w:top w:w="0" w:type="dxa"/>
            <w:left w:w="108" w:type="dxa"/>
            <w:bottom w:w="0" w:type="dxa"/>
            <w:right w:w="108" w:type="dxa"/>
          </w:tblCellMar>
        </w:tblPrEx>
        <w:trPr>
          <w:trHeight w:val="540" w:hRule="atLeast"/>
        </w:trPr>
        <w:tc>
          <w:tcPr>
            <w:tcW w:w="1945" w:type="dxa"/>
            <w:tcBorders>
              <w:top w:val="single" w:color="auto" w:sz="4" w:space="0"/>
              <w:left w:val="single" w:color="auto" w:sz="4" w:space="0"/>
              <w:bottom w:val="single" w:color="auto" w:sz="4" w:space="0"/>
              <w:right w:val="single" w:color="auto" w:sz="4" w:space="0"/>
            </w:tcBorders>
            <w:noWrap/>
            <w:vAlign w:val="center"/>
          </w:tcPr>
          <w:p w14:paraId="6FE88681">
            <w:pPr>
              <w:widowControl/>
              <w:jc w:val="center"/>
              <w:rPr>
                <w:rFonts w:ascii="仿宋" w:hAnsi="仿宋" w:eastAsia="仿宋" w:cs="Times New Roman"/>
                <w:b/>
                <w:bCs/>
                <w:kern w:val="0"/>
                <w:sz w:val="24"/>
                <w:highlight w:val="none"/>
              </w:rPr>
            </w:pPr>
            <w:r>
              <w:rPr>
                <w:rFonts w:hint="eastAsia" w:ascii="仿宋" w:hAnsi="仿宋" w:eastAsia="仿宋" w:cs="Times New Roman"/>
                <w:b/>
                <w:bCs/>
                <w:kern w:val="0"/>
                <w:sz w:val="24"/>
                <w:highlight w:val="none"/>
              </w:rPr>
              <w:t>科目编码</w:t>
            </w:r>
          </w:p>
        </w:tc>
        <w:tc>
          <w:tcPr>
            <w:tcW w:w="4490" w:type="dxa"/>
            <w:tcBorders>
              <w:top w:val="single" w:color="auto" w:sz="4" w:space="0"/>
              <w:left w:val="nil"/>
              <w:bottom w:val="single" w:color="auto" w:sz="4" w:space="0"/>
              <w:right w:val="single" w:color="auto" w:sz="4" w:space="0"/>
            </w:tcBorders>
            <w:noWrap/>
            <w:vAlign w:val="center"/>
          </w:tcPr>
          <w:p w14:paraId="70C757FC">
            <w:pPr>
              <w:widowControl/>
              <w:jc w:val="center"/>
              <w:rPr>
                <w:rFonts w:ascii="仿宋" w:hAnsi="仿宋" w:eastAsia="仿宋" w:cs="Times New Roman"/>
                <w:b/>
                <w:bCs/>
                <w:kern w:val="0"/>
                <w:sz w:val="24"/>
                <w:highlight w:val="none"/>
              </w:rPr>
            </w:pPr>
            <w:r>
              <w:rPr>
                <w:rFonts w:hint="eastAsia" w:ascii="仿宋" w:hAnsi="仿宋" w:eastAsia="仿宋" w:cs="Times New Roman"/>
                <w:b/>
                <w:bCs/>
                <w:kern w:val="0"/>
                <w:sz w:val="24"/>
                <w:highlight w:val="none"/>
              </w:rPr>
              <w:t>科目名称</w:t>
            </w:r>
          </w:p>
        </w:tc>
        <w:tc>
          <w:tcPr>
            <w:tcW w:w="1736" w:type="dxa"/>
            <w:tcBorders>
              <w:top w:val="single" w:color="auto" w:sz="4" w:space="0"/>
              <w:left w:val="nil"/>
              <w:bottom w:val="single" w:color="auto" w:sz="4" w:space="0"/>
              <w:right w:val="single" w:color="auto" w:sz="4" w:space="0"/>
            </w:tcBorders>
            <w:noWrap/>
            <w:vAlign w:val="center"/>
          </w:tcPr>
          <w:p w14:paraId="6CEB7CDF">
            <w:pPr>
              <w:widowControl/>
              <w:jc w:val="center"/>
              <w:rPr>
                <w:rFonts w:ascii="仿宋" w:hAnsi="仿宋" w:eastAsia="仿宋" w:cs="宋体"/>
                <w:b/>
                <w:bCs/>
                <w:kern w:val="0"/>
                <w:sz w:val="24"/>
                <w:highlight w:val="none"/>
              </w:rPr>
            </w:pPr>
            <w:r>
              <w:rPr>
                <w:rFonts w:hint="eastAsia" w:ascii="仿宋" w:hAnsi="仿宋" w:eastAsia="仿宋" w:cs="宋体"/>
                <w:b/>
                <w:bCs/>
                <w:kern w:val="0"/>
                <w:sz w:val="24"/>
                <w:highlight w:val="none"/>
              </w:rPr>
              <w:t>执行数</w:t>
            </w:r>
          </w:p>
        </w:tc>
      </w:tr>
      <w:tr w14:paraId="07FDFA7F">
        <w:tblPrEx>
          <w:tblCellMar>
            <w:top w:w="0" w:type="dxa"/>
            <w:left w:w="108" w:type="dxa"/>
            <w:bottom w:w="0" w:type="dxa"/>
            <w:right w:w="108" w:type="dxa"/>
          </w:tblCellMar>
        </w:tblPrEx>
        <w:trPr>
          <w:trHeight w:val="525" w:hRule="atLeast"/>
        </w:trPr>
        <w:tc>
          <w:tcPr>
            <w:tcW w:w="1945" w:type="dxa"/>
            <w:tcBorders>
              <w:top w:val="nil"/>
              <w:left w:val="single" w:color="auto" w:sz="4" w:space="0"/>
              <w:bottom w:val="single" w:color="auto" w:sz="4" w:space="0"/>
              <w:right w:val="single" w:color="auto" w:sz="4" w:space="0"/>
            </w:tcBorders>
            <w:noWrap/>
            <w:vAlign w:val="center"/>
          </w:tcPr>
          <w:p w14:paraId="2DADAE1F">
            <w:pPr>
              <w:widowControl/>
              <w:jc w:val="left"/>
              <w:rPr>
                <w:rFonts w:ascii="仿宋" w:hAnsi="仿宋" w:eastAsia="仿宋" w:cs="Times New Roman"/>
                <w:b/>
                <w:bCs/>
                <w:kern w:val="0"/>
                <w:sz w:val="24"/>
                <w:highlight w:val="none"/>
              </w:rPr>
            </w:pPr>
            <w:r>
              <w:rPr>
                <w:rFonts w:ascii="仿宋" w:hAnsi="仿宋" w:eastAsia="仿宋" w:cs="Times New Roman"/>
                <w:b/>
                <w:bCs/>
                <w:kern w:val="0"/>
                <w:sz w:val="24"/>
                <w:highlight w:val="none"/>
              </w:rPr>
              <w:t>209</w:t>
            </w:r>
          </w:p>
        </w:tc>
        <w:tc>
          <w:tcPr>
            <w:tcW w:w="4490" w:type="dxa"/>
            <w:tcBorders>
              <w:top w:val="nil"/>
              <w:left w:val="nil"/>
              <w:bottom w:val="single" w:color="auto" w:sz="4" w:space="0"/>
              <w:right w:val="single" w:color="auto" w:sz="4" w:space="0"/>
            </w:tcBorders>
            <w:noWrap/>
            <w:vAlign w:val="center"/>
          </w:tcPr>
          <w:p w14:paraId="3FFBC792">
            <w:pPr>
              <w:widowControl/>
              <w:jc w:val="left"/>
              <w:rPr>
                <w:rFonts w:ascii="仿宋" w:hAnsi="仿宋" w:eastAsia="仿宋" w:cs="Times New Roman"/>
                <w:b/>
                <w:bCs/>
                <w:kern w:val="0"/>
                <w:sz w:val="24"/>
                <w:highlight w:val="none"/>
              </w:rPr>
            </w:pPr>
            <w:r>
              <w:rPr>
                <w:rFonts w:hint="eastAsia" w:ascii="仿宋" w:hAnsi="仿宋" w:eastAsia="仿宋" w:cs="Times New Roman"/>
                <w:b/>
                <w:bCs/>
                <w:kern w:val="0"/>
                <w:sz w:val="24"/>
                <w:highlight w:val="none"/>
              </w:rPr>
              <w:t>社会保险基金支出</w:t>
            </w:r>
          </w:p>
        </w:tc>
        <w:tc>
          <w:tcPr>
            <w:tcW w:w="1736" w:type="dxa"/>
            <w:tcBorders>
              <w:top w:val="nil"/>
              <w:left w:val="nil"/>
              <w:bottom w:val="single" w:color="auto" w:sz="4" w:space="0"/>
              <w:right w:val="single" w:color="auto" w:sz="4" w:space="0"/>
            </w:tcBorders>
            <w:noWrap/>
            <w:vAlign w:val="center"/>
          </w:tcPr>
          <w:p w14:paraId="4EE5371C">
            <w:pPr>
              <w:widowControl/>
              <w:jc w:val="right"/>
              <w:rPr>
                <w:rFonts w:hint="default" w:ascii="仿宋" w:hAnsi="仿宋" w:eastAsia="仿宋" w:cs="Times New Roman"/>
                <w:b/>
                <w:bCs/>
                <w:kern w:val="0"/>
                <w:sz w:val="24"/>
                <w:highlight w:val="none"/>
                <w:lang w:val="en-US"/>
              </w:rPr>
            </w:pPr>
            <w:r>
              <w:rPr>
                <w:rFonts w:hint="eastAsia" w:ascii="仿宋" w:hAnsi="仿宋" w:eastAsia="仿宋" w:cs="Times New Roman"/>
                <w:b/>
                <w:bCs/>
                <w:kern w:val="0"/>
                <w:sz w:val="24"/>
                <w:lang w:val="en-US" w:eastAsia="zh-CN"/>
              </w:rPr>
              <w:t>55820</w:t>
            </w:r>
          </w:p>
        </w:tc>
      </w:tr>
      <w:tr w14:paraId="70AA5DF8">
        <w:tblPrEx>
          <w:tblCellMar>
            <w:top w:w="0" w:type="dxa"/>
            <w:left w:w="108" w:type="dxa"/>
            <w:bottom w:w="0" w:type="dxa"/>
            <w:right w:w="108" w:type="dxa"/>
          </w:tblCellMar>
        </w:tblPrEx>
        <w:trPr>
          <w:trHeight w:val="525" w:hRule="atLeast"/>
        </w:trPr>
        <w:tc>
          <w:tcPr>
            <w:tcW w:w="1945" w:type="dxa"/>
            <w:tcBorders>
              <w:top w:val="nil"/>
              <w:left w:val="single" w:color="auto" w:sz="4" w:space="0"/>
              <w:bottom w:val="single" w:color="auto" w:sz="4" w:space="0"/>
              <w:right w:val="single" w:color="auto" w:sz="4" w:space="0"/>
            </w:tcBorders>
            <w:noWrap/>
            <w:vAlign w:val="center"/>
          </w:tcPr>
          <w:p w14:paraId="50ECCD3C">
            <w:pPr>
              <w:widowControl/>
              <w:ind w:firstLine="241" w:firstLineChars="100"/>
              <w:jc w:val="left"/>
              <w:rPr>
                <w:rFonts w:ascii="仿宋" w:hAnsi="仿宋" w:eastAsia="仿宋" w:cs="Times New Roman"/>
                <w:b/>
                <w:bCs/>
                <w:kern w:val="0"/>
                <w:sz w:val="24"/>
                <w:highlight w:val="none"/>
              </w:rPr>
            </w:pPr>
            <w:r>
              <w:rPr>
                <w:rFonts w:ascii="仿宋" w:hAnsi="仿宋" w:eastAsia="仿宋" w:cs="Times New Roman"/>
                <w:b/>
                <w:bCs/>
                <w:kern w:val="0"/>
                <w:sz w:val="24"/>
                <w:highlight w:val="none"/>
              </w:rPr>
              <w:t>20910</w:t>
            </w:r>
          </w:p>
        </w:tc>
        <w:tc>
          <w:tcPr>
            <w:tcW w:w="4490" w:type="dxa"/>
            <w:tcBorders>
              <w:top w:val="nil"/>
              <w:left w:val="nil"/>
              <w:bottom w:val="single" w:color="auto" w:sz="4" w:space="0"/>
              <w:right w:val="single" w:color="auto" w:sz="4" w:space="0"/>
            </w:tcBorders>
            <w:noWrap/>
            <w:vAlign w:val="center"/>
          </w:tcPr>
          <w:p w14:paraId="7212EABC">
            <w:pPr>
              <w:widowControl/>
              <w:ind w:firstLine="241" w:firstLineChars="100"/>
              <w:jc w:val="left"/>
              <w:rPr>
                <w:rFonts w:ascii="仿宋" w:hAnsi="仿宋" w:eastAsia="仿宋" w:cs="宋体"/>
                <w:b/>
                <w:bCs/>
                <w:kern w:val="0"/>
                <w:sz w:val="24"/>
                <w:highlight w:val="none"/>
              </w:rPr>
            </w:pPr>
            <w:r>
              <w:rPr>
                <w:rFonts w:hint="eastAsia" w:ascii="仿宋" w:hAnsi="仿宋" w:eastAsia="仿宋" w:cs="宋体"/>
                <w:b/>
                <w:bCs/>
                <w:kern w:val="0"/>
                <w:sz w:val="24"/>
                <w:highlight w:val="none"/>
              </w:rPr>
              <w:t>城乡居民基本养老保险基金支出</w:t>
            </w:r>
          </w:p>
        </w:tc>
        <w:tc>
          <w:tcPr>
            <w:tcW w:w="1736" w:type="dxa"/>
            <w:tcBorders>
              <w:top w:val="nil"/>
              <w:left w:val="nil"/>
              <w:bottom w:val="single" w:color="auto" w:sz="4" w:space="0"/>
              <w:right w:val="single" w:color="auto" w:sz="4" w:space="0"/>
            </w:tcBorders>
            <w:noWrap/>
            <w:vAlign w:val="center"/>
          </w:tcPr>
          <w:p w14:paraId="789BF458">
            <w:pPr>
              <w:widowControl/>
              <w:jc w:val="right"/>
              <w:rPr>
                <w:rFonts w:hint="default" w:ascii="仿宋" w:hAnsi="仿宋" w:eastAsia="仿宋" w:cs="Times New Roman"/>
                <w:kern w:val="0"/>
                <w:sz w:val="24"/>
                <w:highlight w:val="none"/>
                <w:lang w:val="en-US"/>
              </w:rPr>
            </w:pPr>
            <w:r>
              <w:rPr>
                <w:rFonts w:hint="eastAsia" w:ascii="仿宋" w:hAnsi="仿宋" w:eastAsia="仿宋" w:cs="Times New Roman"/>
                <w:b/>
                <w:bCs/>
                <w:kern w:val="0"/>
                <w:sz w:val="24"/>
                <w:lang w:val="en-US" w:eastAsia="zh-CN"/>
              </w:rPr>
              <w:t>21198</w:t>
            </w:r>
          </w:p>
        </w:tc>
      </w:tr>
      <w:tr w14:paraId="7BF17B67">
        <w:tblPrEx>
          <w:tblCellMar>
            <w:top w:w="0" w:type="dxa"/>
            <w:left w:w="108" w:type="dxa"/>
            <w:bottom w:w="0" w:type="dxa"/>
            <w:right w:w="108" w:type="dxa"/>
          </w:tblCellMar>
        </w:tblPrEx>
        <w:trPr>
          <w:trHeight w:val="525" w:hRule="atLeast"/>
        </w:trPr>
        <w:tc>
          <w:tcPr>
            <w:tcW w:w="1945" w:type="dxa"/>
            <w:tcBorders>
              <w:top w:val="single" w:color="auto" w:sz="4" w:space="0"/>
              <w:left w:val="single" w:color="auto" w:sz="4" w:space="0"/>
              <w:bottom w:val="single" w:color="auto" w:sz="4" w:space="0"/>
              <w:right w:val="single" w:color="auto" w:sz="4" w:space="0"/>
            </w:tcBorders>
            <w:noWrap/>
            <w:vAlign w:val="center"/>
          </w:tcPr>
          <w:p w14:paraId="63EDAD7B">
            <w:pPr>
              <w:widowControl/>
              <w:ind w:firstLine="241" w:firstLineChars="100"/>
              <w:jc w:val="left"/>
              <w:rPr>
                <w:rFonts w:ascii="仿宋" w:hAnsi="仿宋" w:eastAsia="仿宋" w:cs="Times New Roman"/>
                <w:b/>
                <w:bCs/>
                <w:kern w:val="0"/>
                <w:sz w:val="24"/>
                <w:highlight w:val="none"/>
              </w:rPr>
            </w:pPr>
            <w:r>
              <w:rPr>
                <w:rFonts w:ascii="仿宋" w:hAnsi="仿宋" w:eastAsia="仿宋" w:cs="Times New Roman"/>
                <w:b/>
                <w:bCs/>
                <w:kern w:val="0"/>
                <w:sz w:val="24"/>
                <w:highlight w:val="none"/>
              </w:rPr>
              <w:t>20911</w:t>
            </w:r>
          </w:p>
        </w:tc>
        <w:tc>
          <w:tcPr>
            <w:tcW w:w="4490" w:type="dxa"/>
            <w:tcBorders>
              <w:top w:val="single" w:color="auto" w:sz="4" w:space="0"/>
              <w:left w:val="single" w:color="auto" w:sz="4" w:space="0"/>
              <w:bottom w:val="single" w:color="auto" w:sz="4" w:space="0"/>
              <w:right w:val="single" w:color="auto" w:sz="4" w:space="0"/>
            </w:tcBorders>
            <w:noWrap/>
            <w:vAlign w:val="center"/>
          </w:tcPr>
          <w:p w14:paraId="6CEE6641">
            <w:pPr>
              <w:widowControl/>
              <w:ind w:firstLine="241" w:firstLineChars="100"/>
              <w:jc w:val="left"/>
              <w:rPr>
                <w:rFonts w:ascii="仿宋" w:hAnsi="仿宋" w:eastAsia="仿宋" w:cs="宋体"/>
                <w:b/>
                <w:bCs/>
                <w:kern w:val="0"/>
                <w:sz w:val="24"/>
                <w:highlight w:val="none"/>
              </w:rPr>
            </w:pPr>
            <w:r>
              <w:rPr>
                <w:rFonts w:hint="eastAsia" w:ascii="仿宋" w:hAnsi="仿宋" w:eastAsia="仿宋" w:cs="宋体"/>
                <w:b/>
                <w:bCs/>
                <w:kern w:val="0"/>
                <w:sz w:val="24"/>
                <w:highlight w:val="none"/>
              </w:rPr>
              <w:t>机关事业单位基本养老保险基金支出</w:t>
            </w:r>
          </w:p>
        </w:tc>
        <w:tc>
          <w:tcPr>
            <w:tcW w:w="1736" w:type="dxa"/>
            <w:tcBorders>
              <w:top w:val="nil"/>
              <w:left w:val="nil"/>
              <w:bottom w:val="single" w:color="auto" w:sz="4" w:space="0"/>
              <w:right w:val="single" w:color="auto" w:sz="4" w:space="0"/>
            </w:tcBorders>
            <w:noWrap/>
            <w:vAlign w:val="center"/>
          </w:tcPr>
          <w:p w14:paraId="5E200B59">
            <w:pPr>
              <w:widowControl/>
              <w:jc w:val="right"/>
              <w:rPr>
                <w:rFonts w:hint="default" w:ascii="仿宋" w:hAnsi="仿宋" w:eastAsia="仿宋" w:cs="Times New Roman"/>
                <w:b/>
                <w:bCs/>
                <w:kern w:val="0"/>
                <w:sz w:val="24"/>
                <w:highlight w:val="none"/>
                <w:lang w:val="en-US"/>
              </w:rPr>
            </w:pPr>
            <w:r>
              <w:rPr>
                <w:rFonts w:hint="eastAsia" w:ascii="仿宋" w:hAnsi="仿宋" w:eastAsia="仿宋" w:cs="Times New Roman"/>
                <w:b/>
                <w:bCs/>
                <w:kern w:val="0"/>
                <w:sz w:val="24"/>
                <w:lang w:val="en-US" w:eastAsia="zh-CN"/>
              </w:rPr>
              <w:t>34622</w:t>
            </w:r>
          </w:p>
        </w:tc>
      </w:tr>
      <w:tr w14:paraId="4D09FE8C">
        <w:tblPrEx>
          <w:tblCellMar>
            <w:top w:w="0" w:type="dxa"/>
            <w:left w:w="108" w:type="dxa"/>
            <w:bottom w:w="0" w:type="dxa"/>
            <w:right w:w="108" w:type="dxa"/>
          </w:tblCellMar>
        </w:tblPrEx>
        <w:trPr>
          <w:trHeight w:val="525" w:hRule="atLeast"/>
        </w:trPr>
        <w:tc>
          <w:tcPr>
            <w:tcW w:w="6435" w:type="dxa"/>
            <w:gridSpan w:val="2"/>
            <w:tcBorders>
              <w:top w:val="single" w:color="auto" w:sz="4" w:space="0"/>
              <w:left w:val="single" w:color="auto" w:sz="4" w:space="0"/>
              <w:bottom w:val="single" w:color="auto" w:sz="4" w:space="0"/>
              <w:right w:val="single" w:color="000000" w:sz="4" w:space="0"/>
            </w:tcBorders>
            <w:noWrap/>
            <w:vAlign w:val="center"/>
          </w:tcPr>
          <w:p w14:paraId="67FA016E">
            <w:pPr>
              <w:widowControl/>
              <w:jc w:val="center"/>
              <w:rPr>
                <w:rFonts w:ascii="仿宋" w:hAnsi="仿宋" w:eastAsia="仿宋" w:cs="Times New Roman"/>
                <w:b/>
                <w:bCs/>
                <w:kern w:val="0"/>
                <w:sz w:val="24"/>
                <w:highlight w:val="none"/>
              </w:rPr>
            </w:pPr>
            <w:r>
              <w:rPr>
                <w:rFonts w:hint="eastAsia" w:ascii="仿宋" w:hAnsi="仿宋" w:eastAsia="仿宋" w:cs="Times New Roman"/>
                <w:b/>
                <w:bCs/>
                <w:kern w:val="0"/>
                <w:sz w:val="24"/>
                <w:highlight w:val="none"/>
              </w:rPr>
              <w:t>合计</w:t>
            </w:r>
          </w:p>
        </w:tc>
        <w:tc>
          <w:tcPr>
            <w:tcW w:w="1736" w:type="dxa"/>
            <w:tcBorders>
              <w:top w:val="nil"/>
              <w:left w:val="nil"/>
              <w:bottom w:val="single" w:color="auto" w:sz="4" w:space="0"/>
              <w:right w:val="single" w:color="auto" w:sz="4" w:space="0"/>
            </w:tcBorders>
            <w:noWrap/>
            <w:vAlign w:val="center"/>
          </w:tcPr>
          <w:p w14:paraId="48EA7351">
            <w:pPr>
              <w:widowControl/>
              <w:jc w:val="right"/>
              <w:rPr>
                <w:rFonts w:hint="default" w:ascii="仿宋" w:hAnsi="仿宋" w:eastAsia="仿宋" w:cs="Times New Roman"/>
                <w:b/>
                <w:bCs/>
                <w:kern w:val="0"/>
                <w:sz w:val="24"/>
                <w:highlight w:val="none"/>
                <w:lang w:val="en-US"/>
              </w:rPr>
            </w:pPr>
            <w:r>
              <w:rPr>
                <w:rFonts w:hint="eastAsia" w:ascii="仿宋" w:hAnsi="仿宋" w:eastAsia="仿宋" w:cs="Times New Roman"/>
                <w:b/>
                <w:bCs/>
                <w:kern w:val="0"/>
                <w:sz w:val="24"/>
                <w:lang w:val="en-US" w:eastAsia="zh-CN"/>
              </w:rPr>
              <w:t>55820</w:t>
            </w:r>
          </w:p>
        </w:tc>
      </w:tr>
    </w:tbl>
    <w:p w14:paraId="33275B0E">
      <w:pPr>
        <w:rPr>
          <w:highlight w:val="none"/>
        </w:rPr>
      </w:pPr>
    </w:p>
    <w:p w14:paraId="2ABFC614">
      <w:pPr>
        <w:pStyle w:val="17"/>
        <w:ind w:left="0" w:leftChars="0" w:firstLine="0" w:firstLineChars="0"/>
        <w:rPr>
          <w:rFonts w:hint="default"/>
          <w:highlight w:val="none"/>
          <w:lang w:val="en-US" w:eastAsia="zh-CN"/>
        </w:rPr>
      </w:pPr>
    </w:p>
    <w:p w14:paraId="0F20F66D">
      <w:pPr>
        <w:pStyle w:val="17"/>
        <w:ind w:left="0" w:leftChars="0" w:firstLine="0" w:firstLineChars="0"/>
        <w:rPr>
          <w:rFonts w:hint="default"/>
          <w:highlight w:val="none"/>
          <w:lang w:val="en-US" w:eastAsia="zh-CN"/>
        </w:rPr>
      </w:pPr>
    </w:p>
    <w:p w14:paraId="09E76FCF">
      <w:pPr>
        <w:pStyle w:val="17"/>
        <w:ind w:left="0" w:leftChars="0" w:firstLine="0" w:firstLineChars="0"/>
        <w:rPr>
          <w:rFonts w:hint="default"/>
          <w:highlight w:val="none"/>
          <w:lang w:val="en-US" w:eastAsia="zh-CN"/>
        </w:rPr>
      </w:pPr>
    </w:p>
    <w:p w14:paraId="1E180EFD">
      <w:pPr>
        <w:pStyle w:val="17"/>
        <w:ind w:left="0" w:leftChars="0" w:firstLine="0" w:firstLineChars="0"/>
        <w:rPr>
          <w:rFonts w:hint="default"/>
          <w:highlight w:val="none"/>
          <w:lang w:val="en-US" w:eastAsia="zh-CN"/>
        </w:rPr>
      </w:pPr>
    </w:p>
    <w:p w14:paraId="1691AD9F">
      <w:pPr>
        <w:pStyle w:val="17"/>
        <w:ind w:left="0" w:leftChars="0" w:firstLine="0" w:firstLineChars="0"/>
        <w:rPr>
          <w:rFonts w:hint="default"/>
          <w:highlight w:val="none"/>
          <w:lang w:val="en-US" w:eastAsia="zh-CN"/>
        </w:rPr>
      </w:pPr>
    </w:p>
    <w:p w14:paraId="2EB16C14">
      <w:pPr>
        <w:pStyle w:val="17"/>
        <w:ind w:left="0" w:leftChars="0" w:firstLine="0" w:firstLineChars="0"/>
        <w:rPr>
          <w:rFonts w:hint="default"/>
          <w:highlight w:val="none"/>
          <w:lang w:val="en-US" w:eastAsia="zh-CN"/>
        </w:rPr>
      </w:pPr>
    </w:p>
    <w:p w14:paraId="64FD7387">
      <w:pPr>
        <w:pStyle w:val="17"/>
        <w:ind w:left="0" w:leftChars="0" w:firstLine="0" w:firstLineChars="0"/>
        <w:rPr>
          <w:rFonts w:hint="default"/>
          <w:highlight w:val="none"/>
          <w:lang w:val="en-US" w:eastAsia="zh-CN"/>
        </w:rPr>
      </w:pPr>
    </w:p>
    <w:p w14:paraId="7804EB94">
      <w:pPr>
        <w:pStyle w:val="17"/>
        <w:ind w:left="0" w:leftChars="0" w:firstLine="0" w:firstLineChars="0"/>
        <w:rPr>
          <w:rFonts w:hint="default"/>
          <w:highlight w:val="none"/>
          <w:lang w:val="en-US" w:eastAsia="zh-CN"/>
        </w:rPr>
      </w:pPr>
    </w:p>
    <w:p w14:paraId="50EE91AD">
      <w:pPr>
        <w:pStyle w:val="17"/>
        <w:ind w:left="0" w:leftChars="0" w:firstLine="0" w:firstLineChars="0"/>
        <w:rPr>
          <w:rFonts w:hint="default"/>
          <w:highlight w:val="none"/>
          <w:lang w:val="en-US" w:eastAsia="zh-CN"/>
        </w:rPr>
      </w:pPr>
    </w:p>
    <w:p w14:paraId="0CDB6799">
      <w:pPr>
        <w:pStyle w:val="17"/>
        <w:ind w:left="0" w:leftChars="0" w:firstLine="0" w:firstLineChars="0"/>
        <w:rPr>
          <w:rFonts w:hint="default"/>
          <w:highlight w:val="none"/>
          <w:lang w:val="en-US" w:eastAsia="zh-CN"/>
        </w:rPr>
      </w:pPr>
    </w:p>
    <w:p w14:paraId="495E9EB2">
      <w:pPr>
        <w:pStyle w:val="17"/>
        <w:ind w:left="0" w:leftChars="0" w:firstLine="0" w:firstLineChars="0"/>
        <w:rPr>
          <w:rFonts w:hint="default"/>
          <w:highlight w:val="none"/>
          <w:lang w:val="en-US" w:eastAsia="zh-CN"/>
        </w:rPr>
      </w:pPr>
    </w:p>
    <w:p w14:paraId="001B9793">
      <w:pPr>
        <w:pStyle w:val="17"/>
        <w:ind w:left="0" w:leftChars="0" w:firstLine="0" w:firstLineChars="0"/>
        <w:rPr>
          <w:rFonts w:hint="default"/>
          <w:highlight w:val="none"/>
          <w:lang w:val="en-US" w:eastAsia="zh-CN"/>
        </w:rPr>
      </w:pPr>
    </w:p>
    <w:p w14:paraId="0A8E06DA">
      <w:pPr>
        <w:pStyle w:val="17"/>
        <w:ind w:left="0" w:leftChars="0" w:firstLine="0" w:firstLineChars="0"/>
        <w:rPr>
          <w:rFonts w:hint="default"/>
          <w:highlight w:val="none"/>
          <w:lang w:val="en-US" w:eastAsia="zh-CN"/>
        </w:rPr>
      </w:pPr>
    </w:p>
    <w:p w14:paraId="5E0D2949">
      <w:pPr>
        <w:pStyle w:val="17"/>
        <w:ind w:left="0" w:leftChars="0" w:firstLine="0" w:firstLineChars="0"/>
        <w:rPr>
          <w:rFonts w:hint="default"/>
          <w:highlight w:val="none"/>
          <w:lang w:val="en-US" w:eastAsia="zh-CN"/>
        </w:rPr>
      </w:pPr>
    </w:p>
    <w:p w14:paraId="590F40C9">
      <w:pPr>
        <w:pStyle w:val="17"/>
        <w:ind w:left="0" w:leftChars="0" w:firstLine="0" w:firstLineChars="0"/>
        <w:rPr>
          <w:rFonts w:hint="default"/>
          <w:highlight w:val="none"/>
          <w:lang w:val="en-US" w:eastAsia="zh-CN"/>
        </w:rPr>
      </w:pPr>
    </w:p>
    <w:p w14:paraId="29258BC4">
      <w:pPr>
        <w:pStyle w:val="17"/>
        <w:ind w:left="0" w:leftChars="0" w:firstLine="0" w:firstLineChars="0"/>
        <w:rPr>
          <w:rFonts w:hint="default"/>
          <w:highlight w:val="none"/>
          <w:lang w:val="en-US" w:eastAsia="zh-CN"/>
        </w:rPr>
      </w:pPr>
    </w:p>
    <w:p w14:paraId="016339C7">
      <w:pPr>
        <w:pStyle w:val="17"/>
        <w:ind w:left="0" w:leftChars="0" w:firstLine="0" w:firstLineChars="0"/>
        <w:rPr>
          <w:rFonts w:hint="default"/>
          <w:highlight w:val="none"/>
          <w:lang w:val="en-US" w:eastAsia="zh-CN"/>
        </w:rPr>
      </w:pPr>
    </w:p>
    <w:p w14:paraId="3BBD0414">
      <w:pPr>
        <w:pStyle w:val="17"/>
        <w:ind w:left="0" w:leftChars="0" w:firstLine="0" w:firstLineChars="0"/>
        <w:rPr>
          <w:rFonts w:hint="default"/>
          <w:highlight w:val="none"/>
          <w:lang w:val="en-US" w:eastAsia="zh-CN"/>
        </w:rPr>
      </w:pPr>
    </w:p>
    <w:p w14:paraId="28D05AE7">
      <w:pPr>
        <w:pStyle w:val="17"/>
        <w:ind w:left="0" w:leftChars="0" w:firstLine="0" w:firstLineChars="0"/>
        <w:rPr>
          <w:rFonts w:hint="default"/>
          <w:highlight w:val="none"/>
          <w:lang w:val="en-US" w:eastAsia="zh-CN"/>
        </w:rPr>
      </w:pPr>
    </w:p>
    <w:p w14:paraId="546BC266">
      <w:pPr>
        <w:pStyle w:val="17"/>
        <w:ind w:left="0" w:leftChars="0" w:firstLine="0" w:firstLineChars="0"/>
        <w:rPr>
          <w:rFonts w:hint="default"/>
          <w:highlight w:val="none"/>
          <w:lang w:val="en-US" w:eastAsia="zh-CN"/>
        </w:rPr>
      </w:pPr>
    </w:p>
    <w:p w14:paraId="067420FB">
      <w:pPr>
        <w:pStyle w:val="17"/>
        <w:ind w:left="0" w:leftChars="0" w:firstLine="0" w:firstLineChars="0"/>
        <w:rPr>
          <w:rFonts w:hint="default"/>
          <w:highlight w:val="none"/>
          <w:lang w:val="en-US" w:eastAsia="zh-CN"/>
        </w:rPr>
      </w:pPr>
    </w:p>
    <w:p w14:paraId="322756EA">
      <w:pPr>
        <w:pStyle w:val="17"/>
        <w:ind w:left="0" w:leftChars="0" w:firstLine="0" w:firstLineChars="0"/>
        <w:rPr>
          <w:rFonts w:hint="default"/>
          <w:highlight w:val="none"/>
          <w:lang w:val="en-US" w:eastAsia="zh-CN"/>
        </w:rPr>
      </w:pPr>
    </w:p>
    <w:p w14:paraId="6765BCC7">
      <w:pPr>
        <w:pStyle w:val="17"/>
        <w:ind w:left="0" w:leftChars="0" w:firstLine="0" w:firstLineChars="0"/>
        <w:rPr>
          <w:rFonts w:hint="default"/>
          <w:highlight w:val="none"/>
          <w:lang w:val="en-US" w:eastAsia="zh-CN"/>
        </w:rPr>
      </w:pPr>
    </w:p>
    <w:p w14:paraId="785E6674">
      <w:pPr>
        <w:pStyle w:val="17"/>
        <w:ind w:left="0" w:leftChars="0" w:firstLine="0" w:firstLineChars="0"/>
        <w:rPr>
          <w:rFonts w:hint="default"/>
          <w:highlight w:val="none"/>
          <w:lang w:val="en-US" w:eastAsia="zh-CN"/>
        </w:rPr>
      </w:pPr>
    </w:p>
    <w:p w14:paraId="7502C27D">
      <w:pPr>
        <w:pStyle w:val="17"/>
        <w:ind w:left="0" w:leftChars="0" w:firstLine="0" w:firstLineChars="0"/>
        <w:rPr>
          <w:rFonts w:hint="default"/>
          <w:highlight w:val="none"/>
          <w:lang w:val="en-US" w:eastAsia="zh-CN"/>
        </w:rPr>
      </w:pPr>
    </w:p>
    <w:p w14:paraId="51C71E28">
      <w:pPr>
        <w:pStyle w:val="17"/>
        <w:ind w:left="0" w:leftChars="0" w:firstLine="0" w:firstLineChars="0"/>
        <w:rPr>
          <w:rFonts w:hint="default"/>
          <w:highlight w:val="none"/>
          <w:lang w:val="en-US" w:eastAsia="zh-CN"/>
        </w:rPr>
      </w:pPr>
    </w:p>
    <w:p w14:paraId="6C6C9466">
      <w:pPr>
        <w:pBdr>
          <w:bottom w:val="single" w:color="FFFFFF" w:sz="4" w:space="31"/>
        </w:pBdr>
        <w:autoSpaceDE w:val="0"/>
        <w:adjustRightInd w:val="0"/>
        <w:snapToGrid w:val="0"/>
        <w:spacing w:line="600" w:lineRule="exact"/>
        <w:jc w:val="center"/>
        <w:rPr>
          <w:rFonts w:hint="eastAsia" w:ascii="仿宋" w:hAnsi="仿宋" w:eastAsia="仿宋" w:cs="宋体"/>
          <w:b/>
          <w:spacing w:val="-4"/>
          <w:kern w:val="0"/>
          <w:sz w:val="32"/>
          <w:szCs w:val="32"/>
          <w:highlight w:val="none"/>
        </w:rPr>
      </w:pPr>
      <w:r>
        <w:rPr>
          <w:rFonts w:hint="eastAsia" w:ascii="仿宋" w:hAnsi="仿宋" w:eastAsia="仿宋" w:cs="宋体"/>
          <w:b/>
          <w:spacing w:val="-4"/>
          <w:kern w:val="0"/>
          <w:sz w:val="32"/>
          <w:szCs w:val="32"/>
          <w:highlight w:val="none"/>
        </w:rPr>
        <w:t>2024年一般公共预算收入情况表</w:t>
      </w:r>
    </w:p>
    <w:tbl>
      <w:tblPr>
        <w:tblStyle w:val="12"/>
        <w:tblW w:w="8523" w:type="dxa"/>
        <w:jc w:val="center"/>
        <w:tblLayout w:type="autofit"/>
        <w:tblCellMar>
          <w:top w:w="0" w:type="dxa"/>
          <w:left w:w="0" w:type="dxa"/>
          <w:bottom w:w="0" w:type="dxa"/>
          <w:right w:w="0" w:type="dxa"/>
        </w:tblCellMar>
      </w:tblPr>
      <w:tblGrid>
        <w:gridCol w:w="5761"/>
        <w:gridCol w:w="2762"/>
      </w:tblGrid>
      <w:tr w14:paraId="46F2920A">
        <w:tblPrEx>
          <w:tblCellMar>
            <w:top w:w="0" w:type="dxa"/>
            <w:left w:w="0" w:type="dxa"/>
            <w:bottom w:w="0" w:type="dxa"/>
            <w:right w:w="0" w:type="dxa"/>
          </w:tblCellMar>
        </w:tblPrEx>
        <w:trPr>
          <w:trHeight w:val="504" w:hRule="atLeast"/>
          <w:jc w:val="center"/>
        </w:trPr>
        <w:tc>
          <w:tcPr>
            <w:tcW w:w="5761" w:type="dxa"/>
            <w:noWrap/>
            <w:tcMar>
              <w:top w:w="15" w:type="dxa"/>
              <w:left w:w="15" w:type="dxa"/>
              <w:bottom w:w="0" w:type="dxa"/>
              <w:right w:w="15" w:type="dxa"/>
            </w:tcMar>
            <w:vAlign w:val="center"/>
          </w:tcPr>
          <w:p w14:paraId="3A3455E8">
            <w:pPr>
              <w:widowControl/>
              <w:spacing w:line="240" w:lineRule="auto"/>
              <w:jc w:val="center"/>
              <w:rPr>
                <w:rFonts w:hint="eastAsia" w:ascii="黑体" w:hAnsi="黑体" w:eastAsia="黑体" w:cs="宋体"/>
                <w:color w:val="000000"/>
                <w:kern w:val="0"/>
                <w:sz w:val="36"/>
                <w:szCs w:val="36"/>
                <w:highlight w:val="none"/>
              </w:rPr>
            </w:pPr>
          </w:p>
        </w:tc>
        <w:tc>
          <w:tcPr>
            <w:tcW w:w="2762" w:type="dxa"/>
            <w:noWrap/>
            <w:tcMar>
              <w:top w:w="15" w:type="dxa"/>
              <w:left w:w="15" w:type="dxa"/>
              <w:bottom w:w="0" w:type="dxa"/>
              <w:right w:w="15" w:type="dxa"/>
            </w:tcMar>
            <w:vAlign w:val="center"/>
          </w:tcPr>
          <w:p w14:paraId="484E17AE">
            <w:pPr>
              <w:widowControl/>
              <w:spacing w:line="240" w:lineRule="auto"/>
              <w:jc w:val="center"/>
              <w:rPr>
                <w:rFonts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 xml:space="preserve">        单位：万元</w:t>
            </w:r>
          </w:p>
        </w:tc>
      </w:tr>
      <w:tr w14:paraId="6E8F2A60">
        <w:tblPrEx>
          <w:tblCellMar>
            <w:top w:w="0" w:type="dxa"/>
            <w:left w:w="0" w:type="dxa"/>
            <w:bottom w:w="0" w:type="dxa"/>
            <w:right w:w="0" w:type="dxa"/>
          </w:tblCellMar>
        </w:tblPrEx>
        <w:trPr>
          <w:trHeight w:val="465" w:hRule="atLeast"/>
          <w:jc w:val="center"/>
        </w:trPr>
        <w:tc>
          <w:tcPr>
            <w:tcW w:w="5761" w:type="dxa"/>
            <w:tcBorders>
              <w:top w:val="single" w:color="auto" w:sz="8" w:space="0"/>
              <w:left w:val="single" w:color="auto" w:sz="8" w:space="0"/>
              <w:bottom w:val="single" w:color="auto" w:sz="8" w:space="0"/>
              <w:right w:val="single" w:color="auto" w:sz="8" w:space="0"/>
            </w:tcBorders>
            <w:noWrap/>
            <w:tcMar>
              <w:top w:w="15" w:type="dxa"/>
              <w:left w:w="15" w:type="dxa"/>
              <w:bottom w:w="0" w:type="dxa"/>
              <w:right w:w="15" w:type="dxa"/>
            </w:tcMar>
            <w:vAlign w:val="center"/>
          </w:tcPr>
          <w:p w14:paraId="68523DB9">
            <w:pPr>
              <w:widowControl/>
              <w:spacing w:line="240" w:lineRule="auto"/>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项       目</w:t>
            </w:r>
          </w:p>
        </w:tc>
        <w:tc>
          <w:tcPr>
            <w:tcW w:w="2762" w:type="dxa"/>
            <w:tcBorders>
              <w:top w:val="single" w:color="auto" w:sz="8" w:space="0"/>
              <w:left w:val="nil"/>
              <w:bottom w:val="single" w:color="auto" w:sz="8" w:space="0"/>
              <w:right w:val="single" w:color="auto" w:sz="8" w:space="0"/>
            </w:tcBorders>
            <w:noWrap/>
            <w:tcMar>
              <w:top w:w="15" w:type="dxa"/>
              <w:left w:w="15" w:type="dxa"/>
              <w:bottom w:w="0" w:type="dxa"/>
              <w:right w:w="15" w:type="dxa"/>
            </w:tcMar>
            <w:vAlign w:val="center"/>
          </w:tcPr>
          <w:p w14:paraId="3168EFC4">
            <w:pPr>
              <w:widowControl/>
              <w:spacing w:line="240" w:lineRule="auto"/>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预算数</w:t>
            </w:r>
          </w:p>
        </w:tc>
      </w:tr>
      <w:tr w14:paraId="0EF01A93">
        <w:tblPrEx>
          <w:tblCellMar>
            <w:top w:w="0" w:type="dxa"/>
            <w:left w:w="0" w:type="dxa"/>
            <w:bottom w:w="0" w:type="dxa"/>
            <w:right w:w="0" w:type="dxa"/>
          </w:tblCellMar>
        </w:tblPrEx>
        <w:trPr>
          <w:trHeight w:val="465" w:hRule="atLeast"/>
          <w:jc w:val="center"/>
        </w:trPr>
        <w:tc>
          <w:tcPr>
            <w:tcW w:w="5761" w:type="dxa"/>
            <w:tcBorders>
              <w:top w:val="nil"/>
              <w:left w:val="single" w:color="auto" w:sz="8" w:space="0"/>
              <w:bottom w:val="single" w:color="auto" w:sz="8" w:space="0"/>
              <w:right w:val="single" w:color="auto" w:sz="8" w:space="0"/>
            </w:tcBorders>
            <w:noWrap/>
            <w:tcMar>
              <w:top w:w="15" w:type="dxa"/>
              <w:left w:w="15" w:type="dxa"/>
              <w:bottom w:w="0" w:type="dxa"/>
              <w:right w:w="15" w:type="dxa"/>
            </w:tcMar>
            <w:vAlign w:val="center"/>
          </w:tcPr>
          <w:p w14:paraId="15FA1CBD">
            <w:pPr>
              <w:widowControl/>
              <w:spacing w:line="240" w:lineRule="auto"/>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一般公共预算收入</w:t>
            </w:r>
          </w:p>
        </w:tc>
        <w:tc>
          <w:tcPr>
            <w:tcW w:w="2762" w:type="dxa"/>
            <w:tcBorders>
              <w:top w:val="nil"/>
              <w:left w:val="nil"/>
              <w:bottom w:val="single" w:color="auto" w:sz="8" w:space="0"/>
              <w:right w:val="single" w:color="auto" w:sz="8" w:space="0"/>
            </w:tcBorders>
            <w:noWrap w:val="0"/>
            <w:tcMar>
              <w:top w:w="15" w:type="dxa"/>
              <w:left w:w="15" w:type="dxa"/>
              <w:bottom w:w="0" w:type="dxa"/>
              <w:right w:w="15" w:type="dxa"/>
            </w:tcMar>
            <w:vAlign w:val="center"/>
          </w:tcPr>
          <w:p w14:paraId="6D2AE0FC">
            <w:pPr>
              <w:widowControl/>
              <w:spacing w:line="240" w:lineRule="auto"/>
              <w:ind w:left="0" w:leftChars="0"/>
              <w:jc w:val="right"/>
              <w:rPr>
                <w:rFonts w:hint="default" w:ascii="宋体" w:hAnsi="宋体" w:eastAsia="宋体" w:cs="宋体"/>
                <w:b/>
                <w:bCs/>
                <w:color w:val="000000"/>
                <w:kern w:val="0"/>
                <w:sz w:val="24"/>
                <w:szCs w:val="24"/>
                <w:highlight w:val="none"/>
                <w:lang w:val="en-US"/>
              </w:rPr>
            </w:pPr>
            <w:r>
              <w:rPr>
                <w:rFonts w:hint="default" w:ascii="宋体" w:hAnsi="宋体" w:eastAsia="宋体" w:cs="宋体"/>
                <w:b/>
                <w:bCs/>
                <w:color w:val="000000"/>
                <w:kern w:val="0"/>
                <w:sz w:val="24"/>
                <w:szCs w:val="24"/>
                <w:highlight w:val="none"/>
                <w:lang w:val="en-US"/>
              </w:rPr>
              <w:t>214500</w:t>
            </w:r>
          </w:p>
        </w:tc>
      </w:tr>
      <w:tr w14:paraId="558BA3ED">
        <w:tblPrEx>
          <w:tblCellMar>
            <w:top w:w="0" w:type="dxa"/>
            <w:left w:w="0" w:type="dxa"/>
            <w:bottom w:w="0" w:type="dxa"/>
            <w:right w:w="0" w:type="dxa"/>
          </w:tblCellMar>
        </w:tblPrEx>
        <w:trPr>
          <w:trHeight w:val="465" w:hRule="atLeast"/>
          <w:jc w:val="center"/>
        </w:trPr>
        <w:tc>
          <w:tcPr>
            <w:tcW w:w="5761" w:type="dxa"/>
            <w:tcBorders>
              <w:top w:val="nil"/>
              <w:left w:val="single" w:color="auto" w:sz="8" w:space="0"/>
              <w:bottom w:val="single" w:color="auto" w:sz="8" w:space="0"/>
              <w:right w:val="single" w:color="auto" w:sz="8" w:space="0"/>
            </w:tcBorders>
            <w:noWrap/>
            <w:tcMar>
              <w:top w:w="0" w:type="dxa"/>
              <w:left w:w="360" w:type="dxa"/>
              <w:bottom w:w="0" w:type="dxa"/>
              <w:right w:w="0" w:type="dxa"/>
            </w:tcMar>
            <w:vAlign w:val="center"/>
          </w:tcPr>
          <w:p w14:paraId="1EBBFC8A">
            <w:pPr>
              <w:widowControl/>
              <w:spacing w:line="240" w:lineRule="auto"/>
              <w:jc w:val="left"/>
              <w:rPr>
                <w:rFonts w:hint="eastAsia" w:ascii="宋体" w:hAnsi="宋体" w:eastAsia="宋体" w:cs="宋体"/>
                <w:color w:val="000000"/>
                <w:kern w:val="0"/>
                <w:sz w:val="24"/>
                <w:szCs w:val="24"/>
                <w:highlight w:val="none"/>
              </w:rPr>
            </w:pPr>
            <w:r>
              <w:rPr>
                <w:rFonts w:hint="eastAsia" w:ascii="宋体" w:hAnsi="宋体" w:eastAsia="宋体" w:cs="宋体"/>
                <w:b/>
                <w:bCs/>
                <w:color w:val="000000"/>
                <w:kern w:val="0"/>
                <w:sz w:val="24"/>
                <w:szCs w:val="24"/>
                <w:highlight w:val="none"/>
              </w:rPr>
              <w:t>（一）税收收入</w:t>
            </w:r>
          </w:p>
        </w:tc>
        <w:tc>
          <w:tcPr>
            <w:tcW w:w="2762" w:type="dxa"/>
            <w:tcBorders>
              <w:top w:val="nil"/>
              <w:left w:val="nil"/>
              <w:bottom w:val="single" w:color="auto" w:sz="8" w:space="0"/>
              <w:right w:val="single" w:color="auto" w:sz="8" w:space="0"/>
            </w:tcBorders>
            <w:noWrap w:val="0"/>
            <w:tcMar>
              <w:top w:w="15" w:type="dxa"/>
              <w:left w:w="15" w:type="dxa"/>
              <w:bottom w:w="0" w:type="dxa"/>
              <w:right w:w="15" w:type="dxa"/>
            </w:tcMar>
            <w:vAlign w:val="center"/>
          </w:tcPr>
          <w:p w14:paraId="37F80F26">
            <w:pPr>
              <w:widowControl/>
              <w:spacing w:line="240" w:lineRule="auto"/>
              <w:ind w:left="0" w:leftChars="0"/>
              <w:jc w:val="right"/>
              <w:rPr>
                <w:rFonts w:hint="default" w:ascii="宋体" w:hAnsi="宋体" w:eastAsia="宋体" w:cs="宋体"/>
                <w:color w:val="000000"/>
                <w:kern w:val="0"/>
                <w:sz w:val="24"/>
                <w:szCs w:val="24"/>
                <w:highlight w:val="none"/>
                <w:lang w:val="en-US"/>
              </w:rPr>
            </w:pPr>
            <w:r>
              <w:rPr>
                <w:rFonts w:hint="default" w:ascii="宋体" w:hAnsi="宋体" w:eastAsia="宋体" w:cs="宋体"/>
                <w:b/>
                <w:bCs/>
                <w:color w:val="000000"/>
                <w:kern w:val="0"/>
                <w:sz w:val="24"/>
                <w:szCs w:val="24"/>
                <w:highlight w:val="none"/>
                <w:lang w:val="en-US"/>
              </w:rPr>
              <w:t>181800</w:t>
            </w:r>
          </w:p>
        </w:tc>
      </w:tr>
      <w:tr w14:paraId="6A7131F8">
        <w:tblPrEx>
          <w:tblCellMar>
            <w:top w:w="0" w:type="dxa"/>
            <w:left w:w="0" w:type="dxa"/>
            <w:bottom w:w="0" w:type="dxa"/>
            <w:right w:w="0" w:type="dxa"/>
          </w:tblCellMar>
        </w:tblPrEx>
        <w:trPr>
          <w:trHeight w:val="465" w:hRule="atLeast"/>
          <w:jc w:val="center"/>
        </w:trPr>
        <w:tc>
          <w:tcPr>
            <w:tcW w:w="5761" w:type="dxa"/>
            <w:tcBorders>
              <w:top w:val="nil"/>
              <w:left w:val="single" w:color="auto" w:sz="8" w:space="0"/>
              <w:bottom w:val="single" w:color="auto" w:sz="8" w:space="0"/>
              <w:right w:val="single" w:color="auto" w:sz="8" w:space="0"/>
            </w:tcBorders>
            <w:noWrap/>
            <w:tcMar>
              <w:top w:w="0" w:type="dxa"/>
              <w:left w:w="360" w:type="dxa"/>
              <w:bottom w:w="0" w:type="dxa"/>
              <w:right w:w="0" w:type="dxa"/>
            </w:tcMar>
            <w:vAlign w:val="center"/>
          </w:tcPr>
          <w:p w14:paraId="729DD54D">
            <w:pPr>
              <w:widowControl/>
              <w:spacing w:line="240" w:lineRule="auto"/>
              <w:ind w:left="98" w:leftChars="-89" w:hanging="285" w:hangingChars="119"/>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1、增值税</w:t>
            </w:r>
          </w:p>
        </w:tc>
        <w:tc>
          <w:tcPr>
            <w:tcW w:w="2762"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33002A5">
            <w:pPr>
              <w:widowControl/>
              <w:spacing w:line="240" w:lineRule="auto"/>
              <w:ind w:left="0" w:leftChars="0"/>
              <w:jc w:val="right"/>
              <w:rPr>
                <w:rFonts w:hint="default" w:ascii="宋体" w:hAnsi="宋体" w:eastAsia="宋体" w:cs="宋体"/>
                <w:color w:val="000000"/>
                <w:kern w:val="0"/>
                <w:sz w:val="24"/>
                <w:szCs w:val="24"/>
                <w:highlight w:val="none"/>
                <w:lang w:val="en-US"/>
              </w:rPr>
            </w:pPr>
            <w:r>
              <w:rPr>
                <w:rFonts w:hint="default" w:ascii="宋体" w:hAnsi="宋体" w:eastAsia="宋体" w:cs="宋体"/>
                <w:color w:val="000000"/>
                <w:kern w:val="0"/>
                <w:sz w:val="24"/>
                <w:szCs w:val="24"/>
                <w:highlight w:val="none"/>
                <w:lang w:val="en-US"/>
              </w:rPr>
              <w:t>70290</w:t>
            </w:r>
          </w:p>
        </w:tc>
      </w:tr>
      <w:tr w14:paraId="2BEA8F87">
        <w:tblPrEx>
          <w:tblCellMar>
            <w:top w:w="0" w:type="dxa"/>
            <w:left w:w="0" w:type="dxa"/>
            <w:bottom w:w="0" w:type="dxa"/>
            <w:right w:w="0" w:type="dxa"/>
          </w:tblCellMar>
        </w:tblPrEx>
        <w:trPr>
          <w:trHeight w:val="465" w:hRule="atLeast"/>
          <w:jc w:val="center"/>
        </w:trPr>
        <w:tc>
          <w:tcPr>
            <w:tcW w:w="5761" w:type="dxa"/>
            <w:tcBorders>
              <w:top w:val="nil"/>
              <w:left w:val="single" w:color="auto" w:sz="8" w:space="0"/>
              <w:bottom w:val="single" w:color="auto" w:sz="8" w:space="0"/>
              <w:right w:val="single" w:color="auto" w:sz="8" w:space="0"/>
            </w:tcBorders>
            <w:noWrap/>
            <w:tcMar>
              <w:top w:w="0" w:type="dxa"/>
              <w:left w:w="360" w:type="dxa"/>
              <w:bottom w:w="0" w:type="dxa"/>
              <w:right w:w="0" w:type="dxa"/>
            </w:tcMar>
            <w:vAlign w:val="center"/>
          </w:tcPr>
          <w:p w14:paraId="24BF953E">
            <w:pPr>
              <w:widowControl/>
              <w:spacing w:line="240" w:lineRule="auto"/>
              <w:ind w:left="98" w:leftChars="-89" w:hanging="285" w:hangingChars="119"/>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2、企业所得税</w:t>
            </w:r>
          </w:p>
        </w:tc>
        <w:tc>
          <w:tcPr>
            <w:tcW w:w="2762"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22813FE">
            <w:pPr>
              <w:widowControl/>
              <w:spacing w:line="240" w:lineRule="auto"/>
              <w:ind w:left="0" w:leftChars="0"/>
              <w:jc w:val="right"/>
              <w:rPr>
                <w:rFonts w:hint="default" w:ascii="宋体" w:hAnsi="宋体" w:eastAsia="宋体" w:cs="宋体"/>
                <w:color w:val="000000"/>
                <w:kern w:val="0"/>
                <w:sz w:val="24"/>
                <w:szCs w:val="24"/>
                <w:highlight w:val="none"/>
                <w:lang w:val="en-US"/>
              </w:rPr>
            </w:pPr>
            <w:r>
              <w:rPr>
                <w:rFonts w:hint="default" w:ascii="宋体" w:hAnsi="宋体" w:eastAsia="宋体" w:cs="宋体"/>
                <w:color w:val="000000"/>
                <w:kern w:val="0"/>
                <w:sz w:val="24"/>
                <w:szCs w:val="24"/>
                <w:highlight w:val="none"/>
                <w:lang w:val="en-US"/>
              </w:rPr>
              <w:t>20500</w:t>
            </w:r>
          </w:p>
        </w:tc>
      </w:tr>
      <w:tr w14:paraId="6D5754E3">
        <w:tblPrEx>
          <w:tblCellMar>
            <w:top w:w="0" w:type="dxa"/>
            <w:left w:w="0" w:type="dxa"/>
            <w:bottom w:w="0" w:type="dxa"/>
            <w:right w:w="0" w:type="dxa"/>
          </w:tblCellMar>
        </w:tblPrEx>
        <w:trPr>
          <w:trHeight w:val="465" w:hRule="atLeast"/>
          <w:jc w:val="center"/>
        </w:trPr>
        <w:tc>
          <w:tcPr>
            <w:tcW w:w="5761" w:type="dxa"/>
            <w:tcBorders>
              <w:top w:val="nil"/>
              <w:left w:val="single" w:color="auto" w:sz="8" w:space="0"/>
              <w:bottom w:val="single" w:color="auto" w:sz="8" w:space="0"/>
              <w:right w:val="single" w:color="auto" w:sz="8" w:space="0"/>
            </w:tcBorders>
            <w:noWrap/>
            <w:tcMar>
              <w:top w:w="0" w:type="dxa"/>
              <w:left w:w="360" w:type="dxa"/>
              <w:bottom w:w="0" w:type="dxa"/>
              <w:right w:w="0" w:type="dxa"/>
            </w:tcMar>
            <w:vAlign w:val="center"/>
          </w:tcPr>
          <w:p w14:paraId="7E1F15D6">
            <w:pPr>
              <w:widowControl/>
              <w:spacing w:line="240" w:lineRule="auto"/>
              <w:ind w:left="98" w:leftChars="-89" w:hanging="285" w:hangingChars="119"/>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3、个人所得税</w:t>
            </w:r>
          </w:p>
        </w:tc>
        <w:tc>
          <w:tcPr>
            <w:tcW w:w="2762"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AE9AE27">
            <w:pPr>
              <w:widowControl/>
              <w:spacing w:line="240" w:lineRule="auto"/>
              <w:ind w:left="0" w:leftChars="0"/>
              <w:jc w:val="right"/>
              <w:rPr>
                <w:rFonts w:hint="default" w:ascii="宋体" w:hAnsi="宋体" w:eastAsia="宋体" w:cs="宋体"/>
                <w:color w:val="000000"/>
                <w:kern w:val="0"/>
                <w:sz w:val="24"/>
                <w:szCs w:val="24"/>
                <w:highlight w:val="none"/>
                <w:lang w:val="en-US"/>
              </w:rPr>
            </w:pPr>
            <w:r>
              <w:rPr>
                <w:rFonts w:hint="default" w:ascii="宋体" w:hAnsi="宋体" w:eastAsia="宋体" w:cs="宋体"/>
                <w:color w:val="000000"/>
                <w:kern w:val="0"/>
                <w:sz w:val="24"/>
                <w:szCs w:val="24"/>
                <w:highlight w:val="none"/>
                <w:lang w:val="en-US"/>
              </w:rPr>
              <w:t>4100</w:t>
            </w:r>
          </w:p>
        </w:tc>
      </w:tr>
      <w:tr w14:paraId="49731D68">
        <w:tblPrEx>
          <w:tblCellMar>
            <w:top w:w="0" w:type="dxa"/>
            <w:left w:w="0" w:type="dxa"/>
            <w:bottom w:w="0" w:type="dxa"/>
            <w:right w:w="0" w:type="dxa"/>
          </w:tblCellMar>
        </w:tblPrEx>
        <w:trPr>
          <w:trHeight w:val="465" w:hRule="atLeast"/>
          <w:jc w:val="center"/>
        </w:trPr>
        <w:tc>
          <w:tcPr>
            <w:tcW w:w="5761" w:type="dxa"/>
            <w:tcBorders>
              <w:top w:val="nil"/>
              <w:left w:val="single" w:color="auto" w:sz="8" w:space="0"/>
              <w:bottom w:val="single" w:color="auto" w:sz="8" w:space="0"/>
              <w:right w:val="single" w:color="auto" w:sz="8" w:space="0"/>
            </w:tcBorders>
            <w:noWrap/>
            <w:tcMar>
              <w:top w:w="0" w:type="dxa"/>
              <w:left w:w="360" w:type="dxa"/>
              <w:bottom w:w="0" w:type="dxa"/>
              <w:right w:w="0" w:type="dxa"/>
            </w:tcMar>
            <w:vAlign w:val="center"/>
          </w:tcPr>
          <w:p w14:paraId="5E264896">
            <w:pPr>
              <w:widowControl/>
              <w:spacing w:line="240" w:lineRule="auto"/>
              <w:ind w:left="98" w:leftChars="-89" w:hanging="285" w:hangingChars="119"/>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4、城市维护建设税</w:t>
            </w:r>
          </w:p>
        </w:tc>
        <w:tc>
          <w:tcPr>
            <w:tcW w:w="2762"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791F3E0">
            <w:pPr>
              <w:widowControl/>
              <w:spacing w:line="240" w:lineRule="auto"/>
              <w:ind w:left="0" w:leftChars="0"/>
              <w:jc w:val="right"/>
              <w:rPr>
                <w:rFonts w:hint="default" w:ascii="宋体" w:hAnsi="宋体" w:eastAsia="宋体" w:cs="宋体"/>
                <w:color w:val="000000"/>
                <w:kern w:val="0"/>
                <w:sz w:val="24"/>
                <w:szCs w:val="24"/>
                <w:highlight w:val="none"/>
                <w:lang w:val="en-US"/>
              </w:rPr>
            </w:pPr>
            <w:r>
              <w:rPr>
                <w:rFonts w:hint="default" w:ascii="宋体" w:hAnsi="宋体" w:eastAsia="宋体" w:cs="宋体"/>
                <w:color w:val="000000"/>
                <w:kern w:val="0"/>
                <w:sz w:val="24"/>
                <w:szCs w:val="24"/>
                <w:highlight w:val="none"/>
                <w:lang w:val="en-US"/>
              </w:rPr>
              <w:t>24140</w:t>
            </w:r>
          </w:p>
        </w:tc>
      </w:tr>
      <w:tr w14:paraId="57A35265">
        <w:tblPrEx>
          <w:tblCellMar>
            <w:top w:w="0" w:type="dxa"/>
            <w:left w:w="0" w:type="dxa"/>
            <w:bottom w:w="0" w:type="dxa"/>
            <w:right w:w="0" w:type="dxa"/>
          </w:tblCellMar>
        </w:tblPrEx>
        <w:trPr>
          <w:trHeight w:val="465" w:hRule="atLeast"/>
          <w:jc w:val="center"/>
        </w:trPr>
        <w:tc>
          <w:tcPr>
            <w:tcW w:w="5761" w:type="dxa"/>
            <w:tcBorders>
              <w:top w:val="nil"/>
              <w:left w:val="single" w:color="auto" w:sz="8" w:space="0"/>
              <w:bottom w:val="single" w:color="auto" w:sz="8" w:space="0"/>
              <w:right w:val="single" w:color="auto" w:sz="8" w:space="0"/>
            </w:tcBorders>
            <w:noWrap/>
            <w:tcMar>
              <w:top w:w="0" w:type="dxa"/>
              <w:left w:w="360" w:type="dxa"/>
              <w:bottom w:w="0" w:type="dxa"/>
              <w:right w:w="0" w:type="dxa"/>
            </w:tcMar>
            <w:vAlign w:val="center"/>
          </w:tcPr>
          <w:p w14:paraId="37418D20">
            <w:pPr>
              <w:widowControl/>
              <w:spacing w:line="240" w:lineRule="auto"/>
              <w:ind w:left="98" w:leftChars="-89" w:hanging="285" w:hangingChars="119"/>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5、房产税</w:t>
            </w:r>
          </w:p>
        </w:tc>
        <w:tc>
          <w:tcPr>
            <w:tcW w:w="2762"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71B9F3C">
            <w:pPr>
              <w:widowControl/>
              <w:spacing w:line="240" w:lineRule="auto"/>
              <w:ind w:left="0" w:leftChars="0"/>
              <w:jc w:val="right"/>
              <w:rPr>
                <w:rFonts w:hint="default" w:ascii="宋体" w:hAnsi="宋体" w:eastAsia="宋体" w:cs="宋体"/>
                <w:color w:val="000000"/>
                <w:kern w:val="0"/>
                <w:sz w:val="24"/>
                <w:szCs w:val="24"/>
                <w:highlight w:val="none"/>
                <w:lang w:val="en-US"/>
              </w:rPr>
            </w:pPr>
            <w:r>
              <w:rPr>
                <w:rFonts w:hint="default" w:ascii="宋体" w:hAnsi="宋体" w:eastAsia="宋体" w:cs="宋体"/>
                <w:color w:val="000000"/>
                <w:kern w:val="0"/>
                <w:sz w:val="24"/>
                <w:szCs w:val="24"/>
                <w:highlight w:val="none"/>
                <w:lang w:val="en-US"/>
              </w:rPr>
              <w:t>11000</w:t>
            </w:r>
          </w:p>
        </w:tc>
      </w:tr>
      <w:tr w14:paraId="32889D71">
        <w:tblPrEx>
          <w:tblCellMar>
            <w:top w:w="0" w:type="dxa"/>
            <w:left w:w="0" w:type="dxa"/>
            <w:bottom w:w="0" w:type="dxa"/>
            <w:right w:w="0" w:type="dxa"/>
          </w:tblCellMar>
        </w:tblPrEx>
        <w:trPr>
          <w:trHeight w:val="465" w:hRule="atLeast"/>
          <w:jc w:val="center"/>
        </w:trPr>
        <w:tc>
          <w:tcPr>
            <w:tcW w:w="5761" w:type="dxa"/>
            <w:tcBorders>
              <w:top w:val="nil"/>
              <w:left w:val="single" w:color="auto" w:sz="8" w:space="0"/>
              <w:bottom w:val="single" w:color="auto" w:sz="8" w:space="0"/>
              <w:right w:val="single" w:color="auto" w:sz="8" w:space="0"/>
            </w:tcBorders>
            <w:noWrap/>
            <w:tcMar>
              <w:top w:w="0" w:type="dxa"/>
              <w:left w:w="360" w:type="dxa"/>
              <w:bottom w:w="0" w:type="dxa"/>
              <w:right w:w="0" w:type="dxa"/>
            </w:tcMar>
            <w:vAlign w:val="center"/>
          </w:tcPr>
          <w:p w14:paraId="72F14885">
            <w:pPr>
              <w:widowControl/>
              <w:spacing w:line="240" w:lineRule="auto"/>
              <w:ind w:left="98" w:leftChars="-89" w:hanging="285" w:hangingChars="119"/>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6、印花税</w:t>
            </w:r>
          </w:p>
        </w:tc>
        <w:tc>
          <w:tcPr>
            <w:tcW w:w="2762"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EC886B2">
            <w:pPr>
              <w:widowControl/>
              <w:spacing w:line="240" w:lineRule="auto"/>
              <w:ind w:left="0" w:leftChars="0"/>
              <w:jc w:val="right"/>
              <w:rPr>
                <w:rFonts w:hint="default" w:ascii="宋体" w:hAnsi="宋体" w:eastAsia="宋体" w:cs="宋体"/>
                <w:color w:val="000000"/>
                <w:kern w:val="0"/>
                <w:sz w:val="24"/>
                <w:szCs w:val="24"/>
                <w:highlight w:val="none"/>
                <w:lang w:val="en-US"/>
              </w:rPr>
            </w:pPr>
            <w:r>
              <w:rPr>
                <w:rFonts w:hint="default" w:ascii="宋体" w:hAnsi="宋体" w:eastAsia="宋体" w:cs="宋体"/>
                <w:color w:val="000000"/>
                <w:kern w:val="0"/>
                <w:sz w:val="24"/>
                <w:szCs w:val="24"/>
                <w:highlight w:val="none"/>
                <w:lang w:val="en-US"/>
              </w:rPr>
              <w:t>8150</w:t>
            </w:r>
          </w:p>
        </w:tc>
      </w:tr>
      <w:tr w14:paraId="077FB737">
        <w:tblPrEx>
          <w:tblCellMar>
            <w:top w:w="0" w:type="dxa"/>
            <w:left w:w="0" w:type="dxa"/>
            <w:bottom w:w="0" w:type="dxa"/>
            <w:right w:w="0" w:type="dxa"/>
          </w:tblCellMar>
        </w:tblPrEx>
        <w:trPr>
          <w:trHeight w:val="465" w:hRule="atLeast"/>
          <w:jc w:val="center"/>
        </w:trPr>
        <w:tc>
          <w:tcPr>
            <w:tcW w:w="5761" w:type="dxa"/>
            <w:tcBorders>
              <w:top w:val="nil"/>
              <w:left w:val="single" w:color="auto" w:sz="8" w:space="0"/>
              <w:bottom w:val="single" w:color="auto" w:sz="8" w:space="0"/>
              <w:right w:val="single" w:color="auto" w:sz="8" w:space="0"/>
            </w:tcBorders>
            <w:noWrap/>
            <w:tcMar>
              <w:top w:w="0" w:type="dxa"/>
              <w:left w:w="360" w:type="dxa"/>
              <w:bottom w:w="0" w:type="dxa"/>
              <w:right w:w="0" w:type="dxa"/>
            </w:tcMar>
            <w:vAlign w:val="center"/>
          </w:tcPr>
          <w:p w14:paraId="3D20C15D">
            <w:pPr>
              <w:widowControl/>
              <w:spacing w:line="240" w:lineRule="auto"/>
              <w:ind w:left="98" w:leftChars="-89" w:hanging="285" w:hangingChars="119"/>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7、城镇土地使用税</w:t>
            </w:r>
          </w:p>
        </w:tc>
        <w:tc>
          <w:tcPr>
            <w:tcW w:w="2762"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9846DDA">
            <w:pPr>
              <w:widowControl/>
              <w:spacing w:line="240" w:lineRule="auto"/>
              <w:ind w:left="0" w:leftChars="0"/>
              <w:jc w:val="right"/>
              <w:rPr>
                <w:rFonts w:hint="default" w:ascii="宋体" w:hAnsi="宋体" w:eastAsia="宋体" w:cs="宋体"/>
                <w:color w:val="000000"/>
                <w:kern w:val="0"/>
                <w:sz w:val="24"/>
                <w:szCs w:val="24"/>
                <w:highlight w:val="none"/>
                <w:lang w:val="en-US"/>
              </w:rPr>
            </w:pPr>
            <w:r>
              <w:rPr>
                <w:rFonts w:hint="default" w:ascii="宋体" w:hAnsi="宋体" w:eastAsia="宋体" w:cs="宋体"/>
                <w:color w:val="000000"/>
                <w:kern w:val="0"/>
                <w:sz w:val="24"/>
                <w:szCs w:val="24"/>
                <w:highlight w:val="none"/>
                <w:lang w:val="en-US"/>
              </w:rPr>
              <w:t>11030</w:t>
            </w:r>
          </w:p>
        </w:tc>
      </w:tr>
      <w:tr w14:paraId="16099234">
        <w:tblPrEx>
          <w:tblCellMar>
            <w:top w:w="0" w:type="dxa"/>
            <w:left w:w="0" w:type="dxa"/>
            <w:bottom w:w="0" w:type="dxa"/>
            <w:right w:w="0" w:type="dxa"/>
          </w:tblCellMar>
        </w:tblPrEx>
        <w:trPr>
          <w:trHeight w:val="465" w:hRule="atLeast"/>
          <w:jc w:val="center"/>
        </w:trPr>
        <w:tc>
          <w:tcPr>
            <w:tcW w:w="5761" w:type="dxa"/>
            <w:tcBorders>
              <w:top w:val="nil"/>
              <w:left w:val="single" w:color="auto" w:sz="8" w:space="0"/>
              <w:bottom w:val="single" w:color="auto" w:sz="8" w:space="0"/>
              <w:right w:val="single" w:color="auto" w:sz="8" w:space="0"/>
            </w:tcBorders>
            <w:noWrap/>
            <w:tcMar>
              <w:top w:w="0" w:type="dxa"/>
              <w:left w:w="360" w:type="dxa"/>
              <w:bottom w:w="0" w:type="dxa"/>
              <w:right w:w="0" w:type="dxa"/>
            </w:tcMar>
            <w:vAlign w:val="center"/>
          </w:tcPr>
          <w:p w14:paraId="794E32A3">
            <w:pPr>
              <w:widowControl/>
              <w:spacing w:line="240" w:lineRule="auto"/>
              <w:ind w:left="98" w:leftChars="-89" w:hanging="285" w:hangingChars="119"/>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8、土地增值税</w:t>
            </w:r>
          </w:p>
        </w:tc>
        <w:tc>
          <w:tcPr>
            <w:tcW w:w="2762"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FA9D77D">
            <w:pPr>
              <w:widowControl/>
              <w:spacing w:line="240" w:lineRule="auto"/>
              <w:ind w:left="0" w:leftChars="0"/>
              <w:jc w:val="right"/>
              <w:rPr>
                <w:rFonts w:hint="default" w:ascii="宋体" w:hAnsi="宋体" w:eastAsia="宋体" w:cs="宋体"/>
                <w:color w:val="000000"/>
                <w:kern w:val="0"/>
                <w:sz w:val="24"/>
                <w:szCs w:val="24"/>
                <w:highlight w:val="none"/>
                <w:lang w:val="en-US"/>
              </w:rPr>
            </w:pPr>
            <w:r>
              <w:rPr>
                <w:rFonts w:hint="default" w:ascii="宋体" w:hAnsi="宋体" w:eastAsia="宋体" w:cs="宋体"/>
                <w:color w:val="000000"/>
                <w:kern w:val="0"/>
                <w:sz w:val="24"/>
                <w:szCs w:val="24"/>
                <w:highlight w:val="none"/>
                <w:lang w:val="en-US"/>
              </w:rPr>
              <w:t>10220</w:t>
            </w:r>
          </w:p>
        </w:tc>
      </w:tr>
      <w:tr w14:paraId="37AF2AE2">
        <w:tblPrEx>
          <w:tblCellMar>
            <w:top w:w="0" w:type="dxa"/>
            <w:left w:w="0" w:type="dxa"/>
            <w:bottom w:w="0" w:type="dxa"/>
            <w:right w:w="0" w:type="dxa"/>
          </w:tblCellMar>
        </w:tblPrEx>
        <w:trPr>
          <w:trHeight w:val="465" w:hRule="atLeast"/>
          <w:jc w:val="center"/>
        </w:trPr>
        <w:tc>
          <w:tcPr>
            <w:tcW w:w="5761" w:type="dxa"/>
            <w:tcBorders>
              <w:top w:val="nil"/>
              <w:left w:val="single" w:color="auto" w:sz="8" w:space="0"/>
              <w:bottom w:val="single" w:color="auto" w:sz="8" w:space="0"/>
              <w:right w:val="single" w:color="auto" w:sz="8" w:space="0"/>
            </w:tcBorders>
            <w:noWrap/>
            <w:tcMar>
              <w:top w:w="0" w:type="dxa"/>
              <w:left w:w="360" w:type="dxa"/>
              <w:bottom w:w="0" w:type="dxa"/>
              <w:right w:w="0" w:type="dxa"/>
            </w:tcMar>
            <w:vAlign w:val="center"/>
          </w:tcPr>
          <w:p w14:paraId="689F7FE6">
            <w:pPr>
              <w:widowControl/>
              <w:spacing w:line="240" w:lineRule="auto"/>
              <w:ind w:left="98" w:leftChars="-89" w:hanging="285" w:hangingChars="119"/>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9、车船税</w:t>
            </w:r>
          </w:p>
        </w:tc>
        <w:tc>
          <w:tcPr>
            <w:tcW w:w="2762"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CAB4CEC">
            <w:pPr>
              <w:widowControl/>
              <w:spacing w:line="240" w:lineRule="auto"/>
              <w:ind w:left="0" w:leftChars="0"/>
              <w:jc w:val="right"/>
              <w:rPr>
                <w:rFonts w:hint="eastAsia" w:ascii="宋体" w:hAnsi="宋体" w:eastAsia="宋体" w:cs="宋体"/>
                <w:color w:val="000000"/>
                <w:kern w:val="0"/>
                <w:sz w:val="24"/>
                <w:szCs w:val="24"/>
                <w:highlight w:val="none"/>
              </w:rPr>
            </w:pPr>
            <w:r>
              <w:rPr>
                <w:rFonts w:hint="default" w:ascii="宋体" w:hAnsi="宋体" w:eastAsia="宋体" w:cs="宋体"/>
                <w:color w:val="000000"/>
                <w:kern w:val="0"/>
                <w:sz w:val="24"/>
                <w:szCs w:val="24"/>
                <w:highlight w:val="none"/>
                <w:lang w:val="en-US"/>
              </w:rPr>
              <w:t>6040</w:t>
            </w:r>
          </w:p>
        </w:tc>
      </w:tr>
      <w:tr w14:paraId="78D2DB4C">
        <w:tblPrEx>
          <w:tblCellMar>
            <w:top w:w="0" w:type="dxa"/>
            <w:left w:w="0" w:type="dxa"/>
            <w:bottom w:w="0" w:type="dxa"/>
            <w:right w:w="0" w:type="dxa"/>
          </w:tblCellMar>
        </w:tblPrEx>
        <w:trPr>
          <w:trHeight w:val="465" w:hRule="atLeast"/>
          <w:jc w:val="center"/>
        </w:trPr>
        <w:tc>
          <w:tcPr>
            <w:tcW w:w="5761" w:type="dxa"/>
            <w:tcBorders>
              <w:top w:val="nil"/>
              <w:left w:val="single" w:color="auto" w:sz="8" w:space="0"/>
              <w:bottom w:val="single" w:color="auto" w:sz="8" w:space="0"/>
              <w:right w:val="single" w:color="auto" w:sz="8" w:space="0"/>
            </w:tcBorders>
            <w:noWrap/>
            <w:tcMar>
              <w:top w:w="0" w:type="dxa"/>
              <w:left w:w="360" w:type="dxa"/>
              <w:bottom w:w="0" w:type="dxa"/>
              <w:right w:w="0" w:type="dxa"/>
            </w:tcMar>
            <w:vAlign w:val="center"/>
          </w:tcPr>
          <w:p w14:paraId="46D356E0">
            <w:pPr>
              <w:widowControl/>
              <w:spacing w:line="240" w:lineRule="auto"/>
              <w:ind w:left="98" w:leftChars="-89" w:hanging="285" w:hangingChars="119"/>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10、耕地占用税</w:t>
            </w:r>
          </w:p>
        </w:tc>
        <w:tc>
          <w:tcPr>
            <w:tcW w:w="2762"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06C6BE5">
            <w:pPr>
              <w:widowControl/>
              <w:spacing w:line="240" w:lineRule="auto"/>
              <w:ind w:left="0" w:leftChars="0"/>
              <w:jc w:val="right"/>
              <w:rPr>
                <w:rFonts w:hint="default" w:ascii="宋体" w:hAnsi="宋体" w:eastAsia="宋体" w:cs="宋体"/>
                <w:color w:val="000000"/>
                <w:kern w:val="0"/>
                <w:sz w:val="24"/>
                <w:szCs w:val="24"/>
                <w:highlight w:val="none"/>
                <w:lang w:val="en-US"/>
              </w:rPr>
            </w:pPr>
            <w:r>
              <w:rPr>
                <w:rFonts w:hint="default" w:ascii="宋体" w:hAnsi="宋体" w:eastAsia="宋体" w:cs="宋体"/>
                <w:color w:val="000000"/>
                <w:kern w:val="0"/>
                <w:sz w:val="24"/>
                <w:szCs w:val="24"/>
                <w:highlight w:val="none"/>
                <w:lang w:val="en-US"/>
              </w:rPr>
              <w:t>1810</w:t>
            </w:r>
          </w:p>
        </w:tc>
      </w:tr>
      <w:tr w14:paraId="197F2CAD">
        <w:tblPrEx>
          <w:tblCellMar>
            <w:top w:w="0" w:type="dxa"/>
            <w:left w:w="0" w:type="dxa"/>
            <w:bottom w:w="0" w:type="dxa"/>
            <w:right w:w="0" w:type="dxa"/>
          </w:tblCellMar>
        </w:tblPrEx>
        <w:trPr>
          <w:trHeight w:val="465" w:hRule="atLeast"/>
          <w:jc w:val="center"/>
        </w:trPr>
        <w:tc>
          <w:tcPr>
            <w:tcW w:w="5761" w:type="dxa"/>
            <w:tcBorders>
              <w:top w:val="nil"/>
              <w:left w:val="single" w:color="auto" w:sz="8" w:space="0"/>
              <w:bottom w:val="single" w:color="auto" w:sz="8" w:space="0"/>
              <w:right w:val="single" w:color="auto" w:sz="8" w:space="0"/>
            </w:tcBorders>
            <w:noWrap/>
            <w:tcMar>
              <w:top w:w="15" w:type="dxa"/>
              <w:left w:w="15" w:type="dxa"/>
              <w:bottom w:w="0" w:type="dxa"/>
              <w:right w:w="15" w:type="dxa"/>
            </w:tcMar>
            <w:vAlign w:val="center"/>
          </w:tcPr>
          <w:p w14:paraId="5D1D5270">
            <w:pPr>
              <w:widowControl/>
              <w:spacing w:line="240"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11、契税</w:t>
            </w:r>
          </w:p>
        </w:tc>
        <w:tc>
          <w:tcPr>
            <w:tcW w:w="2762"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1423E8D2">
            <w:pPr>
              <w:widowControl/>
              <w:spacing w:line="240" w:lineRule="auto"/>
              <w:ind w:left="0" w:leftChars="0"/>
              <w:jc w:val="right"/>
              <w:rPr>
                <w:rFonts w:hint="default" w:ascii="宋体" w:hAnsi="宋体" w:eastAsia="宋体" w:cs="宋体"/>
                <w:color w:val="000000"/>
                <w:kern w:val="0"/>
                <w:sz w:val="24"/>
                <w:szCs w:val="24"/>
                <w:highlight w:val="none"/>
                <w:lang w:val="en-US"/>
              </w:rPr>
            </w:pPr>
            <w:r>
              <w:rPr>
                <w:rFonts w:hint="default" w:ascii="宋体" w:hAnsi="宋体" w:eastAsia="宋体" w:cs="宋体"/>
                <w:color w:val="000000"/>
                <w:kern w:val="0"/>
                <w:sz w:val="24"/>
                <w:szCs w:val="24"/>
                <w:highlight w:val="none"/>
                <w:lang w:val="en-US"/>
              </w:rPr>
              <w:t>14180</w:t>
            </w:r>
          </w:p>
        </w:tc>
      </w:tr>
      <w:tr w14:paraId="43DD0D08">
        <w:tblPrEx>
          <w:tblCellMar>
            <w:top w:w="0" w:type="dxa"/>
            <w:left w:w="0" w:type="dxa"/>
            <w:bottom w:w="0" w:type="dxa"/>
            <w:right w:w="0" w:type="dxa"/>
          </w:tblCellMar>
        </w:tblPrEx>
        <w:trPr>
          <w:trHeight w:val="465" w:hRule="atLeast"/>
          <w:jc w:val="center"/>
        </w:trPr>
        <w:tc>
          <w:tcPr>
            <w:tcW w:w="5761" w:type="dxa"/>
            <w:tcBorders>
              <w:top w:val="nil"/>
              <w:left w:val="single" w:color="auto" w:sz="8" w:space="0"/>
              <w:bottom w:val="single" w:color="auto" w:sz="8" w:space="0"/>
              <w:right w:val="single" w:color="auto" w:sz="8" w:space="0"/>
            </w:tcBorders>
            <w:noWrap/>
            <w:tcMar>
              <w:top w:w="15" w:type="dxa"/>
              <w:left w:w="15" w:type="dxa"/>
              <w:bottom w:w="0" w:type="dxa"/>
              <w:right w:w="15" w:type="dxa"/>
            </w:tcMar>
            <w:vAlign w:val="center"/>
          </w:tcPr>
          <w:p w14:paraId="3A6355F6">
            <w:pPr>
              <w:widowControl/>
              <w:spacing w:line="240" w:lineRule="auto"/>
              <w:ind w:firstLine="57" w:firstLineChars="24"/>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12、环境保护税</w:t>
            </w:r>
          </w:p>
        </w:tc>
        <w:tc>
          <w:tcPr>
            <w:tcW w:w="2762"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4AE5B8C3">
            <w:pPr>
              <w:widowControl/>
              <w:spacing w:line="240" w:lineRule="auto"/>
              <w:ind w:left="0" w:leftChars="0"/>
              <w:jc w:val="right"/>
              <w:rPr>
                <w:rFonts w:hint="default" w:ascii="宋体" w:hAnsi="宋体" w:eastAsia="宋体" w:cs="宋体"/>
                <w:color w:val="000000"/>
                <w:kern w:val="0"/>
                <w:sz w:val="24"/>
                <w:szCs w:val="24"/>
                <w:highlight w:val="none"/>
                <w:lang w:val="en-US"/>
              </w:rPr>
            </w:pPr>
            <w:r>
              <w:rPr>
                <w:rFonts w:hint="default" w:ascii="宋体" w:hAnsi="宋体" w:eastAsia="宋体" w:cs="宋体"/>
                <w:color w:val="000000"/>
                <w:kern w:val="0"/>
                <w:sz w:val="24"/>
                <w:szCs w:val="24"/>
                <w:highlight w:val="none"/>
                <w:lang w:val="en-US"/>
              </w:rPr>
              <w:t>120</w:t>
            </w:r>
          </w:p>
        </w:tc>
      </w:tr>
      <w:tr w14:paraId="122562DD">
        <w:tblPrEx>
          <w:tblCellMar>
            <w:top w:w="0" w:type="dxa"/>
            <w:left w:w="0" w:type="dxa"/>
            <w:bottom w:w="0" w:type="dxa"/>
            <w:right w:w="0" w:type="dxa"/>
          </w:tblCellMar>
        </w:tblPrEx>
        <w:trPr>
          <w:trHeight w:val="465" w:hRule="atLeast"/>
          <w:jc w:val="center"/>
        </w:trPr>
        <w:tc>
          <w:tcPr>
            <w:tcW w:w="5761" w:type="dxa"/>
            <w:tcBorders>
              <w:top w:val="nil"/>
              <w:left w:val="single" w:color="auto" w:sz="8" w:space="0"/>
              <w:bottom w:val="single" w:color="auto" w:sz="8" w:space="0"/>
              <w:right w:val="single" w:color="auto" w:sz="8" w:space="0"/>
            </w:tcBorders>
            <w:noWrap/>
            <w:tcMar>
              <w:top w:w="15" w:type="dxa"/>
              <w:left w:w="15" w:type="dxa"/>
              <w:bottom w:w="0" w:type="dxa"/>
              <w:right w:w="15" w:type="dxa"/>
            </w:tcMar>
            <w:vAlign w:val="center"/>
          </w:tcPr>
          <w:p w14:paraId="7730BDFA">
            <w:pPr>
              <w:widowControl/>
              <w:spacing w:line="240" w:lineRule="auto"/>
              <w:ind w:firstLine="57" w:firstLineChars="24"/>
              <w:jc w:val="left"/>
              <w:rPr>
                <w:rFonts w:hint="eastAsia" w:ascii="宋体" w:hAnsi="宋体" w:eastAsia="宋体" w:cs="宋体"/>
                <w:b/>
                <w:bCs/>
                <w:color w:val="000000"/>
                <w:kern w:val="0"/>
                <w:sz w:val="24"/>
                <w:szCs w:val="24"/>
                <w:highlight w:val="none"/>
              </w:rPr>
            </w:pPr>
            <w:r>
              <w:rPr>
                <w:rFonts w:hint="eastAsia" w:ascii="宋体" w:hAnsi="宋体" w:eastAsia="宋体" w:cs="宋体"/>
                <w:color w:val="000000"/>
                <w:kern w:val="0"/>
                <w:sz w:val="24"/>
                <w:szCs w:val="24"/>
                <w:highlight w:val="none"/>
              </w:rPr>
              <w:t>13、资源税</w:t>
            </w:r>
          </w:p>
        </w:tc>
        <w:tc>
          <w:tcPr>
            <w:tcW w:w="2762"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D42E538">
            <w:pPr>
              <w:widowControl/>
              <w:spacing w:line="240" w:lineRule="auto"/>
              <w:ind w:left="0" w:leftChars="0"/>
              <w:jc w:val="right"/>
              <w:rPr>
                <w:rFonts w:hint="default" w:ascii="宋体" w:hAnsi="宋体" w:eastAsia="宋体" w:cs="宋体"/>
                <w:b/>
                <w:bCs/>
                <w:color w:val="000000"/>
                <w:kern w:val="0"/>
                <w:sz w:val="24"/>
                <w:szCs w:val="24"/>
                <w:highlight w:val="none"/>
                <w:lang w:val="en-US"/>
              </w:rPr>
            </w:pPr>
            <w:r>
              <w:rPr>
                <w:rFonts w:hint="default" w:ascii="宋体" w:hAnsi="宋体" w:eastAsia="宋体" w:cs="宋体"/>
                <w:color w:val="000000"/>
                <w:kern w:val="0"/>
                <w:sz w:val="24"/>
                <w:szCs w:val="24"/>
                <w:highlight w:val="none"/>
                <w:lang w:val="en-US"/>
              </w:rPr>
              <w:t>220</w:t>
            </w:r>
          </w:p>
        </w:tc>
      </w:tr>
      <w:tr w14:paraId="70BA2B9E">
        <w:tblPrEx>
          <w:tblCellMar>
            <w:top w:w="0" w:type="dxa"/>
            <w:left w:w="0" w:type="dxa"/>
            <w:bottom w:w="0" w:type="dxa"/>
            <w:right w:w="0" w:type="dxa"/>
          </w:tblCellMar>
        </w:tblPrEx>
        <w:trPr>
          <w:trHeight w:val="465" w:hRule="atLeast"/>
          <w:jc w:val="center"/>
        </w:trPr>
        <w:tc>
          <w:tcPr>
            <w:tcW w:w="5761" w:type="dxa"/>
            <w:tcBorders>
              <w:top w:val="nil"/>
              <w:left w:val="single" w:color="auto" w:sz="8" w:space="0"/>
              <w:bottom w:val="single" w:color="auto" w:sz="8" w:space="0"/>
              <w:right w:val="single" w:color="auto" w:sz="8" w:space="0"/>
            </w:tcBorders>
            <w:noWrap/>
            <w:tcMar>
              <w:top w:w="15" w:type="dxa"/>
              <w:left w:w="15" w:type="dxa"/>
              <w:bottom w:w="0" w:type="dxa"/>
              <w:right w:w="15" w:type="dxa"/>
            </w:tcMar>
            <w:vAlign w:val="center"/>
          </w:tcPr>
          <w:p w14:paraId="5436C25F">
            <w:pPr>
              <w:widowControl/>
              <w:spacing w:line="240" w:lineRule="auto"/>
              <w:ind w:firstLine="241" w:firstLineChars="100"/>
              <w:jc w:val="left"/>
              <w:rPr>
                <w:rFonts w:hint="eastAsia" w:ascii="宋体" w:hAnsi="宋体" w:eastAsia="宋体" w:cs="宋体"/>
                <w:color w:val="000000"/>
                <w:kern w:val="0"/>
                <w:sz w:val="24"/>
                <w:szCs w:val="24"/>
                <w:highlight w:val="none"/>
              </w:rPr>
            </w:pPr>
            <w:r>
              <w:rPr>
                <w:rFonts w:hint="eastAsia" w:ascii="宋体" w:hAnsi="宋体" w:eastAsia="宋体" w:cs="宋体"/>
                <w:b/>
                <w:bCs/>
                <w:color w:val="000000"/>
                <w:kern w:val="0"/>
                <w:sz w:val="24"/>
                <w:szCs w:val="24"/>
                <w:highlight w:val="none"/>
              </w:rPr>
              <w:t>（二）非税收入</w:t>
            </w:r>
          </w:p>
        </w:tc>
        <w:tc>
          <w:tcPr>
            <w:tcW w:w="2762"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F7EFA8C">
            <w:pPr>
              <w:widowControl/>
              <w:spacing w:line="240" w:lineRule="auto"/>
              <w:ind w:left="0" w:leftChars="0"/>
              <w:jc w:val="right"/>
              <w:rPr>
                <w:rFonts w:hint="default" w:ascii="宋体" w:hAnsi="宋体" w:eastAsia="宋体" w:cs="宋体"/>
                <w:color w:val="000000"/>
                <w:kern w:val="0"/>
                <w:sz w:val="24"/>
                <w:szCs w:val="24"/>
                <w:highlight w:val="none"/>
                <w:lang w:val="en-US"/>
              </w:rPr>
            </w:pPr>
            <w:r>
              <w:rPr>
                <w:rFonts w:hint="default" w:ascii="宋体" w:hAnsi="宋体" w:eastAsia="宋体" w:cs="宋体"/>
                <w:b/>
                <w:bCs/>
                <w:color w:val="000000"/>
                <w:kern w:val="0"/>
                <w:sz w:val="24"/>
                <w:szCs w:val="24"/>
                <w:highlight w:val="none"/>
                <w:lang w:val="en-US"/>
              </w:rPr>
              <w:t>32700</w:t>
            </w:r>
          </w:p>
        </w:tc>
      </w:tr>
      <w:tr w14:paraId="1C2744BE">
        <w:tblPrEx>
          <w:tblCellMar>
            <w:top w:w="0" w:type="dxa"/>
            <w:left w:w="0" w:type="dxa"/>
            <w:bottom w:w="0" w:type="dxa"/>
            <w:right w:w="0" w:type="dxa"/>
          </w:tblCellMar>
        </w:tblPrEx>
        <w:trPr>
          <w:trHeight w:val="465" w:hRule="atLeast"/>
          <w:jc w:val="center"/>
        </w:trPr>
        <w:tc>
          <w:tcPr>
            <w:tcW w:w="5761" w:type="dxa"/>
            <w:tcBorders>
              <w:top w:val="nil"/>
              <w:left w:val="single" w:color="auto" w:sz="8" w:space="0"/>
              <w:bottom w:val="single" w:color="auto" w:sz="8" w:space="0"/>
              <w:right w:val="single" w:color="auto" w:sz="8" w:space="0"/>
            </w:tcBorders>
            <w:noWrap/>
            <w:tcMar>
              <w:top w:w="15" w:type="dxa"/>
              <w:left w:w="15" w:type="dxa"/>
              <w:bottom w:w="0" w:type="dxa"/>
              <w:right w:w="15" w:type="dxa"/>
            </w:tcMar>
            <w:vAlign w:val="center"/>
          </w:tcPr>
          <w:p w14:paraId="022379C5">
            <w:pPr>
              <w:widowControl/>
              <w:spacing w:line="240"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1、专项收入</w:t>
            </w:r>
          </w:p>
        </w:tc>
        <w:tc>
          <w:tcPr>
            <w:tcW w:w="2762"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F6A4388">
            <w:pPr>
              <w:widowControl/>
              <w:spacing w:line="240" w:lineRule="auto"/>
              <w:ind w:left="0" w:leftChars="0"/>
              <w:jc w:val="right"/>
              <w:rPr>
                <w:rFonts w:hint="default" w:ascii="宋体" w:hAnsi="宋体" w:eastAsia="宋体" w:cs="宋体"/>
                <w:color w:val="000000"/>
                <w:kern w:val="0"/>
                <w:sz w:val="24"/>
                <w:szCs w:val="24"/>
                <w:highlight w:val="none"/>
                <w:lang w:val="en-US"/>
              </w:rPr>
            </w:pPr>
            <w:r>
              <w:rPr>
                <w:rFonts w:hint="default" w:ascii="宋体" w:hAnsi="宋体" w:eastAsia="宋体" w:cs="宋体"/>
                <w:color w:val="000000"/>
                <w:kern w:val="0"/>
                <w:sz w:val="24"/>
                <w:szCs w:val="24"/>
                <w:highlight w:val="none"/>
                <w:lang w:val="en-US"/>
              </w:rPr>
              <w:t>20700</w:t>
            </w:r>
          </w:p>
        </w:tc>
      </w:tr>
      <w:tr w14:paraId="168EA3D9">
        <w:tblPrEx>
          <w:tblCellMar>
            <w:top w:w="0" w:type="dxa"/>
            <w:left w:w="0" w:type="dxa"/>
            <w:bottom w:w="0" w:type="dxa"/>
            <w:right w:w="0" w:type="dxa"/>
          </w:tblCellMar>
        </w:tblPrEx>
        <w:trPr>
          <w:trHeight w:val="465" w:hRule="atLeast"/>
          <w:jc w:val="center"/>
        </w:trPr>
        <w:tc>
          <w:tcPr>
            <w:tcW w:w="5761" w:type="dxa"/>
            <w:tcBorders>
              <w:top w:val="nil"/>
              <w:left w:val="single" w:color="auto" w:sz="8" w:space="0"/>
              <w:bottom w:val="single" w:color="auto" w:sz="8" w:space="0"/>
              <w:right w:val="single" w:color="auto" w:sz="8" w:space="0"/>
            </w:tcBorders>
            <w:noWrap/>
            <w:tcMar>
              <w:top w:w="15" w:type="dxa"/>
              <w:left w:w="15" w:type="dxa"/>
              <w:bottom w:w="0" w:type="dxa"/>
              <w:right w:w="15" w:type="dxa"/>
            </w:tcMar>
            <w:vAlign w:val="center"/>
          </w:tcPr>
          <w:p w14:paraId="4524F10D">
            <w:pPr>
              <w:widowControl/>
              <w:spacing w:line="240"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2、行政性收费收入</w:t>
            </w:r>
          </w:p>
        </w:tc>
        <w:tc>
          <w:tcPr>
            <w:tcW w:w="2762"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5E742F9">
            <w:pPr>
              <w:widowControl/>
              <w:spacing w:line="240" w:lineRule="auto"/>
              <w:ind w:left="0" w:leftChars="0"/>
              <w:jc w:val="right"/>
              <w:rPr>
                <w:rFonts w:hint="default" w:ascii="宋体" w:hAnsi="宋体" w:eastAsia="宋体" w:cs="宋体"/>
                <w:color w:val="000000"/>
                <w:kern w:val="0"/>
                <w:sz w:val="24"/>
                <w:szCs w:val="24"/>
                <w:highlight w:val="none"/>
                <w:lang w:val="en-US"/>
              </w:rPr>
            </w:pPr>
            <w:r>
              <w:rPr>
                <w:rFonts w:hint="default" w:ascii="宋体" w:hAnsi="宋体" w:eastAsia="宋体" w:cs="宋体"/>
                <w:color w:val="000000"/>
                <w:kern w:val="0"/>
                <w:sz w:val="24"/>
                <w:szCs w:val="24"/>
                <w:highlight w:val="none"/>
                <w:lang w:val="en-US"/>
              </w:rPr>
              <w:t>3000</w:t>
            </w:r>
          </w:p>
        </w:tc>
      </w:tr>
      <w:tr w14:paraId="59E9A62A">
        <w:tblPrEx>
          <w:tblCellMar>
            <w:top w:w="0" w:type="dxa"/>
            <w:left w:w="0" w:type="dxa"/>
            <w:bottom w:w="0" w:type="dxa"/>
            <w:right w:w="0" w:type="dxa"/>
          </w:tblCellMar>
        </w:tblPrEx>
        <w:trPr>
          <w:trHeight w:val="465" w:hRule="atLeast"/>
          <w:jc w:val="center"/>
        </w:trPr>
        <w:tc>
          <w:tcPr>
            <w:tcW w:w="5761" w:type="dxa"/>
            <w:tcBorders>
              <w:top w:val="nil"/>
              <w:left w:val="single" w:color="auto" w:sz="8" w:space="0"/>
              <w:bottom w:val="single" w:color="auto" w:sz="4" w:space="0"/>
              <w:right w:val="single" w:color="auto" w:sz="8" w:space="0"/>
            </w:tcBorders>
            <w:noWrap/>
            <w:tcMar>
              <w:top w:w="15" w:type="dxa"/>
              <w:left w:w="15" w:type="dxa"/>
              <w:bottom w:w="0" w:type="dxa"/>
              <w:right w:w="15" w:type="dxa"/>
            </w:tcMar>
            <w:vAlign w:val="center"/>
          </w:tcPr>
          <w:p w14:paraId="0D9C97C7">
            <w:pPr>
              <w:widowControl/>
              <w:spacing w:line="240"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3、罚没收入</w:t>
            </w:r>
          </w:p>
        </w:tc>
        <w:tc>
          <w:tcPr>
            <w:tcW w:w="2762" w:type="dxa"/>
            <w:tcBorders>
              <w:top w:val="nil"/>
              <w:left w:val="nil"/>
              <w:bottom w:val="single" w:color="auto" w:sz="4" w:space="0"/>
              <w:right w:val="single" w:color="auto" w:sz="8" w:space="0"/>
            </w:tcBorders>
            <w:noWrap/>
            <w:tcMar>
              <w:top w:w="15" w:type="dxa"/>
              <w:left w:w="15" w:type="dxa"/>
              <w:bottom w:w="0" w:type="dxa"/>
              <w:right w:w="15" w:type="dxa"/>
            </w:tcMar>
            <w:vAlign w:val="center"/>
          </w:tcPr>
          <w:p w14:paraId="5A1D9078">
            <w:pPr>
              <w:widowControl/>
              <w:spacing w:line="240" w:lineRule="auto"/>
              <w:ind w:left="0" w:leftChars="0"/>
              <w:jc w:val="right"/>
              <w:rPr>
                <w:rFonts w:hint="default" w:ascii="宋体" w:hAnsi="宋体" w:eastAsia="宋体" w:cs="宋体"/>
                <w:color w:val="000000"/>
                <w:kern w:val="0"/>
                <w:sz w:val="24"/>
                <w:szCs w:val="24"/>
                <w:highlight w:val="none"/>
                <w:lang w:val="en-US"/>
              </w:rPr>
            </w:pPr>
            <w:r>
              <w:rPr>
                <w:rFonts w:hint="default" w:ascii="宋体" w:hAnsi="宋体" w:eastAsia="宋体" w:cs="宋体"/>
                <w:color w:val="000000"/>
                <w:kern w:val="0"/>
                <w:sz w:val="24"/>
                <w:szCs w:val="24"/>
                <w:highlight w:val="none"/>
                <w:lang w:val="en-US"/>
              </w:rPr>
              <w:t>4000</w:t>
            </w:r>
          </w:p>
        </w:tc>
      </w:tr>
      <w:tr w14:paraId="4731FEAC">
        <w:tblPrEx>
          <w:tblCellMar>
            <w:top w:w="0" w:type="dxa"/>
            <w:left w:w="0" w:type="dxa"/>
            <w:bottom w:w="0" w:type="dxa"/>
            <w:right w:w="0" w:type="dxa"/>
          </w:tblCellMar>
        </w:tblPrEx>
        <w:trPr>
          <w:trHeight w:val="465" w:hRule="atLeast"/>
          <w:jc w:val="center"/>
        </w:trPr>
        <w:tc>
          <w:tcPr>
            <w:tcW w:w="576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2E3BDEB">
            <w:pPr>
              <w:widowControl/>
              <w:spacing w:line="240"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4、国有资源（资产）有偿使用收入</w:t>
            </w:r>
          </w:p>
        </w:tc>
        <w:tc>
          <w:tcPr>
            <w:tcW w:w="276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9F4C035">
            <w:pPr>
              <w:widowControl/>
              <w:spacing w:line="240" w:lineRule="auto"/>
              <w:ind w:left="0" w:leftChars="0"/>
              <w:jc w:val="right"/>
              <w:rPr>
                <w:rFonts w:hint="default" w:ascii="宋体" w:hAnsi="宋体" w:eastAsia="宋体" w:cs="宋体"/>
                <w:color w:val="000000"/>
                <w:kern w:val="0"/>
                <w:sz w:val="24"/>
                <w:szCs w:val="24"/>
                <w:highlight w:val="none"/>
                <w:lang w:val="en-US"/>
              </w:rPr>
            </w:pPr>
            <w:r>
              <w:rPr>
                <w:rFonts w:hint="default" w:ascii="宋体" w:hAnsi="宋体" w:eastAsia="宋体" w:cs="宋体"/>
                <w:color w:val="000000"/>
                <w:kern w:val="0"/>
                <w:sz w:val="24"/>
                <w:szCs w:val="24"/>
                <w:highlight w:val="none"/>
                <w:lang w:val="en-US"/>
              </w:rPr>
              <w:t>4975</w:t>
            </w:r>
          </w:p>
        </w:tc>
      </w:tr>
      <w:tr w14:paraId="002FA671">
        <w:tblPrEx>
          <w:tblCellMar>
            <w:top w:w="0" w:type="dxa"/>
            <w:left w:w="0" w:type="dxa"/>
            <w:bottom w:w="0" w:type="dxa"/>
            <w:right w:w="0" w:type="dxa"/>
          </w:tblCellMar>
        </w:tblPrEx>
        <w:trPr>
          <w:trHeight w:val="465" w:hRule="atLeast"/>
          <w:jc w:val="center"/>
        </w:trPr>
        <w:tc>
          <w:tcPr>
            <w:tcW w:w="576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9EBEAEB">
            <w:pPr>
              <w:widowControl/>
              <w:spacing w:line="240" w:lineRule="auto"/>
              <w:jc w:val="left"/>
              <w:rPr>
                <w:rFonts w:hint="eastAsia" w:ascii="宋体" w:hAnsi="宋体" w:eastAsia="宋体" w:cs="宋体"/>
                <w:b/>
                <w:bCs/>
                <w:color w:val="000000"/>
                <w:kern w:val="0"/>
                <w:sz w:val="24"/>
                <w:szCs w:val="24"/>
                <w:highlight w:val="none"/>
                <w:lang w:eastAsia="zh-CN"/>
              </w:rPr>
            </w:pPr>
            <w:r>
              <w:rPr>
                <w:rFonts w:hint="eastAsia" w:ascii="宋体" w:hAnsi="宋体" w:eastAsia="宋体" w:cs="宋体"/>
                <w:color w:val="000000"/>
                <w:kern w:val="0"/>
                <w:sz w:val="24"/>
                <w:szCs w:val="24"/>
                <w:highlight w:val="none"/>
              </w:rPr>
              <w:t>5、政府住房基金收入</w:t>
            </w:r>
          </w:p>
        </w:tc>
        <w:tc>
          <w:tcPr>
            <w:tcW w:w="276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FF61740">
            <w:pPr>
              <w:widowControl/>
              <w:spacing w:line="240" w:lineRule="auto"/>
              <w:ind w:left="0" w:leftChars="0"/>
              <w:jc w:val="right"/>
              <w:rPr>
                <w:rFonts w:hint="default" w:ascii="宋体" w:hAnsi="宋体" w:eastAsia="宋体" w:cs="宋体"/>
                <w:b/>
                <w:bCs/>
                <w:color w:val="000000"/>
                <w:kern w:val="0"/>
                <w:sz w:val="24"/>
                <w:szCs w:val="24"/>
                <w:highlight w:val="none"/>
                <w:lang w:val="en-US" w:eastAsia="zh-CN" w:bidi="ar-SA"/>
              </w:rPr>
            </w:pPr>
            <w:r>
              <w:rPr>
                <w:rFonts w:hint="default" w:ascii="宋体" w:hAnsi="宋体" w:eastAsia="宋体" w:cs="宋体"/>
                <w:color w:val="000000"/>
                <w:kern w:val="0"/>
                <w:sz w:val="24"/>
                <w:szCs w:val="24"/>
                <w:highlight w:val="none"/>
                <w:lang w:val="en-US"/>
              </w:rPr>
              <w:t>25</w:t>
            </w:r>
          </w:p>
        </w:tc>
      </w:tr>
    </w:tbl>
    <w:p w14:paraId="745EFC5E">
      <w:pPr>
        <w:keepNext w:val="0"/>
        <w:keepLines w:val="0"/>
        <w:pageBreakBefore w:val="0"/>
        <w:widowControl w:val="0"/>
        <w:pBdr>
          <w:bottom w:val="single" w:color="FFFFFF" w:sz="4" w:space="31"/>
        </w:pBdr>
        <w:kinsoku/>
        <w:wordWrap/>
        <w:overflowPunct/>
        <w:topLinePunct w:val="0"/>
        <w:autoSpaceDE w:val="0"/>
        <w:autoSpaceDN/>
        <w:bidi w:val="0"/>
        <w:adjustRightInd w:val="0"/>
        <w:snapToGrid w:val="0"/>
        <w:spacing w:line="560" w:lineRule="exact"/>
        <w:jc w:val="center"/>
        <w:textAlignment w:val="auto"/>
        <w:rPr>
          <w:rFonts w:hint="eastAsia" w:ascii="仿宋" w:hAnsi="仿宋" w:eastAsia="仿宋" w:cs="仿宋"/>
          <w:b/>
          <w:spacing w:val="-4"/>
          <w:kern w:val="0"/>
          <w:sz w:val="32"/>
          <w:szCs w:val="32"/>
          <w:highlight w:val="none"/>
        </w:rPr>
      </w:pPr>
      <w:r>
        <w:rPr>
          <w:rFonts w:hint="eastAsia" w:ascii="仿宋" w:hAnsi="仿宋" w:eastAsia="仿宋" w:cs="仿宋"/>
          <w:b/>
          <w:spacing w:val="-4"/>
          <w:kern w:val="0"/>
          <w:sz w:val="32"/>
          <w:szCs w:val="32"/>
          <w:highlight w:val="none"/>
        </w:rPr>
        <w:t>2024年一般公共预算支出情况表</w:t>
      </w:r>
    </w:p>
    <w:tbl>
      <w:tblPr>
        <w:tblStyle w:val="12"/>
        <w:tblW w:w="88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5"/>
        <w:gridCol w:w="3555"/>
      </w:tblGrid>
      <w:tr w14:paraId="0EE31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265" w:type="dxa"/>
            <w:tcBorders>
              <w:top w:val="nil"/>
              <w:left w:val="nil"/>
              <w:bottom w:val="nil"/>
              <w:right w:val="nil"/>
            </w:tcBorders>
            <w:noWrap/>
            <w:vAlign w:val="top"/>
          </w:tcPr>
          <w:p w14:paraId="3C4E6BC6">
            <w:pPr>
              <w:jc w:val="left"/>
              <w:rPr>
                <w:rFonts w:hint="eastAsia" w:ascii="仿宋" w:hAnsi="仿宋" w:eastAsia="仿宋" w:cs="仿宋"/>
                <w:i w:val="0"/>
                <w:iCs w:val="0"/>
                <w:color w:val="000000"/>
                <w:sz w:val="22"/>
                <w:szCs w:val="22"/>
                <w:highlight w:val="none"/>
                <w:u w:val="none"/>
              </w:rPr>
            </w:pPr>
          </w:p>
        </w:tc>
        <w:tc>
          <w:tcPr>
            <w:tcW w:w="3555" w:type="dxa"/>
            <w:tcBorders>
              <w:top w:val="nil"/>
              <w:left w:val="nil"/>
              <w:bottom w:val="nil"/>
              <w:right w:val="nil"/>
            </w:tcBorders>
            <w:noWrap/>
            <w:vAlign w:val="center"/>
          </w:tcPr>
          <w:p w14:paraId="35B3B6D3">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单位：万元</w:t>
            </w:r>
          </w:p>
        </w:tc>
      </w:tr>
      <w:tr w14:paraId="2B00C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8442158">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32443A">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预算数</w:t>
            </w:r>
          </w:p>
        </w:tc>
      </w:tr>
      <w:tr w14:paraId="5AD6F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B7BC5DC">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一、本级支出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B2BC2F">
            <w:pPr>
              <w:keepNext w:val="0"/>
              <w:keepLines w:val="0"/>
              <w:widowControl/>
              <w:suppressLineNumbers w:val="0"/>
              <w:jc w:val="right"/>
              <w:textAlignment w:val="center"/>
              <w:rPr>
                <w:rFonts w:hint="eastAsia" w:ascii="仿宋" w:hAnsi="仿宋" w:eastAsia="仿宋" w:cs="仿宋"/>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402914</w:t>
            </w:r>
          </w:p>
        </w:tc>
      </w:tr>
      <w:tr w14:paraId="122CA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688E0BB">
            <w:pPr>
              <w:keepNext w:val="0"/>
              <w:keepLines w:val="0"/>
              <w:pageBreakBefore w:val="0"/>
              <w:widowControl/>
              <w:suppressLineNumbers w:val="0"/>
              <w:kinsoku/>
              <w:wordWrap/>
              <w:overflowPunct/>
              <w:topLinePunct w:val="0"/>
              <w:autoSpaceDE/>
              <w:autoSpaceDN/>
              <w:bidi w:val="0"/>
              <w:adjustRightInd/>
              <w:snapToGrid/>
              <w:spacing w:line="336" w:lineRule="auto"/>
              <w:ind w:firstLine="480" w:firstLineChars="20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一般公共服务支出</w:t>
            </w:r>
          </w:p>
        </w:tc>
        <w:tc>
          <w:tcPr>
            <w:tcW w:w="3555" w:type="dxa"/>
            <w:tcBorders>
              <w:top w:val="single" w:color="000000" w:sz="4" w:space="0"/>
              <w:left w:val="single" w:color="000000" w:sz="4" w:space="0"/>
              <w:bottom w:val="single" w:color="000000" w:sz="4" w:space="0"/>
              <w:right w:val="single" w:color="000000" w:sz="4" w:space="0"/>
            </w:tcBorders>
            <w:noWrap/>
            <w:vAlign w:val="center"/>
          </w:tcPr>
          <w:p w14:paraId="5E5D259C">
            <w:pPr>
              <w:keepNext w:val="0"/>
              <w:keepLines w:val="0"/>
              <w:pageBreakBefore w:val="0"/>
              <w:widowControl/>
              <w:suppressLineNumbers w:val="0"/>
              <w:kinsoku/>
              <w:wordWrap/>
              <w:overflowPunct/>
              <w:topLinePunct w:val="0"/>
              <w:autoSpaceDE/>
              <w:autoSpaceDN/>
              <w:bidi w:val="0"/>
              <w:adjustRightInd/>
              <w:snapToGrid/>
              <w:spacing w:line="336" w:lineRule="auto"/>
              <w:jc w:val="righ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52279</w:t>
            </w:r>
          </w:p>
        </w:tc>
      </w:tr>
      <w:tr w14:paraId="4C208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88B4D57">
            <w:pPr>
              <w:keepNext w:val="0"/>
              <w:keepLines w:val="0"/>
              <w:pageBreakBefore w:val="0"/>
              <w:widowControl/>
              <w:suppressLineNumbers w:val="0"/>
              <w:kinsoku/>
              <w:wordWrap/>
              <w:overflowPunct/>
              <w:topLinePunct w:val="0"/>
              <w:autoSpaceDE/>
              <w:autoSpaceDN/>
              <w:bidi w:val="0"/>
              <w:adjustRightInd/>
              <w:snapToGrid/>
              <w:spacing w:line="336" w:lineRule="auto"/>
              <w:ind w:firstLine="480" w:firstLineChars="20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公共安全支出</w:t>
            </w:r>
          </w:p>
        </w:tc>
        <w:tc>
          <w:tcPr>
            <w:tcW w:w="3555" w:type="dxa"/>
            <w:tcBorders>
              <w:top w:val="single" w:color="000000" w:sz="4" w:space="0"/>
              <w:left w:val="single" w:color="000000" w:sz="4" w:space="0"/>
              <w:bottom w:val="single" w:color="000000" w:sz="4" w:space="0"/>
              <w:right w:val="single" w:color="000000" w:sz="4" w:space="0"/>
            </w:tcBorders>
            <w:noWrap/>
            <w:vAlign w:val="center"/>
          </w:tcPr>
          <w:p w14:paraId="0ED0AB67">
            <w:pPr>
              <w:keepNext w:val="0"/>
              <w:keepLines w:val="0"/>
              <w:pageBreakBefore w:val="0"/>
              <w:widowControl/>
              <w:suppressLineNumbers w:val="0"/>
              <w:kinsoku/>
              <w:wordWrap/>
              <w:overflowPunct/>
              <w:topLinePunct w:val="0"/>
              <w:autoSpaceDE/>
              <w:autoSpaceDN/>
              <w:bidi w:val="0"/>
              <w:adjustRightInd/>
              <w:snapToGrid/>
              <w:spacing w:line="336" w:lineRule="auto"/>
              <w:jc w:val="righ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13510</w:t>
            </w:r>
          </w:p>
        </w:tc>
      </w:tr>
      <w:tr w14:paraId="37533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70B4CCD">
            <w:pPr>
              <w:keepNext w:val="0"/>
              <w:keepLines w:val="0"/>
              <w:pageBreakBefore w:val="0"/>
              <w:widowControl/>
              <w:suppressLineNumbers w:val="0"/>
              <w:kinsoku/>
              <w:wordWrap/>
              <w:overflowPunct/>
              <w:topLinePunct w:val="0"/>
              <w:autoSpaceDE/>
              <w:autoSpaceDN/>
              <w:bidi w:val="0"/>
              <w:adjustRightInd/>
              <w:snapToGrid/>
              <w:spacing w:line="336" w:lineRule="auto"/>
              <w:ind w:firstLine="480" w:firstLineChars="20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教育支出</w:t>
            </w:r>
          </w:p>
        </w:tc>
        <w:tc>
          <w:tcPr>
            <w:tcW w:w="3555" w:type="dxa"/>
            <w:tcBorders>
              <w:top w:val="single" w:color="000000" w:sz="4" w:space="0"/>
              <w:left w:val="single" w:color="000000" w:sz="4" w:space="0"/>
              <w:bottom w:val="single" w:color="000000" w:sz="4" w:space="0"/>
              <w:right w:val="single" w:color="000000" w:sz="4" w:space="0"/>
            </w:tcBorders>
            <w:noWrap/>
            <w:vAlign w:val="center"/>
          </w:tcPr>
          <w:p w14:paraId="38BD20CC">
            <w:pPr>
              <w:keepNext w:val="0"/>
              <w:keepLines w:val="0"/>
              <w:pageBreakBefore w:val="0"/>
              <w:widowControl/>
              <w:suppressLineNumbers w:val="0"/>
              <w:kinsoku/>
              <w:wordWrap/>
              <w:overflowPunct/>
              <w:topLinePunct w:val="0"/>
              <w:autoSpaceDE/>
              <w:autoSpaceDN/>
              <w:bidi w:val="0"/>
              <w:adjustRightInd/>
              <w:snapToGrid/>
              <w:spacing w:line="336" w:lineRule="auto"/>
              <w:jc w:val="righ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125845</w:t>
            </w:r>
          </w:p>
        </w:tc>
      </w:tr>
      <w:tr w14:paraId="51E06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05F3C1E">
            <w:pPr>
              <w:keepNext w:val="0"/>
              <w:keepLines w:val="0"/>
              <w:pageBreakBefore w:val="0"/>
              <w:widowControl/>
              <w:suppressLineNumbers w:val="0"/>
              <w:kinsoku/>
              <w:wordWrap/>
              <w:overflowPunct/>
              <w:topLinePunct w:val="0"/>
              <w:autoSpaceDE/>
              <w:autoSpaceDN/>
              <w:bidi w:val="0"/>
              <w:adjustRightInd/>
              <w:snapToGrid/>
              <w:spacing w:line="336" w:lineRule="auto"/>
              <w:ind w:firstLine="480" w:firstLineChars="20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科学技术支出</w:t>
            </w:r>
          </w:p>
        </w:tc>
        <w:tc>
          <w:tcPr>
            <w:tcW w:w="3555" w:type="dxa"/>
            <w:tcBorders>
              <w:top w:val="single" w:color="000000" w:sz="4" w:space="0"/>
              <w:left w:val="single" w:color="000000" w:sz="4" w:space="0"/>
              <w:bottom w:val="single" w:color="000000" w:sz="4" w:space="0"/>
              <w:right w:val="single" w:color="000000" w:sz="4" w:space="0"/>
            </w:tcBorders>
            <w:noWrap/>
            <w:vAlign w:val="center"/>
          </w:tcPr>
          <w:p w14:paraId="71F6C54A">
            <w:pPr>
              <w:keepNext w:val="0"/>
              <w:keepLines w:val="0"/>
              <w:pageBreakBefore w:val="0"/>
              <w:widowControl/>
              <w:suppressLineNumbers w:val="0"/>
              <w:kinsoku/>
              <w:wordWrap/>
              <w:overflowPunct/>
              <w:topLinePunct w:val="0"/>
              <w:autoSpaceDE/>
              <w:autoSpaceDN/>
              <w:bidi w:val="0"/>
              <w:adjustRightInd/>
              <w:snapToGrid/>
              <w:spacing w:line="336" w:lineRule="auto"/>
              <w:jc w:val="righ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2652</w:t>
            </w:r>
          </w:p>
        </w:tc>
      </w:tr>
      <w:tr w14:paraId="4A281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AD4C422">
            <w:pPr>
              <w:keepNext w:val="0"/>
              <w:keepLines w:val="0"/>
              <w:pageBreakBefore w:val="0"/>
              <w:widowControl/>
              <w:suppressLineNumbers w:val="0"/>
              <w:kinsoku/>
              <w:wordWrap/>
              <w:overflowPunct/>
              <w:topLinePunct w:val="0"/>
              <w:autoSpaceDE/>
              <w:autoSpaceDN/>
              <w:bidi w:val="0"/>
              <w:adjustRightInd/>
              <w:snapToGrid/>
              <w:spacing w:line="336" w:lineRule="auto"/>
              <w:ind w:firstLine="480" w:firstLineChars="20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文化旅游体育与传媒支出</w:t>
            </w:r>
          </w:p>
        </w:tc>
        <w:tc>
          <w:tcPr>
            <w:tcW w:w="3555" w:type="dxa"/>
            <w:tcBorders>
              <w:top w:val="single" w:color="000000" w:sz="4" w:space="0"/>
              <w:left w:val="single" w:color="000000" w:sz="4" w:space="0"/>
              <w:bottom w:val="single" w:color="000000" w:sz="4" w:space="0"/>
              <w:right w:val="single" w:color="000000" w:sz="4" w:space="0"/>
            </w:tcBorders>
            <w:noWrap/>
            <w:vAlign w:val="center"/>
          </w:tcPr>
          <w:p w14:paraId="6D7961ED">
            <w:pPr>
              <w:keepNext w:val="0"/>
              <w:keepLines w:val="0"/>
              <w:pageBreakBefore w:val="0"/>
              <w:widowControl/>
              <w:suppressLineNumbers w:val="0"/>
              <w:kinsoku/>
              <w:wordWrap/>
              <w:overflowPunct/>
              <w:topLinePunct w:val="0"/>
              <w:autoSpaceDE/>
              <w:autoSpaceDN/>
              <w:bidi w:val="0"/>
              <w:adjustRightInd/>
              <w:snapToGrid/>
              <w:spacing w:line="336" w:lineRule="auto"/>
              <w:jc w:val="righ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2786</w:t>
            </w:r>
          </w:p>
        </w:tc>
      </w:tr>
      <w:tr w14:paraId="3D08B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05D221F">
            <w:pPr>
              <w:keepNext w:val="0"/>
              <w:keepLines w:val="0"/>
              <w:pageBreakBefore w:val="0"/>
              <w:widowControl/>
              <w:suppressLineNumbers w:val="0"/>
              <w:kinsoku/>
              <w:wordWrap/>
              <w:overflowPunct/>
              <w:topLinePunct w:val="0"/>
              <w:autoSpaceDE/>
              <w:autoSpaceDN/>
              <w:bidi w:val="0"/>
              <w:adjustRightInd/>
              <w:snapToGrid/>
              <w:spacing w:line="336" w:lineRule="auto"/>
              <w:ind w:firstLine="480" w:firstLineChars="20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社会保障和就业支出</w:t>
            </w:r>
          </w:p>
        </w:tc>
        <w:tc>
          <w:tcPr>
            <w:tcW w:w="3555" w:type="dxa"/>
            <w:tcBorders>
              <w:top w:val="single" w:color="000000" w:sz="4" w:space="0"/>
              <w:left w:val="single" w:color="000000" w:sz="4" w:space="0"/>
              <w:bottom w:val="single" w:color="000000" w:sz="4" w:space="0"/>
              <w:right w:val="single" w:color="000000" w:sz="4" w:space="0"/>
            </w:tcBorders>
            <w:noWrap/>
            <w:vAlign w:val="center"/>
          </w:tcPr>
          <w:p w14:paraId="5B4D0C6B">
            <w:pPr>
              <w:keepNext w:val="0"/>
              <w:keepLines w:val="0"/>
              <w:pageBreakBefore w:val="0"/>
              <w:widowControl/>
              <w:suppressLineNumbers w:val="0"/>
              <w:kinsoku/>
              <w:wordWrap/>
              <w:overflowPunct/>
              <w:topLinePunct w:val="0"/>
              <w:autoSpaceDE/>
              <w:autoSpaceDN/>
              <w:bidi w:val="0"/>
              <w:adjustRightInd/>
              <w:snapToGrid/>
              <w:spacing w:line="336" w:lineRule="auto"/>
              <w:jc w:val="righ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91195</w:t>
            </w:r>
          </w:p>
        </w:tc>
      </w:tr>
      <w:tr w14:paraId="49C09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A006C29">
            <w:pPr>
              <w:keepNext w:val="0"/>
              <w:keepLines w:val="0"/>
              <w:pageBreakBefore w:val="0"/>
              <w:widowControl/>
              <w:suppressLineNumbers w:val="0"/>
              <w:kinsoku/>
              <w:wordWrap/>
              <w:overflowPunct/>
              <w:topLinePunct w:val="0"/>
              <w:autoSpaceDE/>
              <w:autoSpaceDN/>
              <w:bidi w:val="0"/>
              <w:adjustRightInd/>
              <w:snapToGrid/>
              <w:spacing w:line="336" w:lineRule="auto"/>
              <w:ind w:firstLine="480" w:firstLineChars="20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卫生健康支出</w:t>
            </w:r>
          </w:p>
        </w:tc>
        <w:tc>
          <w:tcPr>
            <w:tcW w:w="3555" w:type="dxa"/>
            <w:tcBorders>
              <w:top w:val="single" w:color="000000" w:sz="4" w:space="0"/>
              <w:left w:val="single" w:color="000000" w:sz="4" w:space="0"/>
              <w:bottom w:val="single" w:color="000000" w:sz="4" w:space="0"/>
              <w:right w:val="single" w:color="000000" w:sz="4" w:space="0"/>
            </w:tcBorders>
            <w:noWrap/>
            <w:vAlign w:val="center"/>
          </w:tcPr>
          <w:p w14:paraId="72E8857E">
            <w:pPr>
              <w:keepNext w:val="0"/>
              <w:keepLines w:val="0"/>
              <w:pageBreakBefore w:val="0"/>
              <w:widowControl/>
              <w:suppressLineNumbers w:val="0"/>
              <w:kinsoku/>
              <w:wordWrap/>
              <w:overflowPunct/>
              <w:topLinePunct w:val="0"/>
              <w:autoSpaceDE/>
              <w:autoSpaceDN/>
              <w:bidi w:val="0"/>
              <w:adjustRightInd/>
              <w:snapToGrid/>
              <w:spacing w:line="336" w:lineRule="auto"/>
              <w:jc w:val="righ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33789</w:t>
            </w:r>
          </w:p>
        </w:tc>
      </w:tr>
      <w:tr w14:paraId="5A677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6138B5F">
            <w:pPr>
              <w:keepNext w:val="0"/>
              <w:keepLines w:val="0"/>
              <w:pageBreakBefore w:val="0"/>
              <w:widowControl/>
              <w:suppressLineNumbers w:val="0"/>
              <w:kinsoku/>
              <w:wordWrap/>
              <w:overflowPunct/>
              <w:topLinePunct w:val="0"/>
              <w:autoSpaceDE/>
              <w:autoSpaceDN/>
              <w:bidi w:val="0"/>
              <w:adjustRightInd/>
              <w:snapToGrid/>
              <w:spacing w:line="336" w:lineRule="auto"/>
              <w:ind w:firstLine="480" w:firstLineChars="20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节能环保支出</w:t>
            </w:r>
          </w:p>
        </w:tc>
        <w:tc>
          <w:tcPr>
            <w:tcW w:w="3555" w:type="dxa"/>
            <w:tcBorders>
              <w:top w:val="single" w:color="000000" w:sz="4" w:space="0"/>
              <w:left w:val="single" w:color="000000" w:sz="4" w:space="0"/>
              <w:bottom w:val="single" w:color="000000" w:sz="4" w:space="0"/>
              <w:right w:val="single" w:color="000000" w:sz="4" w:space="0"/>
            </w:tcBorders>
            <w:noWrap/>
            <w:vAlign w:val="center"/>
          </w:tcPr>
          <w:p w14:paraId="2E192E6B">
            <w:pPr>
              <w:keepNext w:val="0"/>
              <w:keepLines w:val="0"/>
              <w:pageBreakBefore w:val="0"/>
              <w:widowControl/>
              <w:suppressLineNumbers w:val="0"/>
              <w:kinsoku/>
              <w:wordWrap/>
              <w:overflowPunct/>
              <w:topLinePunct w:val="0"/>
              <w:autoSpaceDE/>
              <w:autoSpaceDN/>
              <w:bidi w:val="0"/>
              <w:adjustRightInd/>
              <w:snapToGrid/>
              <w:spacing w:line="336" w:lineRule="auto"/>
              <w:jc w:val="righ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1321</w:t>
            </w:r>
          </w:p>
        </w:tc>
      </w:tr>
      <w:tr w14:paraId="4B49A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374D346">
            <w:pPr>
              <w:keepNext w:val="0"/>
              <w:keepLines w:val="0"/>
              <w:pageBreakBefore w:val="0"/>
              <w:widowControl/>
              <w:suppressLineNumbers w:val="0"/>
              <w:kinsoku/>
              <w:wordWrap/>
              <w:overflowPunct/>
              <w:topLinePunct w:val="0"/>
              <w:autoSpaceDE/>
              <w:autoSpaceDN/>
              <w:bidi w:val="0"/>
              <w:adjustRightInd/>
              <w:snapToGrid/>
              <w:spacing w:line="336" w:lineRule="auto"/>
              <w:ind w:firstLine="480" w:firstLineChars="20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城乡社区支出</w:t>
            </w:r>
          </w:p>
        </w:tc>
        <w:tc>
          <w:tcPr>
            <w:tcW w:w="3555" w:type="dxa"/>
            <w:tcBorders>
              <w:top w:val="single" w:color="000000" w:sz="4" w:space="0"/>
              <w:left w:val="single" w:color="000000" w:sz="4" w:space="0"/>
              <w:bottom w:val="single" w:color="000000" w:sz="4" w:space="0"/>
              <w:right w:val="single" w:color="000000" w:sz="4" w:space="0"/>
            </w:tcBorders>
            <w:noWrap/>
            <w:vAlign w:val="center"/>
          </w:tcPr>
          <w:p w14:paraId="431CAF59">
            <w:pPr>
              <w:keepNext w:val="0"/>
              <w:keepLines w:val="0"/>
              <w:pageBreakBefore w:val="0"/>
              <w:widowControl/>
              <w:suppressLineNumbers w:val="0"/>
              <w:kinsoku/>
              <w:wordWrap/>
              <w:overflowPunct/>
              <w:topLinePunct w:val="0"/>
              <w:autoSpaceDE/>
              <w:autoSpaceDN/>
              <w:bidi w:val="0"/>
              <w:adjustRightInd/>
              <w:snapToGrid/>
              <w:spacing w:line="336" w:lineRule="auto"/>
              <w:jc w:val="righ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7425</w:t>
            </w:r>
          </w:p>
        </w:tc>
      </w:tr>
      <w:tr w14:paraId="30FEC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DFD7FB0">
            <w:pPr>
              <w:keepNext w:val="0"/>
              <w:keepLines w:val="0"/>
              <w:pageBreakBefore w:val="0"/>
              <w:widowControl/>
              <w:suppressLineNumbers w:val="0"/>
              <w:kinsoku/>
              <w:wordWrap/>
              <w:overflowPunct/>
              <w:topLinePunct w:val="0"/>
              <w:autoSpaceDE/>
              <w:autoSpaceDN/>
              <w:bidi w:val="0"/>
              <w:adjustRightInd/>
              <w:snapToGrid/>
              <w:spacing w:line="336" w:lineRule="auto"/>
              <w:ind w:firstLine="480" w:firstLineChars="20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农林水支出</w:t>
            </w:r>
          </w:p>
        </w:tc>
        <w:tc>
          <w:tcPr>
            <w:tcW w:w="3555" w:type="dxa"/>
            <w:tcBorders>
              <w:top w:val="single" w:color="000000" w:sz="4" w:space="0"/>
              <w:left w:val="single" w:color="000000" w:sz="4" w:space="0"/>
              <w:bottom w:val="single" w:color="000000" w:sz="4" w:space="0"/>
              <w:right w:val="single" w:color="000000" w:sz="4" w:space="0"/>
            </w:tcBorders>
            <w:noWrap/>
            <w:vAlign w:val="center"/>
          </w:tcPr>
          <w:p w14:paraId="09FACF06">
            <w:pPr>
              <w:keepNext w:val="0"/>
              <w:keepLines w:val="0"/>
              <w:pageBreakBefore w:val="0"/>
              <w:widowControl/>
              <w:suppressLineNumbers w:val="0"/>
              <w:kinsoku/>
              <w:wordWrap/>
              <w:overflowPunct/>
              <w:topLinePunct w:val="0"/>
              <w:autoSpaceDE/>
              <w:autoSpaceDN/>
              <w:bidi w:val="0"/>
              <w:adjustRightInd/>
              <w:snapToGrid/>
              <w:spacing w:line="336" w:lineRule="auto"/>
              <w:jc w:val="righ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35371</w:t>
            </w:r>
          </w:p>
        </w:tc>
      </w:tr>
      <w:tr w14:paraId="0ADF2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9B8E9BB">
            <w:pPr>
              <w:keepNext w:val="0"/>
              <w:keepLines w:val="0"/>
              <w:pageBreakBefore w:val="0"/>
              <w:widowControl/>
              <w:suppressLineNumbers w:val="0"/>
              <w:kinsoku/>
              <w:wordWrap/>
              <w:overflowPunct/>
              <w:topLinePunct w:val="0"/>
              <w:autoSpaceDE/>
              <w:autoSpaceDN/>
              <w:bidi w:val="0"/>
              <w:adjustRightInd/>
              <w:snapToGrid/>
              <w:spacing w:line="336" w:lineRule="auto"/>
              <w:ind w:firstLine="480" w:firstLineChars="20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交通运输支出</w:t>
            </w:r>
          </w:p>
        </w:tc>
        <w:tc>
          <w:tcPr>
            <w:tcW w:w="3555" w:type="dxa"/>
            <w:tcBorders>
              <w:top w:val="single" w:color="000000" w:sz="4" w:space="0"/>
              <w:left w:val="single" w:color="000000" w:sz="4" w:space="0"/>
              <w:bottom w:val="single" w:color="000000" w:sz="4" w:space="0"/>
              <w:right w:val="single" w:color="000000" w:sz="4" w:space="0"/>
            </w:tcBorders>
            <w:noWrap/>
            <w:vAlign w:val="center"/>
          </w:tcPr>
          <w:p w14:paraId="724DF70E">
            <w:pPr>
              <w:keepNext w:val="0"/>
              <w:keepLines w:val="0"/>
              <w:pageBreakBefore w:val="0"/>
              <w:widowControl/>
              <w:suppressLineNumbers w:val="0"/>
              <w:kinsoku/>
              <w:wordWrap/>
              <w:overflowPunct/>
              <w:topLinePunct w:val="0"/>
              <w:autoSpaceDE/>
              <w:autoSpaceDN/>
              <w:bidi w:val="0"/>
              <w:adjustRightInd/>
              <w:snapToGrid/>
              <w:spacing w:line="336" w:lineRule="auto"/>
              <w:jc w:val="righ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2414</w:t>
            </w:r>
          </w:p>
        </w:tc>
      </w:tr>
      <w:tr w14:paraId="73417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038F55F">
            <w:pPr>
              <w:keepNext w:val="0"/>
              <w:keepLines w:val="0"/>
              <w:pageBreakBefore w:val="0"/>
              <w:widowControl/>
              <w:suppressLineNumbers w:val="0"/>
              <w:kinsoku/>
              <w:wordWrap/>
              <w:overflowPunct/>
              <w:topLinePunct w:val="0"/>
              <w:autoSpaceDE/>
              <w:autoSpaceDN/>
              <w:bidi w:val="0"/>
              <w:adjustRightInd/>
              <w:snapToGrid/>
              <w:spacing w:line="336" w:lineRule="auto"/>
              <w:ind w:firstLine="480" w:firstLineChars="20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资源勘探工业信息等支出</w:t>
            </w:r>
          </w:p>
        </w:tc>
        <w:tc>
          <w:tcPr>
            <w:tcW w:w="3555" w:type="dxa"/>
            <w:tcBorders>
              <w:top w:val="single" w:color="000000" w:sz="4" w:space="0"/>
              <w:left w:val="single" w:color="000000" w:sz="4" w:space="0"/>
              <w:bottom w:val="single" w:color="000000" w:sz="4" w:space="0"/>
              <w:right w:val="single" w:color="000000" w:sz="4" w:space="0"/>
            </w:tcBorders>
            <w:noWrap/>
            <w:vAlign w:val="center"/>
          </w:tcPr>
          <w:p w14:paraId="72929B15">
            <w:pPr>
              <w:keepNext w:val="0"/>
              <w:keepLines w:val="0"/>
              <w:pageBreakBefore w:val="0"/>
              <w:widowControl/>
              <w:suppressLineNumbers w:val="0"/>
              <w:kinsoku/>
              <w:wordWrap/>
              <w:overflowPunct/>
              <w:topLinePunct w:val="0"/>
              <w:autoSpaceDE/>
              <w:autoSpaceDN/>
              <w:bidi w:val="0"/>
              <w:adjustRightInd/>
              <w:snapToGrid/>
              <w:spacing w:line="336" w:lineRule="auto"/>
              <w:jc w:val="righ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479</w:t>
            </w:r>
          </w:p>
        </w:tc>
      </w:tr>
      <w:tr w14:paraId="2F1DB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BD8C7BF">
            <w:pPr>
              <w:keepNext w:val="0"/>
              <w:keepLines w:val="0"/>
              <w:pageBreakBefore w:val="0"/>
              <w:widowControl/>
              <w:suppressLineNumbers w:val="0"/>
              <w:kinsoku/>
              <w:wordWrap/>
              <w:overflowPunct/>
              <w:topLinePunct w:val="0"/>
              <w:autoSpaceDE/>
              <w:autoSpaceDN/>
              <w:bidi w:val="0"/>
              <w:adjustRightInd/>
              <w:snapToGrid/>
              <w:spacing w:line="336" w:lineRule="auto"/>
              <w:ind w:firstLine="480" w:firstLineChars="20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商业服务业等支出</w:t>
            </w:r>
          </w:p>
        </w:tc>
        <w:tc>
          <w:tcPr>
            <w:tcW w:w="3555" w:type="dxa"/>
            <w:tcBorders>
              <w:top w:val="single" w:color="000000" w:sz="4" w:space="0"/>
              <w:left w:val="single" w:color="000000" w:sz="4" w:space="0"/>
              <w:bottom w:val="single" w:color="000000" w:sz="4" w:space="0"/>
              <w:right w:val="single" w:color="000000" w:sz="4" w:space="0"/>
            </w:tcBorders>
            <w:noWrap/>
            <w:vAlign w:val="center"/>
          </w:tcPr>
          <w:p w14:paraId="055DE8FB">
            <w:pPr>
              <w:keepNext w:val="0"/>
              <w:keepLines w:val="0"/>
              <w:pageBreakBefore w:val="0"/>
              <w:widowControl/>
              <w:suppressLineNumbers w:val="0"/>
              <w:kinsoku/>
              <w:wordWrap/>
              <w:overflowPunct/>
              <w:topLinePunct w:val="0"/>
              <w:autoSpaceDE/>
              <w:autoSpaceDN/>
              <w:bidi w:val="0"/>
              <w:adjustRightInd/>
              <w:snapToGrid/>
              <w:spacing w:line="336" w:lineRule="auto"/>
              <w:jc w:val="righ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165</w:t>
            </w:r>
          </w:p>
        </w:tc>
      </w:tr>
      <w:tr w14:paraId="5AE60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066AABA">
            <w:pPr>
              <w:keepNext w:val="0"/>
              <w:keepLines w:val="0"/>
              <w:pageBreakBefore w:val="0"/>
              <w:widowControl/>
              <w:suppressLineNumbers w:val="0"/>
              <w:kinsoku/>
              <w:wordWrap/>
              <w:overflowPunct/>
              <w:topLinePunct w:val="0"/>
              <w:autoSpaceDE/>
              <w:autoSpaceDN/>
              <w:bidi w:val="0"/>
              <w:adjustRightInd/>
              <w:snapToGrid/>
              <w:spacing w:line="336" w:lineRule="auto"/>
              <w:ind w:firstLine="480" w:firstLineChars="20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金融支出</w:t>
            </w:r>
          </w:p>
        </w:tc>
        <w:tc>
          <w:tcPr>
            <w:tcW w:w="3555" w:type="dxa"/>
            <w:tcBorders>
              <w:top w:val="single" w:color="000000" w:sz="4" w:space="0"/>
              <w:left w:val="single" w:color="000000" w:sz="4" w:space="0"/>
              <w:bottom w:val="single" w:color="000000" w:sz="4" w:space="0"/>
              <w:right w:val="single" w:color="000000" w:sz="4" w:space="0"/>
            </w:tcBorders>
            <w:noWrap/>
            <w:vAlign w:val="center"/>
          </w:tcPr>
          <w:p w14:paraId="0C4D08BD">
            <w:pPr>
              <w:keepNext w:val="0"/>
              <w:keepLines w:val="0"/>
              <w:pageBreakBefore w:val="0"/>
              <w:widowControl/>
              <w:suppressLineNumbers w:val="0"/>
              <w:kinsoku/>
              <w:wordWrap/>
              <w:overflowPunct/>
              <w:topLinePunct w:val="0"/>
              <w:autoSpaceDE/>
              <w:autoSpaceDN/>
              <w:bidi w:val="0"/>
              <w:adjustRightInd/>
              <w:snapToGrid/>
              <w:spacing w:line="336" w:lineRule="auto"/>
              <w:jc w:val="righ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101</w:t>
            </w:r>
          </w:p>
        </w:tc>
      </w:tr>
      <w:tr w14:paraId="71762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29236EC">
            <w:pPr>
              <w:keepNext w:val="0"/>
              <w:keepLines w:val="0"/>
              <w:pageBreakBefore w:val="0"/>
              <w:widowControl/>
              <w:suppressLineNumbers w:val="0"/>
              <w:kinsoku/>
              <w:wordWrap/>
              <w:overflowPunct/>
              <w:topLinePunct w:val="0"/>
              <w:autoSpaceDE/>
              <w:autoSpaceDN/>
              <w:bidi w:val="0"/>
              <w:adjustRightInd/>
              <w:snapToGrid/>
              <w:spacing w:line="336" w:lineRule="auto"/>
              <w:ind w:firstLine="480" w:firstLineChars="20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自然资源海洋气象等支出</w:t>
            </w:r>
          </w:p>
        </w:tc>
        <w:tc>
          <w:tcPr>
            <w:tcW w:w="3555" w:type="dxa"/>
            <w:tcBorders>
              <w:top w:val="single" w:color="000000" w:sz="4" w:space="0"/>
              <w:left w:val="single" w:color="000000" w:sz="4" w:space="0"/>
              <w:bottom w:val="single" w:color="000000" w:sz="4" w:space="0"/>
              <w:right w:val="single" w:color="000000" w:sz="4" w:space="0"/>
            </w:tcBorders>
            <w:noWrap/>
            <w:vAlign w:val="center"/>
          </w:tcPr>
          <w:p w14:paraId="1C8D7A97">
            <w:pPr>
              <w:keepNext w:val="0"/>
              <w:keepLines w:val="0"/>
              <w:pageBreakBefore w:val="0"/>
              <w:widowControl/>
              <w:suppressLineNumbers w:val="0"/>
              <w:kinsoku/>
              <w:wordWrap/>
              <w:overflowPunct/>
              <w:topLinePunct w:val="0"/>
              <w:autoSpaceDE/>
              <w:autoSpaceDN/>
              <w:bidi w:val="0"/>
              <w:adjustRightInd/>
              <w:snapToGrid/>
              <w:spacing w:line="336" w:lineRule="auto"/>
              <w:jc w:val="righ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3315</w:t>
            </w:r>
          </w:p>
        </w:tc>
      </w:tr>
      <w:tr w14:paraId="7160E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EFD4BDA">
            <w:pPr>
              <w:keepNext w:val="0"/>
              <w:keepLines w:val="0"/>
              <w:pageBreakBefore w:val="0"/>
              <w:widowControl/>
              <w:suppressLineNumbers w:val="0"/>
              <w:kinsoku/>
              <w:wordWrap/>
              <w:overflowPunct/>
              <w:topLinePunct w:val="0"/>
              <w:autoSpaceDE/>
              <w:autoSpaceDN/>
              <w:bidi w:val="0"/>
              <w:adjustRightInd/>
              <w:snapToGrid/>
              <w:spacing w:line="336" w:lineRule="auto"/>
              <w:ind w:firstLine="480" w:firstLineChars="20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住房保障支出</w:t>
            </w:r>
          </w:p>
        </w:tc>
        <w:tc>
          <w:tcPr>
            <w:tcW w:w="3555" w:type="dxa"/>
            <w:tcBorders>
              <w:top w:val="single" w:color="000000" w:sz="4" w:space="0"/>
              <w:left w:val="single" w:color="000000" w:sz="4" w:space="0"/>
              <w:bottom w:val="single" w:color="000000" w:sz="4" w:space="0"/>
              <w:right w:val="single" w:color="000000" w:sz="4" w:space="0"/>
            </w:tcBorders>
            <w:noWrap/>
            <w:vAlign w:val="center"/>
          </w:tcPr>
          <w:p w14:paraId="12458FDD">
            <w:pPr>
              <w:keepNext w:val="0"/>
              <w:keepLines w:val="0"/>
              <w:pageBreakBefore w:val="0"/>
              <w:widowControl/>
              <w:suppressLineNumbers w:val="0"/>
              <w:kinsoku/>
              <w:wordWrap/>
              <w:overflowPunct/>
              <w:topLinePunct w:val="0"/>
              <w:autoSpaceDE/>
              <w:autoSpaceDN/>
              <w:bidi w:val="0"/>
              <w:adjustRightInd/>
              <w:snapToGrid/>
              <w:spacing w:line="336" w:lineRule="auto"/>
              <w:jc w:val="righ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12805</w:t>
            </w:r>
          </w:p>
        </w:tc>
      </w:tr>
      <w:tr w14:paraId="32FE2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A715CCA">
            <w:pPr>
              <w:keepNext w:val="0"/>
              <w:keepLines w:val="0"/>
              <w:pageBreakBefore w:val="0"/>
              <w:widowControl/>
              <w:suppressLineNumbers w:val="0"/>
              <w:kinsoku/>
              <w:wordWrap/>
              <w:overflowPunct/>
              <w:topLinePunct w:val="0"/>
              <w:autoSpaceDE/>
              <w:autoSpaceDN/>
              <w:bidi w:val="0"/>
              <w:adjustRightInd/>
              <w:snapToGrid/>
              <w:spacing w:line="336" w:lineRule="auto"/>
              <w:ind w:firstLine="480" w:firstLineChars="20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粮油物资储备支出</w:t>
            </w:r>
          </w:p>
        </w:tc>
        <w:tc>
          <w:tcPr>
            <w:tcW w:w="3555" w:type="dxa"/>
            <w:tcBorders>
              <w:top w:val="single" w:color="000000" w:sz="4" w:space="0"/>
              <w:left w:val="single" w:color="000000" w:sz="4" w:space="0"/>
              <w:bottom w:val="single" w:color="000000" w:sz="4" w:space="0"/>
              <w:right w:val="single" w:color="000000" w:sz="4" w:space="0"/>
            </w:tcBorders>
            <w:noWrap/>
            <w:vAlign w:val="center"/>
          </w:tcPr>
          <w:p w14:paraId="6EEE6739">
            <w:pPr>
              <w:keepNext w:val="0"/>
              <w:keepLines w:val="0"/>
              <w:pageBreakBefore w:val="0"/>
              <w:widowControl/>
              <w:suppressLineNumbers w:val="0"/>
              <w:kinsoku/>
              <w:wordWrap/>
              <w:overflowPunct/>
              <w:topLinePunct w:val="0"/>
              <w:autoSpaceDE/>
              <w:autoSpaceDN/>
              <w:bidi w:val="0"/>
              <w:adjustRightInd/>
              <w:snapToGrid/>
              <w:spacing w:line="336" w:lineRule="auto"/>
              <w:jc w:val="righ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323</w:t>
            </w:r>
          </w:p>
        </w:tc>
      </w:tr>
      <w:tr w14:paraId="167C0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46344DB">
            <w:pPr>
              <w:keepNext w:val="0"/>
              <w:keepLines w:val="0"/>
              <w:pageBreakBefore w:val="0"/>
              <w:widowControl/>
              <w:suppressLineNumbers w:val="0"/>
              <w:kinsoku/>
              <w:wordWrap/>
              <w:overflowPunct/>
              <w:topLinePunct w:val="0"/>
              <w:autoSpaceDE/>
              <w:autoSpaceDN/>
              <w:bidi w:val="0"/>
              <w:adjustRightInd/>
              <w:snapToGrid/>
              <w:spacing w:line="336" w:lineRule="auto"/>
              <w:ind w:firstLine="480" w:firstLineChars="20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灾害防治及应急管理支出</w:t>
            </w:r>
          </w:p>
        </w:tc>
        <w:tc>
          <w:tcPr>
            <w:tcW w:w="3555" w:type="dxa"/>
            <w:tcBorders>
              <w:top w:val="single" w:color="000000" w:sz="4" w:space="0"/>
              <w:left w:val="single" w:color="000000" w:sz="4" w:space="0"/>
              <w:bottom w:val="single" w:color="000000" w:sz="4" w:space="0"/>
              <w:right w:val="single" w:color="000000" w:sz="4" w:space="0"/>
            </w:tcBorders>
            <w:noWrap/>
            <w:vAlign w:val="center"/>
          </w:tcPr>
          <w:p w14:paraId="2FEB3BF2">
            <w:pPr>
              <w:keepNext w:val="0"/>
              <w:keepLines w:val="0"/>
              <w:pageBreakBefore w:val="0"/>
              <w:widowControl/>
              <w:suppressLineNumbers w:val="0"/>
              <w:kinsoku/>
              <w:wordWrap/>
              <w:overflowPunct/>
              <w:topLinePunct w:val="0"/>
              <w:autoSpaceDE/>
              <w:autoSpaceDN/>
              <w:bidi w:val="0"/>
              <w:adjustRightInd/>
              <w:snapToGrid/>
              <w:spacing w:line="336" w:lineRule="auto"/>
              <w:jc w:val="righ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2470</w:t>
            </w:r>
          </w:p>
        </w:tc>
      </w:tr>
      <w:tr w14:paraId="24C62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23A97B9">
            <w:pPr>
              <w:keepNext w:val="0"/>
              <w:keepLines w:val="0"/>
              <w:pageBreakBefore w:val="0"/>
              <w:widowControl/>
              <w:suppressLineNumbers w:val="0"/>
              <w:kinsoku/>
              <w:wordWrap/>
              <w:overflowPunct/>
              <w:topLinePunct w:val="0"/>
              <w:autoSpaceDE/>
              <w:autoSpaceDN/>
              <w:bidi w:val="0"/>
              <w:adjustRightInd/>
              <w:snapToGrid/>
              <w:spacing w:line="336" w:lineRule="auto"/>
              <w:ind w:firstLine="480" w:firstLineChars="20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预备费</w:t>
            </w:r>
          </w:p>
        </w:tc>
        <w:tc>
          <w:tcPr>
            <w:tcW w:w="3555" w:type="dxa"/>
            <w:tcBorders>
              <w:top w:val="single" w:color="000000" w:sz="4" w:space="0"/>
              <w:left w:val="single" w:color="000000" w:sz="4" w:space="0"/>
              <w:bottom w:val="single" w:color="000000" w:sz="4" w:space="0"/>
              <w:right w:val="single" w:color="000000" w:sz="4" w:space="0"/>
            </w:tcBorders>
            <w:noWrap/>
            <w:vAlign w:val="center"/>
          </w:tcPr>
          <w:p w14:paraId="2373B26D">
            <w:pPr>
              <w:keepNext w:val="0"/>
              <w:keepLines w:val="0"/>
              <w:pageBreakBefore w:val="0"/>
              <w:widowControl/>
              <w:suppressLineNumbers w:val="0"/>
              <w:kinsoku/>
              <w:wordWrap/>
              <w:overflowPunct/>
              <w:topLinePunct w:val="0"/>
              <w:autoSpaceDE/>
              <w:autoSpaceDN/>
              <w:bidi w:val="0"/>
              <w:adjustRightInd/>
              <w:snapToGrid/>
              <w:spacing w:line="336" w:lineRule="auto"/>
              <w:jc w:val="righ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4500</w:t>
            </w:r>
          </w:p>
        </w:tc>
      </w:tr>
      <w:tr w14:paraId="0A86A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B64F82E">
            <w:pPr>
              <w:keepNext w:val="0"/>
              <w:keepLines w:val="0"/>
              <w:pageBreakBefore w:val="0"/>
              <w:widowControl/>
              <w:suppressLineNumbers w:val="0"/>
              <w:kinsoku/>
              <w:wordWrap/>
              <w:overflowPunct/>
              <w:topLinePunct w:val="0"/>
              <w:autoSpaceDE/>
              <w:autoSpaceDN/>
              <w:bidi w:val="0"/>
              <w:adjustRightInd/>
              <w:snapToGrid/>
              <w:spacing w:line="336" w:lineRule="auto"/>
              <w:ind w:firstLine="480" w:firstLineChars="20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债务付息支出</w:t>
            </w:r>
          </w:p>
        </w:tc>
        <w:tc>
          <w:tcPr>
            <w:tcW w:w="3555" w:type="dxa"/>
            <w:tcBorders>
              <w:top w:val="single" w:color="000000" w:sz="4" w:space="0"/>
              <w:left w:val="single" w:color="000000" w:sz="4" w:space="0"/>
              <w:bottom w:val="single" w:color="000000" w:sz="4" w:space="0"/>
              <w:right w:val="single" w:color="000000" w:sz="4" w:space="0"/>
            </w:tcBorders>
            <w:noWrap/>
            <w:vAlign w:val="center"/>
          </w:tcPr>
          <w:p w14:paraId="4BFB694F">
            <w:pPr>
              <w:keepNext w:val="0"/>
              <w:keepLines w:val="0"/>
              <w:pageBreakBefore w:val="0"/>
              <w:widowControl/>
              <w:suppressLineNumbers w:val="0"/>
              <w:kinsoku/>
              <w:wordWrap/>
              <w:overflowPunct/>
              <w:topLinePunct w:val="0"/>
              <w:autoSpaceDE/>
              <w:autoSpaceDN/>
              <w:bidi w:val="0"/>
              <w:adjustRightInd/>
              <w:snapToGrid/>
              <w:spacing w:line="336" w:lineRule="auto"/>
              <w:jc w:val="righ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5145</w:t>
            </w:r>
          </w:p>
        </w:tc>
      </w:tr>
      <w:tr w14:paraId="1E462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8E7BEB5">
            <w:pPr>
              <w:keepNext w:val="0"/>
              <w:keepLines w:val="0"/>
              <w:pageBreakBefore w:val="0"/>
              <w:widowControl/>
              <w:suppressLineNumbers w:val="0"/>
              <w:kinsoku/>
              <w:wordWrap/>
              <w:overflowPunct/>
              <w:topLinePunct w:val="0"/>
              <w:autoSpaceDE/>
              <w:autoSpaceDN/>
              <w:bidi w:val="0"/>
              <w:adjustRightInd/>
              <w:snapToGrid/>
              <w:spacing w:line="336" w:lineRule="auto"/>
              <w:ind w:firstLine="480" w:firstLineChars="20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债务发行费用支出</w:t>
            </w:r>
          </w:p>
        </w:tc>
        <w:tc>
          <w:tcPr>
            <w:tcW w:w="3555" w:type="dxa"/>
            <w:tcBorders>
              <w:top w:val="single" w:color="000000" w:sz="4" w:space="0"/>
              <w:left w:val="single" w:color="000000" w:sz="4" w:space="0"/>
              <w:bottom w:val="single" w:color="000000" w:sz="4" w:space="0"/>
              <w:right w:val="single" w:color="000000" w:sz="4" w:space="0"/>
            </w:tcBorders>
            <w:noWrap/>
            <w:vAlign w:val="center"/>
          </w:tcPr>
          <w:p w14:paraId="1E0857C1">
            <w:pPr>
              <w:keepNext w:val="0"/>
              <w:keepLines w:val="0"/>
              <w:pageBreakBefore w:val="0"/>
              <w:widowControl/>
              <w:suppressLineNumbers w:val="0"/>
              <w:kinsoku/>
              <w:wordWrap/>
              <w:overflowPunct/>
              <w:topLinePunct w:val="0"/>
              <w:autoSpaceDE/>
              <w:autoSpaceDN/>
              <w:bidi w:val="0"/>
              <w:adjustRightInd/>
              <w:snapToGrid/>
              <w:spacing w:line="336" w:lineRule="auto"/>
              <w:jc w:val="righ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24</w:t>
            </w:r>
          </w:p>
        </w:tc>
      </w:tr>
      <w:tr w14:paraId="70574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3B76A67">
            <w:pPr>
              <w:keepNext w:val="0"/>
              <w:keepLines w:val="0"/>
              <w:pageBreakBefore w:val="0"/>
              <w:widowControl/>
              <w:suppressLineNumbers w:val="0"/>
              <w:kinsoku/>
              <w:wordWrap/>
              <w:overflowPunct/>
              <w:topLinePunct w:val="0"/>
              <w:autoSpaceDE/>
              <w:autoSpaceDN/>
              <w:bidi w:val="0"/>
              <w:adjustRightInd/>
              <w:snapToGrid/>
              <w:spacing w:line="336" w:lineRule="auto"/>
              <w:ind w:firstLine="480" w:firstLineChars="20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其他支出</w:t>
            </w:r>
          </w:p>
        </w:tc>
        <w:tc>
          <w:tcPr>
            <w:tcW w:w="3555" w:type="dxa"/>
            <w:tcBorders>
              <w:top w:val="single" w:color="000000" w:sz="4" w:space="0"/>
              <w:left w:val="single" w:color="000000" w:sz="4" w:space="0"/>
              <w:bottom w:val="single" w:color="000000" w:sz="4" w:space="0"/>
              <w:right w:val="single" w:color="000000" w:sz="4" w:space="0"/>
            </w:tcBorders>
            <w:noWrap/>
            <w:vAlign w:val="center"/>
          </w:tcPr>
          <w:p w14:paraId="2799A485">
            <w:pPr>
              <w:keepNext w:val="0"/>
              <w:keepLines w:val="0"/>
              <w:pageBreakBefore w:val="0"/>
              <w:widowControl/>
              <w:suppressLineNumbers w:val="0"/>
              <w:kinsoku/>
              <w:wordWrap/>
              <w:overflowPunct/>
              <w:topLinePunct w:val="0"/>
              <w:autoSpaceDE/>
              <w:autoSpaceDN/>
              <w:bidi w:val="0"/>
              <w:adjustRightInd/>
              <w:snapToGrid/>
              <w:spacing w:line="336" w:lineRule="auto"/>
              <w:jc w:val="righ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5000</w:t>
            </w:r>
          </w:p>
        </w:tc>
      </w:tr>
      <w:tr w14:paraId="6F89F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0A647A8">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0DA382">
            <w:pPr>
              <w:keepNext w:val="0"/>
              <w:keepLines w:val="0"/>
              <w:widowControl/>
              <w:suppressLineNumbers w:val="0"/>
              <w:jc w:val="right"/>
              <w:textAlignment w:val="center"/>
              <w:rPr>
                <w:rFonts w:hint="default" w:ascii="仿宋" w:hAnsi="仿宋" w:eastAsia="仿宋" w:cs="仿宋"/>
                <w:b/>
                <w:bCs/>
                <w:i w:val="0"/>
                <w:iCs w:val="0"/>
                <w:color w:val="000000"/>
                <w:sz w:val="24"/>
                <w:szCs w:val="24"/>
                <w:highlight w:val="none"/>
                <w:u w:val="none"/>
                <w:lang w:val="en-US"/>
              </w:rPr>
            </w:pPr>
            <w:r>
              <w:rPr>
                <w:rFonts w:hint="eastAsia" w:ascii="宋体" w:hAnsi="宋体" w:eastAsia="宋体" w:cs="宋体"/>
                <w:b/>
                <w:bCs/>
                <w:i w:val="0"/>
                <w:iCs w:val="0"/>
                <w:color w:val="000000"/>
                <w:kern w:val="0"/>
                <w:sz w:val="24"/>
                <w:szCs w:val="24"/>
                <w:highlight w:val="none"/>
                <w:u w:val="none"/>
                <w:lang w:val="en-US" w:eastAsia="zh-CN" w:bidi="ar"/>
              </w:rPr>
              <w:t>402914</w:t>
            </w:r>
          </w:p>
        </w:tc>
      </w:tr>
    </w:tbl>
    <w:p w14:paraId="2FDECF47">
      <w:pPr>
        <w:pBdr>
          <w:bottom w:val="single" w:color="FFFFFF" w:sz="4" w:space="31"/>
        </w:pBdr>
        <w:autoSpaceDE w:val="0"/>
        <w:adjustRightInd w:val="0"/>
        <w:snapToGrid w:val="0"/>
        <w:spacing w:line="600" w:lineRule="exact"/>
        <w:jc w:val="center"/>
        <w:rPr>
          <w:rFonts w:hint="eastAsia" w:ascii="仿宋" w:hAnsi="仿宋" w:eastAsia="仿宋" w:cs="宋体"/>
          <w:b/>
          <w:spacing w:val="-4"/>
          <w:kern w:val="0"/>
          <w:sz w:val="32"/>
          <w:szCs w:val="32"/>
          <w:highlight w:val="none"/>
        </w:rPr>
      </w:pPr>
      <w:r>
        <w:rPr>
          <w:rFonts w:hint="eastAsia" w:ascii="仿宋" w:hAnsi="仿宋" w:eastAsia="仿宋" w:cs="宋体"/>
          <w:b/>
          <w:spacing w:val="-4"/>
          <w:kern w:val="0"/>
          <w:sz w:val="32"/>
          <w:szCs w:val="32"/>
          <w:highlight w:val="none"/>
        </w:rPr>
        <w:t>2024年政府性基金收入情况表</w:t>
      </w:r>
    </w:p>
    <w:tbl>
      <w:tblPr>
        <w:tblStyle w:val="12"/>
        <w:tblW w:w="8400" w:type="dxa"/>
        <w:jc w:val="center"/>
        <w:tblLayout w:type="autofit"/>
        <w:tblCellMar>
          <w:top w:w="0" w:type="dxa"/>
          <w:left w:w="0" w:type="dxa"/>
          <w:bottom w:w="0" w:type="dxa"/>
          <w:right w:w="0" w:type="dxa"/>
        </w:tblCellMar>
      </w:tblPr>
      <w:tblGrid>
        <w:gridCol w:w="5260"/>
        <w:gridCol w:w="3140"/>
      </w:tblGrid>
      <w:tr w14:paraId="1DE827ED">
        <w:tblPrEx>
          <w:tblCellMar>
            <w:top w:w="0" w:type="dxa"/>
            <w:left w:w="0" w:type="dxa"/>
            <w:bottom w:w="0" w:type="dxa"/>
            <w:right w:w="0" w:type="dxa"/>
          </w:tblCellMar>
        </w:tblPrEx>
        <w:trPr>
          <w:trHeight w:val="465" w:hRule="atLeast"/>
          <w:jc w:val="center"/>
        </w:trPr>
        <w:tc>
          <w:tcPr>
            <w:tcW w:w="5260" w:type="dxa"/>
            <w:noWrap/>
            <w:tcMar>
              <w:top w:w="15" w:type="dxa"/>
              <w:left w:w="15" w:type="dxa"/>
              <w:bottom w:w="0" w:type="dxa"/>
              <w:right w:w="15" w:type="dxa"/>
            </w:tcMar>
            <w:vAlign w:val="center"/>
          </w:tcPr>
          <w:p w14:paraId="5EA619BB">
            <w:pPr>
              <w:widowControl/>
              <w:spacing w:line="240" w:lineRule="auto"/>
              <w:jc w:val="center"/>
              <w:rPr>
                <w:rFonts w:hint="eastAsia" w:ascii="黑体" w:hAnsi="黑体" w:eastAsia="黑体" w:cs="宋体"/>
                <w:color w:val="000000"/>
                <w:kern w:val="0"/>
                <w:sz w:val="36"/>
                <w:szCs w:val="36"/>
                <w:highlight w:val="none"/>
              </w:rPr>
            </w:pPr>
          </w:p>
        </w:tc>
        <w:tc>
          <w:tcPr>
            <w:tcW w:w="3140" w:type="dxa"/>
            <w:noWrap/>
            <w:tcMar>
              <w:top w:w="15" w:type="dxa"/>
              <w:left w:w="15" w:type="dxa"/>
              <w:bottom w:w="0" w:type="dxa"/>
              <w:right w:w="15" w:type="dxa"/>
            </w:tcMar>
            <w:vAlign w:val="center"/>
          </w:tcPr>
          <w:p w14:paraId="6F0BD52E">
            <w:pPr>
              <w:widowControl/>
              <w:spacing w:line="240" w:lineRule="auto"/>
              <w:jc w:val="righ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w:t>
            </w:r>
            <w:r>
              <w:rPr>
                <w:rFonts w:hint="eastAsia" w:ascii="宋体" w:hAnsi="宋体" w:eastAsia="宋体" w:cs="宋体"/>
                <w:color w:val="000000"/>
                <w:kern w:val="0"/>
                <w:sz w:val="28"/>
                <w:szCs w:val="28"/>
                <w:highlight w:val="none"/>
              </w:rPr>
              <w:t>单位：万元</w:t>
            </w:r>
          </w:p>
        </w:tc>
      </w:tr>
      <w:tr w14:paraId="25D272D4">
        <w:tblPrEx>
          <w:tblCellMar>
            <w:top w:w="0" w:type="dxa"/>
            <w:left w:w="0" w:type="dxa"/>
            <w:bottom w:w="0" w:type="dxa"/>
            <w:right w:w="0" w:type="dxa"/>
          </w:tblCellMar>
        </w:tblPrEx>
        <w:trPr>
          <w:trHeight w:val="570" w:hRule="atLeast"/>
          <w:jc w:val="center"/>
        </w:trPr>
        <w:tc>
          <w:tcPr>
            <w:tcW w:w="5260" w:type="dxa"/>
            <w:tcBorders>
              <w:top w:val="single" w:color="auto" w:sz="8" w:space="0"/>
              <w:left w:val="single" w:color="auto" w:sz="8" w:space="0"/>
              <w:bottom w:val="single" w:color="auto" w:sz="8" w:space="0"/>
              <w:right w:val="single" w:color="auto" w:sz="8" w:space="0"/>
            </w:tcBorders>
            <w:noWrap/>
            <w:tcMar>
              <w:top w:w="15" w:type="dxa"/>
              <w:left w:w="15" w:type="dxa"/>
              <w:bottom w:w="0" w:type="dxa"/>
              <w:right w:w="15" w:type="dxa"/>
            </w:tcMar>
            <w:vAlign w:val="center"/>
          </w:tcPr>
          <w:p w14:paraId="02E92286">
            <w:pPr>
              <w:widowControl/>
              <w:spacing w:line="240" w:lineRule="auto"/>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项       目</w:t>
            </w:r>
          </w:p>
        </w:tc>
        <w:tc>
          <w:tcPr>
            <w:tcW w:w="3140" w:type="dxa"/>
            <w:tcBorders>
              <w:top w:val="single" w:color="auto" w:sz="8" w:space="0"/>
              <w:left w:val="nil"/>
              <w:bottom w:val="single" w:color="auto" w:sz="8" w:space="0"/>
              <w:right w:val="single" w:color="auto" w:sz="8" w:space="0"/>
            </w:tcBorders>
            <w:noWrap/>
            <w:tcMar>
              <w:top w:w="15" w:type="dxa"/>
              <w:left w:w="15" w:type="dxa"/>
              <w:bottom w:w="0" w:type="dxa"/>
              <w:right w:w="15" w:type="dxa"/>
            </w:tcMar>
            <w:vAlign w:val="center"/>
          </w:tcPr>
          <w:p w14:paraId="22EA480C">
            <w:pPr>
              <w:widowControl/>
              <w:spacing w:line="240" w:lineRule="auto"/>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预算数</w:t>
            </w:r>
          </w:p>
        </w:tc>
      </w:tr>
      <w:tr w14:paraId="45F77212">
        <w:tblPrEx>
          <w:tblCellMar>
            <w:top w:w="0" w:type="dxa"/>
            <w:left w:w="0" w:type="dxa"/>
            <w:bottom w:w="0" w:type="dxa"/>
            <w:right w:w="0" w:type="dxa"/>
          </w:tblCellMar>
        </w:tblPrEx>
        <w:trPr>
          <w:trHeight w:val="570" w:hRule="atLeast"/>
          <w:jc w:val="center"/>
        </w:trPr>
        <w:tc>
          <w:tcPr>
            <w:tcW w:w="5260" w:type="dxa"/>
            <w:tcBorders>
              <w:top w:val="nil"/>
              <w:left w:val="single" w:color="auto" w:sz="8" w:space="0"/>
              <w:bottom w:val="single" w:color="auto" w:sz="8" w:space="0"/>
              <w:right w:val="single" w:color="auto" w:sz="8" w:space="0"/>
            </w:tcBorders>
            <w:noWrap/>
            <w:tcMar>
              <w:top w:w="15" w:type="dxa"/>
              <w:left w:w="15" w:type="dxa"/>
              <w:bottom w:w="0" w:type="dxa"/>
              <w:right w:w="15" w:type="dxa"/>
            </w:tcMar>
            <w:vAlign w:val="center"/>
          </w:tcPr>
          <w:p w14:paraId="402FCEFD">
            <w:pPr>
              <w:widowControl/>
              <w:spacing w:line="240" w:lineRule="auto"/>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政府性基金收入合计</w:t>
            </w:r>
          </w:p>
        </w:tc>
        <w:tc>
          <w:tcPr>
            <w:tcW w:w="3140" w:type="dxa"/>
            <w:tcBorders>
              <w:top w:val="nil"/>
              <w:left w:val="nil"/>
              <w:bottom w:val="single" w:color="auto" w:sz="8" w:space="0"/>
              <w:right w:val="single" w:color="auto" w:sz="8" w:space="0"/>
            </w:tcBorders>
            <w:noWrap w:val="0"/>
            <w:tcMar>
              <w:top w:w="15" w:type="dxa"/>
              <w:left w:w="15" w:type="dxa"/>
              <w:bottom w:w="0" w:type="dxa"/>
              <w:right w:w="15" w:type="dxa"/>
            </w:tcMar>
            <w:vAlign w:val="center"/>
          </w:tcPr>
          <w:p w14:paraId="6B739BA9">
            <w:pPr>
              <w:widowControl/>
              <w:spacing w:line="240" w:lineRule="auto"/>
              <w:jc w:val="right"/>
              <w:rPr>
                <w:rFonts w:hint="default" w:ascii="宋体" w:hAnsi="宋体" w:eastAsia="宋体" w:cs="宋体"/>
                <w:b/>
                <w:bCs/>
                <w:color w:val="000000"/>
                <w:kern w:val="0"/>
                <w:sz w:val="24"/>
                <w:szCs w:val="24"/>
                <w:highlight w:val="none"/>
                <w:lang w:val="en-US"/>
              </w:rPr>
            </w:pPr>
            <w:r>
              <w:rPr>
                <w:rFonts w:hint="default" w:ascii="宋体" w:hAnsi="宋体" w:eastAsia="宋体" w:cs="宋体"/>
                <w:b/>
                <w:bCs/>
                <w:color w:val="000000"/>
                <w:kern w:val="0"/>
                <w:sz w:val="24"/>
                <w:szCs w:val="24"/>
                <w:highlight w:val="none"/>
                <w:lang w:val="en-US"/>
              </w:rPr>
              <w:t>204400</w:t>
            </w:r>
          </w:p>
        </w:tc>
      </w:tr>
      <w:tr w14:paraId="7B3109C7">
        <w:tblPrEx>
          <w:tblCellMar>
            <w:top w:w="0" w:type="dxa"/>
            <w:left w:w="0" w:type="dxa"/>
            <w:bottom w:w="0" w:type="dxa"/>
            <w:right w:w="0" w:type="dxa"/>
          </w:tblCellMar>
        </w:tblPrEx>
        <w:trPr>
          <w:trHeight w:val="570" w:hRule="atLeast"/>
          <w:jc w:val="center"/>
        </w:trPr>
        <w:tc>
          <w:tcPr>
            <w:tcW w:w="5260" w:type="dxa"/>
            <w:tcBorders>
              <w:top w:val="nil"/>
              <w:left w:val="single" w:color="auto" w:sz="8" w:space="0"/>
              <w:bottom w:val="single" w:color="auto" w:sz="8" w:space="0"/>
              <w:right w:val="single" w:color="auto" w:sz="8" w:space="0"/>
            </w:tcBorders>
            <w:noWrap/>
            <w:tcMar>
              <w:top w:w="0" w:type="dxa"/>
              <w:left w:w="180" w:type="dxa"/>
              <w:bottom w:w="0" w:type="dxa"/>
              <w:right w:w="0" w:type="dxa"/>
            </w:tcMar>
            <w:vAlign w:val="center"/>
          </w:tcPr>
          <w:p w14:paraId="71F3E81C">
            <w:pPr>
              <w:widowControl/>
              <w:spacing w:line="240" w:lineRule="auto"/>
              <w:ind w:left="-2" w:leftChars="-1" w:firstLine="2" w:firstLineChars="1"/>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一、国有土地使用权出让收入</w:t>
            </w:r>
          </w:p>
        </w:tc>
        <w:tc>
          <w:tcPr>
            <w:tcW w:w="3140"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74BD2E0">
            <w:pPr>
              <w:widowControl/>
              <w:spacing w:line="240" w:lineRule="auto"/>
              <w:jc w:val="right"/>
              <w:rPr>
                <w:rFonts w:hint="default" w:ascii="宋体" w:hAnsi="宋体" w:eastAsia="宋体" w:cs="宋体"/>
                <w:color w:val="000000"/>
                <w:kern w:val="0"/>
                <w:sz w:val="24"/>
                <w:szCs w:val="24"/>
                <w:highlight w:val="none"/>
                <w:lang w:val="en-US"/>
              </w:rPr>
            </w:pPr>
            <w:r>
              <w:rPr>
                <w:rFonts w:hint="default" w:ascii="宋体" w:hAnsi="宋体" w:eastAsia="宋体" w:cs="宋体"/>
                <w:color w:val="000000"/>
                <w:kern w:val="0"/>
                <w:sz w:val="24"/>
                <w:szCs w:val="24"/>
                <w:highlight w:val="none"/>
                <w:lang w:val="en-US"/>
              </w:rPr>
              <w:t>171285</w:t>
            </w:r>
          </w:p>
        </w:tc>
      </w:tr>
      <w:tr w14:paraId="6C0B8561">
        <w:tblPrEx>
          <w:tblCellMar>
            <w:top w:w="0" w:type="dxa"/>
            <w:left w:w="0" w:type="dxa"/>
            <w:bottom w:w="0" w:type="dxa"/>
            <w:right w:w="0" w:type="dxa"/>
          </w:tblCellMar>
        </w:tblPrEx>
        <w:trPr>
          <w:trHeight w:val="570" w:hRule="atLeast"/>
          <w:jc w:val="center"/>
        </w:trPr>
        <w:tc>
          <w:tcPr>
            <w:tcW w:w="5260" w:type="dxa"/>
            <w:tcBorders>
              <w:top w:val="nil"/>
              <w:left w:val="single" w:color="auto" w:sz="8" w:space="0"/>
              <w:bottom w:val="single" w:color="auto" w:sz="8" w:space="0"/>
              <w:right w:val="single" w:color="auto" w:sz="8" w:space="0"/>
            </w:tcBorders>
            <w:noWrap/>
            <w:tcMar>
              <w:top w:w="0" w:type="dxa"/>
              <w:left w:w="180" w:type="dxa"/>
              <w:bottom w:w="0" w:type="dxa"/>
              <w:right w:w="0" w:type="dxa"/>
            </w:tcMar>
            <w:vAlign w:val="center"/>
          </w:tcPr>
          <w:p w14:paraId="6F15666C">
            <w:pPr>
              <w:widowControl/>
              <w:spacing w:line="240" w:lineRule="auto"/>
              <w:ind w:left="-2" w:leftChars="-1" w:firstLine="2" w:firstLineChars="1"/>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二、国有土地收益基金收入</w:t>
            </w:r>
          </w:p>
        </w:tc>
        <w:tc>
          <w:tcPr>
            <w:tcW w:w="3140"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72448A89">
            <w:pPr>
              <w:widowControl/>
              <w:spacing w:line="240" w:lineRule="auto"/>
              <w:jc w:val="right"/>
              <w:rPr>
                <w:rFonts w:hint="default" w:ascii="宋体" w:hAnsi="宋体" w:eastAsia="宋体" w:cs="宋体"/>
                <w:color w:val="000000"/>
                <w:kern w:val="0"/>
                <w:sz w:val="24"/>
                <w:szCs w:val="24"/>
                <w:highlight w:val="none"/>
                <w:lang w:val="en-US"/>
              </w:rPr>
            </w:pPr>
            <w:r>
              <w:rPr>
                <w:rFonts w:hint="default" w:ascii="宋体" w:hAnsi="宋体" w:eastAsia="宋体" w:cs="宋体"/>
                <w:color w:val="000000"/>
                <w:kern w:val="0"/>
                <w:sz w:val="24"/>
                <w:szCs w:val="24"/>
                <w:highlight w:val="none"/>
                <w:lang w:val="en-US"/>
              </w:rPr>
              <w:t>9700</w:t>
            </w:r>
          </w:p>
        </w:tc>
      </w:tr>
      <w:tr w14:paraId="54B253B6">
        <w:tblPrEx>
          <w:tblCellMar>
            <w:top w:w="0" w:type="dxa"/>
            <w:left w:w="0" w:type="dxa"/>
            <w:bottom w:w="0" w:type="dxa"/>
            <w:right w:w="0" w:type="dxa"/>
          </w:tblCellMar>
        </w:tblPrEx>
        <w:trPr>
          <w:trHeight w:val="570" w:hRule="atLeast"/>
          <w:jc w:val="center"/>
        </w:trPr>
        <w:tc>
          <w:tcPr>
            <w:tcW w:w="5260" w:type="dxa"/>
            <w:tcBorders>
              <w:top w:val="nil"/>
              <w:left w:val="single" w:color="auto" w:sz="8" w:space="0"/>
              <w:bottom w:val="single" w:color="auto" w:sz="8" w:space="0"/>
              <w:right w:val="single" w:color="auto" w:sz="8" w:space="0"/>
            </w:tcBorders>
            <w:noWrap/>
            <w:tcMar>
              <w:top w:w="0" w:type="dxa"/>
              <w:left w:w="180" w:type="dxa"/>
              <w:bottom w:w="0" w:type="dxa"/>
              <w:right w:w="0" w:type="dxa"/>
            </w:tcMar>
            <w:vAlign w:val="center"/>
          </w:tcPr>
          <w:p w14:paraId="3575BCC3">
            <w:pPr>
              <w:widowControl/>
              <w:spacing w:line="240" w:lineRule="auto"/>
              <w:ind w:left="-2" w:leftChars="-1" w:firstLine="2" w:firstLineChars="1"/>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三、彩票公益金收入</w:t>
            </w:r>
          </w:p>
        </w:tc>
        <w:tc>
          <w:tcPr>
            <w:tcW w:w="3140"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26591BE3">
            <w:pPr>
              <w:widowControl/>
              <w:spacing w:line="240" w:lineRule="auto"/>
              <w:jc w:val="right"/>
              <w:rPr>
                <w:rFonts w:hint="default" w:ascii="宋体" w:hAnsi="宋体" w:eastAsia="宋体" w:cs="宋体"/>
                <w:color w:val="000000"/>
                <w:kern w:val="0"/>
                <w:sz w:val="24"/>
                <w:szCs w:val="24"/>
                <w:highlight w:val="none"/>
                <w:lang w:val="en-US"/>
              </w:rPr>
            </w:pPr>
            <w:r>
              <w:rPr>
                <w:rFonts w:hint="default" w:ascii="宋体" w:hAnsi="宋体" w:eastAsia="宋体" w:cs="宋体"/>
                <w:color w:val="000000"/>
                <w:kern w:val="0"/>
                <w:sz w:val="24"/>
                <w:szCs w:val="24"/>
                <w:highlight w:val="none"/>
                <w:lang w:val="en-US"/>
              </w:rPr>
              <w:t>220</w:t>
            </w:r>
          </w:p>
        </w:tc>
      </w:tr>
      <w:tr w14:paraId="6680AA66">
        <w:tblPrEx>
          <w:tblCellMar>
            <w:top w:w="0" w:type="dxa"/>
            <w:left w:w="0" w:type="dxa"/>
            <w:bottom w:w="0" w:type="dxa"/>
            <w:right w:w="0" w:type="dxa"/>
          </w:tblCellMar>
        </w:tblPrEx>
        <w:trPr>
          <w:trHeight w:val="570" w:hRule="atLeast"/>
          <w:jc w:val="center"/>
        </w:trPr>
        <w:tc>
          <w:tcPr>
            <w:tcW w:w="5260" w:type="dxa"/>
            <w:tcBorders>
              <w:top w:val="nil"/>
              <w:left w:val="single" w:color="auto" w:sz="8" w:space="0"/>
              <w:bottom w:val="single" w:color="auto" w:sz="8" w:space="0"/>
              <w:right w:val="single" w:color="auto" w:sz="8" w:space="0"/>
            </w:tcBorders>
            <w:noWrap/>
            <w:tcMar>
              <w:top w:w="0" w:type="dxa"/>
              <w:left w:w="180" w:type="dxa"/>
              <w:bottom w:w="0" w:type="dxa"/>
              <w:right w:w="0" w:type="dxa"/>
            </w:tcMar>
            <w:vAlign w:val="center"/>
          </w:tcPr>
          <w:p w14:paraId="205880E9">
            <w:pPr>
              <w:widowControl/>
              <w:spacing w:line="240" w:lineRule="auto"/>
              <w:ind w:left="-2" w:leftChars="-1" w:firstLine="2" w:firstLineChars="1"/>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四、城市基础设施配套费收入</w:t>
            </w:r>
          </w:p>
        </w:tc>
        <w:tc>
          <w:tcPr>
            <w:tcW w:w="3140"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6BC341C9">
            <w:pPr>
              <w:widowControl/>
              <w:spacing w:line="240" w:lineRule="auto"/>
              <w:jc w:val="right"/>
              <w:rPr>
                <w:rFonts w:hint="eastAsia" w:ascii="宋体" w:hAnsi="宋体" w:eastAsia="宋体" w:cs="宋体"/>
                <w:color w:val="000000"/>
                <w:kern w:val="0"/>
                <w:sz w:val="24"/>
                <w:szCs w:val="24"/>
                <w:highlight w:val="none"/>
              </w:rPr>
            </w:pPr>
            <w:r>
              <w:rPr>
                <w:rFonts w:hint="default" w:ascii="宋体" w:hAnsi="宋体" w:eastAsia="宋体" w:cs="宋体"/>
                <w:color w:val="000000"/>
                <w:kern w:val="0"/>
                <w:sz w:val="24"/>
                <w:szCs w:val="24"/>
                <w:highlight w:val="none"/>
                <w:lang w:val="en-US"/>
              </w:rPr>
              <w:t>4530</w:t>
            </w:r>
          </w:p>
        </w:tc>
      </w:tr>
      <w:tr w14:paraId="1BEE3AD2">
        <w:tblPrEx>
          <w:tblCellMar>
            <w:top w:w="0" w:type="dxa"/>
            <w:left w:w="0" w:type="dxa"/>
            <w:bottom w:w="0" w:type="dxa"/>
            <w:right w:w="0" w:type="dxa"/>
          </w:tblCellMar>
        </w:tblPrEx>
        <w:trPr>
          <w:trHeight w:val="570" w:hRule="atLeast"/>
          <w:jc w:val="center"/>
        </w:trPr>
        <w:tc>
          <w:tcPr>
            <w:tcW w:w="5260" w:type="dxa"/>
            <w:tcBorders>
              <w:top w:val="nil"/>
              <w:left w:val="single" w:color="auto" w:sz="8" w:space="0"/>
              <w:bottom w:val="single" w:color="auto" w:sz="8" w:space="0"/>
              <w:right w:val="single" w:color="auto" w:sz="8" w:space="0"/>
            </w:tcBorders>
            <w:noWrap/>
            <w:tcMar>
              <w:top w:w="0" w:type="dxa"/>
              <w:left w:w="180" w:type="dxa"/>
              <w:bottom w:w="0" w:type="dxa"/>
              <w:right w:w="0" w:type="dxa"/>
            </w:tcMar>
            <w:vAlign w:val="center"/>
          </w:tcPr>
          <w:p w14:paraId="5CB19C82">
            <w:pPr>
              <w:widowControl/>
              <w:spacing w:line="240" w:lineRule="auto"/>
              <w:ind w:left="-2" w:leftChars="-1" w:firstLine="2" w:firstLineChars="1"/>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五、污水处理费收入</w:t>
            </w:r>
          </w:p>
        </w:tc>
        <w:tc>
          <w:tcPr>
            <w:tcW w:w="3140"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962FB1D">
            <w:pPr>
              <w:widowControl/>
              <w:spacing w:line="240" w:lineRule="auto"/>
              <w:jc w:val="right"/>
              <w:rPr>
                <w:rFonts w:hint="eastAsia" w:ascii="宋体" w:hAnsi="宋体" w:eastAsia="宋体" w:cs="宋体"/>
                <w:color w:val="000000"/>
                <w:kern w:val="0"/>
                <w:sz w:val="24"/>
                <w:szCs w:val="24"/>
                <w:highlight w:val="none"/>
              </w:rPr>
            </w:pPr>
            <w:r>
              <w:rPr>
                <w:rFonts w:hint="default" w:ascii="宋体" w:hAnsi="宋体" w:eastAsia="宋体" w:cs="宋体"/>
                <w:color w:val="000000"/>
                <w:kern w:val="0"/>
                <w:sz w:val="24"/>
                <w:szCs w:val="24"/>
                <w:highlight w:val="none"/>
                <w:lang w:val="en-US"/>
              </w:rPr>
              <w:t>900</w:t>
            </w:r>
          </w:p>
        </w:tc>
      </w:tr>
      <w:tr w14:paraId="5EF8D238">
        <w:tblPrEx>
          <w:tblCellMar>
            <w:top w:w="0" w:type="dxa"/>
            <w:left w:w="0" w:type="dxa"/>
            <w:bottom w:w="0" w:type="dxa"/>
            <w:right w:w="0" w:type="dxa"/>
          </w:tblCellMar>
        </w:tblPrEx>
        <w:trPr>
          <w:trHeight w:val="570" w:hRule="atLeast"/>
          <w:jc w:val="center"/>
        </w:trPr>
        <w:tc>
          <w:tcPr>
            <w:tcW w:w="5260" w:type="dxa"/>
            <w:tcBorders>
              <w:top w:val="nil"/>
              <w:left w:val="single" w:color="auto" w:sz="8" w:space="0"/>
              <w:bottom w:val="single" w:color="auto" w:sz="8" w:space="0"/>
              <w:right w:val="single" w:color="auto" w:sz="8" w:space="0"/>
            </w:tcBorders>
            <w:noWrap/>
            <w:tcMar>
              <w:top w:w="0" w:type="dxa"/>
              <w:left w:w="180" w:type="dxa"/>
              <w:bottom w:w="0" w:type="dxa"/>
              <w:right w:w="0" w:type="dxa"/>
            </w:tcMar>
            <w:vAlign w:val="center"/>
          </w:tcPr>
          <w:p w14:paraId="1173627D">
            <w:pPr>
              <w:widowControl/>
              <w:spacing w:line="240" w:lineRule="auto"/>
              <w:ind w:left="-2" w:leftChars="-1" w:firstLine="2" w:firstLineChars="1"/>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六、农业土地开发资金收入</w:t>
            </w:r>
          </w:p>
        </w:tc>
        <w:tc>
          <w:tcPr>
            <w:tcW w:w="3140"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0AD2C1E5">
            <w:pPr>
              <w:widowControl/>
              <w:spacing w:line="240" w:lineRule="auto"/>
              <w:jc w:val="right"/>
              <w:rPr>
                <w:rFonts w:hint="default" w:ascii="宋体" w:hAnsi="宋体" w:eastAsia="宋体" w:cs="宋体"/>
                <w:color w:val="000000"/>
                <w:kern w:val="0"/>
                <w:sz w:val="24"/>
                <w:szCs w:val="24"/>
                <w:highlight w:val="none"/>
                <w:lang w:val="en-US"/>
              </w:rPr>
            </w:pPr>
            <w:r>
              <w:rPr>
                <w:rFonts w:hint="default" w:ascii="宋体" w:hAnsi="宋体" w:eastAsia="宋体" w:cs="宋体"/>
                <w:color w:val="000000"/>
                <w:kern w:val="0"/>
                <w:sz w:val="24"/>
                <w:szCs w:val="24"/>
                <w:highlight w:val="none"/>
                <w:lang w:val="en-US"/>
              </w:rPr>
              <w:t>100</w:t>
            </w:r>
          </w:p>
        </w:tc>
      </w:tr>
      <w:tr w14:paraId="55F9AD57">
        <w:tblPrEx>
          <w:tblCellMar>
            <w:top w:w="0" w:type="dxa"/>
            <w:left w:w="0" w:type="dxa"/>
            <w:bottom w:w="0" w:type="dxa"/>
            <w:right w:w="0" w:type="dxa"/>
          </w:tblCellMar>
        </w:tblPrEx>
        <w:trPr>
          <w:trHeight w:val="570" w:hRule="atLeast"/>
          <w:jc w:val="center"/>
        </w:trPr>
        <w:tc>
          <w:tcPr>
            <w:tcW w:w="5260" w:type="dxa"/>
            <w:tcBorders>
              <w:top w:val="nil"/>
              <w:left w:val="single" w:color="auto" w:sz="8" w:space="0"/>
              <w:bottom w:val="single" w:color="auto" w:sz="8" w:space="0"/>
              <w:right w:val="single" w:color="auto" w:sz="8" w:space="0"/>
            </w:tcBorders>
            <w:noWrap/>
            <w:tcMar>
              <w:top w:w="0" w:type="dxa"/>
              <w:left w:w="180" w:type="dxa"/>
              <w:bottom w:w="0" w:type="dxa"/>
              <w:right w:w="0" w:type="dxa"/>
            </w:tcMar>
            <w:vAlign w:val="center"/>
          </w:tcPr>
          <w:p w14:paraId="449A5A6E">
            <w:pPr>
              <w:widowControl/>
              <w:spacing w:line="240" w:lineRule="auto"/>
              <w:ind w:left="-2" w:leftChars="-1" w:firstLine="2" w:firstLineChars="1"/>
              <w:jc w:val="left"/>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七</w:t>
            </w:r>
            <w:r>
              <w:rPr>
                <w:rFonts w:hint="eastAsia" w:ascii="宋体" w:hAnsi="宋体" w:eastAsia="宋体" w:cs="宋体"/>
                <w:color w:val="000000"/>
                <w:kern w:val="0"/>
                <w:sz w:val="24"/>
                <w:szCs w:val="24"/>
                <w:highlight w:val="none"/>
                <w:lang w:eastAsia="zh-CN"/>
              </w:rPr>
              <w:t>、其他政府性基金专项债务对应项目专项收入</w:t>
            </w:r>
          </w:p>
        </w:tc>
        <w:tc>
          <w:tcPr>
            <w:tcW w:w="3140" w:type="dxa"/>
            <w:tcBorders>
              <w:top w:val="nil"/>
              <w:left w:val="nil"/>
              <w:bottom w:val="single" w:color="auto" w:sz="8" w:space="0"/>
              <w:right w:val="single" w:color="auto" w:sz="8" w:space="0"/>
            </w:tcBorders>
            <w:noWrap/>
            <w:tcMar>
              <w:top w:w="15" w:type="dxa"/>
              <w:left w:w="15" w:type="dxa"/>
              <w:bottom w:w="0" w:type="dxa"/>
              <w:right w:w="15" w:type="dxa"/>
            </w:tcMar>
            <w:vAlign w:val="center"/>
          </w:tcPr>
          <w:p w14:paraId="33755B9A">
            <w:pPr>
              <w:widowControl/>
              <w:spacing w:line="240" w:lineRule="auto"/>
              <w:jc w:val="right"/>
              <w:rPr>
                <w:rFonts w:hint="default" w:ascii="宋体" w:hAnsi="宋体" w:eastAsia="宋体" w:cs="宋体"/>
                <w:color w:val="000000"/>
                <w:kern w:val="0"/>
                <w:sz w:val="24"/>
                <w:szCs w:val="24"/>
                <w:highlight w:val="none"/>
                <w:lang w:val="en-US"/>
              </w:rPr>
            </w:pPr>
            <w:r>
              <w:rPr>
                <w:rFonts w:hint="default" w:ascii="宋体" w:hAnsi="宋体" w:eastAsia="宋体" w:cs="宋体"/>
                <w:color w:val="000000"/>
                <w:kern w:val="0"/>
                <w:sz w:val="24"/>
                <w:szCs w:val="24"/>
                <w:highlight w:val="none"/>
                <w:lang w:val="en-US"/>
              </w:rPr>
              <w:t>17665</w:t>
            </w:r>
          </w:p>
        </w:tc>
      </w:tr>
      <w:tr w14:paraId="2164F274">
        <w:tblPrEx>
          <w:tblCellMar>
            <w:top w:w="0" w:type="dxa"/>
            <w:left w:w="0" w:type="dxa"/>
            <w:bottom w:w="0" w:type="dxa"/>
            <w:right w:w="0" w:type="dxa"/>
          </w:tblCellMar>
        </w:tblPrEx>
        <w:trPr>
          <w:jc w:val="center"/>
        </w:trPr>
        <w:tc>
          <w:tcPr>
            <w:tcW w:w="5260" w:type="dxa"/>
            <w:noWrap w:val="0"/>
            <w:vAlign w:val="center"/>
          </w:tcPr>
          <w:p w14:paraId="6DDD6AAA">
            <w:pPr>
              <w:widowControl/>
              <w:spacing w:line="240" w:lineRule="auto"/>
              <w:jc w:val="right"/>
              <w:rPr>
                <w:rFonts w:hint="eastAsia" w:ascii="宋体" w:hAnsi="宋体" w:eastAsia="宋体" w:cs="宋体"/>
                <w:color w:val="000000"/>
                <w:kern w:val="0"/>
                <w:sz w:val="24"/>
                <w:szCs w:val="24"/>
                <w:highlight w:val="none"/>
              </w:rPr>
            </w:pPr>
          </w:p>
        </w:tc>
        <w:tc>
          <w:tcPr>
            <w:tcW w:w="3140" w:type="dxa"/>
            <w:noWrap w:val="0"/>
            <w:vAlign w:val="center"/>
          </w:tcPr>
          <w:p w14:paraId="28413820">
            <w:pPr>
              <w:widowControl/>
              <w:spacing w:line="240" w:lineRule="auto"/>
              <w:jc w:val="left"/>
              <w:rPr>
                <w:rFonts w:eastAsia="Times New Roman"/>
                <w:kern w:val="0"/>
                <w:sz w:val="20"/>
                <w:highlight w:val="none"/>
              </w:rPr>
            </w:pPr>
          </w:p>
        </w:tc>
      </w:tr>
    </w:tbl>
    <w:p w14:paraId="414AE63B">
      <w:pPr>
        <w:pStyle w:val="2"/>
        <w:ind w:left="0" w:leftChars="0" w:firstLine="0" w:firstLineChars="0"/>
        <w:rPr>
          <w:rFonts w:hint="eastAsia"/>
          <w:highlight w:val="none"/>
        </w:rPr>
      </w:pPr>
    </w:p>
    <w:p w14:paraId="076BB9BC">
      <w:pPr>
        <w:pStyle w:val="2"/>
        <w:ind w:left="0" w:leftChars="0" w:firstLine="0" w:firstLineChars="0"/>
        <w:rPr>
          <w:rFonts w:hint="eastAsia"/>
          <w:highlight w:val="none"/>
        </w:rPr>
      </w:pPr>
    </w:p>
    <w:p w14:paraId="1C06A385">
      <w:pPr>
        <w:rPr>
          <w:rFonts w:hint="eastAsia"/>
          <w:highlight w:val="none"/>
        </w:rPr>
      </w:pPr>
    </w:p>
    <w:p w14:paraId="4C97EA15">
      <w:pPr>
        <w:pStyle w:val="2"/>
        <w:rPr>
          <w:rFonts w:hint="eastAsia"/>
          <w:highlight w:val="none"/>
        </w:rPr>
      </w:pPr>
    </w:p>
    <w:p w14:paraId="4E2D9FE4">
      <w:pPr>
        <w:rPr>
          <w:rFonts w:hint="eastAsia"/>
          <w:highlight w:val="none"/>
        </w:rPr>
      </w:pPr>
    </w:p>
    <w:p w14:paraId="50B440DB">
      <w:pPr>
        <w:pStyle w:val="2"/>
        <w:rPr>
          <w:rFonts w:hint="eastAsia"/>
          <w:highlight w:val="none"/>
        </w:rPr>
      </w:pPr>
    </w:p>
    <w:p w14:paraId="5D2A6128">
      <w:pPr>
        <w:rPr>
          <w:rFonts w:hint="eastAsia"/>
          <w:highlight w:val="none"/>
        </w:rPr>
      </w:pPr>
    </w:p>
    <w:p w14:paraId="739A9C54">
      <w:pPr>
        <w:pStyle w:val="2"/>
        <w:rPr>
          <w:rFonts w:hint="eastAsia"/>
          <w:highlight w:val="none"/>
        </w:rPr>
      </w:pPr>
    </w:p>
    <w:p w14:paraId="7309516A">
      <w:pPr>
        <w:rPr>
          <w:rFonts w:hint="eastAsia"/>
          <w:highlight w:val="none"/>
        </w:rPr>
      </w:pPr>
    </w:p>
    <w:p w14:paraId="585B5EE3">
      <w:pPr>
        <w:pBdr>
          <w:bottom w:val="single" w:color="FFFFFF" w:sz="4" w:space="31"/>
        </w:pBdr>
        <w:autoSpaceDE w:val="0"/>
        <w:adjustRightInd w:val="0"/>
        <w:snapToGrid w:val="0"/>
        <w:spacing w:line="600" w:lineRule="exact"/>
        <w:jc w:val="center"/>
        <w:rPr>
          <w:rFonts w:hint="eastAsia" w:ascii="仿宋" w:hAnsi="仿宋" w:eastAsia="仿宋" w:cs="宋体"/>
          <w:b/>
          <w:spacing w:val="-4"/>
          <w:kern w:val="0"/>
          <w:sz w:val="32"/>
          <w:szCs w:val="32"/>
          <w:highlight w:val="none"/>
        </w:rPr>
      </w:pPr>
      <w:r>
        <w:rPr>
          <w:rFonts w:hint="eastAsia" w:ascii="仿宋" w:hAnsi="仿宋" w:eastAsia="仿宋" w:cs="宋体"/>
          <w:b/>
          <w:spacing w:val="-4"/>
          <w:kern w:val="0"/>
          <w:sz w:val="32"/>
          <w:szCs w:val="32"/>
          <w:highlight w:val="none"/>
        </w:rPr>
        <w:t>2024年政府性基金支出情况表</w:t>
      </w:r>
    </w:p>
    <w:tbl>
      <w:tblPr>
        <w:tblStyle w:val="12"/>
        <w:tblW w:w="79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05"/>
        <w:gridCol w:w="2775"/>
      </w:tblGrid>
      <w:tr w14:paraId="6D393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205" w:type="dxa"/>
            <w:tcBorders>
              <w:top w:val="nil"/>
              <w:left w:val="nil"/>
              <w:bottom w:val="nil"/>
              <w:right w:val="nil"/>
            </w:tcBorders>
            <w:noWrap/>
            <w:vAlign w:val="top"/>
          </w:tcPr>
          <w:p w14:paraId="6C30502A">
            <w:pPr>
              <w:jc w:val="left"/>
              <w:rPr>
                <w:rFonts w:hint="eastAsia" w:ascii="宋体" w:hAnsi="宋体" w:eastAsia="宋体" w:cs="宋体"/>
                <w:i w:val="0"/>
                <w:iCs w:val="0"/>
                <w:color w:val="000000"/>
                <w:sz w:val="22"/>
                <w:szCs w:val="22"/>
                <w:highlight w:val="none"/>
                <w:u w:val="none"/>
              </w:rPr>
            </w:pPr>
          </w:p>
        </w:tc>
        <w:tc>
          <w:tcPr>
            <w:tcW w:w="2775" w:type="dxa"/>
            <w:tcBorders>
              <w:top w:val="nil"/>
              <w:left w:val="nil"/>
              <w:bottom w:val="nil"/>
              <w:right w:val="nil"/>
            </w:tcBorders>
            <w:noWrap/>
            <w:vAlign w:val="center"/>
          </w:tcPr>
          <w:p w14:paraId="7221B38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单位：万元</w:t>
            </w:r>
          </w:p>
        </w:tc>
      </w:tr>
      <w:tr w14:paraId="00223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9B79B57">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02DAD2">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预算数</w:t>
            </w:r>
          </w:p>
        </w:tc>
      </w:tr>
      <w:tr w14:paraId="78441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FBDE20B">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一、本级支出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C9B222">
            <w:pPr>
              <w:keepNext w:val="0"/>
              <w:keepLines w:val="0"/>
              <w:widowControl/>
              <w:suppressLineNumbers w:val="0"/>
              <w:jc w:val="right"/>
              <w:textAlignment w:val="center"/>
              <w:rPr>
                <w:rFonts w:hint="eastAsia" w:ascii="仿宋" w:hAnsi="仿宋" w:eastAsia="仿宋" w:cs="仿宋"/>
                <w:b/>
                <w:bCs/>
                <w:i w:val="0"/>
                <w:iCs w:val="0"/>
                <w:color w:val="000000"/>
                <w:sz w:val="24"/>
                <w:szCs w:val="24"/>
                <w:highlight w:val="none"/>
                <w:u w:val="none"/>
              </w:rPr>
            </w:pPr>
            <w:r>
              <w:rPr>
                <w:rFonts w:hint="default" w:ascii="宋体" w:hAnsi="宋体" w:eastAsia="宋体" w:cs="宋体"/>
                <w:b/>
                <w:bCs/>
                <w:color w:val="000000"/>
                <w:kern w:val="0"/>
                <w:sz w:val="24"/>
                <w:szCs w:val="24"/>
                <w:highlight w:val="none"/>
                <w:lang w:val="en-US"/>
              </w:rPr>
              <w:t>100131</w:t>
            </w:r>
          </w:p>
        </w:tc>
      </w:tr>
      <w:tr w14:paraId="4081B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A70FF44">
            <w:pPr>
              <w:keepNext w:val="0"/>
              <w:keepLines w:val="0"/>
              <w:widowControl/>
              <w:suppressLineNumbers w:val="0"/>
              <w:ind w:firstLineChars="10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文化旅游体育与传媒支出</w:t>
            </w:r>
          </w:p>
        </w:tc>
        <w:tc>
          <w:tcPr>
            <w:tcW w:w="2775" w:type="dxa"/>
            <w:tcBorders>
              <w:top w:val="single" w:color="000000" w:sz="4" w:space="0"/>
              <w:left w:val="single" w:color="000000" w:sz="4" w:space="0"/>
              <w:bottom w:val="single" w:color="000000" w:sz="4" w:space="0"/>
              <w:right w:val="single" w:color="000000" w:sz="4" w:space="0"/>
            </w:tcBorders>
            <w:noWrap/>
            <w:vAlign w:val="center"/>
          </w:tcPr>
          <w:p w14:paraId="44C0B3EA">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highlight w:val="none"/>
                <w:u w:val="none"/>
                <w:lang w:val="en-US" w:eastAsia="zh-CN" w:bidi="ar"/>
              </w:rPr>
              <w:t>99</w:t>
            </w:r>
          </w:p>
        </w:tc>
      </w:tr>
      <w:tr w14:paraId="08B78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8BEEEF7">
            <w:pPr>
              <w:keepNext w:val="0"/>
              <w:keepLines w:val="0"/>
              <w:widowControl/>
              <w:suppressLineNumbers w:val="0"/>
              <w:ind w:firstLineChars="10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社会保障和就业支出</w:t>
            </w:r>
          </w:p>
        </w:tc>
        <w:tc>
          <w:tcPr>
            <w:tcW w:w="2775" w:type="dxa"/>
            <w:tcBorders>
              <w:top w:val="single" w:color="000000" w:sz="4" w:space="0"/>
              <w:left w:val="single" w:color="000000" w:sz="4" w:space="0"/>
              <w:bottom w:val="single" w:color="000000" w:sz="4" w:space="0"/>
              <w:right w:val="single" w:color="000000" w:sz="4" w:space="0"/>
            </w:tcBorders>
            <w:noWrap/>
            <w:vAlign w:val="center"/>
          </w:tcPr>
          <w:p w14:paraId="73AB5C5E">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highlight w:val="none"/>
                <w:u w:val="none"/>
                <w:lang w:val="en-US" w:eastAsia="zh-CN" w:bidi="ar"/>
              </w:rPr>
              <w:t>1345</w:t>
            </w:r>
          </w:p>
        </w:tc>
      </w:tr>
      <w:tr w14:paraId="7139B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7C6199C">
            <w:pPr>
              <w:keepNext w:val="0"/>
              <w:keepLines w:val="0"/>
              <w:widowControl/>
              <w:suppressLineNumbers w:val="0"/>
              <w:ind w:firstLineChars="10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城乡社区支出</w:t>
            </w:r>
          </w:p>
        </w:tc>
        <w:tc>
          <w:tcPr>
            <w:tcW w:w="2775" w:type="dxa"/>
            <w:tcBorders>
              <w:top w:val="single" w:color="000000" w:sz="4" w:space="0"/>
              <w:left w:val="single" w:color="000000" w:sz="4" w:space="0"/>
              <w:bottom w:val="single" w:color="000000" w:sz="4" w:space="0"/>
              <w:right w:val="single" w:color="000000" w:sz="4" w:space="0"/>
            </w:tcBorders>
            <w:noWrap/>
            <w:vAlign w:val="center"/>
          </w:tcPr>
          <w:p w14:paraId="25F4C408">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highlight w:val="none"/>
                <w:u w:val="none"/>
                <w:lang w:val="en-US" w:eastAsia="zh-CN" w:bidi="ar"/>
              </w:rPr>
              <w:t>66038</w:t>
            </w:r>
          </w:p>
        </w:tc>
      </w:tr>
      <w:tr w14:paraId="41FB5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3E904F3">
            <w:pPr>
              <w:keepNext w:val="0"/>
              <w:keepLines w:val="0"/>
              <w:widowControl/>
              <w:suppressLineNumbers w:val="0"/>
              <w:ind w:firstLineChars="10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其他支出</w:t>
            </w:r>
          </w:p>
        </w:tc>
        <w:tc>
          <w:tcPr>
            <w:tcW w:w="2775" w:type="dxa"/>
            <w:tcBorders>
              <w:top w:val="single" w:color="000000" w:sz="4" w:space="0"/>
              <w:left w:val="single" w:color="000000" w:sz="4" w:space="0"/>
              <w:bottom w:val="single" w:color="000000" w:sz="4" w:space="0"/>
              <w:right w:val="single" w:color="000000" w:sz="4" w:space="0"/>
            </w:tcBorders>
            <w:noWrap/>
            <w:vAlign w:val="center"/>
          </w:tcPr>
          <w:p w14:paraId="3CCDC121">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highlight w:val="none"/>
                <w:u w:val="none"/>
                <w:lang w:val="en-US" w:eastAsia="zh-CN" w:bidi="ar"/>
              </w:rPr>
              <w:t>1014</w:t>
            </w:r>
          </w:p>
        </w:tc>
      </w:tr>
      <w:tr w14:paraId="04812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4C0013A">
            <w:pPr>
              <w:keepNext w:val="0"/>
              <w:keepLines w:val="0"/>
              <w:widowControl/>
              <w:suppressLineNumbers w:val="0"/>
              <w:ind w:firstLineChars="10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债务付息支出</w:t>
            </w:r>
          </w:p>
        </w:tc>
        <w:tc>
          <w:tcPr>
            <w:tcW w:w="2775" w:type="dxa"/>
            <w:tcBorders>
              <w:top w:val="single" w:color="000000" w:sz="4" w:space="0"/>
              <w:left w:val="single" w:color="000000" w:sz="4" w:space="0"/>
              <w:bottom w:val="single" w:color="000000" w:sz="4" w:space="0"/>
              <w:right w:val="single" w:color="000000" w:sz="4" w:space="0"/>
            </w:tcBorders>
            <w:noWrap/>
            <w:vAlign w:val="center"/>
          </w:tcPr>
          <w:p w14:paraId="758D91DA">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highlight w:val="none"/>
                <w:u w:val="none"/>
                <w:lang w:val="en-US" w:eastAsia="zh-CN" w:bidi="ar"/>
              </w:rPr>
              <w:t>31309</w:t>
            </w:r>
          </w:p>
        </w:tc>
      </w:tr>
      <w:tr w14:paraId="2B0AD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AA9E0B3">
            <w:pPr>
              <w:keepNext w:val="0"/>
              <w:keepLines w:val="0"/>
              <w:widowControl/>
              <w:suppressLineNumbers w:val="0"/>
              <w:ind w:firstLineChars="10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债务发行费用支出</w:t>
            </w:r>
          </w:p>
        </w:tc>
        <w:tc>
          <w:tcPr>
            <w:tcW w:w="2775" w:type="dxa"/>
            <w:tcBorders>
              <w:top w:val="single" w:color="000000" w:sz="4" w:space="0"/>
              <w:left w:val="single" w:color="000000" w:sz="4" w:space="0"/>
              <w:bottom w:val="single" w:color="000000" w:sz="4" w:space="0"/>
              <w:right w:val="single" w:color="000000" w:sz="4" w:space="0"/>
            </w:tcBorders>
            <w:noWrap/>
            <w:vAlign w:val="center"/>
          </w:tcPr>
          <w:p w14:paraId="293161F9">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highlight w:val="none"/>
                <w:u w:val="none"/>
                <w:lang w:val="en-US" w:eastAsia="zh-CN" w:bidi="ar"/>
              </w:rPr>
              <w:t>326</w:t>
            </w:r>
          </w:p>
        </w:tc>
      </w:tr>
      <w:tr w14:paraId="6C306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42CD15B">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A0BFA3">
            <w:pPr>
              <w:keepNext w:val="0"/>
              <w:keepLines w:val="0"/>
              <w:widowControl/>
              <w:suppressLineNumbers w:val="0"/>
              <w:jc w:val="right"/>
              <w:textAlignment w:val="center"/>
              <w:rPr>
                <w:rFonts w:hint="eastAsia" w:ascii="仿宋" w:hAnsi="仿宋" w:eastAsia="仿宋" w:cs="仿宋"/>
                <w:b/>
                <w:bCs/>
                <w:i w:val="0"/>
                <w:iCs w:val="0"/>
                <w:color w:val="000000"/>
                <w:sz w:val="28"/>
                <w:szCs w:val="28"/>
                <w:highlight w:val="none"/>
                <w:u w:val="none"/>
              </w:rPr>
            </w:pPr>
            <w:r>
              <w:rPr>
                <w:rFonts w:hint="default" w:ascii="宋体" w:hAnsi="宋体" w:eastAsia="宋体" w:cs="宋体"/>
                <w:b/>
                <w:bCs/>
                <w:color w:val="000000"/>
                <w:kern w:val="0"/>
                <w:sz w:val="24"/>
                <w:szCs w:val="24"/>
                <w:highlight w:val="none"/>
                <w:lang w:val="en-US"/>
              </w:rPr>
              <w:t>100131</w:t>
            </w:r>
          </w:p>
        </w:tc>
      </w:tr>
    </w:tbl>
    <w:p w14:paraId="52BBEEF4">
      <w:pPr>
        <w:bidi w:val="0"/>
        <w:ind w:firstLine="204" w:firstLineChars="0"/>
        <w:jc w:val="left"/>
        <w:rPr>
          <w:rFonts w:hint="eastAsia"/>
          <w:highlight w:val="none"/>
          <w:lang w:val="en-US" w:eastAsia="zh-CN"/>
        </w:rPr>
      </w:pPr>
    </w:p>
    <w:p w14:paraId="38AEEF8D">
      <w:pPr>
        <w:bidi w:val="0"/>
        <w:ind w:firstLine="204" w:firstLineChars="0"/>
        <w:jc w:val="left"/>
        <w:rPr>
          <w:rFonts w:hint="eastAsia"/>
          <w:highlight w:val="none"/>
          <w:lang w:val="en-US" w:eastAsia="zh-CN"/>
        </w:rPr>
      </w:pPr>
    </w:p>
    <w:p w14:paraId="3D17DF9F">
      <w:pPr>
        <w:bidi w:val="0"/>
        <w:ind w:firstLine="204" w:firstLineChars="0"/>
        <w:jc w:val="left"/>
        <w:rPr>
          <w:rFonts w:hint="eastAsia"/>
          <w:highlight w:val="none"/>
          <w:lang w:val="en-US" w:eastAsia="zh-CN"/>
        </w:rPr>
      </w:pPr>
    </w:p>
    <w:p w14:paraId="7A4269F5">
      <w:pPr>
        <w:pStyle w:val="2"/>
        <w:rPr>
          <w:rFonts w:hint="eastAsia"/>
          <w:highlight w:val="none"/>
          <w:lang w:val="en-US" w:eastAsia="zh-CN"/>
        </w:rPr>
      </w:pPr>
    </w:p>
    <w:p w14:paraId="1B075E3A">
      <w:pPr>
        <w:rPr>
          <w:rFonts w:hint="eastAsia"/>
          <w:highlight w:val="none"/>
          <w:lang w:val="en-US" w:eastAsia="zh-CN"/>
        </w:rPr>
      </w:pPr>
    </w:p>
    <w:p w14:paraId="6E50293F">
      <w:pPr>
        <w:pStyle w:val="2"/>
        <w:rPr>
          <w:rFonts w:hint="eastAsia"/>
          <w:highlight w:val="none"/>
          <w:lang w:val="en-US" w:eastAsia="zh-CN"/>
        </w:rPr>
      </w:pPr>
    </w:p>
    <w:p w14:paraId="655020B1">
      <w:pPr>
        <w:rPr>
          <w:rFonts w:hint="eastAsia"/>
          <w:highlight w:val="none"/>
          <w:lang w:val="en-US" w:eastAsia="zh-CN"/>
        </w:rPr>
      </w:pPr>
    </w:p>
    <w:p w14:paraId="32C4DA14">
      <w:pPr>
        <w:pStyle w:val="2"/>
        <w:rPr>
          <w:rFonts w:hint="eastAsia"/>
          <w:highlight w:val="none"/>
          <w:lang w:val="en-US" w:eastAsia="zh-CN"/>
        </w:rPr>
      </w:pPr>
    </w:p>
    <w:p w14:paraId="40CF5E68">
      <w:pPr>
        <w:rPr>
          <w:rFonts w:hint="eastAsia"/>
          <w:highlight w:val="none"/>
          <w:lang w:val="en-US" w:eastAsia="zh-CN"/>
        </w:rPr>
      </w:pPr>
    </w:p>
    <w:p w14:paraId="5FD8E538">
      <w:pPr>
        <w:pStyle w:val="2"/>
        <w:rPr>
          <w:rFonts w:hint="eastAsia"/>
          <w:highlight w:val="none"/>
          <w:lang w:val="en-US" w:eastAsia="zh-CN"/>
        </w:rPr>
      </w:pPr>
    </w:p>
    <w:p w14:paraId="780913FF">
      <w:pPr>
        <w:rPr>
          <w:rFonts w:hint="eastAsia"/>
          <w:highlight w:val="none"/>
          <w:lang w:val="en-US" w:eastAsia="zh-CN"/>
        </w:rPr>
      </w:pPr>
    </w:p>
    <w:p w14:paraId="354379C7">
      <w:pPr>
        <w:rPr>
          <w:rFonts w:hint="eastAsia"/>
          <w:highlight w:val="none"/>
          <w:lang w:val="en-US" w:eastAsia="zh-CN"/>
        </w:rPr>
      </w:pPr>
    </w:p>
    <w:p w14:paraId="113D5460">
      <w:pPr>
        <w:pBdr>
          <w:bottom w:val="single" w:color="FFFFFF" w:sz="4" w:space="31"/>
        </w:pBdr>
        <w:autoSpaceDE w:val="0"/>
        <w:adjustRightInd w:val="0"/>
        <w:snapToGrid w:val="0"/>
        <w:spacing w:line="600" w:lineRule="exact"/>
        <w:jc w:val="center"/>
        <w:rPr>
          <w:rFonts w:hint="eastAsia" w:ascii="仿宋" w:hAnsi="仿宋" w:eastAsia="仿宋" w:cs="宋体"/>
          <w:b/>
          <w:spacing w:val="-4"/>
          <w:kern w:val="0"/>
          <w:sz w:val="32"/>
          <w:szCs w:val="32"/>
          <w:highlight w:val="none"/>
        </w:rPr>
      </w:pPr>
      <w:r>
        <w:rPr>
          <w:rFonts w:hint="eastAsia" w:ascii="仿宋" w:hAnsi="仿宋" w:eastAsia="仿宋" w:cs="宋体"/>
          <w:b/>
          <w:spacing w:val="-4"/>
          <w:kern w:val="0"/>
          <w:sz w:val="32"/>
          <w:szCs w:val="32"/>
          <w:highlight w:val="none"/>
        </w:rPr>
        <w:t>2024年社会保险基金收入情况表</w:t>
      </w:r>
    </w:p>
    <w:tbl>
      <w:tblPr>
        <w:tblStyle w:val="12"/>
        <w:tblW w:w="8662" w:type="dxa"/>
        <w:jc w:val="center"/>
        <w:tblLayout w:type="fixed"/>
        <w:tblCellMar>
          <w:top w:w="0" w:type="dxa"/>
          <w:left w:w="108" w:type="dxa"/>
          <w:bottom w:w="0" w:type="dxa"/>
          <w:right w:w="108" w:type="dxa"/>
        </w:tblCellMar>
      </w:tblPr>
      <w:tblGrid>
        <w:gridCol w:w="1444"/>
        <w:gridCol w:w="5647"/>
        <w:gridCol w:w="1571"/>
      </w:tblGrid>
      <w:tr w14:paraId="57C050F5">
        <w:tblPrEx>
          <w:tblCellMar>
            <w:top w:w="0" w:type="dxa"/>
            <w:left w:w="108" w:type="dxa"/>
            <w:bottom w:w="0" w:type="dxa"/>
            <w:right w:w="108" w:type="dxa"/>
          </w:tblCellMar>
        </w:tblPrEx>
        <w:trPr>
          <w:trHeight w:val="459" w:hRule="atLeast"/>
          <w:jc w:val="center"/>
        </w:trPr>
        <w:tc>
          <w:tcPr>
            <w:tcW w:w="1444" w:type="dxa"/>
            <w:tcBorders>
              <w:top w:val="nil"/>
              <w:left w:val="nil"/>
              <w:bottom w:val="nil"/>
              <w:right w:val="nil"/>
            </w:tcBorders>
            <w:noWrap/>
            <w:vAlign w:val="center"/>
          </w:tcPr>
          <w:p w14:paraId="607409AB">
            <w:pPr>
              <w:widowControl/>
              <w:spacing w:line="240" w:lineRule="auto"/>
              <w:jc w:val="left"/>
              <w:rPr>
                <w:rFonts w:ascii="宋体" w:hAnsi="宋体" w:eastAsia="宋体" w:cs="宋体"/>
                <w:kern w:val="0"/>
                <w:sz w:val="24"/>
                <w:szCs w:val="24"/>
                <w:highlight w:val="none"/>
              </w:rPr>
            </w:pPr>
          </w:p>
        </w:tc>
        <w:tc>
          <w:tcPr>
            <w:tcW w:w="5647" w:type="dxa"/>
            <w:tcBorders>
              <w:top w:val="nil"/>
              <w:left w:val="nil"/>
              <w:bottom w:val="nil"/>
              <w:right w:val="nil"/>
            </w:tcBorders>
            <w:noWrap/>
            <w:vAlign w:val="center"/>
          </w:tcPr>
          <w:p w14:paraId="17E9A87C">
            <w:pPr>
              <w:widowControl/>
              <w:spacing w:line="240" w:lineRule="auto"/>
              <w:jc w:val="left"/>
              <w:rPr>
                <w:rFonts w:ascii="宋体" w:hAnsi="宋体" w:eastAsia="宋体" w:cs="宋体"/>
                <w:kern w:val="0"/>
                <w:sz w:val="24"/>
                <w:szCs w:val="24"/>
                <w:highlight w:val="none"/>
              </w:rPr>
            </w:pPr>
          </w:p>
        </w:tc>
        <w:tc>
          <w:tcPr>
            <w:tcW w:w="1571" w:type="dxa"/>
            <w:tcBorders>
              <w:top w:val="nil"/>
              <w:left w:val="nil"/>
              <w:bottom w:val="nil"/>
              <w:right w:val="nil"/>
            </w:tcBorders>
            <w:noWrap/>
            <w:vAlign w:val="center"/>
          </w:tcPr>
          <w:p w14:paraId="7A5D2266">
            <w:pPr>
              <w:widowControl/>
              <w:spacing w:line="240" w:lineRule="auto"/>
              <w:jc w:val="center"/>
              <w:rPr>
                <w:rFonts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单位：万元</w:t>
            </w:r>
          </w:p>
        </w:tc>
      </w:tr>
      <w:tr w14:paraId="6F6786C0">
        <w:tblPrEx>
          <w:tblCellMar>
            <w:top w:w="0" w:type="dxa"/>
            <w:left w:w="108" w:type="dxa"/>
            <w:bottom w:w="0" w:type="dxa"/>
            <w:right w:w="108" w:type="dxa"/>
          </w:tblCellMar>
        </w:tblPrEx>
        <w:trPr>
          <w:trHeight w:val="436" w:hRule="exact"/>
          <w:jc w:val="center"/>
        </w:trPr>
        <w:tc>
          <w:tcPr>
            <w:tcW w:w="1444" w:type="dxa"/>
            <w:tcBorders>
              <w:top w:val="single" w:color="auto" w:sz="4" w:space="0"/>
              <w:left w:val="single" w:color="auto" w:sz="4" w:space="0"/>
              <w:bottom w:val="single" w:color="auto" w:sz="4" w:space="0"/>
              <w:right w:val="single" w:color="auto" w:sz="4" w:space="0"/>
            </w:tcBorders>
            <w:noWrap w:val="0"/>
            <w:vAlign w:val="bottom"/>
          </w:tcPr>
          <w:p w14:paraId="5A651A8A">
            <w:pPr>
              <w:widowControl/>
              <w:spacing w:line="360" w:lineRule="auto"/>
              <w:jc w:val="center"/>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lang w:eastAsia="zh-CN"/>
              </w:rPr>
              <w:t>科目编码</w:t>
            </w:r>
          </w:p>
        </w:tc>
        <w:tc>
          <w:tcPr>
            <w:tcW w:w="5647" w:type="dxa"/>
            <w:tcBorders>
              <w:top w:val="single" w:color="auto" w:sz="4" w:space="0"/>
              <w:left w:val="single" w:color="auto" w:sz="4" w:space="0"/>
              <w:bottom w:val="single" w:color="auto" w:sz="4" w:space="0"/>
              <w:right w:val="single" w:color="auto" w:sz="4" w:space="0"/>
            </w:tcBorders>
            <w:noWrap w:val="0"/>
            <w:vAlign w:val="bottom"/>
          </w:tcPr>
          <w:p w14:paraId="5FD5DA50">
            <w:pPr>
              <w:widowControl/>
              <w:spacing w:line="360" w:lineRule="auto"/>
              <w:jc w:val="center"/>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项  目</w:t>
            </w:r>
          </w:p>
        </w:tc>
        <w:tc>
          <w:tcPr>
            <w:tcW w:w="1571" w:type="dxa"/>
            <w:tcBorders>
              <w:top w:val="single" w:color="auto" w:sz="4" w:space="0"/>
              <w:left w:val="nil"/>
              <w:bottom w:val="single" w:color="auto" w:sz="4" w:space="0"/>
              <w:right w:val="single" w:color="auto" w:sz="4" w:space="0"/>
            </w:tcBorders>
            <w:noWrap w:val="0"/>
            <w:vAlign w:val="bottom"/>
          </w:tcPr>
          <w:p w14:paraId="3FFF9B84">
            <w:pPr>
              <w:widowControl/>
              <w:spacing w:line="360" w:lineRule="auto"/>
              <w:jc w:val="center"/>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预算数</w:t>
            </w:r>
          </w:p>
        </w:tc>
      </w:tr>
      <w:tr w14:paraId="74A029F0">
        <w:tblPrEx>
          <w:tblCellMar>
            <w:top w:w="0" w:type="dxa"/>
            <w:left w:w="108" w:type="dxa"/>
            <w:bottom w:w="0" w:type="dxa"/>
            <w:right w:w="108" w:type="dxa"/>
          </w:tblCellMar>
        </w:tblPrEx>
        <w:trPr>
          <w:trHeight w:val="436" w:hRule="exact"/>
          <w:jc w:val="center"/>
        </w:trPr>
        <w:tc>
          <w:tcPr>
            <w:tcW w:w="1444" w:type="dxa"/>
            <w:tcBorders>
              <w:top w:val="nil"/>
              <w:left w:val="single" w:color="auto" w:sz="4" w:space="0"/>
              <w:bottom w:val="single" w:color="auto" w:sz="4" w:space="0"/>
              <w:right w:val="single" w:color="auto" w:sz="4" w:space="0"/>
            </w:tcBorders>
            <w:noWrap w:val="0"/>
            <w:vAlign w:val="bottom"/>
          </w:tcPr>
          <w:p w14:paraId="3795B513">
            <w:pPr>
              <w:widowControl/>
              <w:spacing w:line="360" w:lineRule="auto"/>
              <w:jc w:val="left"/>
              <w:rPr>
                <w:rFonts w:hint="default" w:ascii="宋体" w:hAnsi="宋体" w:eastAsia="宋体"/>
                <w:b/>
                <w:bCs/>
                <w:color w:val="000000"/>
                <w:sz w:val="24"/>
                <w:szCs w:val="24"/>
                <w:highlight w:val="none"/>
                <w:lang w:val="en-US"/>
              </w:rPr>
            </w:pPr>
            <w:r>
              <w:rPr>
                <w:rFonts w:hint="default" w:ascii="宋体" w:hAnsi="宋体" w:eastAsia="宋体"/>
                <w:b/>
                <w:bCs/>
                <w:color w:val="000000"/>
                <w:sz w:val="24"/>
                <w:szCs w:val="24"/>
                <w:highlight w:val="none"/>
                <w:lang w:val="en-US"/>
              </w:rPr>
              <w:t>102</w:t>
            </w:r>
          </w:p>
        </w:tc>
        <w:tc>
          <w:tcPr>
            <w:tcW w:w="5647" w:type="dxa"/>
            <w:tcBorders>
              <w:top w:val="nil"/>
              <w:left w:val="single" w:color="auto" w:sz="4" w:space="0"/>
              <w:bottom w:val="single" w:color="auto" w:sz="4" w:space="0"/>
              <w:right w:val="single" w:color="auto" w:sz="4" w:space="0"/>
            </w:tcBorders>
            <w:noWrap w:val="0"/>
            <w:vAlign w:val="bottom"/>
          </w:tcPr>
          <w:p w14:paraId="3CDE5E3B">
            <w:pPr>
              <w:widowControl/>
              <w:spacing w:line="360" w:lineRule="auto"/>
              <w:jc w:val="left"/>
              <w:rPr>
                <w:rFonts w:ascii="宋体" w:hAnsi="宋体" w:eastAsia="宋体"/>
                <w:b/>
                <w:bCs/>
                <w:color w:val="000000"/>
                <w:kern w:val="0"/>
                <w:sz w:val="24"/>
                <w:szCs w:val="24"/>
                <w:highlight w:val="none"/>
              </w:rPr>
            </w:pPr>
            <w:r>
              <w:rPr>
                <w:rFonts w:hint="eastAsia" w:ascii="宋体" w:hAnsi="宋体" w:eastAsia="宋体"/>
                <w:b/>
                <w:bCs/>
                <w:color w:val="000000"/>
                <w:sz w:val="24"/>
                <w:szCs w:val="24"/>
                <w:highlight w:val="none"/>
              </w:rPr>
              <w:t>社会保险基金收入合计</w:t>
            </w:r>
          </w:p>
        </w:tc>
        <w:tc>
          <w:tcPr>
            <w:tcW w:w="1571" w:type="dxa"/>
            <w:tcBorders>
              <w:top w:val="nil"/>
              <w:left w:val="nil"/>
              <w:bottom w:val="single" w:color="auto" w:sz="4" w:space="0"/>
              <w:right w:val="single" w:color="auto" w:sz="4" w:space="0"/>
            </w:tcBorders>
            <w:noWrap w:val="0"/>
            <w:vAlign w:val="bottom"/>
          </w:tcPr>
          <w:p w14:paraId="2809F24F">
            <w:pPr>
              <w:spacing w:line="360" w:lineRule="auto"/>
              <w:jc w:val="center"/>
              <w:rPr>
                <w:rFonts w:hint="default" w:ascii="宋体" w:hAnsi="宋体" w:eastAsia="宋体"/>
                <w:b/>
                <w:color w:val="000000"/>
                <w:sz w:val="24"/>
                <w:szCs w:val="24"/>
                <w:highlight w:val="none"/>
                <w:lang w:val="en-US"/>
              </w:rPr>
            </w:pPr>
            <w:r>
              <w:rPr>
                <w:rFonts w:hint="eastAsia" w:ascii="宋体" w:hAnsi="宋体" w:eastAsia="宋体"/>
                <w:b/>
                <w:color w:val="000000"/>
                <w:sz w:val="24"/>
                <w:szCs w:val="24"/>
                <w:highlight w:val="none"/>
                <w:lang w:val="en-US" w:eastAsia="zh-CN"/>
              </w:rPr>
              <w:t>66003</w:t>
            </w:r>
          </w:p>
        </w:tc>
      </w:tr>
      <w:tr w14:paraId="4524B0CE">
        <w:tblPrEx>
          <w:tblCellMar>
            <w:top w:w="0" w:type="dxa"/>
            <w:left w:w="108" w:type="dxa"/>
            <w:bottom w:w="0" w:type="dxa"/>
            <w:right w:w="108" w:type="dxa"/>
          </w:tblCellMar>
        </w:tblPrEx>
        <w:trPr>
          <w:trHeight w:val="436" w:hRule="exact"/>
          <w:jc w:val="center"/>
        </w:trPr>
        <w:tc>
          <w:tcPr>
            <w:tcW w:w="1444" w:type="dxa"/>
            <w:tcBorders>
              <w:top w:val="nil"/>
              <w:left w:val="single" w:color="auto" w:sz="4" w:space="0"/>
              <w:bottom w:val="single" w:color="auto" w:sz="4" w:space="0"/>
              <w:right w:val="single" w:color="auto" w:sz="4" w:space="0"/>
            </w:tcBorders>
            <w:noWrap w:val="0"/>
            <w:vAlign w:val="bottom"/>
          </w:tcPr>
          <w:p w14:paraId="3E227730">
            <w:pPr>
              <w:spacing w:line="360" w:lineRule="auto"/>
              <w:jc w:val="left"/>
              <w:rPr>
                <w:rFonts w:hint="eastAsia" w:ascii="宋体" w:hAnsi="宋体" w:eastAsia="宋体"/>
                <w:sz w:val="24"/>
                <w:szCs w:val="24"/>
                <w:highlight w:val="none"/>
              </w:rPr>
            </w:pPr>
          </w:p>
        </w:tc>
        <w:tc>
          <w:tcPr>
            <w:tcW w:w="5647" w:type="dxa"/>
            <w:tcBorders>
              <w:top w:val="nil"/>
              <w:left w:val="single" w:color="auto" w:sz="4" w:space="0"/>
              <w:bottom w:val="single" w:color="auto" w:sz="4" w:space="0"/>
              <w:right w:val="single" w:color="auto" w:sz="4" w:space="0"/>
            </w:tcBorders>
            <w:noWrap w:val="0"/>
            <w:vAlign w:val="bottom"/>
          </w:tcPr>
          <w:p w14:paraId="73754DD9">
            <w:pPr>
              <w:spacing w:line="360" w:lineRule="auto"/>
              <w:jc w:val="left"/>
              <w:rPr>
                <w:rFonts w:ascii="宋体" w:hAnsi="宋体" w:eastAsia="宋体"/>
                <w:sz w:val="24"/>
                <w:szCs w:val="24"/>
                <w:highlight w:val="none"/>
              </w:rPr>
            </w:pPr>
            <w:r>
              <w:rPr>
                <w:rFonts w:hint="eastAsia" w:ascii="宋体" w:hAnsi="宋体" w:eastAsia="宋体"/>
                <w:sz w:val="24"/>
                <w:szCs w:val="24"/>
                <w:highlight w:val="none"/>
              </w:rPr>
              <w:t xml:space="preserve">    其中：保险费收入</w:t>
            </w:r>
          </w:p>
        </w:tc>
        <w:tc>
          <w:tcPr>
            <w:tcW w:w="1571" w:type="dxa"/>
            <w:tcBorders>
              <w:top w:val="nil"/>
              <w:left w:val="nil"/>
              <w:bottom w:val="single" w:color="auto" w:sz="4" w:space="0"/>
              <w:right w:val="single" w:color="auto" w:sz="4" w:space="0"/>
            </w:tcBorders>
            <w:noWrap w:val="0"/>
            <w:vAlign w:val="bottom"/>
          </w:tcPr>
          <w:p w14:paraId="3D3AB882">
            <w:pPr>
              <w:spacing w:line="360" w:lineRule="auto"/>
              <w:jc w:val="center"/>
              <w:rPr>
                <w:rFonts w:hint="default" w:ascii="宋体" w:hAnsi="宋体" w:eastAsia="宋体"/>
                <w:sz w:val="24"/>
                <w:szCs w:val="24"/>
                <w:highlight w:val="none"/>
                <w:lang w:val="en-US"/>
              </w:rPr>
            </w:pPr>
            <w:r>
              <w:rPr>
                <w:rFonts w:hint="eastAsia" w:ascii="宋体" w:hAnsi="宋体" w:eastAsia="宋体"/>
                <w:sz w:val="24"/>
                <w:szCs w:val="24"/>
                <w:highlight w:val="none"/>
                <w:lang w:val="en-US" w:eastAsia="zh-CN"/>
              </w:rPr>
              <w:t>31823</w:t>
            </w:r>
          </w:p>
        </w:tc>
      </w:tr>
      <w:tr w14:paraId="308AF1B0">
        <w:tblPrEx>
          <w:tblCellMar>
            <w:top w:w="0" w:type="dxa"/>
            <w:left w:w="108" w:type="dxa"/>
            <w:bottom w:w="0" w:type="dxa"/>
            <w:right w:w="108" w:type="dxa"/>
          </w:tblCellMar>
        </w:tblPrEx>
        <w:trPr>
          <w:trHeight w:val="436" w:hRule="exact"/>
          <w:jc w:val="center"/>
        </w:trPr>
        <w:tc>
          <w:tcPr>
            <w:tcW w:w="1444" w:type="dxa"/>
            <w:tcBorders>
              <w:top w:val="nil"/>
              <w:left w:val="single" w:color="auto" w:sz="4" w:space="0"/>
              <w:bottom w:val="single" w:color="auto" w:sz="4" w:space="0"/>
              <w:right w:val="single" w:color="auto" w:sz="4" w:space="0"/>
            </w:tcBorders>
            <w:noWrap w:val="0"/>
            <w:vAlign w:val="bottom"/>
          </w:tcPr>
          <w:p w14:paraId="4E2C8887">
            <w:pPr>
              <w:spacing w:line="360" w:lineRule="auto"/>
              <w:jc w:val="left"/>
              <w:rPr>
                <w:rFonts w:hint="eastAsia" w:ascii="宋体" w:hAnsi="宋体" w:eastAsia="宋体"/>
                <w:sz w:val="24"/>
                <w:szCs w:val="24"/>
                <w:highlight w:val="none"/>
              </w:rPr>
            </w:pPr>
          </w:p>
        </w:tc>
        <w:tc>
          <w:tcPr>
            <w:tcW w:w="5647" w:type="dxa"/>
            <w:tcBorders>
              <w:top w:val="nil"/>
              <w:left w:val="single" w:color="auto" w:sz="4" w:space="0"/>
              <w:bottom w:val="single" w:color="auto" w:sz="4" w:space="0"/>
              <w:right w:val="single" w:color="auto" w:sz="4" w:space="0"/>
            </w:tcBorders>
            <w:noWrap w:val="0"/>
            <w:vAlign w:val="bottom"/>
          </w:tcPr>
          <w:p w14:paraId="07AA9187">
            <w:pPr>
              <w:spacing w:line="360" w:lineRule="auto"/>
              <w:jc w:val="left"/>
              <w:rPr>
                <w:rFonts w:ascii="宋体" w:hAnsi="宋体" w:eastAsia="宋体"/>
                <w:sz w:val="24"/>
                <w:szCs w:val="24"/>
                <w:highlight w:val="none"/>
              </w:rPr>
            </w:pPr>
            <w:r>
              <w:rPr>
                <w:rFonts w:hint="eastAsia" w:ascii="宋体" w:hAnsi="宋体" w:eastAsia="宋体"/>
                <w:sz w:val="24"/>
                <w:szCs w:val="24"/>
                <w:highlight w:val="none"/>
              </w:rPr>
              <w:t xml:space="preserve">          财政补贴收入</w:t>
            </w:r>
          </w:p>
        </w:tc>
        <w:tc>
          <w:tcPr>
            <w:tcW w:w="1571" w:type="dxa"/>
            <w:tcBorders>
              <w:top w:val="nil"/>
              <w:left w:val="nil"/>
              <w:bottom w:val="single" w:color="auto" w:sz="4" w:space="0"/>
              <w:right w:val="single" w:color="auto" w:sz="4" w:space="0"/>
            </w:tcBorders>
            <w:noWrap w:val="0"/>
            <w:vAlign w:val="bottom"/>
          </w:tcPr>
          <w:p w14:paraId="0AD67D0F">
            <w:pPr>
              <w:spacing w:line="360" w:lineRule="auto"/>
              <w:jc w:val="center"/>
              <w:rPr>
                <w:rFonts w:hint="default" w:ascii="宋体" w:hAnsi="宋体" w:eastAsia="宋体"/>
                <w:sz w:val="24"/>
                <w:szCs w:val="24"/>
                <w:highlight w:val="none"/>
                <w:lang w:val="en-US"/>
              </w:rPr>
            </w:pPr>
            <w:r>
              <w:rPr>
                <w:rFonts w:hint="eastAsia" w:ascii="宋体" w:hAnsi="宋体" w:eastAsia="宋体"/>
                <w:sz w:val="24"/>
                <w:szCs w:val="24"/>
                <w:highlight w:val="none"/>
                <w:lang w:val="en-US" w:eastAsia="zh-CN"/>
              </w:rPr>
              <w:t>31481</w:t>
            </w:r>
          </w:p>
        </w:tc>
      </w:tr>
      <w:tr w14:paraId="7448884F">
        <w:tblPrEx>
          <w:tblCellMar>
            <w:top w:w="0" w:type="dxa"/>
            <w:left w:w="108" w:type="dxa"/>
            <w:bottom w:w="0" w:type="dxa"/>
            <w:right w:w="108" w:type="dxa"/>
          </w:tblCellMar>
        </w:tblPrEx>
        <w:trPr>
          <w:trHeight w:val="436" w:hRule="exact"/>
          <w:jc w:val="center"/>
        </w:trPr>
        <w:tc>
          <w:tcPr>
            <w:tcW w:w="1444" w:type="dxa"/>
            <w:tcBorders>
              <w:top w:val="nil"/>
              <w:left w:val="single" w:color="auto" w:sz="4" w:space="0"/>
              <w:bottom w:val="single" w:color="auto" w:sz="4" w:space="0"/>
              <w:right w:val="single" w:color="auto" w:sz="4" w:space="0"/>
            </w:tcBorders>
            <w:noWrap w:val="0"/>
            <w:vAlign w:val="bottom"/>
          </w:tcPr>
          <w:p w14:paraId="436FEC17">
            <w:pPr>
              <w:spacing w:line="360" w:lineRule="auto"/>
              <w:jc w:val="left"/>
              <w:rPr>
                <w:rFonts w:hint="eastAsia" w:ascii="宋体" w:hAnsi="宋体" w:eastAsia="宋体"/>
                <w:sz w:val="24"/>
                <w:szCs w:val="24"/>
                <w:highlight w:val="none"/>
              </w:rPr>
            </w:pPr>
          </w:p>
        </w:tc>
        <w:tc>
          <w:tcPr>
            <w:tcW w:w="5647" w:type="dxa"/>
            <w:tcBorders>
              <w:top w:val="nil"/>
              <w:left w:val="single" w:color="auto" w:sz="4" w:space="0"/>
              <w:bottom w:val="single" w:color="auto" w:sz="4" w:space="0"/>
              <w:right w:val="single" w:color="auto" w:sz="4" w:space="0"/>
            </w:tcBorders>
            <w:noWrap w:val="0"/>
            <w:vAlign w:val="bottom"/>
          </w:tcPr>
          <w:p w14:paraId="335203CE">
            <w:pPr>
              <w:spacing w:line="360" w:lineRule="auto"/>
              <w:jc w:val="left"/>
              <w:rPr>
                <w:rFonts w:ascii="宋体" w:hAnsi="宋体" w:eastAsia="宋体"/>
                <w:sz w:val="24"/>
                <w:szCs w:val="24"/>
                <w:highlight w:val="none"/>
              </w:rPr>
            </w:pPr>
            <w:r>
              <w:rPr>
                <w:rFonts w:hint="eastAsia" w:ascii="宋体" w:hAnsi="宋体" w:eastAsia="宋体"/>
                <w:sz w:val="24"/>
                <w:szCs w:val="24"/>
                <w:highlight w:val="none"/>
              </w:rPr>
              <w:t xml:space="preserve">          利息收入</w:t>
            </w:r>
          </w:p>
        </w:tc>
        <w:tc>
          <w:tcPr>
            <w:tcW w:w="1571" w:type="dxa"/>
            <w:tcBorders>
              <w:top w:val="nil"/>
              <w:left w:val="nil"/>
              <w:bottom w:val="single" w:color="auto" w:sz="4" w:space="0"/>
              <w:right w:val="single" w:color="auto" w:sz="4" w:space="0"/>
            </w:tcBorders>
            <w:noWrap w:val="0"/>
            <w:vAlign w:val="bottom"/>
          </w:tcPr>
          <w:p w14:paraId="27057646">
            <w:pPr>
              <w:spacing w:line="360" w:lineRule="auto"/>
              <w:jc w:val="center"/>
              <w:rPr>
                <w:rFonts w:hint="default" w:ascii="宋体" w:hAnsi="宋体" w:eastAsia="宋体"/>
                <w:sz w:val="24"/>
                <w:szCs w:val="24"/>
                <w:highlight w:val="none"/>
                <w:lang w:val="en-US"/>
              </w:rPr>
            </w:pPr>
            <w:r>
              <w:rPr>
                <w:rFonts w:hint="eastAsia" w:ascii="宋体" w:hAnsi="宋体" w:eastAsia="宋体"/>
                <w:sz w:val="24"/>
                <w:szCs w:val="24"/>
                <w:highlight w:val="none"/>
                <w:lang w:val="en-US" w:eastAsia="zh-CN"/>
              </w:rPr>
              <w:t>612</w:t>
            </w:r>
          </w:p>
        </w:tc>
      </w:tr>
      <w:tr w14:paraId="751F2CEE">
        <w:tblPrEx>
          <w:tblCellMar>
            <w:top w:w="0" w:type="dxa"/>
            <w:left w:w="108" w:type="dxa"/>
            <w:bottom w:w="0" w:type="dxa"/>
            <w:right w:w="108" w:type="dxa"/>
          </w:tblCellMar>
        </w:tblPrEx>
        <w:trPr>
          <w:trHeight w:val="436" w:hRule="exact"/>
          <w:jc w:val="center"/>
        </w:trPr>
        <w:tc>
          <w:tcPr>
            <w:tcW w:w="1444" w:type="dxa"/>
            <w:tcBorders>
              <w:top w:val="nil"/>
              <w:left w:val="single" w:color="auto" w:sz="4" w:space="0"/>
              <w:bottom w:val="single" w:color="auto" w:sz="4" w:space="0"/>
              <w:right w:val="single" w:color="auto" w:sz="4" w:space="0"/>
            </w:tcBorders>
            <w:noWrap w:val="0"/>
            <w:vAlign w:val="bottom"/>
          </w:tcPr>
          <w:p w14:paraId="54821A7B">
            <w:pPr>
              <w:spacing w:line="360" w:lineRule="auto"/>
              <w:ind w:firstLine="1200" w:firstLineChars="500"/>
              <w:rPr>
                <w:rFonts w:hint="eastAsia" w:ascii="宋体" w:hAnsi="宋体" w:eastAsia="宋体"/>
                <w:bCs/>
                <w:sz w:val="24"/>
                <w:szCs w:val="24"/>
                <w:highlight w:val="none"/>
              </w:rPr>
            </w:pPr>
          </w:p>
        </w:tc>
        <w:tc>
          <w:tcPr>
            <w:tcW w:w="5647" w:type="dxa"/>
            <w:tcBorders>
              <w:top w:val="nil"/>
              <w:left w:val="single" w:color="auto" w:sz="4" w:space="0"/>
              <w:bottom w:val="single" w:color="auto" w:sz="4" w:space="0"/>
              <w:right w:val="single" w:color="auto" w:sz="4" w:space="0"/>
            </w:tcBorders>
            <w:noWrap w:val="0"/>
            <w:vAlign w:val="bottom"/>
          </w:tcPr>
          <w:p w14:paraId="3502F3E3">
            <w:pPr>
              <w:spacing w:line="360" w:lineRule="auto"/>
              <w:ind w:firstLine="1200" w:firstLineChars="500"/>
              <w:rPr>
                <w:rFonts w:ascii="宋体" w:hAnsi="宋体" w:eastAsia="宋体"/>
                <w:bCs/>
                <w:sz w:val="24"/>
                <w:szCs w:val="24"/>
                <w:highlight w:val="none"/>
              </w:rPr>
            </w:pPr>
            <w:r>
              <w:rPr>
                <w:rFonts w:hint="eastAsia" w:ascii="宋体" w:hAnsi="宋体" w:eastAsia="宋体"/>
                <w:bCs/>
                <w:sz w:val="24"/>
                <w:szCs w:val="24"/>
                <w:highlight w:val="none"/>
              </w:rPr>
              <w:t>转移收入</w:t>
            </w:r>
          </w:p>
        </w:tc>
        <w:tc>
          <w:tcPr>
            <w:tcW w:w="1571" w:type="dxa"/>
            <w:tcBorders>
              <w:top w:val="nil"/>
              <w:left w:val="nil"/>
              <w:bottom w:val="single" w:color="auto" w:sz="4" w:space="0"/>
              <w:right w:val="single" w:color="auto" w:sz="4" w:space="0"/>
            </w:tcBorders>
            <w:noWrap w:val="0"/>
            <w:vAlign w:val="bottom"/>
          </w:tcPr>
          <w:p w14:paraId="16ECCF3C">
            <w:pPr>
              <w:spacing w:line="360" w:lineRule="auto"/>
              <w:jc w:val="center"/>
              <w:rPr>
                <w:rFonts w:hint="default" w:ascii="宋体" w:hAnsi="宋体" w:eastAsia="宋体"/>
                <w:sz w:val="24"/>
                <w:szCs w:val="24"/>
                <w:highlight w:val="none"/>
                <w:lang w:val="en-US"/>
              </w:rPr>
            </w:pPr>
            <w:r>
              <w:rPr>
                <w:rFonts w:hint="eastAsia" w:ascii="宋体" w:hAnsi="宋体" w:eastAsia="宋体"/>
                <w:sz w:val="24"/>
                <w:szCs w:val="24"/>
                <w:highlight w:val="none"/>
                <w:lang w:val="en-US" w:eastAsia="zh-CN"/>
              </w:rPr>
              <w:t>673</w:t>
            </w:r>
          </w:p>
        </w:tc>
      </w:tr>
      <w:tr w14:paraId="009E66D8">
        <w:tblPrEx>
          <w:tblCellMar>
            <w:top w:w="0" w:type="dxa"/>
            <w:left w:w="108" w:type="dxa"/>
            <w:bottom w:w="0" w:type="dxa"/>
            <w:right w:w="108" w:type="dxa"/>
          </w:tblCellMar>
        </w:tblPrEx>
        <w:trPr>
          <w:trHeight w:val="436" w:hRule="exact"/>
          <w:jc w:val="center"/>
        </w:trPr>
        <w:tc>
          <w:tcPr>
            <w:tcW w:w="1444" w:type="dxa"/>
            <w:tcBorders>
              <w:top w:val="nil"/>
              <w:left w:val="single" w:color="auto" w:sz="4" w:space="0"/>
              <w:bottom w:val="single" w:color="auto" w:sz="4" w:space="0"/>
              <w:right w:val="single" w:color="auto" w:sz="4" w:space="0"/>
            </w:tcBorders>
            <w:noWrap w:val="0"/>
            <w:vAlign w:val="bottom"/>
          </w:tcPr>
          <w:p w14:paraId="10696270">
            <w:pPr>
              <w:spacing w:line="360" w:lineRule="auto"/>
              <w:ind w:firstLine="1200" w:firstLineChars="500"/>
              <w:rPr>
                <w:rFonts w:hint="eastAsia" w:ascii="宋体" w:hAnsi="宋体" w:eastAsia="宋体"/>
                <w:bCs/>
                <w:sz w:val="24"/>
                <w:szCs w:val="24"/>
                <w:highlight w:val="none"/>
              </w:rPr>
            </w:pPr>
          </w:p>
        </w:tc>
        <w:tc>
          <w:tcPr>
            <w:tcW w:w="5647" w:type="dxa"/>
            <w:tcBorders>
              <w:top w:val="nil"/>
              <w:left w:val="single" w:color="auto" w:sz="4" w:space="0"/>
              <w:bottom w:val="single" w:color="auto" w:sz="4" w:space="0"/>
              <w:right w:val="single" w:color="auto" w:sz="4" w:space="0"/>
            </w:tcBorders>
            <w:noWrap w:val="0"/>
            <w:vAlign w:val="bottom"/>
          </w:tcPr>
          <w:p w14:paraId="01CBDAFE">
            <w:pPr>
              <w:spacing w:line="360" w:lineRule="auto"/>
              <w:ind w:firstLine="1200" w:firstLineChars="500"/>
              <w:rPr>
                <w:rFonts w:hint="eastAsia" w:ascii="宋体" w:hAnsi="宋体" w:eastAsia="宋体"/>
                <w:b/>
                <w:bCs/>
                <w:sz w:val="24"/>
                <w:szCs w:val="24"/>
                <w:highlight w:val="none"/>
              </w:rPr>
            </w:pPr>
            <w:r>
              <w:rPr>
                <w:rFonts w:hint="eastAsia" w:ascii="宋体" w:hAnsi="宋体" w:eastAsia="宋体"/>
                <w:bCs/>
                <w:sz w:val="24"/>
                <w:szCs w:val="24"/>
                <w:highlight w:val="none"/>
              </w:rPr>
              <w:t>其他</w:t>
            </w:r>
            <w:r>
              <w:rPr>
                <w:rFonts w:ascii="宋体" w:hAnsi="宋体" w:eastAsia="宋体"/>
                <w:bCs/>
                <w:sz w:val="24"/>
                <w:szCs w:val="24"/>
                <w:highlight w:val="none"/>
              </w:rPr>
              <w:t>收入</w:t>
            </w:r>
          </w:p>
        </w:tc>
        <w:tc>
          <w:tcPr>
            <w:tcW w:w="1571" w:type="dxa"/>
            <w:tcBorders>
              <w:top w:val="nil"/>
              <w:left w:val="nil"/>
              <w:bottom w:val="single" w:color="auto" w:sz="4" w:space="0"/>
              <w:right w:val="single" w:color="auto" w:sz="4" w:space="0"/>
            </w:tcBorders>
            <w:noWrap w:val="0"/>
            <w:vAlign w:val="bottom"/>
          </w:tcPr>
          <w:p w14:paraId="57CAEC8C">
            <w:pPr>
              <w:spacing w:line="360" w:lineRule="auto"/>
              <w:jc w:val="center"/>
              <w:rPr>
                <w:rFonts w:hint="default" w:ascii="宋体" w:hAnsi="宋体" w:eastAsia="宋体"/>
                <w:sz w:val="24"/>
                <w:szCs w:val="24"/>
                <w:highlight w:val="none"/>
                <w:lang w:val="en-US"/>
              </w:rPr>
            </w:pPr>
            <w:r>
              <w:rPr>
                <w:rFonts w:hint="eastAsia" w:ascii="宋体" w:hAnsi="宋体" w:eastAsia="宋体"/>
                <w:sz w:val="24"/>
                <w:szCs w:val="24"/>
                <w:highlight w:val="none"/>
                <w:lang w:val="en-US" w:eastAsia="zh-CN"/>
              </w:rPr>
              <w:t>21</w:t>
            </w:r>
          </w:p>
        </w:tc>
      </w:tr>
      <w:tr w14:paraId="495390FE">
        <w:tblPrEx>
          <w:tblCellMar>
            <w:top w:w="0" w:type="dxa"/>
            <w:left w:w="108" w:type="dxa"/>
            <w:bottom w:w="0" w:type="dxa"/>
            <w:right w:w="108" w:type="dxa"/>
          </w:tblCellMar>
        </w:tblPrEx>
        <w:trPr>
          <w:trHeight w:val="436" w:hRule="exact"/>
          <w:jc w:val="center"/>
        </w:trPr>
        <w:tc>
          <w:tcPr>
            <w:tcW w:w="1444" w:type="dxa"/>
            <w:tcBorders>
              <w:top w:val="nil"/>
              <w:left w:val="single" w:color="auto" w:sz="4" w:space="0"/>
              <w:bottom w:val="single" w:color="auto" w:sz="4" w:space="0"/>
              <w:right w:val="single" w:color="auto" w:sz="4" w:space="0"/>
            </w:tcBorders>
            <w:noWrap w:val="0"/>
            <w:vAlign w:val="bottom"/>
          </w:tcPr>
          <w:p w14:paraId="454F7992">
            <w:pPr>
              <w:spacing w:line="360" w:lineRule="auto"/>
              <w:ind w:firstLine="1200" w:firstLineChars="500"/>
              <w:rPr>
                <w:rFonts w:hint="eastAsia" w:ascii="宋体" w:hAnsi="宋体" w:eastAsia="宋体"/>
                <w:bCs/>
                <w:sz w:val="24"/>
                <w:szCs w:val="24"/>
                <w:highlight w:val="none"/>
              </w:rPr>
            </w:pPr>
          </w:p>
        </w:tc>
        <w:tc>
          <w:tcPr>
            <w:tcW w:w="5647" w:type="dxa"/>
            <w:tcBorders>
              <w:top w:val="nil"/>
              <w:left w:val="single" w:color="auto" w:sz="4" w:space="0"/>
              <w:bottom w:val="single" w:color="auto" w:sz="4" w:space="0"/>
              <w:right w:val="single" w:color="auto" w:sz="4" w:space="0"/>
            </w:tcBorders>
            <w:noWrap w:val="0"/>
            <w:vAlign w:val="bottom"/>
          </w:tcPr>
          <w:p w14:paraId="18206B84">
            <w:pPr>
              <w:spacing w:line="360" w:lineRule="auto"/>
              <w:ind w:firstLine="1200" w:firstLineChars="500"/>
              <w:rPr>
                <w:rFonts w:hint="eastAsia" w:ascii="宋体" w:hAnsi="宋体" w:eastAsia="宋体"/>
                <w:bCs/>
                <w:sz w:val="24"/>
                <w:szCs w:val="24"/>
                <w:highlight w:val="none"/>
              </w:rPr>
            </w:pPr>
            <w:r>
              <w:rPr>
                <w:rFonts w:hint="eastAsia" w:ascii="宋体" w:hAnsi="宋体" w:eastAsia="宋体"/>
                <w:bCs/>
                <w:sz w:val="24"/>
                <w:szCs w:val="24"/>
                <w:highlight w:val="none"/>
              </w:rPr>
              <w:t>委托</w:t>
            </w:r>
            <w:r>
              <w:rPr>
                <w:rFonts w:ascii="宋体" w:hAnsi="宋体" w:eastAsia="宋体"/>
                <w:bCs/>
                <w:sz w:val="24"/>
                <w:szCs w:val="24"/>
                <w:highlight w:val="none"/>
              </w:rPr>
              <w:t>投资收益</w:t>
            </w:r>
          </w:p>
        </w:tc>
        <w:tc>
          <w:tcPr>
            <w:tcW w:w="1571" w:type="dxa"/>
            <w:tcBorders>
              <w:top w:val="nil"/>
              <w:left w:val="nil"/>
              <w:bottom w:val="single" w:color="auto" w:sz="4" w:space="0"/>
              <w:right w:val="single" w:color="auto" w:sz="4" w:space="0"/>
            </w:tcBorders>
            <w:noWrap w:val="0"/>
            <w:vAlign w:val="bottom"/>
          </w:tcPr>
          <w:p w14:paraId="36C393F6">
            <w:pPr>
              <w:spacing w:line="360" w:lineRule="auto"/>
              <w:jc w:val="center"/>
              <w:rPr>
                <w:rFonts w:hint="default" w:ascii="宋体" w:hAnsi="宋体" w:eastAsia="宋体"/>
                <w:sz w:val="24"/>
                <w:szCs w:val="24"/>
                <w:highlight w:val="none"/>
                <w:lang w:val="en-US"/>
              </w:rPr>
            </w:pPr>
            <w:r>
              <w:rPr>
                <w:rFonts w:hint="eastAsia" w:ascii="宋体" w:hAnsi="宋体" w:eastAsia="宋体"/>
                <w:sz w:val="24"/>
                <w:szCs w:val="24"/>
                <w:highlight w:val="none"/>
                <w:lang w:val="en-US" w:eastAsia="zh-CN"/>
              </w:rPr>
              <w:t>1393</w:t>
            </w:r>
          </w:p>
        </w:tc>
      </w:tr>
      <w:tr w14:paraId="254F0091">
        <w:tblPrEx>
          <w:tblCellMar>
            <w:top w:w="0" w:type="dxa"/>
            <w:left w:w="108" w:type="dxa"/>
            <w:bottom w:w="0" w:type="dxa"/>
            <w:right w:w="108" w:type="dxa"/>
          </w:tblCellMar>
        </w:tblPrEx>
        <w:trPr>
          <w:trHeight w:val="436" w:hRule="exact"/>
          <w:jc w:val="center"/>
        </w:trPr>
        <w:tc>
          <w:tcPr>
            <w:tcW w:w="1444" w:type="dxa"/>
            <w:tcBorders>
              <w:top w:val="nil"/>
              <w:left w:val="single" w:color="auto" w:sz="4" w:space="0"/>
              <w:bottom w:val="single" w:color="auto" w:sz="4" w:space="0"/>
              <w:right w:val="single" w:color="auto" w:sz="4" w:space="0"/>
            </w:tcBorders>
            <w:noWrap w:val="0"/>
            <w:vAlign w:val="bottom"/>
          </w:tcPr>
          <w:p w14:paraId="425E9E17">
            <w:pPr>
              <w:spacing w:line="360" w:lineRule="auto"/>
              <w:jc w:val="left"/>
              <w:rPr>
                <w:rFonts w:hint="eastAsia" w:ascii="宋体" w:hAnsi="宋体" w:eastAsia="宋体"/>
                <w:bCs/>
                <w:sz w:val="24"/>
                <w:szCs w:val="24"/>
                <w:highlight w:val="none"/>
              </w:rPr>
            </w:pPr>
            <w:r>
              <w:rPr>
                <w:rFonts w:hint="default" w:ascii="宋体" w:hAnsi="宋体" w:eastAsia="宋体"/>
                <w:b/>
                <w:bCs/>
                <w:sz w:val="24"/>
                <w:szCs w:val="24"/>
                <w:highlight w:val="none"/>
                <w:lang w:val="en-US" w:eastAsia="zh-CN"/>
              </w:rPr>
              <w:t>10210</w:t>
            </w:r>
          </w:p>
        </w:tc>
        <w:tc>
          <w:tcPr>
            <w:tcW w:w="5647" w:type="dxa"/>
            <w:tcBorders>
              <w:top w:val="nil"/>
              <w:left w:val="single" w:color="auto" w:sz="4" w:space="0"/>
              <w:bottom w:val="single" w:color="auto" w:sz="4" w:space="0"/>
              <w:right w:val="single" w:color="auto" w:sz="4" w:space="0"/>
            </w:tcBorders>
            <w:noWrap w:val="0"/>
            <w:vAlign w:val="bottom"/>
          </w:tcPr>
          <w:p w14:paraId="28F305D8">
            <w:pPr>
              <w:spacing w:line="360" w:lineRule="auto"/>
              <w:jc w:val="left"/>
              <w:rPr>
                <w:rFonts w:hint="eastAsia" w:ascii="宋体" w:hAnsi="宋体" w:eastAsia="宋体"/>
                <w:bCs/>
                <w:sz w:val="24"/>
                <w:szCs w:val="24"/>
                <w:highlight w:val="none"/>
              </w:rPr>
            </w:pPr>
            <w:r>
              <w:rPr>
                <w:rFonts w:hint="eastAsia" w:ascii="宋体" w:hAnsi="宋体" w:eastAsia="宋体"/>
                <w:b/>
                <w:bCs/>
                <w:sz w:val="24"/>
                <w:szCs w:val="24"/>
                <w:highlight w:val="none"/>
                <w:lang w:eastAsia="zh-CN"/>
              </w:rPr>
              <w:t>一</w:t>
            </w:r>
            <w:r>
              <w:rPr>
                <w:rFonts w:hint="eastAsia" w:ascii="宋体" w:hAnsi="宋体" w:eastAsia="宋体"/>
                <w:b/>
                <w:bCs/>
                <w:sz w:val="24"/>
                <w:szCs w:val="24"/>
                <w:highlight w:val="none"/>
              </w:rPr>
              <w:t>、城乡居民基本养老保险基金收入</w:t>
            </w:r>
          </w:p>
        </w:tc>
        <w:tc>
          <w:tcPr>
            <w:tcW w:w="1571" w:type="dxa"/>
            <w:tcBorders>
              <w:top w:val="nil"/>
              <w:left w:val="nil"/>
              <w:bottom w:val="single" w:color="auto" w:sz="4" w:space="0"/>
              <w:right w:val="single" w:color="auto" w:sz="4" w:space="0"/>
            </w:tcBorders>
            <w:noWrap w:val="0"/>
            <w:vAlign w:val="bottom"/>
          </w:tcPr>
          <w:p w14:paraId="1B3D40AD">
            <w:pPr>
              <w:spacing w:line="360" w:lineRule="auto"/>
              <w:jc w:val="center"/>
              <w:rPr>
                <w:rFonts w:hint="default" w:ascii="宋体" w:hAnsi="宋体" w:eastAsia="宋体"/>
                <w:sz w:val="24"/>
                <w:szCs w:val="24"/>
                <w:highlight w:val="none"/>
                <w:lang w:val="en-US"/>
              </w:rPr>
            </w:pPr>
            <w:r>
              <w:rPr>
                <w:rFonts w:hint="eastAsia" w:ascii="宋体" w:hAnsi="宋体" w:eastAsia="宋体"/>
                <w:b/>
                <w:sz w:val="24"/>
                <w:szCs w:val="24"/>
                <w:highlight w:val="none"/>
                <w:lang w:val="en-US" w:eastAsia="zh-CN"/>
              </w:rPr>
              <w:t>28994</w:t>
            </w:r>
          </w:p>
        </w:tc>
      </w:tr>
      <w:tr w14:paraId="6C68D8F5">
        <w:tblPrEx>
          <w:tblCellMar>
            <w:top w:w="0" w:type="dxa"/>
            <w:left w:w="108" w:type="dxa"/>
            <w:bottom w:w="0" w:type="dxa"/>
            <w:right w:w="108" w:type="dxa"/>
          </w:tblCellMar>
        </w:tblPrEx>
        <w:trPr>
          <w:trHeight w:val="436" w:hRule="exact"/>
          <w:jc w:val="center"/>
        </w:trPr>
        <w:tc>
          <w:tcPr>
            <w:tcW w:w="1444" w:type="dxa"/>
            <w:tcBorders>
              <w:top w:val="nil"/>
              <w:left w:val="single" w:color="auto" w:sz="4" w:space="0"/>
              <w:bottom w:val="single" w:color="auto" w:sz="4" w:space="0"/>
              <w:right w:val="single" w:color="auto" w:sz="4" w:space="0"/>
            </w:tcBorders>
            <w:noWrap w:val="0"/>
            <w:vAlign w:val="bottom"/>
          </w:tcPr>
          <w:p w14:paraId="37ACC165">
            <w:pPr>
              <w:spacing w:line="360" w:lineRule="auto"/>
              <w:jc w:val="left"/>
              <w:rPr>
                <w:rFonts w:hint="default" w:ascii="宋体" w:hAnsi="宋体" w:eastAsia="宋体"/>
                <w:b/>
                <w:bCs/>
                <w:sz w:val="24"/>
                <w:szCs w:val="24"/>
                <w:highlight w:val="none"/>
                <w:lang w:val="en-US" w:eastAsia="zh-CN"/>
              </w:rPr>
            </w:pPr>
            <w:r>
              <w:rPr>
                <w:rFonts w:hint="default" w:ascii="宋体" w:hAnsi="宋体" w:eastAsia="宋体"/>
                <w:sz w:val="24"/>
                <w:szCs w:val="24"/>
                <w:highlight w:val="none"/>
                <w:lang w:val="en-US"/>
              </w:rPr>
              <w:t>1021001</w:t>
            </w:r>
          </w:p>
        </w:tc>
        <w:tc>
          <w:tcPr>
            <w:tcW w:w="5647" w:type="dxa"/>
            <w:tcBorders>
              <w:top w:val="nil"/>
              <w:left w:val="single" w:color="auto" w:sz="4" w:space="0"/>
              <w:bottom w:val="single" w:color="auto" w:sz="4" w:space="0"/>
              <w:right w:val="single" w:color="auto" w:sz="4" w:space="0"/>
            </w:tcBorders>
            <w:noWrap w:val="0"/>
            <w:vAlign w:val="bottom"/>
          </w:tcPr>
          <w:p w14:paraId="0552F855">
            <w:pPr>
              <w:spacing w:line="360" w:lineRule="auto"/>
              <w:jc w:val="left"/>
              <w:rPr>
                <w:rFonts w:ascii="宋体" w:hAnsi="宋体" w:eastAsia="宋体"/>
                <w:b/>
                <w:bCs/>
                <w:sz w:val="24"/>
                <w:szCs w:val="24"/>
                <w:highlight w:val="none"/>
              </w:rPr>
            </w:pPr>
            <w:r>
              <w:rPr>
                <w:rFonts w:hint="eastAsia" w:ascii="宋体" w:hAnsi="宋体" w:eastAsia="宋体"/>
                <w:sz w:val="24"/>
                <w:szCs w:val="24"/>
                <w:highlight w:val="none"/>
              </w:rPr>
              <w:t xml:space="preserve">    其中：保险费收入</w:t>
            </w:r>
          </w:p>
        </w:tc>
        <w:tc>
          <w:tcPr>
            <w:tcW w:w="1571" w:type="dxa"/>
            <w:tcBorders>
              <w:top w:val="nil"/>
              <w:left w:val="nil"/>
              <w:bottom w:val="single" w:color="auto" w:sz="4" w:space="0"/>
              <w:right w:val="single" w:color="auto" w:sz="4" w:space="0"/>
            </w:tcBorders>
            <w:noWrap w:val="0"/>
            <w:vAlign w:val="bottom"/>
          </w:tcPr>
          <w:p w14:paraId="52B1EF88">
            <w:pPr>
              <w:spacing w:line="360" w:lineRule="auto"/>
              <w:jc w:val="center"/>
              <w:rPr>
                <w:rFonts w:hint="default" w:ascii="宋体" w:hAnsi="宋体" w:eastAsia="宋体"/>
                <w:b/>
                <w:sz w:val="24"/>
                <w:szCs w:val="24"/>
                <w:highlight w:val="none"/>
                <w:lang w:val="en-US"/>
              </w:rPr>
            </w:pPr>
            <w:r>
              <w:rPr>
                <w:rFonts w:hint="eastAsia" w:ascii="宋体" w:hAnsi="宋体" w:eastAsia="宋体"/>
                <w:sz w:val="24"/>
                <w:szCs w:val="24"/>
                <w:highlight w:val="none"/>
                <w:lang w:val="en-US" w:eastAsia="zh-CN"/>
              </w:rPr>
              <w:t>5596</w:t>
            </w:r>
          </w:p>
        </w:tc>
      </w:tr>
      <w:tr w14:paraId="7168ACFF">
        <w:tblPrEx>
          <w:tblCellMar>
            <w:top w:w="0" w:type="dxa"/>
            <w:left w:w="108" w:type="dxa"/>
            <w:bottom w:w="0" w:type="dxa"/>
            <w:right w:w="108" w:type="dxa"/>
          </w:tblCellMar>
        </w:tblPrEx>
        <w:trPr>
          <w:trHeight w:val="436" w:hRule="exact"/>
          <w:jc w:val="center"/>
        </w:trPr>
        <w:tc>
          <w:tcPr>
            <w:tcW w:w="1444" w:type="dxa"/>
            <w:tcBorders>
              <w:top w:val="nil"/>
              <w:left w:val="single" w:color="auto" w:sz="4" w:space="0"/>
              <w:bottom w:val="single" w:color="auto" w:sz="4" w:space="0"/>
              <w:right w:val="single" w:color="auto" w:sz="4" w:space="0"/>
            </w:tcBorders>
            <w:noWrap w:val="0"/>
            <w:vAlign w:val="bottom"/>
          </w:tcPr>
          <w:p w14:paraId="277F688F">
            <w:pPr>
              <w:spacing w:line="360" w:lineRule="auto"/>
              <w:jc w:val="left"/>
              <w:rPr>
                <w:rFonts w:hint="default" w:ascii="宋体" w:hAnsi="宋体" w:eastAsia="宋体"/>
                <w:sz w:val="24"/>
                <w:szCs w:val="24"/>
                <w:highlight w:val="none"/>
                <w:lang w:val="en-US"/>
              </w:rPr>
            </w:pPr>
            <w:r>
              <w:rPr>
                <w:rFonts w:hint="default" w:ascii="宋体" w:hAnsi="宋体" w:eastAsia="宋体"/>
                <w:sz w:val="24"/>
                <w:szCs w:val="24"/>
                <w:highlight w:val="none"/>
                <w:lang w:val="en-US"/>
              </w:rPr>
              <w:t>1021002</w:t>
            </w:r>
          </w:p>
        </w:tc>
        <w:tc>
          <w:tcPr>
            <w:tcW w:w="5647" w:type="dxa"/>
            <w:tcBorders>
              <w:top w:val="nil"/>
              <w:left w:val="single" w:color="auto" w:sz="4" w:space="0"/>
              <w:bottom w:val="single" w:color="auto" w:sz="4" w:space="0"/>
              <w:right w:val="single" w:color="auto" w:sz="4" w:space="0"/>
            </w:tcBorders>
            <w:noWrap w:val="0"/>
            <w:vAlign w:val="bottom"/>
          </w:tcPr>
          <w:p w14:paraId="19A8D69C">
            <w:pPr>
              <w:spacing w:line="360" w:lineRule="auto"/>
              <w:jc w:val="left"/>
              <w:rPr>
                <w:rFonts w:ascii="宋体" w:hAnsi="宋体" w:eastAsia="宋体"/>
                <w:sz w:val="24"/>
                <w:szCs w:val="24"/>
                <w:highlight w:val="none"/>
              </w:rPr>
            </w:pPr>
            <w:r>
              <w:rPr>
                <w:rFonts w:hint="eastAsia" w:ascii="宋体" w:hAnsi="宋体" w:eastAsia="宋体"/>
                <w:sz w:val="24"/>
                <w:szCs w:val="24"/>
                <w:highlight w:val="none"/>
              </w:rPr>
              <w:t xml:space="preserve">          财政补贴收入</w:t>
            </w:r>
          </w:p>
        </w:tc>
        <w:tc>
          <w:tcPr>
            <w:tcW w:w="1571" w:type="dxa"/>
            <w:tcBorders>
              <w:top w:val="nil"/>
              <w:left w:val="nil"/>
              <w:bottom w:val="single" w:color="auto" w:sz="4" w:space="0"/>
              <w:right w:val="single" w:color="auto" w:sz="4" w:space="0"/>
            </w:tcBorders>
            <w:noWrap w:val="0"/>
            <w:vAlign w:val="bottom"/>
          </w:tcPr>
          <w:p w14:paraId="1E280A59">
            <w:pPr>
              <w:spacing w:line="360" w:lineRule="auto"/>
              <w:jc w:val="center"/>
              <w:rPr>
                <w:rFonts w:hint="default" w:ascii="宋体" w:hAnsi="宋体" w:eastAsia="宋体"/>
                <w:sz w:val="24"/>
                <w:szCs w:val="24"/>
                <w:highlight w:val="none"/>
                <w:lang w:val="en-US"/>
              </w:rPr>
            </w:pPr>
            <w:r>
              <w:rPr>
                <w:rFonts w:hint="eastAsia" w:ascii="宋体" w:hAnsi="宋体" w:eastAsia="宋体"/>
                <w:sz w:val="24"/>
                <w:szCs w:val="24"/>
                <w:highlight w:val="none"/>
                <w:lang w:val="en-US" w:eastAsia="zh-CN"/>
              </w:rPr>
              <w:t>21412</w:t>
            </w:r>
          </w:p>
        </w:tc>
      </w:tr>
      <w:tr w14:paraId="3AFB5E87">
        <w:tblPrEx>
          <w:tblCellMar>
            <w:top w:w="0" w:type="dxa"/>
            <w:left w:w="108" w:type="dxa"/>
            <w:bottom w:w="0" w:type="dxa"/>
            <w:right w:w="108" w:type="dxa"/>
          </w:tblCellMar>
        </w:tblPrEx>
        <w:trPr>
          <w:trHeight w:val="436" w:hRule="exact"/>
          <w:jc w:val="center"/>
        </w:trPr>
        <w:tc>
          <w:tcPr>
            <w:tcW w:w="1444" w:type="dxa"/>
            <w:tcBorders>
              <w:top w:val="nil"/>
              <w:left w:val="single" w:color="auto" w:sz="4" w:space="0"/>
              <w:bottom w:val="single" w:color="auto" w:sz="4" w:space="0"/>
              <w:right w:val="single" w:color="auto" w:sz="4" w:space="0"/>
            </w:tcBorders>
            <w:noWrap w:val="0"/>
            <w:vAlign w:val="bottom"/>
          </w:tcPr>
          <w:p w14:paraId="4D4C7C18">
            <w:pPr>
              <w:spacing w:line="360" w:lineRule="auto"/>
              <w:jc w:val="left"/>
              <w:rPr>
                <w:rFonts w:hint="default" w:ascii="宋体" w:hAnsi="宋体" w:eastAsia="宋体"/>
                <w:sz w:val="24"/>
                <w:szCs w:val="24"/>
                <w:highlight w:val="none"/>
                <w:lang w:val="en-US"/>
              </w:rPr>
            </w:pPr>
            <w:r>
              <w:rPr>
                <w:rFonts w:hint="default" w:ascii="宋体" w:hAnsi="宋体" w:eastAsia="宋体"/>
                <w:sz w:val="24"/>
                <w:szCs w:val="24"/>
                <w:highlight w:val="none"/>
                <w:lang w:val="en-US"/>
              </w:rPr>
              <w:t>1021003</w:t>
            </w:r>
          </w:p>
        </w:tc>
        <w:tc>
          <w:tcPr>
            <w:tcW w:w="5647" w:type="dxa"/>
            <w:tcBorders>
              <w:top w:val="nil"/>
              <w:left w:val="single" w:color="auto" w:sz="4" w:space="0"/>
              <w:bottom w:val="single" w:color="auto" w:sz="4" w:space="0"/>
              <w:right w:val="single" w:color="auto" w:sz="4" w:space="0"/>
            </w:tcBorders>
            <w:noWrap w:val="0"/>
            <w:vAlign w:val="bottom"/>
          </w:tcPr>
          <w:p w14:paraId="4FE919E8">
            <w:pPr>
              <w:spacing w:line="360" w:lineRule="auto"/>
              <w:jc w:val="left"/>
              <w:rPr>
                <w:rFonts w:ascii="宋体" w:hAnsi="宋体" w:eastAsia="宋体"/>
                <w:sz w:val="24"/>
                <w:szCs w:val="24"/>
                <w:highlight w:val="none"/>
              </w:rPr>
            </w:pPr>
            <w:r>
              <w:rPr>
                <w:rFonts w:hint="eastAsia" w:ascii="宋体" w:hAnsi="宋体" w:eastAsia="宋体"/>
                <w:sz w:val="24"/>
                <w:szCs w:val="24"/>
                <w:highlight w:val="none"/>
              </w:rPr>
              <w:t xml:space="preserve">          利息收入</w:t>
            </w:r>
          </w:p>
        </w:tc>
        <w:tc>
          <w:tcPr>
            <w:tcW w:w="1571" w:type="dxa"/>
            <w:tcBorders>
              <w:top w:val="nil"/>
              <w:left w:val="nil"/>
              <w:bottom w:val="single" w:color="auto" w:sz="4" w:space="0"/>
              <w:right w:val="single" w:color="auto" w:sz="4" w:space="0"/>
            </w:tcBorders>
            <w:noWrap w:val="0"/>
            <w:vAlign w:val="bottom"/>
          </w:tcPr>
          <w:p w14:paraId="4392BF56">
            <w:pPr>
              <w:spacing w:line="360" w:lineRule="auto"/>
              <w:jc w:val="center"/>
              <w:rPr>
                <w:rFonts w:hint="default" w:ascii="宋体" w:hAnsi="宋体" w:eastAsia="宋体"/>
                <w:sz w:val="24"/>
                <w:szCs w:val="24"/>
                <w:highlight w:val="none"/>
                <w:lang w:val="en-US"/>
              </w:rPr>
            </w:pPr>
            <w:r>
              <w:rPr>
                <w:rFonts w:hint="eastAsia" w:ascii="宋体" w:hAnsi="宋体" w:eastAsia="宋体"/>
                <w:sz w:val="24"/>
                <w:szCs w:val="24"/>
                <w:highlight w:val="none"/>
                <w:lang w:val="en-US" w:eastAsia="zh-CN"/>
              </w:rPr>
              <w:t>575</w:t>
            </w:r>
          </w:p>
        </w:tc>
      </w:tr>
      <w:tr w14:paraId="1D941E3E">
        <w:tblPrEx>
          <w:tblCellMar>
            <w:top w:w="0" w:type="dxa"/>
            <w:left w:w="108" w:type="dxa"/>
            <w:bottom w:w="0" w:type="dxa"/>
            <w:right w:w="108" w:type="dxa"/>
          </w:tblCellMar>
        </w:tblPrEx>
        <w:trPr>
          <w:trHeight w:val="436" w:hRule="exact"/>
          <w:jc w:val="center"/>
        </w:trPr>
        <w:tc>
          <w:tcPr>
            <w:tcW w:w="1444" w:type="dxa"/>
            <w:tcBorders>
              <w:top w:val="nil"/>
              <w:left w:val="single" w:color="auto" w:sz="4" w:space="0"/>
              <w:bottom w:val="single" w:color="auto" w:sz="4" w:space="0"/>
              <w:right w:val="single" w:color="auto" w:sz="4" w:space="0"/>
            </w:tcBorders>
            <w:noWrap w:val="0"/>
            <w:vAlign w:val="bottom"/>
          </w:tcPr>
          <w:p w14:paraId="2F114A5A">
            <w:pPr>
              <w:spacing w:line="360" w:lineRule="auto"/>
              <w:jc w:val="left"/>
              <w:rPr>
                <w:rFonts w:hint="default" w:ascii="宋体" w:hAnsi="宋体" w:eastAsia="宋体"/>
                <w:sz w:val="24"/>
                <w:szCs w:val="24"/>
                <w:highlight w:val="none"/>
                <w:lang w:val="en-US"/>
              </w:rPr>
            </w:pPr>
            <w:r>
              <w:rPr>
                <w:rFonts w:hint="default" w:ascii="宋体" w:hAnsi="宋体" w:eastAsia="宋体"/>
                <w:bCs/>
                <w:sz w:val="24"/>
                <w:szCs w:val="24"/>
                <w:highlight w:val="none"/>
                <w:lang w:val="en-US"/>
              </w:rPr>
              <w:t>1101604</w:t>
            </w:r>
          </w:p>
        </w:tc>
        <w:tc>
          <w:tcPr>
            <w:tcW w:w="5647" w:type="dxa"/>
            <w:tcBorders>
              <w:top w:val="nil"/>
              <w:left w:val="single" w:color="auto" w:sz="4" w:space="0"/>
              <w:bottom w:val="single" w:color="auto" w:sz="4" w:space="0"/>
              <w:right w:val="single" w:color="auto" w:sz="4" w:space="0"/>
            </w:tcBorders>
            <w:noWrap w:val="0"/>
            <w:vAlign w:val="bottom"/>
          </w:tcPr>
          <w:p w14:paraId="382CF145">
            <w:pPr>
              <w:spacing w:line="360" w:lineRule="auto"/>
              <w:ind w:firstLine="1200" w:firstLineChars="500"/>
              <w:jc w:val="left"/>
              <w:rPr>
                <w:rFonts w:ascii="宋体" w:hAnsi="宋体" w:eastAsia="宋体"/>
                <w:sz w:val="24"/>
                <w:szCs w:val="24"/>
                <w:highlight w:val="none"/>
              </w:rPr>
            </w:pPr>
            <w:r>
              <w:rPr>
                <w:rFonts w:hint="eastAsia" w:ascii="宋体" w:hAnsi="宋体" w:eastAsia="宋体"/>
                <w:bCs/>
                <w:sz w:val="24"/>
                <w:szCs w:val="24"/>
                <w:highlight w:val="none"/>
              </w:rPr>
              <w:t>转移收入</w:t>
            </w:r>
          </w:p>
        </w:tc>
        <w:tc>
          <w:tcPr>
            <w:tcW w:w="1571" w:type="dxa"/>
            <w:tcBorders>
              <w:top w:val="nil"/>
              <w:left w:val="nil"/>
              <w:bottom w:val="single" w:color="auto" w:sz="4" w:space="0"/>
              <w:right w:val="single" w:color="auto" w:sz="4" w:space="0"/>
            </w:tcBorders>
            <w:noWrap w:val="0"/>
            <w:vAlign w:val="bottom"/>
          </w:tcPr>
          <w:p w14:paraId="54C4B7ED">
            <w:pPr>
              <w:spacing w:line="360" w:lineRule="auto"/>
              <w:jc w:val="center"/>
              <w:rPr>
                <w:rFonts w:hint="default" w:ascii="宋体" w:hAnsi="宋体" w:eastAsia="宋体"/>
                <w:sz w:val="24"/>
                <w:szCs w:val="24"/>
                <w:highlight w:val="none"/>
                <w:lang w:val="en-US"/>
              </w:rPr>
            </w:pPr>
            <w:r>
              <w:rPr>
                <w:rFonts w:hint="eastAsia" w:ascii="宋体" w:hAnsi="宋体" w:eastAsia="宋体"/>
                <w:sz w:val="24"/>
                <w:szCs w:val="24"/>
                <w:highlight w:val="none"/>
                <w:lang w:val="en-US" w:eastAsia="zh-CN"/>
              </w:rPr>
              <w:t>3</w:t>
            </w:r>
          </w:p>
        </w:tc>
      </w:tr>
      <w:tr w14:paraId="62F37745">
        <w:tblPrEx>
          <w:tblCellMar>
            <w:top w:w="0" w:type="dxa"/>
            <w:left w:w="108" w:type="dxa"/>
            <w:bottom w:w="0" w:type="dxa"/>
            <w:right w:w="108" w:type="dxa"/>
          </w:tblCellMar>
        </w:tblPrEx>
        <w:trPr>
          <w:trHeight w:val="436" w:hRule="exact"/>
          <w:jc w:val="center"/>
        </w:trPr>
        <w:tc>
          <w:tcPr>
            <w:tcW w:w="1444" w:type="dxa"/>
            <w:tcBorders>
              <w:top w:val="nil"/>
              <w:left w:val="single" w:color="auto" w:sz="4" w:space="0"/>
              <w:bottom w:val="single" w:color="auto" w:sz="4" w:space="0"/>
              <w:right w:val="single" w:color="auto" w:sz="4" w:space="0"/>
            </w:tcBorders>
            <w:noWrap w:val="0"/>
            <w:vAlign w:val="bottom"/>
          </w:tcPr>
          <w:p w14:paraId="62BBE9B1">
            <w:pPr>
              <w:spacing w:line="360" w:lineRule="auto"/>
              <w:jc w:val="left"/>
              <w:rPr>
                <w:rFonts w:hint="default" w:ascii="宋体" w:hAnsi="宋体" w:eastAsia="宋体"/>
                <w:bCs/>
                <w:sz w:val="24"/>
                <w:szCs w:val="24"/>
                <w:highlight w:val="none"/>
                <w:lang w:val="en-US"/>
              </w:rPr>
            </w:pPr>
            <w:r>
              <w:rPr>
                <w:rFonts w:hint="default" w:ascii="宋体" w:hAnsi="宋体" w:eastAsia="宋体"/>
                <w:bCs/>
                <w:sz w:val="24"/>
                <w:szCs w:val="24"/>
                <w:highlight w:val="none"/>
                <w:lang w:val="en-US"/>
              </w:rPr>
              <w:t>1021099</w:t>
            </w:r>
          </w:p>
        </w:tc>
        <w:tc>
          <w:tcPr>
            <w:tcW w:w="5647" w:type="dxa"/>
            <w:tcBorders>
              <w:top w:val="nil"/>
              <w:left w:val="single" w:color="auto" w:sz="4" w:space="0"/>
              <w:bottom w:val="single" w:color="auto" w:sz="4" w:space="0"/>
              <w:right w:val="single" w:color="auto" w:sz="4" w:space="0"/>
            </w:tcBorders>
            <w:noWrap w:val="0"/>
            <w:vAlign w:val="bottom"/>
          </w:tcPr>
          <w:p w14:paraId="23D326F0">
            <w:pPr>
              <w:spacing w:line="360" w:lineRule="auto"/>
              <w:ind w:firstLine="1200" w:firstLineChars="500"/>
              <w:jc w:val="left"/>
              <w:rPr>
                <w:rFonts w:ascii="宋体" w:hAnsi="宋体" w:eastAsia="宋体"/>
                <w:b/>
                <w:bCs/>
                <w:sz w:val="24"/>
                <w:szCs w:val="24"/>
                <w:highlight w:val="none"/>
              </w:rPr>
            </w:pPr>
            <w:r>
              <w:rPr>
                <w:rFonts w:hint="eastAsia" w:ascii="宋体" w:hAnsi="宋体" w:eastAsia="宋体"/>
                <w:bCs/>
                <w:sz w:val="24"/>
                <w:szCs w:val="24"/>
                <w:highlight w:val="none"/>
              </w:rPr>
              <w:t>其他</w:t>
            </w:r>
            <w:r>
              <w:rPr>
                <w:rFonts w:ascii="宋体" w:hAnsi="宋体" w:eastAsia="宋体"/>
                <w:bCs/>
                <w:sz w:val="24"/>
                <w:szCs w:val="24"/>
                <w:highlight w:val="none"/>
              </w:rPr>
              <w:t>收入</w:t>
            </w:r>
          </w:p>
        </w:tc>
        <w:tc>
          <w:tcPr>
            <w:tcW w:w="1571" w:type="dxa"/>
            <w:tcBorders>
              <w:top w:val="nil"/>
              <w:left w:val="nil"/>
              <w:bottom w:val="single" w:color="auto" w:sz="4" w:space="0"/>
              <w:right w:val="single" w:color="auto" w:sz="4" w:space="0"/>
            </w:tcBorders>
            <w:noWrap w:val="0"/>
            <w:vAlign w:val="bottom"/>
          </w:tcPr>
          <w:p w14:paraId="52F773DA">
            <w:pPr>
              <w:spacing w:line="360" w:lineRule="auto"/>
              <w:jc w:val="center"/>
              <w:rPr>
                <w:rFonts w:hint="default" w:ascii="宋体" w:hAnsi="宋体" w:eastAsia="宋体"/>
                <w:sz w:val="24"/>
                <w:szCs w:val="24"/>
                <w:highlight w:val="none"/>
                <w:lang w:val="en-US"/>
              </w:rPr>
            </w:pPr>
            <w:r>
              <w:rPr>
                <w:rFonts w:hint="eastAsia" w:ascii="宋体" w:hAnsi="宋体" w:eastAsia="宋体"/>
                <w:sz w:val="24"/>
                <w:szCs w:val="24"/>
                <w:highlight w:val="none"/>
                <w:lang w:val="en-US" w:eastAsia="zh-CN"/>
              </w:rPr>
              <w:t>15</w:t>
            </w:r>
          </w:p>
        </w:tc>
      </w:tr>
      <w:tr w14:paraId="176D3301">
        <w:tblPrEx>
          <w:tblCellMar>
            <w:top w:w="0" w:type="dxa"/>
            <w:left w:w="108" w:type="dxa"/>
            <w:bottom w:w="0" w:type="dxa"/>
            <w:right w:w="108" w:type="dxa"/>
          </w:tblCellMar>
        </w:tblPrEx>
        <w:trPr>
          <w:trHeight w:val="436" w:hRule="exact"/>
          <w:jc w:val="center"/>
        </w:trPr>
        <w:tc>
          <w:tcPr>
            <w:tcW w:w="1444" w:type="dxa"/>
            <w:tcBorders>
              <w:top w:val="nil"/>
              <w:left w:val="single" w:color="auto" w:sz="4" w:space="0"/>
              <w:bottom w:val="single" w:color="auto" w:sz="4" w:space="0"/>
              <w:right w:val="single" w:color="auto" w:sz="4" w:space="0"/>
            </w:tcBorders>
            <w:noWrap w:val="0"/>
            <w:vAlign w:val="bottom"/>
          </w:tcPr>
          <w:p w14:paraId="0595F459">
            <w:pPr>
              <w:spacing w:line="360" w:lineRule="auto"/>
              <w:jc w:val="left"/>
              <w:rPr>
                <w:rFonts w:hint="default" w:ascii="宋体" w:hAnsi="宋体" w:eastAsia="宋体"/>
                <w:bCs/>
                <w:sz w:val="24"/>
                <w:szCs w:val="24"/>
                <w:highlight w:val="none"/>
                <w:lang w:val="en-US"/>
              </w:rPr>
            </w:pPr>
            <w:r>
              <w:rPr>
                <w:rFonts w:hint="default" w:ascii="宋体" w:hAnsi="宋体" w:eastAsia="宋体"/>
                <w:bCs/>
                <w:sz w:val="24"/>
                <w:szCs w:val="24"/>
                <w:highlight w:val="none"/>
                <w:lang w:val="en-US"/>
              </w:rPr>
              <w:t>1021004</w:t>
            </w:r>
          </w:p>
        </w:tc>
        <w:tc>
          <w:tcPr>
            <w:tcW w:w="5647" w:type="dxa"/>
            <w:tcBorders>
              <w:top w:val="nil"/>
              <w:left w:val="single" w:color="auto" w:sz="4" w:space="0"/>
              <w:bottom w:val="single" w:color="auto" w:sz="4" w:space="0"/>
              <w:right w:val="single" w:color="auto" w:sz="4" w:space="0"/>
            </w:tcBorders>
            <w:noWrap w:val="0"/>
            <w:vAlign w:val="bottom"/>
          </w:tcPr>
          <w:p w14:paraId="137FD807">
            <w:pPr>
              <w:spacing w:line="360" w:lineRule="auto"/>
              <w:ind w:firstLine="1200" w:firstLineChars="500"/>
              <w:jc w:val="left"/>
              <w:rPr>
                <w:rFonts w:hint="eastAsia" w:ascii="宋体" w:hAnsi="宋体" w:eastAsia="宋体"/>
                <w:bCs/>
                <w:sz w:val="24"/>
                <w:szCs w:val="24"/>
                <w:highlight w:val="none"/>
              </w:rPr>
            </w:pPr>
            <w:r>
              <w:rPr>
                <w:rFonts w:hint="eastAsia" w:ascii="宋体" w:hAnsi="宋体" w:eastAsia="宋体"/>
                <w:bCs/>
                <w:sz w:val="24"/>
                <w:szCs w:val="24"/>
                <w:highlight w:val="none"/>
              </w:rPr>
              <w:t>委托投资</w:t>
            </w:r>
            <w:r>
              <w:rPr>
                <w:rFonts w:ascii="宋体" w:hAnsi="宋体" w:eastAsia="宋体"/>
                <w:bCs/>
                <w:sz w:val="24"/>
                <w:szCs w:val="24"/>
                <w:highlight w:val="none"/>
              </w:rPr>
              <w:t>收益</w:t>
            </w:r>
          </w:p>
        </w:tc>
        <w:tc>
          <w:tcPr>
            <w:tcW w:w="1571" w:type="dxa"/>
            <w:tcBorders>
              <w:top w:val="nil"/>
              <w:left w:val="nil"/>
              <w:bottom w:val="single" w:color="auto" w:sz="4" w:space="0"/>
              <w:right w:val="single" w:color="auto" w:sz="4" w:space="0"/>
            </w:tcBorders>
            <w:noWrap w:val="0"/>
            <w:vAlign w:val="bottom"/>
          </w:tcPr>
          <w:p w14:paraId="21FBB6CC">
            <w:pPr>
              <w:spacing w:line="360" w:lineRule="auto"/>
              <w:jc w:val="center"/>
              <w:rPr>
                <w:rFonts w:hint="default" w:ascii="宋体" w:hAnsi="宋体" w:eastAsia="宋体"/>
                <w:sz w:val="24"/>
                <w:szCs w:val="24"/>
                <w:highlight w:val="none"/>
                <w:lang w:val="en-US"/>
              </w:rPr>
            </w:pPr>
            <w:r>
              <w:rPr>
                <w:rFonts w:hint="eastAsia" w:ascii="宋体" w:hAnsi="宋体" w:eastAsia="宋体"/>
                <w:sz w:val="24"/>
                <w:szCs w:val="24"/>
                <w:highlight w:val="none"/>
                <w:lang w:val="en-US" w:eastAsia="zh-CN"/>
              </w:rPr>
              <w:t>1393</w:t>
            </w:r>
          </w:p>
        </w:tc>
      </w:tr>
      <w:tr w14:paraId="0B4C28D5">
        <w:tblPrEx>
          <w:tblCellMar>
            <w:top w:w="0" w:type="dxa"/>
            <w:left w:w="108" w:type="dxa"/>
            <w:bottom w:w="0" w:type="dxa"/>
            <w:right w:w="108" w:type="dxa"/>
          </w:tblCellMar>
        </w:tblPrEx>
        <w:trPr>
          <w:trHeight w:val="436" w:hRule="exact"/>
          <w:jc w:val="center"/>
        </w:trPr>
        <w:tc>
          <w:tcPr>
            <w:tcW w:w="1444" w:type="dxa"/>
            <w:tcBorders>
              <w:top w:val="nil"/>
              <w:left w:val="single" w:color="auto" w:sz="4" w:space="0"/>
              <w:bottom w:val="single" w:color="auto" w:sz="4" w:space="0"/>
              <w:right w:val="single" w:color="auto" w:sz="4" w:space="0"/>
            </w:tcBorders>
            <w:noWrap w:val="0"/>
            <w:vAlign w:val="bottom"/>
          </w:tcPr>
          <w:p w14:paraId="48357521">
            <w:pPr>
              <w:spacing w:line="360" w:lineRule="auto"/>
              <w:jc w:val="left"/>
              <w:rPr>
                <w:rFonts w:hint="default" w:ascii="宋体" w:hAnsi="宋体" w:eastAsia="宋体"/>
                <w:bCs/>
                <w:sz w:val="24"/>
                <w:szCs w:val="24"/>
                <w:highlight w:val="none"/>
                <w:lang w:val="en-US"/>
              </w:rPr>
            </w:pPr>
            <w:r>
              <w:rPr>
                <w:rFonts w:hint="default" w:ascii="宋体" w:hAnsi="宋体" w:eastAsia="宋体"/>
                <w:b/>
                <w:bCs/>
                <w:sz w:val="24"/>
                <w:szCs w:val="24"/>
                <w:highlight w:val="none"/>
                <w:lang w:val="en-US" w:eastAsia="zh-CN"/>
              </w:rPr>
              <w:t>10211</w:t>
            </w:r>
          </w:p>
        </w:tc>
        <w:tc>
          <w:tcPr>
            <w:tcW w:w="5647" w:type="dxa"/>
            <w:tcBorders>
              <w:top w:val="nil"/>
              <w:left w:val="single" w:color="auto" w:sz="4" w:space="0"/>
              <w:bottom w:val="single" w:color="auto" w:sz="4" w:space="0"/>
              <w:right w:val="single" w:color="auto" w:sz="4" w:space="0"/>
            </w:tcBorders>
            <w:noWrap w:val="0"/>
            <w:vAlign w:val="bottom"/>
          </w:tcPr>
          <w:p w14:paraId="31BA0E4B">
            <w:pPr>
              <w:spacing w:line="360" w:lineRule="auto"/>
              <w:jc w:val="left"/>
              <w:rPr>
                <w:rFonts w:hint="eastAsia" w:ascii="宋体" w:hAnsi="宋体" w:eastAsia="宋体"/>
                <w:bCs/>
                <w:sz w:val="24"/>
                <w:szCs w:val="24"/>
                <w:highlight w:val="none"/>
              </w:rPr>
            </w:pPr>
            <w:r>
              <w:rPr>
                <w:rFonts w:hint="eastAsia" w:ascii="宋体" w:hAnsi="宋体" w:eastAsia="宋体"/>
                <w:b/>
                <w:bCs/>
                <w:sz w:val="24"/>
                <w:szCs w:val="24"/>
                <w:highlight w:val="none"/>
                <w:lang w:eastAsia="zh-CN"/>
              </w:rPr>
              <w:t>二</w:t>
            </w:r>
            <w:r>
              <w:rPr>
                <w:rFonts w:hint="eastAsia" w:ascii="宋体" w:hAnsi="宋体" w:eastAsia="宋体"/>
                <w:b/>
                <w:bCs/>
                <w:sz w:val="24"/>
                <w:szCs w:val="24"/>
                <w:highlight w:val="none"/>
              </w:rPr>
              <w:t>、机关事业单位基本养老保险基金收入</w:t>
            </w:r>
          </w:p>
        </w:tc>
        <w:tc>
          <w:tcPr>
            <w:tcW w:w="1571" w:type="dxa"/>
            <w:tcBorders>
              <w:top w:val="nil"/>
              <w:left w:val="nil"/>
              <w:bottom w:val="single" w:color="auto" w:sz="4" w:space="0"/>
              <w:right w:val="single" w:color="auto" w:sz="4" w:space="0"/>
            </w:tcBorders>
            <w:noWrap w:val="0"/>
            <w:vAlign w:val="bottom"/>
          </w:tcPr>
          <w:p w14:paraId="545344FA">
            <w:pPr>
              <w:spacing w:line="360" w:lineRule="auto"/>
              <w:jc w:val="center"/>
              <w:rPr>
                <w:rFonts w:hint="default" w:ascii="宋体" w:hAnsi="宋体" w:eastAsia="宋体"/>
                <w:sz w:val="24"/>
                <w:szCs w:val="24"/>
                <w:highlight w:val="none"/>
                <w:lang w:val="en-US"/>
              </w:rPr>
            </w:pPr>
            <w:r>
              <w:rPr>
                <w:rFonts w:hint="eastAsia" w:ascii="宋体" w:hAnsi="宋体" w:eastAsia="宋体"/>
                <w:b/>
                <w:sz w:val="24"/>
                <w:szCs w:val="24"/>
                <w:highlight w:val="none"/>
                <w:lang w:val="en-US" w:eastAsia="zh-CN"/>
              </w:rPr>
              <w:t>37009</w:t>
            </w:r>
          </w:p>
        </w:tc>
      </w:tr>
      <w:tr w14:paraId="2A678686">
        <w:tblPrEx>
          <w:tblCellMar>
            <w:top w:w="0" w:type="dxa"/>
            <w:left w:w="108" w:type="dxa"/>
            <w:bottom w:w="0" w:type="dxa"/>
            <w:right w:w="108" w:type="dxa"/>
          </w:tblCellMar>
        </w:tblPrEx>
        <w:trPr>
          <w:trHeight w:val="436" w:hRule="exact"/>
          <w:jc w:val="center"/>
        </w:trPr>
        <w:tc>
          <w:tcPr>
            <w:tcW w:w="1444" w:type="dxa"/>
            <w:tcBorders>
              <w:top w:val="nil"/>
              <w:left w:val="single" w:color="auto" w:sz="4" w:space="0"/>
              <w:bottom w:val="single" w:color="auto" w:sz="4" w:space="0"/>
              <w:right w:val="single" w:color="auto" w:sz="4" w:space="0"/>
            </w:tcBorders>
            <w:noWrap w:val="0"/>
            <w:vAlign w:val="bottom"/>
          </w:tcPr>
          <w:p w14:paraId="521A8016">
            <w:pPr>
              <w:spacing w:line="360" w:lineRule="auto"/>
              <w:jc w:val="left"/>
              <w:rPr>
                <w:rFonts w:hint="default" w:ascii="宋体" w:hAnsi="宋体" w:eastAsia="宋体"/>
                <w:b/>
                <w:bCs/>
                <w:sz w:val="24"/>
                <w:szCs w:val="24"/>
                <w:highlight w:val="none"/>
                <w:lang w:val="en-US" w:eastAsia="zh-CN"/>
              </w:rPr>
            </w:pPr>
            <w:r>
              <w:rPr>
                <w:rFonts w:hint="default" w:ascii="宋体" w:hAnsi="宋体" w:eastAsia="宋体"/>
                <w:sz w:val="24"/>
                <w:szCs w:val="24"/>
                <w:highlight w:val="none"/>
                <w:lang w:val="en-US"/>
              </w:rPr>
              <w:t>1021101</w:t>
            </w:r>
          </w:p>
        </w:tc>
        <w:tc>
          <w:tcPr>
            <w:tcW w:w="5647" w:type="dxa"/>
            <w:tcBorders>
              <w:top w:val="nil"/>
              <w:left w:val="single" w:color="auto" w:sz="4" w:space="0"/>
              <w:bottom w:val="single" w:color="auto" w:sz="4" w:space="0"/>
              <w:right w:val="single" w:color="auto" w:sz="4" w:space="0"/>
            </w:tcBorders>
            <w:noWrap w:val="0"/>
            <w:vAlign w:val="bottom"/>
          </w:tcPr>
          <w:p w14:paraId="6EE12ACD">
            <w:pPr>
              <w:spacing w:line="360" w:lineRule="auto"/>
              <w:jc w:val="left"/>
              <w:rPr>
                <w:rFonts w:ascii="宋体" w:hAnsi="宋体" w:eastAsia="宋体"/>
                <w:b/>
                <w:bCs/>
                <w:sz w:val="24"/>
                <w:szCs w:val="24"/>
                <w:highlight w:val="none"/>
              </w:rPr>
            </w:pPr>
            <w:r>
              <w:rPr>
                <w:rFonts w:hint="eastAsia" w:ascii="宋体" w:hAnsi="宋体" w:eastAsia="宋体"/>
                <w:sz w:val="24"/>
                <w:szCs w:val="24"/>
                <w:highlight w:val="none"/>
              </w:rPr>
              <w:t xml:space="preserve">    其中：保险费收入</w:t>
            </w:r>
          </w:p>
        </w:tc>
        <w:tc>
          <w:tcPr>
            <w:tcW w:w="1571" w:type="dxa"/>
            <w:tcBorders>
              <w:top w:val="nil"/>
              <w:left w:val="nil"/>
              <w:bottom w:val="single" w:color="auto" w:sz="4" w:space="0"/>
              <w:right w:val="single" w:color="auto" w:sz="4" w:space="0"/>
            </w:tcBorders>
            <w:noWrap w:val="0"/>
            <w:vAlign w:val="bottom"/>
          </w:tcPr>
          <w:p w14:paraId="39317C21">
            <w:pPr>
              <w:spacing w:line="360" w:lineRule="auto"/>
              <w:jc w:val="center"/>
              <w:rPr>
                <w:rFonts w:hint="default" w:ascii="宋体" w:hAnsi="宋体" w:eastAsia="宋体"/>
                <w:b/>
                <w:sz w:val="24"/>
                <w:szCs w:val="24"/>
                <w:highlight w:val="none"/>
                <w:lang w:val="en-US"/>
              </w:rPr>
            </w:pPr>
            <w:r>
              <w:rPr>
                <w:rFonts w:hint="eastAsia" w:ascii="宋体" w:hAnsi="宋体" w:eastAsia="宋体"/>
                <w:sz w:val="24"/>
                <w:szCs w:val="24"/>
                <w:highlight w:val="none"/>
                <w:lang w:val="en-US" w:eastAsia="zh-CN"/>
              </w:rPr>
              <w:t>26227</w:t>
            </w:r>
          </w:p>
        </w:tc>
      </w:tr>
      <w:tr w14:paraId="037865FE">
        <w:tblPrEx>
          <w:tblCellMar>
            <w:top w:w="0" w:type="dxa"/>
            <w:left w:w="108" w:type="dxa"/>
            <w:bottom w:w="0" w:type="dxa"/>
            <w:right w:w="108" w:type="dxa"/>
          </w:tblCellMar>
        </w:tblPrEx>
        <w:trPr>
          <w:trHeight w:val="436" w:hRule="exact"/>
          <w:jc w:val="center"/>
        </w:trPr>
        <w:tc>
          <w:tcPr>
            <w:tcW w:w="1444" w:type="dxa"/>
            <w:tcBorders>
              <w:top w:val="nil"/>
              <w:left w:val="single" w:color="auto" w:sz="4" w:space="0"/>
              <w:bottom w:val="single" w:color="auto" w:sz="4" w:space="0"/>
              <w:right w:val="single" w:color="auto" w:sz="4" w:space="0"/>
            </w:tcBorders>
            <w:noWrap w:val="0"/>
            <w:vAlign w:val="bottom"/>
          </w:tcPr>
          <w:p w14:paraId="56B11F1A">
            <w:pPr>
              <w:spacing w:line="360" w:lineRule="auto"/>
              <w:jc w:val="left"/>
              <w:rPr>
                <w:rFonts w:hint="default" w:ascii="宋体" w:hAnsi="宋体" w:eastAsia="宋体"/>
                <w:sz w:val="24"/>
                <w:szCs w:val="24"/>
                <w:highlight w:val="none"/>
                <w:lang w:val="en-US"/>
              </w:rPr>
            </w:pPr>
            <w:r>
              <w:rPr>
                <w:rFonts w:hint="default" w:ascii="宋体" w:hAnsi="宋体" w:eastAsia="宋体"/>
                <w:sz w:val="24"/>
                <w:szCs w:val="24"/>
                <w:highlight w:val="none"/>
                <w:lang w:val="en-US"/>
              </w:rPr>
              <w:t>1021102</w:t>
            </w:r>
          </w:p>
        </w:tc>
        <w:tc>
          <w:tcPr>
            <w:tcW w:w="5647" w:type="dxa"/>
            <w:tcBorders>
              <w:top w:val="nil"/>
              <w:left w:val="single" w:color="auto" w:sz="4" w:space="0"/>
              <w:bottom w:val="single" w:color="auto" w:sz="4" w:space="0"/>
              <w:right w:val="single" w:color="auto" w:sz="4" w:space="0"/>
            </w:tcBorders>
            <w:noWrap w:val="0"/>
            <w:vAlign w:val="bottom"/>
          </w:tcPr>
          <w:p w14:paraId="2ACEE41F">
            <w:pPr>
              <w:spacing w:line="360" w:lineRule="auto"/>
              <w:jc w:val="left"/>
              <w:rPr>
                <w:rFonts w:ascii="宋体" w:hAnsi="宋体" w:eastAsia="宋体"/>
                <w:sz w:val="24"/>
                <w:szCs w:val="24"/>
                <w:highlight w:val="none"/>
              </w:rPr>
            </w:pPr>
            <w:r>
              <w:rPr>
                <w:rFonts w:hint="eastAsia" w:ascii="宋体" w:hAnsi="宋体" w:eastAsia="宋体"/>
                <w:sz w:val="24"/>
                <w:szCs w:val="24"/>
                <w:highlight w:val="none"/>
              </w:rPr>
              <w:t xml:space="preserve">          财政补贴收入</w:t>
            </w:r>
          </w:p>
        </w:tc>
        <w:tc>
          <w:tcPr>
            <w:tcW w:w="1571" w:type="dxa"/>
            <w:tcBorders>
              <w:top w:val="nil"/>
              <w:left w:val="nil"/>
              <w:bottom w:val="single" w:color="auto" w:sz="4" w:space="0"/>
              <w:right w:val="single" w:color="auto" w:sz="4" w:space="0"/>
            </w:tcBorders>
            <w:noWrap w:val="0"/>
            <w:vAlign w:val="bottom"/>
          </w:tcPr>
          <w:p w14:paraId="50AF0495">
            <w:pPr>
              <w:spacing w:line="360" w:lineRule="auto"/>
              <w:jc w:val="center"/>
              <w:rPr>
                <w:rFonts w:hint="default" w:ascii="宋体" w:hAnsi="宋体" w:eastAsia="宋体"/>
                <w:sz w:val="24"/>
                <w:szCs w:val="24"/>
                <w:highlight w:val="none"/>
                <w:lang w:val="en-US"/>
              </w:rPr>
            </w:pPr>
            <w:r>
              <w:rPr>
                <w:rFonts w:hint="eastAsia" w:ascii="宋体" w:hAnsi="宋体" w:eastAsia="宋体"/>
                <w:sz w:val="24"/>
                <w:szCs w:val="24"/>
                <w:highlight w:val="none"/>
                <w:lang w:val="en-US" w:eastAsia="zh-CN"/>
              </w:rPr>
              <w:t>10069</w:t>
            </w:r>
          </w:p>
        </w:tc>
      </w:tr>
      <w:tr w14:paraId="3196AC27">
        <w:tblPrEx>
          <w:tblCellMar>
            <w:top w:w="0" w:type="dxa"/>
            <w:left w:w="108" w:type="dxa"/>
            <w:bottom w:w="0" w:type="dxa"/>
            <w:right w:w="108" w:type="dxa"/>
          </w:tblCellMar>
        </w:tblPrEx>
        <w:trPr>
          <w:trHeight w:val="436" w:hRule="exact"/>
          <w:jc w:val="center"/>
        </w:trPr>
        <w:tc>
          <w:tcPr>
            <w:tcW w:w="1444" w:type="dxa"/>
            <w:tcBorders>
              <w:top w:val="nil"/>
              <w:left w:val="single" w:color="auto" w:sz="4" w:space="0"/>
              <w:bottom w:val="single" w:color="auto" w:sz="4" w:space="0"/>
              <w:right w:val="single" w:color="auto" w:sz="4" w:space="0"/>
            </w:tcBorders>
            <w:noWrap w:val="0"/>
            <w:vAlign w:val="bottom"/>
          </w:tcPr>
          <w:p w14:paraId="75F92C59">
            <w:pPr>
              <w:spacing w:line="360" w:lineRule="auto"/>
              <w:jc w:val="left"/>
              <w:rPr>
                <w:rFonts w:hint="default" w:ascii="宋体" w:hAnsi="宋体" w:eastAsia="宋体"/>
                <w:sz w:val="24"/>
                <w:szCs w:val="24"/>
                <w:highlight w:val="none"/>
                <w:lang w:val="en-US"/>
              </w:rPr>
            </w:pPr>
            <w:r>
              <w:rPr>
                <w:rFonts w:hint="default" w:ascii="宋体" w:hAnsi="宋体" w:eastAsia="宋体"/>
                <w:sz w:val="24"/>
                <w:szCs w:val="24"/>
                <w:highlight w:val="none"/>
                <w:lang w:val="en-US"/>
              </w:rPr>
              <w:t>1021103</w:t>
            </w:r>
          </w:p>
        </w:tc>
        <w:tc>
          <w:tcPr>
            <w:tcW w:w="5647" w:type="dxa"/>
            <w:tcBorders>
              <w:top w:val="nil"/>
              <w:left w:val="single" w:color="auto" w:sz="4" w:space="0"/>
              <w:bottom w:val="single" w:color="auto" w:sz="4" w:space="0"/>
              <w:right w:val="single" w:color="auto" w:sz="4" w:space="0"/>
            </w:tcBorders>
            <w:noWrap w:val="0"/>
            <w:vAlign w:val="bottom"/>
          </w:tcPr>
          <w:p w14:paraId="547834C3">
            <w:pPr>
              <w:spacing w:line="360" w:lineRule="auto"/>
              <w:jc w:val="left"/>
              <w:rPr>
                <w:rFonts w:ascii="宋体" w:hAnsi="宋体" w:eastAsia="宋体"/>
                <w:sz w:val="24"/>
                <w:szCs w:val="24"/>
                <w:highlight w:val="none"/>
              </w:rPr>
            </w:pPr>
            <w:r>
              <w:rPr>
                <w:rFonts w:hint="eastAsia" w:ascii="宋体" w:hAnsi="宋体" w:eastAsia="宋体"/>
                <w:sz w:val="24"/>
                <w:szCs w:val="24"/>
                <w:highlight w:val="none"/>
              </w:rPr>
              <w:t xml:space="preserve">          利息收入</w:t>
            </w:r>
          </w:p>
        </w:tc>
        <w:tc>
          <w:tcPr>
            <w:tcW w:w="1571" w:type="dxa"/>
            <w:tcBorders>
              <w:top w:val="nil"/>
              <w:left w:val="nil"/>
              <w:bottom w:val="single" w:color="auto" w:sz="4" w:space="0"/>
              <w:right w:val="single" w:color="auto" w:sz="4" w:space="0"/>
            </w:tcBorders>
            <w:noWrap w:val="0"/>
            <w:vAlign w:val="bottom"/>
          </w:tcPr>
          <w:p w14:paraId="55E35ECC">
            <w:pPr>
              <w:spacing w:line="360" w:lineRule="auto"/>
              <w:jc w:val="center"/>
              <w:rPr>
                <w:rFonts w:hint="default" w:ascii="宋体" w:hAnsi="宋体" w:eastAsia="宋体"/>
                <w:sz w:val="24"/>
                <w:szCs w:val="24"/>
                <w:highlight w:val="none"/>
                <w:lang w:val="en-US"/>
              </w:rPr>
            </w:pPr>
            <w:r>
              <w:rPr>
                <w:rFonts w:hint="eastAsia" w:ascii="宋体" w:hAnsi="宋体" w:eastAsia="宋体"/>
                <w:sz w:val="24"/>
                <w:szCs w:val="24"/>
                <w:highlight w:val="none"/>
                <w:lang w:val="en-US" w:eastAsia="zh-CN"/>
              </w:rPr>
              <w:t>37</w:t>
            </w:r>
          </w:p>
        </w:tc>
      </w:tr>
      <w:tr w14:paraId="5756153E">
        <w:tblPrEx>
          <w:tblCellMar>
            <w:top w:w="0" w:type="dxa"/>
            <w:left w:w="108" w:type="dxa"/>
            <w:bottom w:w="0" w:type="dxa"/>
            <w:right w:w="108" w:type="dxa"/>
          </w:tblCellMar>
        </w:tblPrEx>
        <w:trPr>
          <w:trHeight w:val="436" w:hRule="exact"/>
          <w:jc w:val="center"/>
        </w:trPr>
        <w:tc>
          <w:tcPr>
            <w:tcW w:w="1444" w:type="dxa"/>
            <w:tcBorders>
              <w:top w:val="single" w:color="auto" w:sz="4" w:space="0"/>
              <w:left w:val="single" w:color="auto" w:sz="4" w:space="0"/>
              <w:bottom w:val="single" w:color="auto" w:sz="4" w:space="0"/>
              <w:right w:val="single" w:color="auto" w:sz="4" w:space="0"/>
            </w:tcBorders>
            <w:noWrap w:val="0"/>
            <w:vAlign w:val="bottom"/>
          </w:tcPr>
          <w:p w14:paraId="471BFBAC">
            <w:pPr>
              <w:spacing w:line="360" w:lineRule="auto"/>
              <w:rPr>
                <w:rFonts w:hint="default" w:ascii="宋体" w:hAnsi="宋体" w:eastAsia="宋体"/>
                <w:sz w:val="24"/>
                <w:szCs w:val="24"/>
                <w:highlight w:val="none"/>
                <w:lang w:val="en-US"/>
              </w:rPr>
            </w:pPr>
            <w:r>
              <w:rPr>
                <w:rFonts w:hint="default" w:ascii="宋体" w:hAnsi="宋体" w:eastAsia="宋体"/>
                <w:bCs/>
                <w:sz w:val="24"/>
                <w:szCs w:val="24"/>
                <w:highlight w:val="none"/>
                <w:lang w:val="en-US"/>
              </w:rPr>
              <w:t>1101605</w:t>
            </w:r>
          </w:p>
        </w:tc>
        <w:tc>
          <w:tcPr>
            <w:tcW w:w="5647" w:type="dxa"/>
            <w:tcBorders>
              <w:top w:val="single" w:color="auto" w:sz="4" w:space="0"/>
              <w:left w:val="single" w:color="auto" w:sz="4" w:space="0"/>
              <w:bottom w:val="single" w:color="auto" w:sz="4" w:space="0"/>
              <w:right w:val="single" w:color="auto" w:sz="4" w:space="0"/>
            </w:tcBorders>
            <w:noWrap w:val="0"/>
            <w:vAlign w:val="bottom"/>
          </w:tcPr>
          <w:p w14:paraId="0DAC1E69">
            <w:pPr>
              <w:spacing w:line="360" w:lineRule="auto"/>
              <w:ind w:firstLine="1200" w:firstLineChars="500"/>
              <w:rPr>
                <w:rFonts w:ascii="宋体" w:hAnsi="宋体" w:eastAsia="宋体"/>
                <w:sz w:val="24"/>
                <w:szCs w:val="24"/>
                <w:highlight w:val="none"/>
              </w:rPr>
            </w:pPr>
            <w:r>
              <w:rPr>
                <w:rFonts w:hint="eastAsia" w:ascii="宋体" w:hAnsi="宋体" w:eastAsia="宋体"/>
                <w:bCs/>
                <w:sz w:val="24"/>
                <w:szCs w:val="24"/>
                <w:highlight w:val="none"/>
              </w:rPr>
              <w:t>转移</w:t>
            </w:r>
            <w:r>
              <w:rPr>
                <w:rFonts w:ascii="宋体" w:hAnsi="宋体" w:eastAsia="宋体"/>
                <w:bCs/>
                <w:sz w:val="24"/>
                <w:szCs w:val="24"/>
                <w:highlight w:val="none"/>
              </w:rPr>
              <w:t>收入</w:t>
            </w:r>
          </w:p>
        </w:tc>
        <w:tc>
          <w:tcPr>
            <w:tcW w:w="1571" w:type="dxa"/>
            <w:tcBorders>
              <w:top w:val="single" w:color="auto" w:sz="4" w:space="0"/>
              <w:left w:val="nil"/>
              <w:bottom w:val="single" w:color="auto" w:sz="4" w:space="0"/>
              <w:right w:val="single" w:color="auto" w:sz="4" w:space="0"/>
            </w:tcBorders>
            <w:noWrap w:val="0"/>
            <w:vAlign w:val="bottom"/>
          </w:tcPr>
          <w:p w14:paraId="6A5885E6">
            <w:pPr>
              <w:spacing w:line="360" w:lineRule="auto"/>
              <w:jc w:val="center"/>
              <w:rPr>
                <w:rFonts w:hint="default" w:ascii="宋体" w:hAnsi="宋体" w:eastAsia="宋体"/>
                <w:sz w:val="24"/>
                <w:szCs w:val="24"/>
                <w:highlight w:val="none"/>
                <w:lang w:val="en-US"/>
              </w:rPr>
            </w:pPr>
            <w:r>
              <w:rPr>
                <w:rFonts w:hint="eastAsia" w:ascii="宋体" w:hAnsi="宋体" w:eastAsia="宋体"/>
                <w:sz w:val="24"/>
                <w:szCs w:val="24"/>
                <w:highlight w:val="none"/>
                <w:lang w:val="en-US" w:eastAsia="zh-CN"/>
              </w:rPr>
              <w:t>670</w:t>
            </w:r>
          </w:p>
        </w:tc>
      </w:tr>
      <w:tr w14:paraId="63251B3D">
        <w:tblPrEx>
          <w:tblCellMar>
            <w:top w:w="0" w:type="dxa"/>
            <w:left w:w="108" w:type="dxa"/>
            <w:bottom w:w="0" w:type="dxa"/>
            <w:right w:w="108" w:type="dxa"/>
          </w:tblCellMar>
        </w:tblPrEx>
        <w:trPr>
          <w:trHeight w:val="436" w:hRule="exact"/>
          <w:jc w:val="center"/>
        </w:trPr>
        <w:tc>
          <w:tcPr>
            <w:tcW w:w="1444" w:type="dxa"/>
            <w:tcBorders>
              <w:top w:val="single" w:color="auto" w:sz="4" w:space="0"/>
              <w:left w:val="single" w:color="auto" w:sz="4" w:space="0"/>
              <w:bottom w:val="single" w:color="auto" w:sz="4" w:space="0"/>
              <w:right w:val="single" w:color="auto" w:sz="4" w:space="0"/>
            </w:tcBorders>
            <w:noWrap w:val="0"/>
            <w:vAlign w:val="bottom"/>
          </w:tcPr>
          <w:p w14:paraId="405D3797">
            <w:pPr>
              <w:spacing w:line="360" w:lineRule="auto"/>
              <w:rPr>
                <w:rFonts w:hint="default" w:ascii="宋体" w:hAnsi="宋体" w:eastAsia="宋体"/>
                <w:bCs/>
                <w:sz w:val="24"/>
                <w:szCs w:val="24"/>
                <w:highlight w:val="none"/>
                <w:lang w:val="en-US"/>
              </w:rPr>
            </w:pPr>
            <w:r>
              <w:rPr>
                <w:rFonts w:hint="default" w:ascii="宋体" w:hAnsi="宋体" w:eastAsia="宋体"/>
                <w:bCs/>
                <w:sz w:val="24"/>
                <w:szCs w:val="24"/>
                <w:highlight w:val="none"/>
                <w:lang w:val="en-US"/>
              </w:rPr>
              <w:t>1021199</w:t>
            </w:r>
          </w:p>
        </w:tc>
        <w:tc>
          <w:tcPr>
            <w:tcW w:w="5647" w:type="dxa"/>
            <w:tcBorders>
              <w:top w:val="single" w:color="auto" w:sz="4" w:space="0"/>
              <w:left w:val="single" w:color="auto" w:sz="4" w:space="0"/>
              <w:bottom w:val="single" w:color="auto" w:sz="4" w:space="0"/>
              <w:right w:val="single" w:color="auto" w:sz="4" w:space="0"/>
            </w:tcBorders>
            <w:noWrap w:val="0"/>
            <w:vAlign w:val="bottom"/>
          </w:tcPr>
          <w:p w14:paraId="62BDC924">
            <w:pPr>
              <w:spacing w:line="360" w:lineRule="auto"/>
              <w:ind w:firstLine="1200" w:firstLineChars="500"/>
              <w:rPr>
                <w:rFonts w:hint="eastAsia" w:ascii="宋体" w:hAnsi="宋体" w:eastAsia="宋体"/>
                <w:bCs/>
                <w:sz w:val="24"/>
                <w:szCs w:val="24"/>
                <w:highlight w:val="none"/>
              </w:rPr>
            </w:pPr>
            <w:r>
              <w:rPr>
                <w:rFonts w:hint="eastAsia" w:ascii="宋体" w:hAnsi="宋体" w:eastAsia="宋体"/>
                <w:bCs/>
                <w:sz w:val="24"/>
                <w:szCs w:val="24"/>
                <w:highlight w:val="none"/>
              </w:rPr>
              <w:t>其他收入</w:t>
            </w:r>
          </w:p>
        </w:tc>
        <w:tc>
          <w:tcPr>
            <w:tcW w:w="1571" w:type="dxa"/>
            <w:tcBorders>
              <w:top w:val="single" w:color="auto" w:sz="4" w:space="0"/>
              <w:left w:val="nil"/>
              <w:bottom w:val="single" w:color="auto" w:sz="4" w:space="0"/>
              <w:right w:val="single" w:color="auto" w:sz="4" w:space="0"/>
            </w:tcBorders>
            <w:noWrap w:val="0"/>
            <w:vAlign w:val="bottom"/>
          </w:tcPr>
          <w:p w14:paraId="105054CE">
            <w:pPr>
              <w:spacing w:line="360" w:lineRule="auto"/>
              <w:jc w:val="center"/>
              <w:rPr>
                <w:rFonts w:hint="default" w:ascii="宋体" w:hAnsi="宋体" w:eastAsia="宋体"/>
                <w:sz w:val="24"/>
                <w:szCs w:val="24"/>
                <w:highlight w:val="none"/>
                <w:lang w:val="en-US"/>
              </w:rPr>
            </w:pPr>
            <w:r>
              <w:rPr>
                <w:rFonts w:hint="eastAsia" w:ascii="宋体" w:hAnsi="宋体" w:eastAsia="宋体"/>
                <w:sz w:val="24"/>
                <w:szCs w:val="24"/>
                <w:highlight w:val="none"/>
                <w:lang w:val="en-US" w:eastAsia="zh-CN"/>
              </w:rPr>
              <w:t>6</w:t>
            </w:r>
          </w:p>
        </w:tc>
      </w:tr>
      <w:tr w14:paraId="208A6808">
        <w:tblPrEx>
          <w:tblCellMar>
            <w:top w:w="0" w:type="dxa"/>
            <w:left w:w="108" w:type="dxa"/>
            <w:bottom w:w="0" w:type="dxa"/>
            <w:right w:w="108" w:type="dxa"/>
          </w:tblCellMar>
        </w:tblPrEx>
        <w:trPr>
          <w:trHeight w:val="436" w:hRule="exact"/>
          <w:jc w:val="center"/>
        </w:trPr>
        <w:tc>
          <w:tcPr>
            <w:tcW w:w="1444" w:type="dxa"/>
            <w:tcBorders>
              <w:top w:val="single" w:color="auto" w:sz="4" w:space="0"/>
              <w:left w:val="single" w:color="auto" w:sz="4" w:space="0"/>
              <w:bottom w:val="single" w:color="auto" w:sz="4" w:space="0"/>
              <w:right w:val="single" w:color="auto" w:sz="4" w:space="0"/>
            </w:tcBorders>
            <w:noWrap w:val="0"/>
            <w:vAlign w:val="bottom"/>
          </w:tcPr>
          <w:p w14:paraId="09633B21">
            <w:pPr>
              <w:widowControl/>
              <w:spacing w:line="360" w:lineRule="auto"/>
              <w:jc w:val="left"/>
              <w:rPr>
                <w:rFonts w:hint="default" w:ascii="宋体" w:hAnsi="宋体" w:eastAsia="宋体"/>
                <w:bCs/>
                <w:sz w:val="24"/>
                <w:szCs w:val="24"/>
                <w:highlight w:val="none"/>
                <w:lang w:val="en-US"/>
              </w:rPr>
            </w:pPr>
            <w:r>
              <w:rPr>
                <w:rFonts w:hint="default" w:ascii="宋体" w:hAnsi="宋体" w:eastAsia="宋体"/>
                <w:b/>
                <w:bCs/>
                <w:color w:val="000000"/>
                <w:sz w:val="24"/>
                <w:szCs w:val="24"/>
                <w:highlight w:val="none"/>
                <w:lang w:val="en-US"/>
              </w:rPr>
              <w:t>102</w:t>
            </w:r>
          </w:p>
        </w:tc>
        <w:tc>
          <w:tcPr>
            <w:tcW w:w="5647" w:type="dxa"/>
            <w:tcBorders>
              <w:top w:val="single" w:color="auto" w:sz="4" w:space="0"/>
              <w:left w:val="single" w:color="auto" w:sz="4" w:space="0"/>
              <w:bottom w:val="single" w:color="auto" w:sz="4" w:space="0"/>
              <w:right w:val="single" w:color="auto" w:sz="4" w:space="0"/>
            </w:tcBorders>
            <w:noWrap w:val="0"/>
            <w:vAlign w:val="bottom"/>
          </w:tcPr>
          <w:p w14:paraId="37CA0FAE">
            <w:pPr>
              <w:widowControl/>
              <w:spacing w:line="360" w:lineRule="auto"/>
              <w:jc w:val="left"/>
              <w:rPr>
                <w:rFonts w:hint="eastAsia" w:ascii="宋体" w:hAnsi="宋体" w:eastAsia="宋体"/>
                <w:b/>
                <w:bCs/>
                <w:sz w:val="24"/>
                <w:szCs w:val="24"/>
                <w:highlight w:val="none"/>
              </w:rPr>
            </w:pPr>
            <w:r>
              <w:rPr>
                <w:rFonts w:hint="eastAsia" w:ascii="宋体" w:hAnsi="宋体" w:eastAsia="宋体"/>
                <w:b/>
                <w:bCs/>
                <w:color w:val="000000"/>
                <w:sz w:val="24"/>
                <w:szCs w:val="24"/>
                <w:highlight w:val="none"/>
              </w:rPr>
              <w:t>社会保险基金收入合计</w:t>
            </w:r>
          </w:p>
        </w:tc>
        <w:tc>
          <w:tcPr>
            <w:tcW w:w="1571" w:type="dxa"/>
            <w:tcBorders>
              <w:top w:val="single" w:color="auto" w:sz="4" w:space="0"/>
              <w:left w:val="nil"/>
              <w:bottom w:val="single" w:color="auto" w:sz="4" w:space="0"/>
              <w:right w:val="single" w:color="auto" w:sz="4" w:space="0"/>
            </w:tcBorders>
            <w:noWrap w:val="0"/>
            <w:vAlign w:val="bottom"/>
          </w:tcPr>
          <w:p w14:paraId="6A497BFE">
            <w:pPr>
              <w:spacing w:line="360" w:lineRule="auto"/>
              <w:jc w:val="center"/>
              <w:rPr>
                <w:rFonts w:hint="default" w:ascii="宋体" w:hAnsi="宋体" w:eastAsia="宋体"/>
                <w:sz w:val="24"/>
                <w:szCs w:val="24"/>
                <w:highlight w:val="none"/>
                <w:lang w:val="en-US"/>
              </w:rPr>
            </w:pPr>
            <w:r>
              <w:rPr>
                <w:rFonts w:hint="eastAsia" w:ascii="宋体" w:hAnsi="宋体" w:eastAsia="宋体"/>
                <w:b/>
                <w:color w:val="000000"/>
                <w:sz w:val="24"/>
                <w:szCs w:val="24"/>
                <w:highlight w:val="none"/>
                <w:lang w:val="en-US" w:eastAsia="zh-CN"/>
              </w:rPr>
              <w:t>66003</w:t>
            </w:r>
          </w:p>
        </w:tc>
      </w:tr>
      <w:tr w14:paraId="5B8A8A53">
        <w:tblPrEx>
          <w:tblCellMar>
            <w:top w:w="0" w:type="dxa"/>
            <w:left w:w="108" w:type="dxa"/>
            <w:bottom w:w="0" w:type="dxa"/>
            <w:right w:w="108" w:type="dxa"/>
          </w:tblCellMar>
        </w:tblPrEx>
        <w:trPr>
          <w:trHeight w:val="456" w:hRule="exact"/>
          <w:jc w:val="center"/>
        </w:trPr>
        <w:tc>
          <w:tcPr>
            <w:tcW w:w="1444" w:type="dxa"/>
            <w:tcBorders>
              <w:top w:val="single" w:color="auto" w:sz="4" w:space="0"/>
              <w:left w:val="single" w:color="auto" w:sz="4" w:space="0"/>
              <w:bottom w:val="single" w:color="auto" w:sz="4" w:space="0"/>
              <w:right w:val="single" w:color="auto" w:sz="4" w:space="0"/>
            </w:tcBorders>
            <w:noWrap w:val="0"/>
            <w:vAlign w:val="bottom"/>
          </w:tcPr>
          <w:p w14:paraId="3D729B95">
            <w:pPr>
              <w:spacing w:line="360" w:lineRule="auto"/>
              <w:jc w:val="left"/>
              <w:rPr>
                <w:rFonts w:hint="default" w:ascii="宋体" w:hAnsi="宋体" w:eastAsia="宋体"/>
                <w:bCs/>
                <w:sz w:val="24"/>
                <w:szCs w:val="24"/>
                <w:highlight w:val="none"/>
                <w:lang w:val="en-US"/>
              </w:rPr>
            </w:pPr>
          </w:p>
        </w:tc>
        <w:tc>
          <w:tcPr>
            <w:tcW w:w="5647" w:type="dxa"/>
            <w:tcBorders>
              <w:top w:val="single" w:color="auto" w:sz="4" w:space="0"/>
              <w:left w:val="single" w:color="auto" w:sz="4" w:space="0"/>
              <w:bottom w:val="single" w:color="auto" w:sz="4" w:space="0"/>
              <w:right w:val="single" w:color="auto" w:sz="4" w:space="0"/>
            </w:tcBorders>
            <w:noWrap w:val="0"/>
            <w:vAlign w:val="bottom"/>
          </w:tcPr>
          <w:p w14:paraId="14E4C960">
            <w:pPr>
              <w:spacing w:line="360" w:lineRule="auto"/>
              <w:jc w:val="left"/>
              <w:rPr>
                <w:rFonts w:hint="eastAsia" w:ascii="宋体" w:hAnsi="宋体" w:eastAsia="宋体"/>
                <w:bCs/>
                <w:sz w:val="24"/>
                <w:szCs w:val="24"/>
                <w:highlight w:val="none"/>
              </w:rPr>
            </w:pPr>
            <w:r>
              <w:rPr>
                <w:rFonts w:hint="eastAsia" w:ascii="宋体" w:hAnsi="宋体" w:eastAsia="宋体"/>
                <w:sz w:val="24"/>
                <w:szCs w:val="24"/>
                <w:highlight w:val="none"/>
              </w:rPr>
              <w:t xml:space="preserve">    其中：保险费收入</w:t>
            </w:r>
          </w:p>
        </w:tc>
        <w:tc>
          <w:tcPr>
            <w:tcW w:w="1571" w:type="dxa"/>
            <w:tcBorders>
              <w:top w:val="single" w:color="auto" w:sz="4" w:space="0"/>
              <w:left w:val="nil"/>
              <w:bottom w:val="single" w:color="auto" w:sz="4" w:space="0"/>
              <w:right w:val="single" w:color="auto" w:sz="4" w:space="0"/>
            </w:tcBorders>
            <w:noWrap w:val="0"/>
            <w:vAlign w:val="bottom"/>
          </w:tcPr>
          <w:p w14:paraId="258FF6D5">
            <w:pPr>
              <w:spacing w:line="360" w:lineRule="auto"/>
              <w:jc w:val="center"/>
              <w:rPr>
                <w:rFonts w:hint="default" w:ascii="宋体" w:hAnsi="宋体" w:eastAsia="宋体"/>
                <w:sz w:val="24"/>
                <w:szCs w:val="24"/>
                <w:highlight w:val="none"/>
                <w:lang w:val="en-US"/>
              </w:rPr>
            </w:pPr>
            <w:r>
              <w:rPr>
                <w:rFonts w:hint="eastAsia" w:ascii="宋体" w:hAnsi="宋体" w:eastAsia="宋体"/>
                <w:sz w:val="24"/>
                <w:szCs w:val="24"/>
                <w:highlight w:val="none"/>
                <w:lang w:val="en-US" w:eastAsia="zh-CN"/>
              </w:rPr>
              <w:t>31823</w:t>
            </w:r>
          </w:p>
        </w:tc>
      </w:tr>
    </w:tbl>
    <w:p w14:paraId="646C274C">
      <w:pPr>
        <w:pStyle w:val="2"/>
        <w:ind w:left="0" w:leftChars="0" w:firstLine="0" w:firstLineChars="0"/>
        <w:rPr>
          <w:highlight w:val="none"/>
        </w:rPr>
      </w:pPr>
    </w:p>
    <w:p w14:paraId="3E695BEB">
      <w:pPr>
        <w:pBdr>
          <w:bottom w:val="single" w:color="FFFFFF" w:sz="4" w:space="31"/>
        </w:pBdr>
        <w:autoSpaceDE w:val="0"/>
        <w:adjustRightInd w:val="0"/>
        <w:snapToGrid w:val="0"/>
        <w:spacing w:line="600" w:lineRule="exact"/>
        <w:jc w:val="center"/>
        <w:rPr>
          <w:rFonts w:hint="eastAsia" w:ascii="仿宋" w:hAnsi="仿宋" w:eastAsia="仿宋" w:cs="宋体"/>
          <w:b/>
          <w:spacing w:val="-4"/>
          <w:kern w:val="0"/>
          <w:sz w:val="32"/>
          <w:szCs w:val="32"/>
          <w:highlight w:val="none"/>
        </w:rPr>
      </w:pPr>
      <w:r>
        <w:rPr>
          <w:rFonts w:hint="eastAsia" w:ascii="仿宋" w:hAnsi="仿宋" w:eastAsia="仿宋" w:cs="宋体"/>
          <w:b/>
          <w:spacing w:val="-4"/>
          <w:kern w:val="0"/>
          <w:sz w:val="32"/>
          <w:szCs w:val="32"/>
          <w:highlight w:val="none"/>
        </w:rPr>
        <w:t>2024年社会保险基金支出情况表</w:t>
      </w:r>
    </w:p>
    <w:tbl>
      <w:tblPr>
        <w:tblStyle w:val="12"/>
        <w:tblW w:w="8138" w:type="dxa"/>
        <w:jc w:val="center"/>
        <w:tblLayout w:type="fixed"/>
        <w:tblCellMar>
          <w:top w:w="0" w:type="dxa"/>
          <w:left w:w="108" w:type="dxa"/>
          <w:bottom w:w="0" w:type="dxa"/>
          <w:right w:w="108" w:type="dxa"/>
        </w:tblCellMar>
      </w:tblPr>
      <w:tblGrid>
        <w:gridCol w:w="1339"/>
        <w:gridCol w:w="5198"/>
        <w:gridCol w:w="1601"/>
      </w:tblGrid>
      <w:tr w14:paraId="6C0520E1">
        <w:tblPrEx>
          <w:tblCellMar>
            <w:top w:w="0" w:type="dxa"/>
            <w:left w:w="108" w:type="dxa"/>
            <w:bottom w:w="0" w:type="dxa"/>
            <w:right w:w="108" w:type="dxa"/>
          </w:tblCellMar>
        </w:tblPrEx>
        <w:trPr>
          <w:trHeight w:val="429" w:hRule="atLeast"/>
          <w:jc w:val="center"/>
        </w:trPr>
        <w:tc>
          <w:tcPr>
            <w:tcW w:w="1339" w:type="dxa"/>
            <w:tcBorders>
              <w:top w:val="nil"/>
              <w:left w:val="nil"/>
              <w:bottom w:val="nil"/>
              <w:right w:val="nil"/>
            </w:tcBorders>
            <w:noWrap/>
            <w:vAlign w:val="center"/>
          </w:tcPr>
          <w:p w14:paraId="34F5977D">
            <w:pPr>
              <w:widowControl/>
              <w:spacing w:line="240" w:lineRule="auto"/>
              <w:jc w:val="left"/>
              <w:rPr>
                <w:rFonts w:ascii="宋体" w:hAnsi="宋体" w:eastAsia="宋体" w:cs="宋体"/>
                <w:kern w:val="0"/>
                <w:sz w:val="24"/>
                <w:szCs w:val="24"/>
                <w:highlight w:val="none"/>
              </w:rPr>
            </w:pPr>
          </w:p>
        </w:tc>
        <w:tc>
          <w:tcPr>
            <w:tcW w:w="5198" w:type="dxa"/>
            <w:tcBorders>
              <w:top w:val="nil"/>
              <w:left w:val="nil"/>
              <w:bottom w:val="nil"/>
              <w:right w:val="nil"/>
            </w:tcBorders>
            <w:noWrap/>
            <w:vAlign w:val="center"/>
          </w:tcPr>
          <w:p w14:paraId="780E526A">
            <w:pPr>
              <w:widowControl/>
              <w:spacing w:line="240" w:lineRule="auto"/>
              <w:jc w:val="left"/>
              <w:rPr>
                <w:rFonts w:ascii="宋体" w:hAnsi="宋体" w:eastAsia="宋体" w:cs="宋体"/>
                <w:kern w:val="0"/>
                <w:sz w:val="24"/>
                <w:szCs w:val="24"/>
                <w:highlight w:val="none"/>
              </w:rPr>
            </w:pPr>
          </w:p>
        </w:tc>
        <w:tc>
          <w:tcPr>
            <w:tcW w:w="1601" w:type="dxa"/>
            <w:tcBorders>
              <w:top w:val="nil"/>
              <w:left w:val="nil"/>
              <w:bottom w:val="nil"/>
              <w:right w:val="nil"/>
            </w:tcBorders>
            <w:noWrap/>
            <w:vAlign w:val="center"/>
          </w:tcPr>
          <w:p w14:paraId="14B66B35">
            <w:pPr>
              <w:widowControl/>
              <w:spacing w:line="240" w:lineRule="auto"/>
              <w:jc w:val="right"/>
              <w:rPr>
                <w:rFonts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单位：万元</w:t>
            </w:r>
          </w:p>
        </w:tc>
      </w:tr>
      <w:tr w14:paraId="242DCA7F">
        <w:tblPrEx>
          <w:tblCellMar>
            <w:top w:w="0" w:type="dxa"/>
            <w:left w:w="108" w:type="dxa"/>
            <w:bottom w:w="0" w:type="dxa"/>
            <w:right w:w="108" w:type="dxa"/>
          </w:tblCellMar>
        </w:tblPrEx>
        <w:trPr>
          <w:trHeight w:val="663" w:hRule="exact"/>
          <w:jc w:val="center"/>
        </w:trPr>
        <w:tc>
          <w:tcPr>
            <w:tcW w:w="1339" w:type="dxa"/>
            <w:tcBorders>
              <w:top w:val="single" w:color="auto" w:sz="4" w:space="0"/>
              <w:left w:val="single" w:color="auto" w:sz="4" w:space="0"/>
              <w:bottom w:val="single" w:color="auto" w:sz="4" w:space="0"/>
              <w:right w:val="single" w:color="auto" w:sz="4" w:space="0"/>
            </w:tcBorders>
            <w:noWrap w:val="0"/>
            <w:vAlign w:val="center"/>
          </w:tcPr>
          <w:p w14:paraId="08F6020E">
            <w:pPr>
              <w:widowControl/>
              <w:spacing w:line="240" w:lineRule="auto"/>
              <w:jc w:val="center"/>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lang w:eastAsia="zh-CN"/>
              </w:rPr>
              <w:t>科目编码</w:t>
            </w:r>
          </w:p>
        </w:tc>
        <w:tc>
          <w:tcPr>
            <w:tcW w:w="5198" w:type="dxa"/>
            <w:tcBorders>
              <w:top w:val="single" w:color="auto" w:sz="4" w:space="0"/>
              <w:left w:val="single" w:color="auto" w:sz="4" w:space="0"/>
              <w:bottom w:val="single" w:color="auto" w:sz="4" w:space="0"/>
              <w:right w:val="single" w:color="auto" w:sz="4" w:space="0"/>
            </w:tcBorders>
            <w:noWrap w:val="0"/>
            <w:vAlign w:val="center"/>
          </w:tcPr>
          <w:p w14:paraId="06BE2E41">
            <w:pPr>
              <w:widowControl/>
              <w:spacing w:line="240" w:lineRule="auto"/>
              <w:jc w:val="center"/>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项  目</w:t>
            </w:r>
          </w:p>
        </w:tc>
        <w:tc>
          <w:tcPr>
            <w:tcW w:w="1601" w:type="dxa"/>
            <w:tcBorders>
              <w:top w:val="single" w:color="auto" w:sz="4" w:space="0"/>
              <w:left w:val="nil"/>
              <w:bottom w:val="single" w:color="auto" w:sz="4" w:space="0"/>
              <w:right w:val="single" w:color="auto" w:sz="4" w:space="0"/>
            </w:tcBorders>
            <w:noWrap w:val="0"/>
            <w:vAlign w:val="center"/>
          </w:tcPr>
          <w:p w14:paraId="3C0D0D93">
            <w:pPr>
              <w:widowControl/>
              <w:spacing w:line="240" w:lineRule="auto"/>
              <w:jc w:val="center"/>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预算数</w:t>
            </w:r>
          </w:p>
        </w:tc>
      </w:tr>
      <w:tr w14:paraId="46BED197">
        <w:tblPrEx>
          <w:tblCellMar>
            <w:top w:w="0" w:type="dxa"/>
            <w:left w:w="108" w:type="dxa"/>
            <w:bottom w:w="0" w:type="dxa"/>
            <w:right w:w="108" w:type="dxa"/>
          </w:tblCellMar>
        </w:tblPrEx>
        <w:trPr>
          <w:trHeight w:val="663" w:hRule="exact"/>
          <w:jc w:val="center"/>
        </w:trPr>
        <w:tc>
          <w:tcPr>
            <w:tcW w:w="1339" w:type="dxa"/>
            <w:tcBorders>
              <w:top w:val="nil"/>
              <w:left w:val="single" w:color="auto" w:sz="4" w:space="0"/>
              <w:bottom w:val="single" w:color="auto" w:sz="4" w:space="0"/>
              <w:right w:val="single" w:color="auto" w:sz="4" w:space="0"/>
            </w:tcBorders>
            <w:noWrap w:val="0"/>
            <w:vAlign w:val="center"/>
          </w:tcPr>
          <w:p w14:paraId="639A695C">
            <w:pPr>
              <w:widowControl/>
              <w:spacing w:line="240" w:lineRule="auto"/>
              <w:jc w:val="left"/>
              <w:rPr>
                <w:rFonts w:hint="default" w:ascii="宋体" w:hAnsi="宋体" w:eastAsia="宋体"/>
                <w:b/>
                <w:bCs/>
                <w:color w:val="000000"/>
                <w:sz w:val="24"/>
                <w:szCs w:val="24"/>
                <w:highlight w:val="none"/>
                <w:lang w:val="en-US"/>
              </w:rPr>
            </w:pPr>
            <w:r>
              <w:rPr>
                <w:rFonts w:hint="default" w:ascii="宋体" w:hAnsi="宋体" w:eastAsia="宋体"/>
                <w:b/>
                <w:bCs/>
                <w:color w:val="000000"/>
                <w:sz w:val="24"/>
                <w:szCs w:val="24"/>
                <w:highlight w:val="none"/>
                <w:lang w:val="en-US"/>
              </w:rPr>
              <w:t>209</w:t>
            </w:r>
          </w:p>
        </w:tc>
        <w:tc>
          <w:tcPr>
            <w:tcW w:w="5198" w:type="dxa"/>
            <w:tcBorders>
              <w:top w:val="nil"/>
              <w:left w:val="single" w:color="auto" w:sz="4" w:space="0"/>
              <w:bottom w:val="single" w:color="auto" w:sz="4" w:space="0"/>
              <w:right w:val="single" w:color="auto" w:sz="4" w:space="0"/>
            </w:tcBorders>
            <w:noWrap w:val="0"/>
            <w:vAlign w:val="center"/>
          </w:tcPr>
          <w:p w14:paraId="0E87EB92">
            <w:pPr>
              <w:widowControl/>
              <w:spacing w:line="240" w:lineRule="auto"/>
              <w:jc w:val="left"/>
              <w:rPr>
                <w:rFonts w:ascii="宋体" w:hAnsi="宋体" w:eastAsia="宋体"/>
                <w:b/>
                <w:bCs/>
                <w:color w:val="000000"/>
                <w:kern w:val="0"/>
                <w:sz w:val="24"/>
                <w:szCs w:val="24"/>
                <w:highlight w:val="none"/>
              </w:rPr>
            </w:pPr>
            <w:r>
              <w:rPr>
                <w:rFonts w:hint="eastAsia" w:ascii="宋体" w:hAnsi="宋体" w:eastAsia="宋体"/>
                <w:b/>
                <w:bCs/>
                <w:color w:val="000000"/>
                <w:sz w:val="24"/>
                <w:szCs w:val="24"/>
                <w:highlight w:val="none"/>
              </w:rPr>
              <w:t>全区社会保险基金支出合计</w:t>
            </w:r>
          </w:p>
        </w:tc>
        <w:tc>
          <w:tcPr>
            <w:tcW w:w="1601" w:type="dxa"/>
            <w:tcBorders>
              <w:top w:val="nil"/>
              <w:left w:val="nil"/>
              <w:bottom w:val="single" w:color="auto" w:sz="4" w:space="0"/>
              <w:right w:val="single" w:color="auto" w:sz="4" w:space="0"/>
            </w:tcBorders>
            <w:noWrap w:val="0"/>
            <w:vAlign w:val="center"/>
          </w:tcPr>
          <w:p w14:paraId="052E8E22">
            <w:pPr>
              <w:spacing w:line="240" w:lineRule="exact"/>
              <w:jc w:val="center"/>
              <w:rPr>
                <w:rFonts w:hint="default" w:ascii="宋体" w:hAnsi="宋体" w:eastAsia="宋体"/>
                <w:b/>
                <w:bCs/>
                <w:color w:val="000000"/>
                <w:sz w:val="24"/>
                <w:szCs w:val="24"/>
                <w:highlight w:val="none"/>
                <w:lang w:val="en-US"/>
              </w:rPr>
            </w:pPr>
            <w:r>
              <w:rPr>
                <w:rFonts w:hint="eastAsia" w:ascii="宋体" w:hAnsi="宋体" w:eastAsia="宋体"/>
                <w:b/>
                <w:bCs/>
                <w:color w:val="000000"/>
                <w:sz w:val="24"/>
                <w:szCs w:val="24"/>
                <w:highlight w:val="none"/>
                <w:lang w:val="en-US" w:eastAsia="zh-CN"/>
              </w:rPr>
              <w:t>61675</w:t>
            </w:r>
          </w:p>
        </w:tc>
      </w:tr>
      <w:tr w14:paraId="0BE9E4B4">
        <w:tblPrEx>
          <w:tblCellMar>
            <w:top w:w="0" w:type="dxa"/>
            <w:left w:w="108" w:type="dxa"/>
            <w:bottom w:w="0" w:type="dxa"/>
            <w:right w:w="108" w:type="dxa"/>
          </w:tblCellMar>
        </w:tblPrEx>
        <w:trPr>
          <w:trHeight w:val="663" w:hRule="exact"/>
          <w:jc w:val="center"/>
        </w:trPr>
        <w:tc>
          <w:tcPr>
            <w:tcW w:w="1339" w:type="dxa"/>
            <w:tcBorders>
              <w:top w:val="nil"/>
              <w:left w:val="single" w:color="auto" w:sz="4" w:space="0"/>
              <w:bottom w:val="single" w:color="auto" w:sz="4" w:space="0"/>
              <w:right w:val="single" w:color="auto" w:sz="4" w:space="0"/>
            </w:tcBorders>
            <w:noWrap w:val="0"/>
            <w:vAlign w:val="center"/>
          </w:tcPr>
          <w:p w14:paraId="4ECBE324">
            <w:pPr>
              <w:spacing w:line="240" w:lineRule="exact"/>
              <w:jc w:val="left"/>
              <w:rPr>
                <w:rFonts w:hint="eastAsia" w:ascii="宋体" w:hAnsi="宋体" w:eastAsia="宋体"/>
                <w:color w:val="000000"/>
                <w:sz w:val="24"/>
                <w:szCs w:val="24"/>
                <w:highlight w:val="none"/>
              </w:rPr>
            </w:pPr>
          </w:p>
        </w:tc>
        <w:tc>
          <w:tcPr>
            <w:tcW w:w="5198" w:type="dxa"/>
            <w:tcBorders>
              <w:top w:val="nil"/>
              <w:left w:val="single" w:color="auto" w:sz="4" w:space="0"/>
              <w:bottom w:val="single" w:color="auto" w:sz="4" w:space="0"/>
              <w:right w:val="single" w:color="auto" w:sz="4" w:space="0"/>
            </w:tcBorders>
            <w:noWrap w:val="0"/>
            <w:vAlign w:val="center"/>
          </w:tcPr>
          <w:p w14:paraId="2C9B53E8">
            <w:pPr>
              <w:spacing w:line="240" w:lineRule="exact"/>
              <w:jc w:val="left"/>
              <w:rPr>
                <w:rFonts w:ascii="宋体" w:hAnsi="宋体" w:eastAsia="宋体"/>
                <w:color w:val="000000"/>
                <w:sz w:val="24"/>
                <w:szCs w:val="24"/>
                <w:highlight w:val="none"/>
              </w:rPr>
            </w:pPr>
            <w:r>
              <w:rPr>
                <w:rFonts w:hint="eastAsia" w:ascii="宋体" w:hAnsi="宋体" w:eastAsia="宋体"/>
                <w:color w:val="000000"/>
                <w:sz w:val="24"/>
                <w:szCs w:val="24"/>
                <w:highlight w:val="none"/>
              </w:rPr>
              <w:t>其中：社会保险待遇支出</w:t>
            </w:r>
          </w:p>
        </w:tc>
        <w:tc>
          <w:tcPr>
            <w:tcW w:w="1601" w:type="dxa"/>
            <w:tcBorders>
              <w:top w:val="nil"/>
              <w:left w:val="nil"/>
              <w:bottom w:val="single" w:color="auto" w:sz="4" w:space="0"/>
              <w:right w:val="single" w:color="auto" w:sz="4" w:space="0"/>
            </w:tcBorders>
            <w:noWrap w:val="0"/>
            <w:vAlign w:val="center"/>
          </w:tcPr>
          <w:p w14:paraId="1A855FE9">
            <w:pPr>
              <w:spacing w:line="240" w:lineRule="exact"/>
              <w:jc w:val="center"/>
              <w:rPr>
                <w:rFonts w:hint="default" w:ascii="宋体" w:hAnsi="宋体" w:eastAsia="宋体"/>
                <w:color w:val="000000"/>
                <w:sz w:val="24"/>
                <w:szCs w:val="24"/>
                <w:highlight w:val="none"/>
                <w:lang w:val="en-US"/>
              </w:rPr>
            </w:pPr>
            <w:r>
              <w:rPr>
                <w:rFonts w:hint="eastAsia" w:ascii="宋体" w:hAnsi="宋体" w:eastAsia="宋体"/>
                <w:color w:val="000000"/>
                <w:sz w:val="24"/>
                <w:szCs w:val="24"/>
                <w:highlight w:val="none"/>
                <w:lang w:val="en-US" w:eastAsia="zh-CN"/>
              </w:rPr>
              <w:t>61559</w:t>
            </w:r>
          </w:p>
        </w:tc>
      </w:tr>
      <w:tr w14:paraId="0868E989">
        <w:tblPrEx>
          <w:tblCellMar>
            <w:top w:w="0" w:type="dxa"/>
            <w:left w:w="108" w:type="dxa"/>
            <w:bottom w:w="0" w:type="dxa"/>
            <w:right w:w="108" w:type="dxa"/>
          </w:tblCellMar>
        </w:tblPrEx>
        <w:trPr>
          <w:trHeight w:val="663" w:hRule="exact"/>
          <w:jc w:val="center"/>
        </w:trPr>
        <w:tc>
          <w:tcPr>
            <w:tcW w:w="1339" w:type="dxa"/>
            <w:tcBorders>
              <w:top w:val="nil"/>
              <w:left w:val="single" w:color="auto" w:sz="4" w:space="0"/>
              <w:bottom w:val="single" w:color="auto" w:sz="4" w:space="0"/>
              <w:right w:val="single" w:color="auto" w:sz="4" w:space="0"/>
            </w:tcBorders>
            <w:noWrap w:val="0"/>
            <w:vAlign w:val="center"/>
          </w:tcPr>
          <w:p w14:paraId="39EC09B3">
            <w:pPr>
              <w:spacing w:line="240" w:lineRule="exact"/>
              <w:jc w:val="left"/>
              <w:rPr>
                <w:rFonts w:hint="eastAsia" w:ascii="宋体" w:hAnsi="宋体" w:eastAsia="宋体"/>
                <w:color w:val="000000"/>
                <w:sz w:val="24"/>
                <w:szCs w:val="24"/>
                <w:highlight w:val="none"/>
              </w:rPr>
            </w:pPr>
          </w:p>
        </w:tc>
        <w:tc>
          <w:tcPr>
            <w:tcW w:w="5198" w:type="dxa"/>
            <w:tcBorders>
              <w:top w:val="nil"/>
              <w:left w:val="single" w:color="auto" w:sz="4" w:space="0"/>
              <w:bottom w:val="single" w:color="auto" w:sz="4" w:space="0"/>
              <w:right w:val="single" w:color="auto" w:sz="4" w:space="0"/>
            </w:tcBorders>
            <w:noWrap w:val="0"/>
            <w:vAlign w:val="center"/>
          </w:tcPr>
          <w:p w14:paraId="16CA6BC5">
            <w:pPr>
              <w:spacing w:line="240" w:lineRule="exact"/>
              <w:ind w:firstLine="720" w:firstLineChars="300"/>
              <w:jc w:val="left"/>
              <w:rPr>
                <w:rFonts w:ascii="宋体" w:hAnsi="宋体" w:eastAsia="宋体"/>
                <w:color w:val="000000"/>
                <w:sz w:val="24"/>
                <w:szCs w:val="24"/>
                <w:highlight w:val="none"/>
              </w:rPr>
            </w:pPr>
            <w:r>
              <w:rPr>
                <w:rFonts w:hint="eastAsia" w:ascii="宋体" w:hAnsi="宋体" w:eastAsia="宋体"/>
                <w:color w:val="000000"/>
                <w:sz w:val="24"/>
                <w:szCs w:val="24"/>
                <w:highlight w:val="none"/>
              </w:rPr>
              <w:t>转移</w:t>
            </w:r>
            <w:r>
              <w:rPr>
                <w:rFonts w:ascii="宋体" w:hAnsi="宋体" w:eastAsia="宋体"/>
                <w:color w:val="000000"/>
                <w:sz w:val="24"/>
                <w:szCs w:val="24"/>
                <w:highlight w:val="none"/>
              </w:rPr>
              <w:t>支出</w:t>
            </w:r>
          </w:p>
        </w:tc>
        <w:tc>
          <w:tcPr>
            <w:tcW w:w="1601" w:type="dxa"/>
            <w:tcBorders>
              <w:top w:val="nil"/>
              <w:left w:val="nil"/>
              <w:bottom w:val="single" w:color="auto" w:sz="4" w:space="0"/>
              <w:right w:val="single" w:color="auto" w:sz="4" w:space="0"/>
            </w:tcBorders>
            <w:noWrap w:val="0"/>
            <w:vAlign w:val="center"/>
          </w:tcPr>
          <w:p w14:paraId="28EF4D81">
            <w:pPr>
              <w:spacing w:line="240" w:lineRule="exact"/>
              <w:jc w:val="center"/>
              <w:rPr>
                <w:rFonts w:hint="default" w:ascii="宋体" w:hAnsi="宋体" w:eastAsia="宋体"/>
                <w:color w:val="000000"/>
                <w:sz w:val="24"/>
                <w:szCs w:val="24"/>
                <w:highlight w:val="none"/>
                <w:lang w:val="en-US"/>
              </w:rPr>
            </w:pPr>
            <w:r>
              <w:rPr>
                <w:rFonts w:hint="eastAsia" w:ascii="宋体" w:hAnsi="宋体" w:eastAsia="宋体"/>
                <w:color w:val="000000"/>
                <w:sz w:val="24"/>
                <w:szCs w:val="24"/>
                <w:highlight w:val="none"/>
                <w:lang w:val="en-US" w:eastAsia="zh-CN"/>
              </w:rPr>
              <w:t>108</w:t>
            </w:r>
          </w:p>
        </w:tc>
      </w:tr>
      <w:tr w14:paraId="6D3E4801">
        <w:tblPrEx>
          <w:tblCellMar>
            <w:top w:w="0" w:type="dxa"/>
            <w:left w:w="108" w:type="dxa"/>
            <w:bottom w:w="0" w:type="dxa"/>
            <w:right w:w="108" w:type="dxa"/>
          </w:tblCellMar>
        </w:tblPrEx>
        <w:trPr>
          <w:trHeight w:val="663" w:hRule="exact"/>
          <w:jc w:val="center"/>
        </w:trPr>
        <w:tc>
          <w:tcPr>
            <w:tcW w:w="1339" w:type="dxa"/>
            <w:tcBorders>
              <w:top w:val="nil"/>
              <w:left w:val="single" w:color="auto" w:sz="4" w:space="0"/>
              <w:bottom w:val="single" w:color="auto" w:sz="4" w:space="0"/>
              <w:right w:val="single" w:color="auto" w:sz="4" w:space="0"/>
            </w:tcBorders>
            <w:noWrap w:val="0"/>
            <w:vAlign w:val="center"/>
          </w:tcPr>
          <w:p w14:paraId="676E20FA">
            <w:pPr>
              <w:spacing w:line="240" w:lineRule="exact"/>
              <w:jc w:val="left"/>
              <w:rPr>
                <w:rFonts w:hint="eastAsia" w:ascii="宋体" w:hAnsi="宋体" w:eastAsia="宋体"/>
                <w:color w:val="000000"/>
                <w:sz w:val="24"/>
                <w:szCs w:val="24"/>
                <w:highlight w:val="none"/>
              </w:rPr>
            </w:pPr>
          </w:p>
        </w:tc>
        <w:tc>
          <w:tcPr>
            <w:tcW w:w="5198" w:type="dxa"/>
            <w:tcBorders>
              <w:top w:val="nil"/>
              <w:left w:val="single" w:color="auto" w:sz="4" w:space="0"/>
              <w:bottom w:val="single" w:color="auto" w:sz="4" w:space="0"/>
              <w:right w:val="single" w:color="auto" w:sz="4" w:space="0"/>
            </w:tcBorders>
            <w:noWrap w:val="0"/>
            <w:vAlign w:val="center"/>
          </w:tcPr>
          <w:p w14:paraId="1685EDCF">
            <w:pPr>
              <w:spacing w:line="240" w:lineRule="exact"/>
              <w:ind w:firstLine="720" w:firstLineChars="300"/>
              <w:jc w:val="left"/>
              <w:rPr>
                <w:rFonts w:hint="default" w:ascii="宋体" w:hAnsi="宋体" w:eastAsia="宋体"/>
                <w:color w:val="000000"/>
                <w:sz w:val="24"/>
                <w:szCs w:val="24"/>
                <w:highlight w:val="none"/>
                <w:lang w:val="en-US" w:eastAsia="zh-CN"/>
              </w:rPr>
            </w:pPr>
            <w:r>
              <w:rPr>
                <w:rFonts w:hint="eastAsia" w:ascii="宋体" w:hAnsi="宋体" w:eastAsia="宋体"/>
                <w:color w:val="000000"/>
                <w:sz w:val="24"/>
                <w:szCs w:val="24"/>
                <w:highlight w:val="none"/>
                <w:lang w:val="en-US" w:eastAsia="zh-CN"/>
              </w:rPr>
              <w:t>其他支出</w:t>
            </w:r>
          </w:p>
        </w:tc>
        <w:tc>
          <w:tcPr>
            <w:tcW w:w="1601" w:type="dxa"/>
            <w:tcBorders>
              <w:top w:val="nil"/>
              <w:left w:val="nil"/>
              <w:bottom w:val="single" w:color="auto" w:sz="4" w:space="0"/>
              <w:right w:val="single" w:color="auto" w:sz="4" w:space="0"/>
            </w:tcBorders>
            <w:noWrap w:val="0"/>
            <w:vAlign w:val="center"/>
          </w:tcPr>
          <w:p w14:paraId="54875CE5">
            <w:pPr>
              <w:spacing w:line="240" w:lineRule="exact"/>
              <w:jc w:val="center"/>
              <w:rPr>
                <w:rFonts w:hint="default" w:ascii="宋体" w:hAnsi="宋体" w:eastAsia="宋体"/>
                <w:color w:val="000000"/>
                <w:sz w:val="24"/>
                <w:szCs w:val="24"/>
                <w:highlight w:val="none"/>
                <w:lang w:val="en-US"/>
              </w:rPr>
            </w:pPr>
            <w:r>
              <w:rPr>
                <w:rFonts w:hint="eastAsia" w:ascii="宋体" w:hAnsi="宋体" w:eastAsia="宋体"/>
                <w:color w:val="000000"/>
                <w:sz w:val="24"/>
                <w:szCs w:val="24"/>
                <w:highlight w:val="none"/>
                <w:lang w:val="en-US" w:eastAsia="zh-CN"/>
              </w:rPr>
              <w:t>8</w:t>
            </w:r>
          </w:p>
        </w:tc>
      </w:tr>
      <w:tr w14:paraId="0F021360">
        <w:tblPrEx>
          <w:tblCellMar>
            <w:top w:w="0" w:type="dxa"/>
            <w:left w:w="108" w:type="dxa"/>
            <w:bottom w:w="0" w:type="dxa"/>
            <w:right w:w="108" w:type="dxa"/>
          </w:tblCellMar>
        </w:tblPrEx>
        <w:trPr>
          <w:trHeight w:val="663" w:hRule="exact"/>
          <w:jc w:val="center"/>
        </w:trPr>
        <w:tc>
          <w:tcPr>
            <w:tcW w:w="1339" w:type="dxa"/>
            <w:tcBorders>
              <w:top w:val="single" w:color="auto" w:sz="4" w:space="0"/>
              <w:left w:val="single" w:color="auto" w:sz="4" w:space="0"/>
              <w:bottom w:val="single" w:color="auto" w:sz="4" w:space="0"/>
              <w:right w:val="single" w:color="auto" w:sz="4" w:space="0"/>
            </w:tcBorders>
            <w:noWrap w:val="0"/>
            <w:vAlign w:val="center"/>
          </w:tcPr>
          <w:p w14:paraId="412CEA9B">
            <w:pPr>
              <w:spacing w:line="240" w:lineRule="exact"/>
              <w:jc w:val="left"/>
              <w:rPr>
                <w:rFonts w:hint="default" w:ascii="宋体" w:hAnsi="宋体" w:eastAsia="宋体"/>
                <w:b/>
                <w:bCs/>
                <w:color w:val="000000"/>
                <w:sz w:val="24"/>
                <w:szCs w:val="24"/>
                <w:highlight w:val="none"/>
                <w:lang w:val="en-US" w:eastAsia="zh-CN"/>
              </w:rPr>
            </w:pPr>
            <w:r>
              <w:rPr>
                <w:rFonts w:hint="default" w:ascii="宋体" w:hAnsi="宋体" w:eastAsia="宋体"/>
                <w:b/>
                <w:bCs/>
                <w:color w:val="000000"/>
                <w:sz w:val="24"/>
                <w:szCs w:val="24"/>
                <w:highlight w:val="none"/>
                <w:lang w:val="en-US" w:eastAsia="zh-CN"/>
              </w:rPr>
              <w:t>20910</w:t>
            </w:r>
          </w:p>
        </w:tc>
        <w:tc>
          <w:tcPr>
            <w:tcW w:w="5198" w:type="dxa"/>
            <w:tcBorders>
              <w:top w:val="single" w:color="auto" w:sz="4" w:space="0"/>
              <w:left w:val="single" w:color="auto" w:sz="4" w:space="0"/>
              <w:bottom w:val="single" w:color="auto" w:sz="4" w:space="0"/>
              <w:right w:val="single" w:color="auto" w:sz="4" w:space="0"/>
            </w:tcBorders>
            <w:noWrap w:val="0"/>
            <w:vAlign w:val="center"/>
          </w:tcPr>
          <w:p w14:paraId="66F1A44E">
            <w:pPr>
              <w:spacing w:line="240" w:lineRule="exact"/>
              <w:jc w:val="left"/>
              <w:rPr>
                <w:rFonts w:ascii="宋体" w:hAnsi="宋体" w:eastAsia="宋体"/>
                <w:b/>
                <w:bCs/>
                <w:color w:val="000000"/>
                <w:sz w:val="24"/>
                <w:szCs w:val="24"/>
                <w:highlight w:val="none"/>
              </w:rPr>
            </w:pPr>
            <w:r>
              <w:rPr>
                <w:rFonts w:hint="eastAsia" w:ascii="宋体" w:hAnsi="宋体" w:eastAsia="宋体"/>
                <w:b/>
                <w:bCs/>
                <w:color w:val="000000"/>
                <w:sz w:val="24"/>
                <w:szCs w:val="24"/>
                <w:highlight w:val="none"/>
                <w:lang w:eastAsia="zh-CN"/>
              </w:rPr>
              <w:t>一</w:t>
            </w:r>
            <w:r>
              <w:rPr>
                <w:rFonts w:hint="eastAsia" w:ascii="宋体" w:hAnsi="宋体" w:eastAsia="宋体"/>
                <w:b/>
                <w:bCs/>
                <w:color w:val="000000"/>
                <w:sz w:val="24"/>
                <w:szCs w:val="24"/>
                <w:highlight w:val="none"/>
              </w:rPr>
              <w:t>、城乡居民基本养老保险基金支出</w:t>
            </w:r>
          </w:p>
        </w:tc>
        <w:tc>
          <w:tcPr>
            <w:tcW w:w="1601" w:type="dxa"/>
            <w:tcBorders>
              <w:top w:val="single" w:color="auto" w:sz="4" w:space="0"/>
              <w:left w:val="nil"/>
              <w:bottom w:val="single" w:color="auto" w:sz="4" w:space="0"/>
              <w:right w:val="single" w:color="auto" w:sz="4" w:space="0"/>
            </w:tcBorders>
            <w:noWrap w:val="0"/>
            <w:vAlign w:val="center"/>
          </w:tcPr>
          <w:p w14:paraId="47F75C39">
            <w:pPr>
              <w:spacing w:line="240" w:lineRule="exact"/>
              <w:jc w:val="center"/>
              <w:rPr>
                <w:rFonts w:hint="default" w:ascii="宋体" w:hAnsi="宋体" w:eastAsia="宋体"/>
                <w:b/>
                <w:bCs/>
                <w:color w:val="000000"/>
                <w:sz w:val="24"/>
                <w:szCs w:val="24"/>
                <w:highlight w:val="none"/>
                <w:lang w:val="en-US"/>
              </w:rPr>
            </w:pPr>
            <w:r>
              <w:rPr>
                <w:rFonts w:hint="eastAsia" w:ascii="宋体" w:hAnsi="宋体" w:eastAsia="宋体"/>
                <w:b/>
                <w:bCs/>
                <w:color w:val="000000"/>
                <w:sz w:val="24"/>
                <w:szCs w:val="24"/>
                <w:highlight w:val="none"/>
                <w:lang w:val="en-US" w:eastAsia="zh-CN"/>
              </w:rPr>
              <w:t>24669</w:t>
            </w:r>
          </w:p>
        </w:tc>
      </w:tr>
      <w:tr w14:paraId="32AAA9F8">
        <w:tblPrEx>
          <w:tblCellMar>
            <w:top w:w="0" w:type="dxa"/>
            <w:left w:w="108" w:type="dxa"/>
            <w:bottom w:w="0" w:type="dxa"/>
            <w:right w:w="108" w:type="dxa"/>
          </w:tblCellMar>
        </w:tblPrEx>
        <w:trPr>
          <w:trHeight w:val="663" w:hRule="exact"/>
          <w:jc w:val="center"/>
        </w:trPr>
        <w:tc>
          <w:tcPr>
            <w:tcW w:w="1339" w:type="dxa"/>
            <w:tcBorders>
              <w:top w:val="single" w:color="auto" w:sz="4" w:space="0"/>
              <w:left w:val="single" w:color="auto" w:sz="4" w:space="0"/>
              <w:bottom w:val="single" w:color="auto" w:sz="4" w:space="0"/>
              <w:right w:val="single" w:color="auto" w:sz="4" w:space="0"/>
            </w:tcBorders>
            <w:noWrap w:val="0"/>
            <w:vAlign w:val="center"/>
          </w:tcPr>
          <w:p w14:paraId="313E459D">
            <w:pPr>
              <w:spacing w:line="240" w:lineRule="exact"/>
              <w:jc w:val="left"/>
              <w:rPr>
                <w:rFonts w:hint="default" w:ascii="宋体" w:hAnsi="宋体" w:eastAsia="宋体"/>
                <w:color w:val="000000"/>
                <w:sz w:val="24"/>
                <w:szCs w:val="24"/>
                <w:highlight w:val="none"/>
                <w:lang w:val="en-US"/>
              </w:rPr>
            </w:pPr>
            <w:r>
              <w:rPr>
                <w:rFonts w:hint="default" w:ascii="宋体" w:hAnsi="宋体" w:eastAsia="宋体"/>
                <w:color w:val="000000"/>
                <w:sz w:val="24"/>
                <w:szCs w:val="24"/>
                <w:highlight w:val="none"/>
                <w:lang w:val="en-US"/>
              </w:rPr>
              <w:t>2091001</w:t>
            </w:r>
          </w:p>
        </w:tc>
        <w:tc>
          <w:tcPr>
            <w:tcW w:w="5198" w:type="dxa"/>
            <w:tcBorders>
              <w:top w:val="single" w:color="auto" w:sz="4" w:space="0"/>
              <w:left w:val="single" w:color="auto" w:sz="4" w:space="0"/>
              <w:bottom w:val="single" w:color="auto" w:sz="4" w:space="0"/>
              <w:right w:val="single" w:color="auto" w:sz="4" w:space="0"/>
            </w:tcBorders>
            <w:noWrap w:val="0"/>
            <w:vAlign w:val="center"/>
          </w:tcPr>
          <w:p w14:paraId="56D63E17">
            <w:pPr>
              <w:spacing w:line="240" w:lineRule="exact"/>
              <w:jc w:val="left"/>
              <w:rPr>
                <w:rFonts w:ascii="宋体" w:hAnsi="宋体" w:eastAsia="宋体"/>
                <w:color w:val="000000"/>
                <w:sz w:val="24"/>
                <w:szCs w:val="24"/>
                <w:highlight w:val="none"/>
              </w:rPr>
            </w:pPr>
            <w:r>
              <w:rPr>
                <w:rFonts w:hint="eastAsia" w:ascii="宋体" w:hAnsi="宋体" w:eastAsia="宋体"/>
                <w:color w:val="000000"/>
                <w:sz w:val="24"/>
                <w:szCs w:val="24"/>
                <w:highlight w:val="none"/>
              </w:rPr>
              <w:t>其中：居民基础养老金支出</w:t>
            </w:r>
          </w:p>
        </w:tc>
        <w:tc>
          <w:tcPr>
            <w:tcW w:w="1601" w:type="dxa"/>
            <w:tcBorders>
              <w:top w:val="single" w:color="auto" w:sz="4" w:space="0"/>
              <w:left w:val="nil"/>
              <w:bottom w:val="single" w:color="auto" w:sz="4" w:space="0"/>
              <w:right w:val="single" w:color="auto" w:sz="4" w:space="0"/>
            </w:tcBorders>
            <w:noWrap w:val="0"/>
            <w:vAlign w:val="center"/>
          </w:tcPr>
          <w:p w14:paraId="535DDA23">
            <w:pPr>
              <w:spacing w:line="240" w:lineRule="exact"/>
              <w:jc w:val="center"/>
              <w:rPr>
                <w:rFonts w:hint="default" w:ascii="宋体" w:hAnsi="宋体" w:eastAsia="宋体"/>
                <w:color w:val="000000"/>
                <w:sz w:val="24"/>
                <w:szCs w:val="24"/>
                <w:highlight w:val="none"/>
                <w:lang w:val="en-US"/>
              </w:rPr>
            </w:pPr>
            <w:r>
              <w:rPr>
                <w:rFonts w:hint="eastAsia" w:ascii="宋体" w:hAnsi="宋体" w:eastAsia="宋体"/>
                <w:color w:val="000000"/>
                <w:sz w:val="24"/>
                <w:szCs w:val="24"/>
                <w:highlight w:val="none"/>
                <w:lang w:val="en-US" w:eastAsia="zh-CN"/>
              </w:rPr>
              <w:t>20658</w:t>
            </w:r>
          </w:p>
        </w:tc>
      </w:tr>
      <w:tr w14:paraId="4C63219A">
        <w:tblPrEx>
          <w:tblCellMar>
            <w:top w:w="0" w:type="dxa"/>
            <w:left w:w="108" w:type="dxa"/>
            <w:bottom w:w="0" w:type="dxa"/>
            <w:right w:w="108" w:type="dxa"/>
          </w:tblCellMar>
        </w:tblPrEx>
        <w:trPr>
          <w:trHeight w:val="663" w:hRule="exact"/>
          <w:jc w:val="center"/>
        </w:trPr>
        <w:tc>
          <w:tcPr>
            <w:tcW w:w="1339" w:type="dxa"/>
            <w:tcBorders>
              <w:top w:val="single" w:color="auto" w:sz="4" w:space="0"/>
              <w:left w:val="single" w:color="auto" w:sz="4" w:space="0"/>
              <w:bottom w:val="single" w:color="auto" w:sz="4" w:space="0"/>
              <w:right w:val="single" w:color="auto" w:sz="4" w:space="0"/>
            </w:tcBorders>
            <w:noWrap w:val="0"/>
            <w:vAlign w:val="center"/>
          </w:tcPr>
          <w:p w14:paraId="2833712B">
            <w:pPr>
              <w:spacing w:line="240" w:lineRule="exact"/>
              <w:jc w:val="left"/>
              <w:rPr>
                <w:rFonts w:hint="default" w:ascii="宋体" w:hAnsi="宋体" w:eastAsia="宋体"/>
                <w:color w:val="000000"/>
                <w:sz w:val="24"/>
                <w:szCs w:val="24"/>
                <w:highlight w:val="none"/>
                <w:lang w:val="en-US"/>
              </w:rPr>
            </w:pPr>
            <w:r>
              <w:rPr>
                <w:rFonts w:hint="default" w:ascii="宋体" w:hAnsi="宋体" w:eastAsia="宋体"/>
                <w:color w:val="000000"/>
                <w:sz w:val="24"/>
                <w:szCs w:val="24"/>
                <w:highlight w:val="none"/>
                <w:lang w:val="en-US"/>
              </w:rPr>
              <w:t>2091002</w:t>
            </w:r>
          </w:p>
        </w:tc>
        <w:tc>
          <w:tcPr>
            <w:tcW w:w="5198" w:type="dxa"/>
            <w:tcBorders>
              <w:top w:val="single" w:color="auto" w:sz="4" w:space="0"/>
              <w:left w:val="single" w:color="auto" w:sz="4" w:space="0"/>
              <w:bottom w:val="single" w:color="auto" w:sz="4" w:space="0"/>
              <w:right w:val="single" w:color="auto" w:sz="4" w:space="0"/>
            </w:tcBorders>
            <w:noWrap w:val="0"/>
            <w:vAlign w:val="center"/>
          </w:tcPr>
          <w:p w14:paraId="796FDA73">
            <w:pPr>
              <w:spacing w:line="240" w:lineRule="exact"/>
              <w:ind w:firstLine="720" w:firstLineChars="300"/>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个人</w:t>
            </w:r>
            <w:r>
              <w:rPr>
                <w:rFonts w:ascii="宋体" w:hAnsi="宋体" w:eastAsia="宋体"/>
                <w:color w:val="000000"/>
                <w:sz w:val="24"/>
                <w:szCs w:val="24"/>
                <w:highlight w:val="none"/>
              </w:rPr>
              <w:t>账户支出</w:t>
            </w:r>
            <w:r>
              <w:rPr>
                <w:rFonts w:hint="eastAsia" w:ascii="宋体" w:hAnsi="宋体" w:eastAsia="宋体"/>
                <w:color w:val="000000"/>
                <w:sz w:val="24"/>
                <w:szCs w:val="24"/>
                <w:highlight w:val="none"/>
              </w:rPr>
              <w:t>养老</w:t>
            </w:r>
            <w:r>
              <w:rPr>
                <w:rFonts w:ascii="宋体" w:hAnsi="宋体" w:eastAsia="宋体"/>
                <w:color w:val="000000"/>
                <w:sz w:val="24"/>
                <w:szCs w:val="24"/>
                <w:highlight w:val="none"/>
              </w:rPr>
              <w:t>金</w:t>
            </w:r>
          </w:p>
        </w:tc>
        <w:tc>
          <w:tcPr>
            <w:tcW w:w="1601" w:type="dxa"/>
            <w:tcBorders>
              <w:top w:val="single" w:color="auto" w:sz="4" w:space="0"/>
              <w:left w:val="nil"/>
              <w:bottom w:val="single" w:color="auto" w:sz="4" w:space="0"/>
              <w:right w:val="single" w:color="auto" w:sz="4" w:space="0"/>
            </w:tcBorders>
            <w:noWrap w:val="0"/>
            <w:vAlign w:val="center"/>
          </w:tcPr>
          <w:p w14:paraId="3531DAC0">
            <w:pPr>
              <w:spacing w:line="240" w:lineRule="exact"/>
              <w:jc w:val="center"/>
              <w:rPr>
                <w:rFonts w:hint="default" w:ascii="宋体" w:hAnsi="宋体" w:eastAsia="宋体"/>
                <w:color w:val="000000"/>
                <w:sz w:val="24"/>
                <w:szCs w:val="24"/>
                <w:highlight w:val="none"/>
                <w:lang w:val="en-US"/>
              </w:rPr>
            </w:pPr>
            <w:r>
              <w:rPr>
                <w:rFonts w:hint="eastAsia" w:ascii="宋体" w:hAnsi="宋体" w:eastAsia="宋体"/>
                <w:color w:val="000000"/>
                <w:sz w:val="24"/>
                <w:szCs w:val="24"/>
                <w:highlight w:val="none"/>
                <w:lang w:val="en-US" w:eastAsia="zh-CN"/>
              </w:rPr>
              <w:t>4003</w:t>
            </w:r>
          </w:p>
        </w:tc>
      </w:tr>
      <w:tr w14:paraId="2BDC495C">
        <w:tblPrEx>
          <w:tblCellMar>
            <w:top w:w="0" w:type="dxa"/>
            <w:left w:w="108" w:type="dxa"/>
            <w:bottom w:w="0" w:type="dxa"/>
            <w:right w:w="108" w:type="dxa"/>
          </w:tblCellMar>
        </w:tblPrEx>
        <w:trPr>
          <w:trHeight w:val="663" w:hRule="exact"/>
          <w:jc w:val="center"/>
        </w:trPr>
        <w:tc>
          <w:tcPr>
            <w:tcW w:w="1339" w:type="dxa"/>
            <w:tcBorders>
              <w:top w:val="single" w:color="auto" w:sz="4" w:space="0"/>
              <w:left w:val="single" w:color="auto" w:sz="4" w:space="0"/>
              <w:bottom w:val="single" w:color="auto" w:sz="4" w:space="0"/>
              <w:right w:val="single" w:color="auto" w:sz="4" w:space="0"/>
            </w:tcBorders>
            <w:noWrap w:val="0"/>
            <w:vAlign w:val="center"/>
          </w:tcPr>
          <w:p w14:paraId="452B35F3">
            <w:pPr>
              <w:spacing w:line="240" w:lineRule="exact"/>
              <w:jc w:val="left"/>
              <w:rPr>
                <w:rFonts w:hint="default" w:ascii="宋体" w:hAnsi="宋体" w:eastAsia="宋体"/>
                <w:color w:val="000000"/>
                <w:sz w:val="24"/>
                <w:szCs w:val="24"/>
                <w:highlight w:val="none"/>
                <w:lang w:val="en-US"/>
              </w:rPr>
            </w:pPr>
            <w:r>
              <w:rPr>
                <w:rFonts w:hint="default" w:ascii="宋体" w:hAnsi="宋体" w:eastAsia="宋体"/>
                <w:color w:val="000000"/>
                <w:sz w:val="24"/>
                <w:szCs w:val="24"/>
                <w:highlight w:val="none"/>
                <w:lang w:val="en-US"/>
              </w:rPr>
              <w:t>2301704</w:t>
            </w:r>
          </w:p>
        </w:tc>
        <w:tc>
          <w:tcPr>
            <w:tcW w:w="5198" w:type="dxa"/>
            <w:tcBorders>
              <w:top w:val="single" w:color="auto" w:sz="4" w:space="0"/>
              <w:left w:val="single" w:color="auto" w:sz="4" w:space="0"/>
              <w:bottom w:val="single" w:color="auto" w:sz="4" w:space="0"/>
              <w:right w:val="single" w:color="auto" w:sz="4" w:space="0"/>
            </w:tcBorders>
            <w:noWrap w:val="0"/>
            <w:vAlign w:val="center"/>
          </w:tcPr>
          <w:p w14:paraId="36319457">
            <w:pPr>
              <w:spacing w:line="240" w:lineRule="exact"/>
              <w:ind w:firstLine="720" w:firstLineChars="300"/>
              <w:jc w:val="left"/>
              <w:rPr>
                <w:rFonts w:ascii="宋体" w:hAnsi="宋体" w:eastAsia="宋体"/>
                <w:color w:val="000000"/>
                <w:sz w:val="24"/>
                <w:szCs w:val="24"/>
                <w:highlight w:val="none"/>
              </w:rPr>
            </w:pPr>
            <w:r>
              <w:rPr>
                <w:rFonts w:hint="eastAsia" w:ascii="宋体" w:hAnsi="宋体" w:eastAsia="宋体"/>
                <w:color w:val="000000"/>
                <w:sz w:val="24"/>
                <w:szCs w:val="24"/>
                <w:highlight w:val="none"/>
              </w:rPr>
              <w:t>转移支出</w:t>
            </w:r>
          </w:p>
        </w:tc>
        <w:tc>
          <w:tcPr>
            <w:tcW w:w="1601" w:type="dxa"/>
            <w:tcBorders>
              <w:top w:val="single" w:color="auto" w:sz="4" w:space="0"/>
              <w:left w:val="nil"/>
              <w:bottom w:val="single" w:color="auto" w:sz="4" w:space="0"/>
              <w:right w:val="single" w:color="auto" w:sz="4" w:space="0"/>
            </w:tcBorders>
            <w:noWrap w:val="0"/>
            <w:vAlign w:val="center"/>
          </w:tcPr>
          <w:p w14:paraId="5F56CC7E">
            <w:pPr>
              <w:spacing w:line="240" w:lineRule="exact"/>
              <w:jc w:val="center"/>
              <w:rPr>
                <w:rFonts w:hint="default" w:ascii="宋体" w:hAnsi="宋体" w:eastAsia="宋体"/>
                <w:color w:val="000000"/>
                <w:sz w:val="24"/>
                <w:szCs w:val="24"/>
                <w:highlight w:val="none"/>
                <w:lang w:val="en-US"/>
              </w:rPr>
            </w:pPr>
            <w:r>
              <w:rPr>
                <w:rFonts w:hint="eastAsia" w:ascii="宋体" w:hAnsi="宋体" w:eastAsia="宋体"/>
                <w:color w:val="000000"/>
                <w:sz w:val="24"/>
                <w:szCs w:val="24"/>
                <w:highlight w:val="none"/>
                <w:lang w:val="en-US" w:eastAsia="zh-CN"/>
              </w:rPr>
              <w:t>8</w:t>
            </w:r>
          </w:p>
        </w:tc>
      </w:tr>
      <w:tr w14:paraId="340687BE">
        <w:tblPrEx>
          <w:tblCellMar>
            <w:top w:w="0" w:type="dxa"/>
            <w:left w:w="108" w:type="dxa"/>
            <w:bottom w:w="0" w:type="dxa"/>
            <w:right w:w="108" w:type="dxa"/>
          </w:tblCellMar>
        </w:tblPrEx>
        <w:trPr>
          <w:trHeight w:val="557" w:hRule="exact"/>
          <w:jc w:val="center"/>
        </w:trPr>
        <w:tc>
          <w:tcPr>
            <w:tcW w:w="1339" w:type="dxa"/>
            <w:tcBorders>
              <w:top w:val="single" w:color="auto" w:sz="4" w:space="0"/>
              <w:left w:val="single" w:color="auto" w:sz="4" w:space="0"/>
              <w:bottom w:val="single" w:color="auto" w:sz="4" w:space="0"/>
              <w:right w:val="single" w:color="auto" w:sz="4" w:space="0"/>
            </w:tcBorders>
            <w:noWrap w:val="0"/>
            <w:vAlign w:val="center"/>
          </w:tcPr>
          <w:p w14:paraId="0FB8DB96">
            <w:pPr>
              <w:spacing w:line="240" w:lineRule="exact"/>
              <w:jc w:val="left"/>
              <w:rPr>
                <w:rFonts w:hint="default" w:ascii="宋体" w:hAnsi="宋体" w:eastAsia="宋体" w:cs="Times New Roman"/>
                <w:color w:val="000000"/>
                <w:sz w:val="24"/>
                <w:szCs w:val="24"/>
                <w:highlight w:val="none"/>
                <w:lang w:val="en-US" w:eastAsia="zh-CN"/>
              </w:rPr>
            </w:pPr>
            <w:r>
              <w:rPr>
                <w:rFonts w:hint="default" w:ascii="宋体" w:hAnsi="宋体" w:eastAsia="宋体"/>
                <w:b/>
                <w:bCs/>
                <w:color w:val="000000"/>
                <w:sz w:val="24"/>
                <w:szCs w:val="24"/>
                <w:highlight w:val="none"/>
                <w:lang w:val="en-US" w:eastAsia="zh-CN"/>
              </w:rPr>
              <w:t>20911</w:t>
            </w:r>
          </w:p>
        </w:tc>
        <w:tc>
          <w:tcPr>
            <w:tcW w:w="5198" w:type="dxa"/>
            <w:tcBorders>
              <w:top w:val="single" w:color="auto" w:sz="4" w:space="0"/>
              <w:left w:val="single" w:color="auto" w:sz="4" w:space="0"/>
              <w:bottom w:val="single" w:color="auto" w:sz="4" w:space="0"/>
              <w:right w:val="single" w:color="auto" w:sz="4" w:space="0"/>
            </w:tcBorders>
            <w:noWrap w:val="0"/>
            <w:vAlign w:val="center"/>
          </w:tcPr>
          <w:p w14:paraId="1CA6F427">
            <w:pPr>
              <w:spacing w:line="240" w:lineRule="exact"/>
              <w:jc w:val="left"/>
              <w:rPr>
                <w:rFonts w:hint="eastAsia" w:ascii="宋体" w:hAnsi="宋体" w:eastAsia="宋体" w:cs="Times New Roman"/>
                <w:color w:val="000000"/>
                <w:sz w:val="24"/>
                <w:szCs w:val="24"/>
                <w:highlight w:val="none"/>
                <w:lang w:val="en-US" w:eastAsia="zh-CN"/>
              </w:rPr>
            </w:pPr>
            <w:r>
              <w:rPr>
                <w:rFonts w:hint="eastAsia" w:ascii="宋体" w:hAnsi="宋体" w:eastAsia="宋体"/>
                <w:b/>
                <w:bCs/>
                <w:color w:val="000000"/>
                <w:sz w:val="24"/>
                <w:szCs w:val="24"/>
                <w:highlight w:val="none"/>
                <w:lang w:eastAsia="zh-CN"/>
              </w:rPr>
              <w:t>二</w:t>
            </w:r>
            <w:r>
              <w:rPr>
                <w:rFonts w:hint="eastAsia" w:ascii="宋体" w:hAnsi="宋体" w:eastAsia="宋体"/>
                <w:b/>
                <w:bCs/>
                <w:color w:val="000000"/>
                <w:sz w:val="24"/>
                <w:szCs w:val="24"/>
                <w:highlight w:val="none"/>
              </w:rPr>
              <w:t>、机关事业单位基本养老保险基金支出</w:t>
            </w:r>
          </w:p>
        </w:tc>
        <w:tc>
          <w:tcPr>
            <w:tcW w:w="1601" w:type="dxa"/>
            <w:tcBorders>
              <w:top w:val="single" w:color="auto" w:sz="4" w:space="0"/>
              <w:left w:val="nil"/>
              <w:bottom w:val="single" w:color="auto" w:sz="4" w:space="0"/>
              <w:right w:val="single" w:color="auto" w:sz="4" w:space="0"/>
            </w:tcBorders>
            <w:noWrap w:val="0"/>
            <w:vAlign w:val="center"/>
          </w:tcPr>
          <w:p w14:paraId="7DB42EED">
            <w:pPr>
              <w:spacing w:line="240" w:lineRule="exact"/>
              <w:jc w:val="center"/>
              <w:rPr>
                <w:rFonts w:hint="default" w:ascii="宋体" w:hAnsi="宋体" w:eastAsia="宋体" w:cs="Times New Roman"/>
                <w:color w:val="000000"/>
                <w:sz w:val="24"/>
                <w:szCs w:val="24"/>
                <w:highlight w:val="none"/>
                <w:lang w:val="en-US"/>
              </w:rPr>
            </w:pPr>
            <w:r>
              <w:rPr>
                <w:rFonts w:hint="eastAsia" w:ascii="宋体" w:hAnsi="宋体" w:eastAsia="宋体"/>
                <w:b/>
                <w:bCs/>
                <w:color w:val="000000"/>
                <w:sz w:val="24"/>
                <w:szCs w:val="24"/>
                <w:highlight w:val="none"/>
                <w:lang w:val="en-US" w:eastAsia="zh-CN"/>
              </w:rPr>
              <w:t>37006</w:t>
            </w:r>
          </w:p>
        </w:tc>
      </w:tr>
      <w:tr w14:paraId="759D40B0">
        <w:tblPrEx>
          <w:tblCellMar>
            <w:top w:w="0" w:type="dxa"/>
            <w:left w:w="108" w:type="dxa"/>
            <w:bottom w:w="0" w:type="dxa"/>
            <w:right w:w="108" w:type="dxa"/>
          </w:tblCellMar>
        </w:tblPrEx>
        <w:trPr>
          <w:trHeight w:val="557" w:hRule="exact"/>
          <w:jc w:val="center"/>
        </w:trPr>
        <w:tc>
          <w:tcPr>
            <w:tcW w:w="1339" w:type="dxa"/>
            <w:tcBorders>
              <w:top w:val="single" w:color="auto" w:sz="4" w:space="0"/>
              <w:left w:val="single" w:color="auto" w:sz="4" w:space="0"/>
              <w:bottom w:val="single" w:color="auto" w:sz="4" w:space="0"/>
              <w:right w:val="single" w:color="auto" w:sz="4" w:space="0"/>
            </w:tcBorders>
            <w:noWrap w:val="0"/>
            <w:vAlign w:val="center"/>
          </w:tcPr>
          <w:p w14:paraId="48CB308E">
            <w:pPr>
              <w:spacing w:line="240" w:lineRule="exact"/>
              <w:jc w:val="left"/>
              <w:rPr>
                <w:rFonts w:hint="default" w:ascii="宋体" w:hAnsi="宋体" w:eastAsia="宋体"/>
                <w:b/>
                <w:bCs/>
                <w:color w:val="000000"/>
                <w:sz w:val="24"/>
                <w:szCs w:val="24"/>
                <w:highlight w:val="none"/>
                <w:lang w:val="en-US" w:eastAsia="zh-CN"/>
              </w:rPr>
            </w:pPr>
            <w:r>
              <w:rPr>
                <w:rFonts w:hint="default" w:ascii="宋体" w:hAnsi="宋体" w:eastAsia="宋体"/>
                <w:color w:val="000000"/>
                <w:sz w:val="24"/>
                <w:szCs w:val="24"/>
                <w:highlight w:val="none"/>
                <w:lang w:val="en-US"/>
              </w:rPr>
              <w:t>2091101</w:t>
            </w:r>
          </w:p>
        </w:tc>
        <w:tc>
          <w:tcPr>
            <w:tcW w:w="5198" w:type="dxa"/>
            <w:tcBorders>
              <w:top w:val="single" w:color="auto" w:sz="4" w:space="0"/>
              <w:left w:val="single" w:color="auto" w:sz="4" w:space="0"/>
              <w:bottom w:val="single" w:color="auto" w:sz="4" w:space="0"/>
              <w:right w:val="single" w:color="auto" w:sz="4" w:space="0"/>
            </w:tcBorders>
            <w:noWrap w:val="0"/>
            <w:vAlign w:val="center"/>
          </w:tcPr>
          <w:p w14:paraId="5427F75C">
            <w:pPr>
              <w:spacing w:line="240" w:lineRule="exact"/>
              <w:jc w:val="left"/>
              <w:rPr>
                <w:rFonts w:ascii="宋体" w:hAnsi="宋体" w:eastAsia="宋体"/>
                <w:b/>
                <w:bCs/>
                <w:color w:val="000000"/>
                <w:sz w:val="24"/>
                <w:szCs w:val="24"/>
                <w:highlight w:val="none"/>
              </w:rPr>
            </w:pPr>
            <w:r>
              <w:rPr>
                <w:rFonts w:hint="eastAsia" w:ascii="宋体" w:hAnsi="宋体" w:eastAsia="宋体"/>
                <w:color w:val="000000"/>
                <w:sz w:val="24"/>
                <w:szCs w:val="24"/>
                <w:highlight w:val="none"/>
              </w:rPr>
              <w:t>其中：基本养老</w:t>
            </w:r>
            <w:r>
              <w:rPr>
                <w:rFonts w:hint="eastAsia" w:ascii="宋体" w:hAnsi="宋体" w:eastAsia="宋体"/>
                <w:color w:val="000000"/>
                <w:sz w:val="24"/>
                <w:szCs w:val="24"/>
                <w:highlight w:val="none"/>
                <w:lang w:val="en-US" w:eastAsia="zh-CN"/>
              </w:rPr>
              <w:t>金</w:t>
            </w:r>
            <w:r>
              <w:rPr>
                <w:rFonts w:hint="eastAsia" w:ascii="宋体" w:hAnsi="宋体" w:eastAsia="宋体"/>
                <w:color w:val="000000"/>
                <w:sz w:val="24"/>
                <w:szCs w:val="24"/>
                <w:highlight w:val="none"/>
              </w:rPr>
              <w:t>支出</w:t>
            </w:r>
          </w:p>
        </w:tc>
        <w:tc>
          <w:tcPr>
            <w:tcW w:w="1601" w:type="dxa"/>
            <w:tcBorders>
              <w:top w:val="single" w:color="auto" w:sz="4" w:space="0"/>
              <w:left w:val="nil"/>
              <w:bottom w:val="single" w:color="auto" w:sz="4" w:space="0"/>
              <w:right w:val="single" w:color="auto" w:sz="4" w:space="0"/>
            </w:tcBorders>
            <w:noWrap w:val="0"/>
            <w:vAlign w:val="center"/>
          </w:tcPr>
          <w:p w14:paraId="09023768">
            <w:pPr>
              <w:spacing w:line="240" w:lineRule="exact"/>
              <w:jc w:val="center"/>
              <w:rPr>
                <w:rFonts w:hint="default" w:ascii="宋体" w:hAnsi="宋体" w:eastAsia="宋体"/>
                <w:b/>
                <w:bCs/>
                <w:color w:val="000000"/>
                <w:sz w:val="24"/>
                <w:szCs w:val="24"/>
                <w:highlight w:val="none"/>
                <w:lang w:val="en-US"/>
              </w:rPr>
            </w:pPr>
            <w:r>
              <w:rPr>
                <w:rFonts w:hint="eastAsia" w:ascii="宋体" w:hAnsi="宋体" w:eastAsia="宋体"/>
                <w:color w:val="000000"/>
                <w:sz w:val="24"/>
                <w:szCs w:val="24"/>
                <w:highlight w:val="none"/>
                <w:lang w:val="en-US" w:eastAsia="zh-CN"/>
              </w:rPr>
              <w:t>36898</w:t>
            </w:r>
          </w:p>
        </w:tc>
      </w:tr>
      <w:tr w14:paraId="799E0F5F">
        <w:tblPrEx>
          <w:tblCellMar>
            <w:top w:w="0" w:type="dxa"/>
            <w:left w:w="108" w:type="dxa"/>
            <w:bottom w:w="0" w:type="dxa"/>
            <w:right w:w="108" w:type="dxa"/>
          </w:tblCellMar>
        </w:tblPrEx>
        <w:trPr>
          <w:trHeight w:val="610" w:hRule="exact"/>
          <w:jc w:val="center"/>
        </w:trPr>
        <w:tc>
          <w:tcPr>
            <w:tcW w:w="1339" w:type="dxa"/>
            <w:tcBorders>
              <w:top w:val="single" w:color="auto" w:sz="4" w:space="0"/>
              <w:left w:val="single" w:color="auto" w:sz="4" w:space="0"/>
              <w:bottom w:val="single" w:color="auto" w:sz="4" w:space="0"/>
              <w:right w:val="single" w:color="auto" w:sz="4" w:space="0"/>
            </w:tcBorders>
            <w:noWrap w:val="0"/>
            <w:vAlign w:val="center"/>
          </w:tcPr>
          <w:p w14:paraId="4B38DCC3">
            <w:pPr>
              <w:spacing w:line="240" w:lineRule="exact"/>
              <w:jc w:val="left"/>
              <w:rPr>
                <w:rFonts w:hint="default" w:ascii="宋体" w:hAnsi="宋体" w:eastAsia="宋体"/>
                <w:color w:val="000000"/>
                <w:sz w:val="24"/>
                <w:szCs w:val="24"/>
                <w:highlight w:val="none"/>
                <w:lang w:val="en-US"/>
              </w:rPr>
            </w:pPr>
          </w:p>
          <w:p w14:paraId="778BDA86">
            <w:pPr>
              <w:spacing w:line="240" w:lineRule="exact"/>
              <w:jc w:val="left"/>
              <w:rPr>
                <w:rFonts w:hint="default" w:ascii="宋体" w:hAnsi="宋体" w:eastAsia="宋体"/>
                <w:color w:val="000000"/>
                <w:sz w:val="24"/>
                <w:szCs w:val="24"/>
                <w:highlight w:val="none"/>
                <w:lang w:val="en-US"/>
              </w:rPr>
            </w:pPr>
            <w:r>
              <w:rPr>
                <w:rFonts w:hint="default" w:ascii="宋体" w:hAnsi="宋体" w:eastAsia="宋体"/>
                <w:color w:val="000000"/>
                <w:sz w:val="24"/>
                <w:szCs w:val="24"/>
                <w:highlight w:val="none"/>
                <w:lang w:val="en-US"/>
              </w:rPr>
              <w:t>2301705</w:t>
            </w:r>
          </w:p>
          <w:p w14:paraId="0DB4AE61">
            <w:pPr>
              <w:spacing w:line="240" w:lineRule="exact"/>
              <w:jc w:val="left"/>
              <w:rPr>
                <w:rFonts w:hint="default" w:ascii="宋体" w:hAnsi="宋体" w:eastAsia="宋体"/>
                <w:color w:val="000000"/>
                <w:sz w:val="24"/>
                <w:szCs w:val="24"/>
                <w:highlight w:val="none"/>
                <w:lang w:val="en-US"/>
              </w:rPr>
            </w:pPr>
          </w:p>
        </w:tc>
        <w:tc>
          <w:tcPr>
            <w:tcW w:w="5198" w:type="dxa"/>
            <w:tcBorders>
              <w:top w:val="single" w:color="auto" w:sz="4" w:space="0"/>
              <w:left w:val="single" w:color="auto" w:sz="4" w:space="0"/>
              <w:bottom w:val="single" w:color="auto" w:sz="4" w:space="0"/>
              <w:right w:val="single" w:color="auto" w:sz="4" w:space="0"/>
            </w:tcBorders>
            <w:noWrap w:val="0"/>
            <w:vAlign w:val="center"/>
          </w:tcPr>
          <w:p w14:paraId="4EAB87DC">
            <w:pPr>
              <w:spacing w:line="240" w:lineRule="exact"/>
              <w:jc w:val="left"/>
              <w:rPr>
                <w:rFonts w:ascii="宋体" w:hAnsi="宋体" w:eastAsia="宋体"/>
                <w:color w:val="000000"/>
                <w:sz w:val="24"/>
                <w:szCs w:val="24"/>
                <w:highlight w:val="none"/>
              </w:rPr>
            </w:pPr>
            <w:r>
              <w:rPr>
                <w:rFonts w:hint="default" w:ascii="宋体" w:hAnsi="宋体" w:eastAsia="宋体"/>
                <w:color w:val="000000"/>
                <w:sz w:val="24"/>
                <w:szCs w:val="24"/>
                <w:highlight w:val="none"/>
                <w:lang w:val="en-US"/>
              </w:rPr>
              <w:t xml:space="preserve">      </w:t>
            </w:r>
            <w:r>
              <w:rPr>
                <w:rFonts w:hint="eastAsia" w:ascii="宋体" w:hAnsi="宋体" w:eastAsia="宋体"/>
                <w:color w:val="000000"/>
                <w:sz w:val="24"/>
                <w:szCs w:val="24"/>
                <w:highlight w:val="none"/>
                <w:lang w:val="en-US" w:eastAsia="zh-CN"/>
              </w:rPr>
              <w:t>转移支出</w:t>
            </w:r>
          </w:p>
        </w:tc>
        <w:tc>
          <w:tcPr>
            <w:tcW w:w="1601" w:type="dxa"/>
            <w:tcBorders>
              <w:top w:val="single" w:color="auto" w:sz="4" w:space="0"/>
              <w:left w:val="nil"/>
              <w:bottom w:val="single" w:color="auto" w:sz="4" w:space="0"/>
              <w:right w:val="single" w:color="auto" w:sz="4" w:space="0"/>
            </w:tcBorders>
            <w:noWrap w:val="0"/>
            <w:vAlign w:val="center"/>
          </w:tcPr>
          <w:p w14:paraId="6E090BBA">
            <w:pPr>
              <w:spacing w:line="240" w:lineRule="exact"/>
              <w:jc w:val="center"/>
              <w:rPr>
                <w:rFonts w:hint="default" w:ascii="宋体" w:hAnsi="宋体" w:eastAsia="宋体"/>
                <w:color w:val="000000"/>
                <w:sz w:val="24"/>
                <w:szCs w:val="24"/>
                <w:highlight w:val="none"/>
                <w:lang w:val="en-US"/>
              </w:rPr>
            </w:pPr>
            <w:r>
              <w:rPr>
                <w:rFonts w:hint="eastAsia" w:ascii="宋体" w:hAnsi="宋体" w:eastAsia="宋体"/>
                <w:color w:val="000000"/>
                <w:sz w:val="24"/>
                <w:szCs w:val="24"/>
                <w:highlight w:val="none"/>
                <w:lang w:val="en-US" w:eastAsia="zh-CN"/>
              </w:rPr>
              <w:t>100</w:t>
            </w:r>
          </w:p>
        </w:tc>
      </w:tr>
      <w:tr w14:paraId="3ECA7766">
        <w:tblPrEx>
          <w:tblCellMar>
            <w:top w:w="0" w:type="dxa"/>
            <w:left w:w="108" w:type="dxa"/>
            <w:bottom w:w="0" w:type="dxa"/>
            <w:right w:w="108" w:type="dxa"/>
          </w:tblCellMar>
        </w:tblPrEx>
        <w:trPr>
          <w:trHeight w:val="610" w:hRule="exact"/>
          <w:jc w:val="center"/>
        </w:trPr>
        <w:tc>
          <w:tcPr>
            <w:tcW w:w="1339" w:type="dxa"/>
            <w:tcBorders>
              <w:top w:val="single" w:color="auto" w:sz="4" w:space="0"/>
              <w:left w:val="single" w:color="auto" w:sz="4" w:space="0"/>
              <w:bottom w:val="single" w:color="auto" w:sz="4" w:space="0"/>
              <w:right w:val="single" w:color="auto" w:sz="4" w:space="0"/>
            </w:tcBorders>
            <w:noWrap w:val="0"/>
            <w:vAlign w:val="center"/>
          </w:tcPr>
          <w:p w14:paraId="60C81D78">
            <w:pPr>
              <w:spacing w:line="240" w:lineRule="exact"/>
              <w:jc w:val="left"/>
              <w:rPr>
                <w:rFonts w:hint="default" w:ascii="宋体" w:hAnsi="宋体" w:eastAsia="宋体"/>
                <w:color w:val="000000"/>
                <w:sz w:val="24"/>
                <w:szCs w:val="24"/>
                <w:highlight w:val="none"/>
                <w:lang w:val="en-US"/>
              </w:rPr>
            </w:pPr>
            <w:r>
              <w:rPr>
                <w:rFonts w:hint="default" w:ascii="宋体" w:hAnsi="宋体" w:eastAsia="宋体"/>
                <w:color w:val="000000"/>
                <w:sz w:val="24"/>
                <w:szCs w:val="24"/>
                <w:highlight w:val="none"/>
                <w:lang w:val="en-US"/>
              </w:rPr>
              <w:t>2091199</w:t>
            </w:r>
          </w:p>
        </w:tc>
        <w:tc>
          <w:tcPr>
            <w:tcW w:w="5198" w:type="dxa"/>
            <w:tcBorders>
              <w:top w:val="single" w:color="auto" w:sz="4" w:space="0"/>
              <w:left w:val="single" w:color="auto" w:sz="4" w:space="0"/>
              <w:bottom w:val="single" w:color="auto" w:sz="4" w:space="0"/>
              <w:right w:val="single" w:color="auto" w:sz="4" w:space="0"/>
            </w:tcBorders>
            <w:noWrap w:val="0"/>
            <w:vAlign w:val="center"/>
          </w:tcPr>
          <w:p w14:paraId="3D4C3F7C">
            <w:pPr>
              <w:spacing w:line="240" w:lineRule="exact"/>
              <w:jc w:val="left"/>
              <w:rPr>
                <w:rFonts w:hint="default" w:ascii="宋体" w:hAnsi="宋体" w:eastAsia="宋体"/>
                <w:color w:val="000000"/>
                <w:sz w:val="24"/>
                <w:szCs w:val="24"/>
                <w:highlight w:val="none"/>
                <w:lang w:val="en-US" w:eastAsia="zh-CN"/>
              </w:rPr>
            </w:pPr>
            <w:r>
              <w:rPr>
                <w:rFonts w:hint="default" w:ascii="宋体" w:hAnsi="宋体" w:eastAsia="宋体"/>
                <w:color w:val="000000"/>
                <w:sz w:val="24"/>
                <w:szCs w:val="24"/>
                <w:highlight w:val="none"/>
                <w:lang w:val="en-US"/>
              </w:rPr>
              <w:t xml:space="preserve">      </w:t>
            </w:r>
            <w:r>
              <w:rPr>
                <w:rFonts w:hint="eastAsia" w:ascii="宋体" w:hAnsi="宋体" w:eastAsia="宋体"/>
                <w:color w:val="000000"/>
                <w:sz w:val="24"/>
                <w:szCs w:val="24"/>
                <w:highlight w:val="none"/>
                <w:lang w:val="en-US" w:eastAsia="zh-CN"/>
              </w:rPr>
              <w:t>其他支出</w:t>
            </w:r>
          </w:p>
        </w:tc>
        <w:tc>
          <w:tcPr>
            <w:tcW w:w="1601" w:type="dxa"/>
            <w:tcBorders>
              <w:top w:val="single" w:color="auto" w:sz="4" w:space="0"/>
              <w:left w:val="nil"/>
              <w:bottom w:val="single" w:color="auto" w:sz="4" w:space="0"/>
              <w:right w:val="single" w:color="auto" w:sz="4" w:space="0"/>
            </w:tcBorders>
            <w:noWrap w:val="0"/>
            <w:vAlign w:val="center"/>
          </w:tcPr>
          <w:p w14:paraId="644DD2A4">
            <w:pPr>
              <w:spacing w:line="240" w:lineRule="exact"/>
              <w:jc w:val="center"/>
              <w:rPr>
                <w:rFonts w:hint="default" w:ascii="宋体" w:hAnsi="宋体" w:eastAsia="宋体"/>
                <w:color w:val="000000"/>
                <w:sz w:val="24"/>
                <w:szCs w:val="24"/>
                <w:highlight w:val="none"/>
                <w:lang w:val="en-US"/>
              </w:rPr>
            </w:pPr>
            <w:r>
              <w:rPr>
                <w:rFonts w:hint="eastAsia" w:ascii="宋体" w:hAnsi="宋体" w:eastAsia="宋体"/>
                <w:color w:val="000000"/>
                <w:sz w:val="24"/>
                <w:szCs w:val="24"/>
                <w:highlight w:val="none"/>
                <w:lang w:val="en-US" w:eastAsia="zh-CN"/>
              </w:rPr>
              <w:t>8</w:t>
            </w:r>
          </w:p>
        </w:tc>
      </w:tr>
    </w:tbl>
    <w:p w14:paraId="5056E837">
      <w:pPr>
        <w:pStyle w:val="2"/>
        <w:ind w:left="0" w:leftChars="0" w:firstLine="0" w:firstLineChars="0"/>
        <w:rPr>
          <w:rFonts w:hint="eastAsia"/>
          <w:highlight w:val="none"/>
        </w:rPr>
      </w:pPr>
    </w:p>
    <w:p w14:paraId="6E7B99ED">
      <w:pPr>
        <w:pStyle w:val="16"/>
        <w:rPr>
          <w:rFonts w:hint="eastAsia"/>
          <w:highlight w:val="none"/>
          <w:lang w:val="en-US" w:eastAsia="zh-CN"/>
        </w:rPr>
      </w:pPr>
    </w:p>
    <w:sectPr>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宋体-方正超大字符集"/>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书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宋体-方正超大字符集">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3B383">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-86995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FB8A9C">
                          <w:pPr>
                            <w:pStyle w:val="8"/>
                            <w:rPr>
                              <w:rFonts w:eastAsia="仿宋"/>
                              <w:sz w:val="28"/>
                              <w:szCs w:val="32"/>
                            </w:rPr>
                          </w:pPr>
                          <w:r>
                            <w:rPr>
                              <w:rFonts w:eastAsia="仿宋"/>
                              <w:sz w:val="28"/>
                              <w:szCs w:val="32"/>
                            </w:rPr>
                            <w:fldChar w:fldCharType="begin"/>
                          </w:r>
                          <w:r>
                            <w:rPr>
                              <w:rFonts w:eastAsia="仿宋"/>
                              <w:sz w:val="28"/>
                              <w:szCs w:val="32"/>
                            </w:rPr>
                            <w:instrText xml:space="preserve"> PAGE  \* MERGEFORMAT </w:instrText>
                          </w:r>
                          <w:r>
                            <w:rPr>
                              <w:rFonts w:eastAsia="仿宋"/>
                              <w:sz w:val="28"/>
                              <w:szCs w:val="32"/>
                            </w:rPr>
                            <w:fldChar w:fldCharType="separate"/>
                          </w:r>
                          <w:r>
                            <w:rPr>
                              <w:rFonts w:eastAsia="仿宋"/>
                              <w:sz w:val="28"/>
                              <w:szCs w:val="32"/>
                            </w:rPr>
                            <w:t>1</w:t>
                          </w:r>
                          <w:r>
                            <w:rPr>
                              <w:rFonts w:eastAsia="仿宋"/>
                              <w:sz w:val="28"/>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6.85pt;height:144pt;width:144pt;mso-position-horizontal:outside;mso-position-horizontal-relative:margin;mso-wrap-style:none;z-index:251659264;mso-width-relative:page;mso-height-relative:page;" filled="f" stroked="f" coordsize="21600,21600" o:gfxdata="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Ncf8TWAAAACA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14:paraId="24FB8A9C">
                    <w:pPr>
                      <w:pStyle w:val="8"/>
                      <w:rPr>
                        <w:rFonts w:eastAsia="仿宋"/>
                        <w:sz w:val="28"/>
                        <w:szCs w:val="32"/>
                      </w:rPr>
                    </w:pPr>
                    <w:r>
                      <w:rPr>
                        <w:rFonts w:eastAsia="仿宋"/>
                        <w:sz w:val="28"/>
                        <w:szCs w:val="32"/>
                      </w:rPr>
                      <w:fldChar w:fldCharType="begin"/>
                    </w:r>
                    <w:r>
                      <w:rPr>
                        <w:rFonts w:eastAsia="仿宋"/>
                        <w:sz w:val="28"/>
                        <w:szCs w:val="32"/>
                      </w:rPr>
                      <w:instrText xml:space="preserve"> PAGE  \* MERGEFORMAT </w:instrText>
                    </w:r>
                    <w:r>
                      <w:rPr>
                        <w:rFonts w:eastAsia="仿宋"/>
                        <w:sz w:val="28"/>
                        <w:szCs w:val="32"/>
                      </w:rPr>
                      <w:fldChar w:fldCharType="separate"/>
                    </w:r>
                    <w:r>
                      <w:rPr>
                        <w:rFonts w:eastAsia="仿宋"/>
                        <w:sz w:val="28"/>
                        <w:szCs w:val="32"/>
                      </w:rPr>
                      <w:t>1</w:t>
                    </w:r>
                    <w:r>
                      <w:rPr>
                        <w:rFonts w:eastAsia="仿宋"/>
                        <w:sz w:val="28"/>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8C7FF6"/>
    <w:rsid w:val="013158CB"/>
    <w:rsid w:val="018E74AA"/>
    <w:rsid w:val="01C67268"/>
    <w:rsid w:val="02276740"/>
    <w:rsid w:val="02D87499"/>
    <w:rsid w:val="037E0CF9"/>
    <w:rsid w:val="03970EF3"/>
    <w:rsid w:val="03E92C00"/>
    <w:rsid w:val="04593960"/>
    <w:rsid w:val="0467276E"/>
    <w:rsid w:val="04D77ED9"/>
    <w:rsid w:val="04D822CC"/>
    <w:rsid w:val="04E40DF1"/>
    <w:rsid w:val="04EB11D9"/>
    <w:rsid w:val="050F19D9"/>
    <w:rsid w:val="05295E06"/>
    <w:rsid w:val="057E4737"/>
    <w:rsid w:val="05A61F5C"/>
    <w:rsid w:val="06400FEF"/>
    <w:rsid w:val="066A01BE"/>
    <w:rsid w:val="067937BA"/>
    <w:rsid w:val="06A35673"/>
    <w:rsid w:val="06BA1438"/>
    <w:rsid w:val="06C569FA"/>
    <w:rsid w:val="06CB26BA"/>
    <w:rsid w:val="06F32E73"/>
    <w:rsid w:val="071D6BDA"/>
    <w:rsid w:val="07534192"/>
    <w:rsid w:val="078F7164"/>
    <w:rsid w:val="07950224"/>
    <w:rsid w:val="07996A3D"/>
    <w:rsid w:val="07FC3326"/>
    <w:rsid w:val="08033CE0"/>
    <w:rsid w:val="08043FB5"/>
    <w:rsid w:val="08337FE2"/>
    <w:rsid w:val="0839381B"/>
    <w:rsid w:val="085F363E"/>
    <w:rsid w:val="08845B88"/>
    <w:rsid w:val="08BB5CE2"/>
    <w:rsid w:val="08FD4104"/>
    <w:rsid w:val="08FE7F8D"/>
    <w:rsid w:val="09223108"/>
    <w:rsid w:val="092F499C"/>
    <w:rsid w:val="09400DDB"/>
    <w:rsid w:val="094A65DE"/>
    <w:rsid w:val="095B460D"/>
    <w:rsid w:val="0973309A"/>
    <w:rsid w:val="0A961183"/>
    <w:rsid w:val="0B22734D"/>
    <w:rsid w:val="0B394110"/>
    <w:rsid w:val="0B4B4EA8"/>
    <w:rsid w:val="0B5D1FDF"/>
    <w:rsid w:val="0BA30B27"/>
    <w:rsid w:val="0BB7512F"/>
    <w:rsid w:val="0BF56429"/>
    <w:rsid w:val="0C331791"/>
    <w:rsid w:val="0C516199"/>
    <w:rsid w:val="0C557747"/>
    <w:rsid w:val="0C5701CA"/>
    <w:rsid w:val="0C6128C0"/>
    <w:rsid w:val="0C686768"/>
    <w:rsid w:val="0C993C46"/>
    <w:rsid w:val="0CFF1131"/>
    <w:rsid w:val="0D0E355B"/>
    <w:rsid w:val="0D223618"/>
    <w:rsid w:val="0D29449C"/>
    <w:rsid w:val="0D541F1C"/>
    <w:rsid w:val="0D572AA2"/>
    <w:rsid w:val="0D6D70C2"/>
    <w:rsid w:val="0DB20D09"/>
    <w:rsid w:val="0DDB0848"/>
    <w:rsid w:val="0DED11CC"/>
    <w:rsid w:val="0E733BE8"/>
    <w:rsid w:val="0EB80EE7"/>
    <w:rsid w:val="0EE67E01"/>
    <w:rsid w:val="0F260E02"/>
    <w:rsid w:val="0F684B57"/>
    <w:rsid w:val="0F7936BA"/>
    <w:rsid w:val="0FB30D28"/>
    <w:rsid w:val="11803EC2"/>
    <w:rsid w:val="11D336E6"/>
    <w:rsid w:val="11DD0D9F"/>
    <w:rsid w:val="11E001D5"/>
    <w:rsid w:val="11FA160D"/>
    <w:rsid w:val="120E466E"/>
    <w:rsid w:val="12102445"/>
    <w:rsid w:val="125A5D34"/>
    <w:rsid w:val="12B807D8"/>
    <w:rsid w:val="12B90746"/>
    <w:rsid w:val="132D2C84"/>
    <w:rsid w:val="134C373C"/>
    <w:rsid w:val="138C6520"/>
    <w:rsid w:val="13931452"/>
    <w:rsid w:val="139D148E"/>
    <w:rsid w:val="13C0396E"/>
    <w:rsid w:val="13C1487D"/>
    <w:rsid w:val="13DD5026"/>
    <w:rsid w:val="141A282E"/>
    <w:rsid w:val="14272BC7"/>
    <w:rsid w:val="143B7FF8"/>
    <w:rsid w:val="145B58F4"/>
    <w:rsid w:val="14A23AEA"/>
    <w:rsid w:val="14A74714"/>
    <w:rsid w:val="14EC0BF8"/>
    <w:rsid w:val="152B5553"/>
    <w:rsid w:val="153E39FD"/>
    <w:rsid w:val="154868CD"/>
    <w:rsid w:val="157736D8"/>
    <w:rsid w:val="157E0ECE"/>
    <w:rsid w:val="15990ED6"/>
    <w:rsid w:val="15D33694"/>
    <w:rsid w:val="15D93B67"/>
    <w:rsid w:val="15F72989"/>
    <w:rsid w:val="16250ADB"/>
    <w:rsid w:val="162D54E4"/>
    <w:rsid w:val="167A58EE"/>
    <w:rsid w:val="1681379E"/>
    <w:rsid w:val="16884C04"/>
    <w:rsid w:val="16E42A17"/>
    <w:rsid w:val="16FA5506"/>
    <w:rsid w:val="17496F91"/>
    <w:rsid w:val="17650D6F"/>
    <w:rsid w:val="17AC4229"/>
    <w:rsid w:val="17B60642"/>
    <w:rsid w:val="17EE3251"/>
    <w:rsid w:val="17EF364C"/>
    <w:rsid w:val="18600DAB"/>
    <w:rsid w:val="18843F17"/>
    <w:rsid w:val="189A336A"/>
    <w:rsid w:val="18B2002D"/>
    <w:rsid w:val="192F7735"/>
    <w:rsid w:val="19C80559"/>
    <w:rsid w:val="1A9A0F2F"/>
    <w:rsid w:val="1AC720AF"/>
    <w:rsid w:val="1ACE5888"/>
    <w:rsid w:val="1B0921EA"/>
    <w:rsid w:val="1B5C41F3"/>
    <w:rsid w:val="1B632815"/>
    <w:rsid w:val="1BB41653"/>
    <w:rsid w:val="1BE247F4"/>
    <w:rsid w:val="1C220F17"/>
    <w:rsid w:val="1C942022"/>
    <w:rsid w:val="1CBD494F"/>
    <w:rsid w:val="1D6E5E93"/>
    <w:rsid w:val="1D8B26CA"/>
    <w:rsid w:val="1E0B605A"/>
    <w:rsid w:val="1EAD1FE0"/>
    <w:rsid w:val="1F074DB5"/>
    <w:rsid w:val="1F0E1BAD"/>
    <w:rsid w:val="1F0F4603"/>
    <w:rsid w:val="1FE12520"/>
    <w:rsid w:val="201266DE"/>
    <w:rsid w:val="20174BCB"/>
    <w:rsid w:val="20495333"/>
    <w:rsid w:val="20A47F1D"/>
    <w:rsid w:val="20B1480A"/>
    <w:rsid w:val="20DA5DDE"/>
    <w:rsid w:val="210C6647"/>
    <w:rsid w:val="211017CA"/>
    <w:rsid w:val="216102D0"/>
    <w:rsid w:val="21930DCA"/>
    <w:rsid w:val="21A176F3"/>
    <w:rsid w:val="21B75D9D"/>
    <w:rsid w:val="21B84273"/>
    <w:rsid w:val="22011A68"/>
    <w:rsid w:val="2210639B"/>
    <w:rsid w:val="22157F98"/>
    <w:rsid w:val="22163297"/>
    <w:rsid w:val="22185880"/>
    <w:rsid w:val="222B101D"/>
    <w:rsid w:val="22914E91"/>
    <w:rsid w:val="22B41C29"/>
    <w:rsid w:val="22D8243B"/>
    <w:rsid w:val="22F8166B"/>
    <w:rsid w:val="230D4177"/>
    <w:rsid w:val="23197621"/>
    <w:rsid w:val="233674F1"/>
    <w:rsid w:val="234B10F5"/>
    <w:rsid w:val="237810A4"/>
    <w:rsid w:val="24352D3A"/>
    <w:rsid w:val="24475880"/>
    <w:rsid w:val="248E71B6"/>
    <w:rsid w:val="24C6757B"/>
    <w:rsid w:val="255A0E55"/>
    <w:rsid w:val="25A578D5"/>
    <w:rsid w:val="25DD24AD"/>
    <w:rsid w:val="26141908"/>
    <w:rsid w:val="26922548"/>
    <w:rsid w:val="26A70CCE"/>
    <w:rsid w:val="26F25A53"/>
    <w:rsid w:val="26F25F14"/>
    <w:rsid w:val="26FA48AE"/>
    <w:rsid w:val="27202AF6"/>
    <w:rsid w:val="2746412A"/>
    <w:rsid w:val="27657FB0"/>
    <w:rsid w:val="27732FE1"/>
    <w:rsid w:val="283A50A6"/>
    <w:rsid w:val="28457752"/>
    <w:rsid w:val="285D4B5C"/>
    <w:rsid w:val="286C2D61"/>
    <w:rsid w:val="2908153C"/>
    <w:rsid w:val="294E3079"/>
    <w:rsid w:val="295938E3"/>
    <w:rsid w:val="299F1E59"/>
    <w:rsid w:val="29D5322D"/>
    <w:rsid w:val="2A2E4BC0"/>
    <w:rsid w:val="2AC52B9E"/>
    <w:rsid w:val="2B7B1DFB"/>
    <w:rsid w:val="2BBB0ECF"/>
    <w:rsid w:val="2BCE5EE0"/>
    <w:rsid w:val="2C27277D"/>
    <w:rsid w:val="2C28363B"/>
    <w:rsid w:val="2C5867CF"/>
    <w:rsid w:val="2C5B12E8"/>
    <w:rsid w:val="2C867F83"/>
    <w:rsid w:val="2C8E45E3"/>
    <w:rsid w:val="2CCF5514"/>
    <w:rsid w:val="2CD340D2"/>
    <w:rsid w:val="2CF53EA9"/>
    <w:rsid w:val="2D265E64"/>
    <w:rsid w:val="2D2936DF"/>
    <w:rsid w:val="2D362BF6"/>
    <w:rsid w:val="2D3A7DC9"/>
    <w:rsid w:val="2D3F104B"/>
    <w:rsid w:val="2D3F7AA1"/>
    <w:rsid w:val="2D5002DA"/>
    <w:rsid w:val="2D7733A3"/>
    <w:rsid w:val="2DCA2418"/>
    <w:rsid w:val="2DDD551E"/>
    <w:rsid w:val="2DF32879"/>
    <w:rsid w:val="2E153659"/>
    <w:rsid w:val="2E203BBC"/>
    <w:rsid w:val="2E277CC4"/>
    <w:rsid w:val="2F543F77"/>
    <w:rsid w:val="2F8A6C43"/>
    <w:rsid w:val="2FCE4F8D"/>
    <w:rsid w:val="301607F4"/>
    <w:rsid w:val="30401638"/>
    <w:rsid w:val="3049706E"/>
    <w:rsid w:val="304C69F8"/>
    <w:rsid w:val="309700A8"/>
    <w:rsid w:val="30C62B96"/>
    <w:rsid w:val="312E3892"/>
    <w:rsid w:val="31453464"/>
    <w:rsid w:val="31490512"/>
    <w:rsid w:val="31565C87"/>
    <w:rsid w:val="31666392"/>
    <w:rsid w:val="316F462F"/>
    <w:rsid w:val="31BD65A6"/>
    <w:rsid w:val="31CC0DBF"/>
    <w:rsid w:val="31D27B39"/>
    <w:rsid w:val="31E7630B"/>
    <w:rsid w:val="31EA0843"/>
    <w:rsid w:val="320226BB"/>
    <w:rsid w:val="324B7DB0"/>
    <w:rsid w:val="32751217"/>
    <w:rsid w:val="32BF25BD"/>
    <w:rsid w:val="32E81053"/>
    <w:rsid w:val="33A17526"/>
    <w:rsid w:val="33A64935"/>
    <w:rsid w:val="33A71D03"/>
    <w:rsid w:val="33AE2DF3"/>
    <w:rsid w:val="33B537B2"/>
    <w:rsid w:val="340940D6"/>
    <w:rsid w:val="34972557"/>
    <w:rsid w:val="34AC5114"/>
    <w:rsid w:val="35520842"/>
    <w:rsid w:val="3572573D"/>
    <w:rsid w:val="35A87AF3"/>
    <w:rsid w:val="35B37625"/>
    <w:rsid w:val="363F46D0"/>
    <w:rsid w:val="36506685"/>
    <w:rsid w:val="36681236"/>
    <w:rsid w:val="368E5BE7"/>
    <w:rsid w:val="3697122D"/>
    <w:rsid w:val="36A82CCD"/>
    <w:rsid w:val="36F749A7"/>
    <w:rsid w:val="37006FE2"/>
    <w:rsid w:val="373E6FB2"/>
    <w:rsid w:val="37423CAD"/>
    <w:rsid w:val="375223CF"/>
    <w:rsid w:val="37556BD7"/>
    <w:rsid w:val="379277BF"/>
    <w:rsid w:val="37AA6032"/>
    <w:rsid w:val="383508FC"/>
    <w:rsid w:val="3851639F"/>
    <w:rsid w:val="38885395"/>
    <w:rsid w:val="38997682"/>
    <w:rsid w:val="39B24772"/>
    <w:rsid w:val="39BD6FC6"/>
    <w:rsid w:val="3A556BAF"/>
    <w:rsid w:val="3A6A61E5"/>
    <w:rsid w:val="3A8A3D37"/>
    <w:rsid w:val="3AE07043"/>
    <w:rsid w:val="3AF61456"/>
    <w:rsid w:val="3B1341A7"/>
    <w:rsid w:val="3B3224BA"/>
    <w:rsid w:val="3B8A161E"/>
    <w:rsid w:val="3BD43417"/>
    <w:rsid w:val="3C01545E"/>
    <w:rsid w:val="3C7D2A83"/>
    <w:rsid w:val="3C7F7BF7"/>
    <w:rsid w:val="3C930CED"/>
    <w:rsid w:val="3C964AFC"/>
    <w:rsid w:val="3CA36A53"/>
    <w:rsid w:val="3CA64738"/>
    <w:rsid w:val="3CBD0C30"/>
    <w:rsid w:val="3CCA0129"/>
    <w:rsid w:val="3D0D796C"/>
    <w:rsid w:val="3D6B67D2"/>
    <w:rsid w:val="3DD43263"/>
    <w:rsid w:val="3DD66F74"/>
    <w:rsid w:val="3E7E7594"/>
    <w:rsid w:val="3EAD487E"/>
    <w:rsid w:val="3EDE7436"/>
    <w:rsid w:val="3F357535"/>
    <w:rsid w:val="3F3A0D21"/>
    <w:rsid w:val="3F6425F4"/>
    <w:rsid w:val="3F650DAA"/>
    <w:rsid w:val="3F684F93"/>
    <w:rsid w:val="3F6B3D19"/>
    <w:rsid w:val="3F7A3C6B"/>
    <w:rsid w:val="3FA77F97"/>
    <w:rsid w:val="3FAD38E3"/>
    <w:rsid w:val="402E72DA"/>
    <w:rsid w:val="40321960"/>
    <w:rsid w:val="40610FCA"/>
    <w:rsid w:val="40775150"/>
    <w:rsid w:val="40B97F5D"/>
    <w:rsid w:val="413773A1"/>
    <w:rsid w:val="41915865"/>
    <w:rsid w:val="41AE2C4F"/>
    <w:rsid w:val="421538F8"/>
    <w:rsid w:val="424F35E1"/>
    <w:rsid w:val="42880F25"/>
    <w:rsid w:val="42F83EEA"/>
    <w:rsid w:val="43513BE1"/>
    <w:rsid w:val="4376762D"/>
    <w:rsid w:val="437C44CA"/>
    <w:rsid w:val="441C5AD0"/>
    <w:rsid w:val="4430746A"/>
    <w:rsid w:val="445A06D6"/>
    <w:rsid w:val="447943E7"/>
    <w:rsid w:val="44996E9A"/>
    <w:rsid w:val="44C41167"/>
    <w:rsid w:val="44F71432"/>
    <w:rsid w:val="451B5649"/>
    <w:rsid w:val="451E2976"/>
    <w:rsid w:val="451E47A1"/>
    <w:rsid w:val="45253332"/>
    <w:rsid w:val="45310312"/>
    <w:rsid w:val="45DD5636"/>
    <w:rsid w:val="45EF7A7F"/>
    <w:rsid w:val="46033BF9"/>
    <w:rsid w:val="46132E83"/>
    <w:rsid w:val="463A3542"/>
    <w:rsid w:val="465A3516"/>
    <w:rsid w:val="46807080"/>
    <w:rsid w:val="468F024E"/>
    <w:rsid w:val="46E95465"/>
    <w:rsid w:val="4731460F"/>
    <w:rsid w:val="479F7EC6"/>
    <w:rsid w:val="47C66A46"/>
    <w:rsid w:val="47F55D34"/>
    <w:rsid w:val="48226466"/>
    <w:rsid w:val="4828256E"/>
    <w:rsid w:val="486F6565"/>
    <w:rsid w:val="48744BEB"/>
    <w:rsid w:val="487B2B51"/>
    <w:rsid w:val="487B7125"/>
    <w:rsid w:val="48AA0A8A"/>
    <w:rsid w:val="48C25943"/>
    <w:rsid w:val="48C33572"/>
    <w:rsid w:val="49064E04"/>
    <w:rsid w:val="49430333"/>
    <w:rsid w:val="496307FC"/>
    <w:rsid w:val="49A745F8"/>
    <w:rsid w:val="49BA4B0C"/>
    <w:rsid w:val="49C41134"/>
    <w:rsid w:val="4A697ED8"/>
    <w:rsid w:val="4A6E3AAD"/>
    <w:rsid w:val="4A7346B1"/>
    <w:rsid w:val="4A8329BC"/>
    <w:rsid w:val="4ABC3611"/>
    <w:rsid w:val="4ACA7879"/>
    <w:rsid w:val="4B054C48"/>
    <w:rsid w:val="4B304BAF"/>
    <w:rsid w:val="4BB23765"/>
    <w:rsid w:val="4BC423A1"/>
    <w:rsid w:val="4C140E7B"/>
    <w:rsid w:val="4C6F23A8"/>
    <w:rsid w:val="4C714B34"/>
    <w:rsid w:val="4C885DC8"/>
    <w:rsid w:val="4C93578A"/>
    <w:rsid w:val="4CC04859"/>
    <w:rsid w:val="4CFC1B5C"/>
    <w:rsid w:val="4D670057"/>
    <w:rsid w:val="4DCC655E"/>
    <w:rsid w:val="4E1431C7"/>
    <w:rsid w:val="4E1F31F2"/>
    <w:rsid w:val="4E594017"/>
    <w:rsid w:val="4E6776E2"/>
    <w:rsid w:val="4ED107DE"/>
    <w:rsid w:val="4EED611E"/>
    <w:rsid w:val="4FA252B3"/>
    <w:rsid w:val="4FA541C0"/>
    <w:rsid w:val="4FF560BE"/>
    <w:rsid w:val="500D6A78"/>
    <w:rsid w:val="505B028A"/>
    <w:rsid w:val="505F648C"/>
    <w:rsid w:val="506A1412"/>
    <w:rsid w:val="50E338A4"/>
    <w:rsid w:val="51501AF7"/>
    <w:rsid w:val="51750A31"/>
    <w:rsid w:val="51AA7C07"/>
    <w:rsid w:val="51B41DC4"/>
    <w:rsid w:val="51E43F9B"/>
    <w:rsid w:val="521767FF"/>
    <w:rsid w:val="526C6A6C"/>
    <w:rsid w:val="526F4850"/>
    <w:rsid w:val="52840BEF"/>
    <w:rsid w:val="528F4A01"/>
    <w:rsid w:val="52BC67CA"/>
    <w:rsid w:val="52E12AAE"/>
    <w:rsid w:val="535B2E50"/>
    <w:rsid w:val="53A0176D"/>
    <w:rsid w:val="53B15218"/>
    <w:rsid w:val="53B52F0B"/>
    <w:rsid w:val="5456436D"/>
    <w:rsid w:val="54637DFF"/>
    <w:rsid w:val="54744660"/>
    <w:rsid w:val="5475139F"/>
    <w:rsid w:val="54C2734A"/>
    <w:rsid w:val="552272C4"/>
    <w:rsid w:val="55457176"/>
    <w:rsid w:val="55492297"/>
    <w:rsid w:val="555B0397"/>
    <w:rsid w:val="55881008"/>
    <w:rsid w:val="564E7C46"/>
    <w:rsid w:val="56611E44"/>
    <w:rsid w:val="567F6E75"/>
    <w:rsid w:val="56C56E5C"/>
    <w:rsid w:val="56D67884"/>
    <w:rsid w:val="57326CBD"/>
    <w:rsid w:val="573F3281"/>
    <w:rsid w:val="57992320"/>
    <w:rsid w:val="57F441CE"/>
    <w:rsid w:val="58122C57"/>
    <w:rsid w:val="584D3DDB"/>
    <w:rsid w:val="58641614"/>
    <w:rsid w:val="58AE1896"/>
    <w:rsid w:val="58E65ABE"/>
    <w:rsid w:val="59061A30"/>
    <w:rsid w:val="59481887"/>
    <w:rsid w:val="594D6008"/>
    <w:rsid w:val="5A3745AC"/>
    <w:rsid w:val="5A6A5B04"/>
    <w:rsid w:val="5AA43F88"/>
    <w:rsid w:val="5AAE7B53"/>
    <w:rsid w:val="5B0F4A76"/>
    <w:rsid w:val="5B301727"/>
    <w:rsid w:val="5BFF3A5C"/>
    <w:rsid w:val="5C104619"/>
    <w:rsid w:val="5D0B6D95"/>
    <w:rsid w:val="5D7957EA"/>
    <w:rsid w:val="5D7F5AF4"/>
    <w:rsid w:val="5D9975BA"/>
    <w:rsid w:val="5DAF1B6F"/>
    <w:rsid w:val="5DDF61DF"/>
    <w:rsid w:val="5DEE62F1"/>
    <w:rsid w:val="5E042315"/>
    <w:rsid w:val="5E3E4C2D"/>
    <w:rsid w:val="5E583259"/>
    <w:rsid w:val="5E5A3CEF"/>
    <w:rsid w:val="5EF07AF3"/>
    <w:rsid w:val="5EFB0B5D"/>
    <w:rsid w:val="5F0955FB"/>
    <w:rsid w:val="5F4B2D0A"/>
    <w:rsid w:val="5F6F4BC7"/>
    <w:rsid w:val="5FC14BD7"/>
    <w:rsid w:val="5FF63F7F"/>
    <w:rsid w:val="601879B6"/>
    <w:rsid w:val="603B41E2"/>
    <w:rsid w:val="60410B7B"/>
    <w:rsid w:val="60A613CD"/>
    <w:rsid w:val="60D3721E"/>
    <w:rsid w:val="60E03B7C"/>
    <w:rsid w:val="6104413C"/>
    <w:rsid w:val="61451EBB"/>
    <w:rsid w:val="61B73BAC"/>
    <w:rsid w:val="61E200DF"/>
    <w:rsid w:val="61E20F62"/>
    <w:rsid w:val="61EF75BD"/>
    <w:rsid w:val="626B0C80"/>
    <w:rsid w:val="62B87624"/>
    <w:rsid w:val="62CC15BD"/>
    <w:rsid w:val="63340B4D"/>
    <w:rsid w:val="633C2FF7"/>
    <w:rsid w:val="634C083A"/>
    <w:rsid w:val="6370220E"/>
    <w:rsid w:val="63AA400F"/>
    <w:rsid w:val="63F01C15"/>
    <w:rsid w:val="64020D48"/>
    <w:rsid w:val="641F3245"/>
    <w:rsid w:val="643F3505"/>
    <w:rsid w:val="644F6A1D"/>
    <w:rsid w:val="646D1B4F"/>
    <w:rsid w:val="64713DD8"/>
    <w:rsid w:val="64905C32"/>
    <w:rsid w:val="64982919"/>
    <w:rsid w:val="64DA02BA"/>
    <w:rsid w:val="65211A1B"/>
    <w:rsid w:val="652F768E"/>
    <w:rsid w:val="653D3F7B"/>
    <w:rsid w:val="6587477F"/>
    <w:rsid w:val="65875B1F"/>
    <w:rsid w:val="65923EB0"/>
    <w:rsid w:val="65EC5921"/>
    <w:rsid w:val="660F4346"/>
    <w:rsid w:val="66375CC2"/>
    <w:rsid w:val="666F381C"/>
    <w:rsid w:val="669C04B3"/>
    <w:rsid w:val="66E6246F"/>
    <w:rsid w:val="67246844"/>
    <w:rsid w:val="676C1A4D"/>
    <w:rsid w:val="67762DCB"/>
    <w:rsid w:val="679824DF"/>
    <w:rsid w:val="67BB0C36"/>
    <w:rsid w:val="68154334"/>
    <w:rsid w:val="683B7691"/>
    <w:rsid w:val="6857373E"/>
    <w:rsid w:val="68B94D67"/>
    <w:rsid w:val="68E542A7"/>
    <w:rsid w:val="69032DA6"/>
    <w:rsid w:val="695E42D4"/>
    <w:rsid w:val="6A4576E6"/>
    <w:rsid w:val="6AD719CA"/>
    <w:rsid w:val="6B1829D4"/>
    <w:rsid w:val="6B572DD6"/>
    <w:rsid w:val="6B575F9B"/>
    <w:rsid w:val="6B805C3D"/>
    <w:rsid w:val="6B8A3C05"/>
    <w:rsid w:val="6B9570A0"/>
    <w:rsid w:val="6BC563EB"/>
    <w:rsid w:val="6BE63E44"/>
    <w:rsid w:val="6C5C1236"/>
    <w:rsid w:val="6CBC5B71"/>
    <w:rsid w:val="6CD04B4C"/>
    <w:rsid w:val="6CFB33C6"/>
    <w:rsid w:val="6D1E0194"/>
    <w:rsid w:val="6DF830CC"/>
    <w:rsid w:val="6E2942A4"/>
    <w:rsid w:val="6E424A83"/>
    <w:rsid w:val="6E603769"/>
    <w:rsid w:val="6E616D28"/>
    <w:rsid w:val="6EB64947"/>
    <w:rsid w:val="6EB64FD5"/>
    <w:rsid w:val="6F2056E2"/>
    <w:rsid w:val="6F3A1408"/>
    <w:rsid w:val="6F465BCD"/>
    <w:rsid w:val="6F542662"/>
    <w:rsid w:val="6F5B061D"/>
    <w:rsid w:val="6F6D1136"/>
    <w:rsid w:val="703F6800"/>
    <w:rsid w:val="70541D86"/>
    <w:rsid w:val="70E368C6"/>
    <w:rsid w:val="70E660DA"/>
    <w:rsid w:val="70F91769"/>
    <w:rsid w:val="71112F06"/>
    <w:rsid w:val="713D78E5"/>
    <w:rsid w:val="714A49EB"/>
    <w:rsid w:val="71BF242C"/>
    <w:rsid w:val="71F235CA"/>
    <w:rsid w:val="71F34D41"/>
    <w:rsid w:val="722A522B"/>
    <w:rsid w:val="72385979"/>
    <w:rsid w:val="723A06A5"/>
    <w:rsid w:val="725A69AF"/>
    <w:rsid w:val="729E3A2F"/>
    <w:rsid w:val="72C773DB"/>
    <w:rsid w:val="72EA3AF6"/>
    <w:rsid w:val="72F96CB0"/>
    <w:rsid w:val="732E6E74"/>
    <w:rsid w:val="7350430B"/>
    <w:rsid w:val="736715D7"/>
    <w:rsid w:val="73B150A7"/>
    <w:rsid w:val="73DE6776"/>
    <w:rsid w:val="73E2073D"/>
    <w:rsid w:val="74182679"/>
    <w:rsid w:val="7465272F"/>
    <w:rsid w:val="747D5182"/>
    <w:rsid w:val="74972D33"/>
    <w:rsid w:val="74E6183A"/>
    <w:rsid w:val="75256FA6"/>
    <w:rsid w:val="755F74C6"/>
    <w:rsid w:val="75A13DF1"/>
    <w:rsid w:val="75E654AB"/>
    <w:rsid w:val="7625564B"/>
    <w:rsid w:val="76B665C2"/>
    <w:rsid w:val="76C00A23"/>
    <w:rsid w:val="76E135E8"/>
    <w:rsid w:val="77050FC7"/>
    <w:rsid w:val="772365F9"/>
    <w:rsid w:val="778C5CAD"/>
    <w:rsid w:val="779766F5"/>
    <w:rsid w:val="78224FC5"/>
    <w:rsid w:val="787724F6"/>
    <w:rsid w:val="78A029F4"/>
    <w:rsid w:val="78C932F6"/>
    <w:rsid w:val="78CF7CC0"/>
    <w:rsid w:val="78E14D79"/>
    <w:rsid w:val="79023547"/>
    <w:rsid w:val="791407B4"/>
    <w:rsid w:val="791555BE"/>
    <w:rsid w:val="792844C9"/>
    <w:rsid w:val="792F1EEF"/>
    <w:rsid w:val="7A8E0021"/>
    <w:rsid w:val="7AEC25B9"/>
    <w:rsid w:val="7B2A3B18"/>
    <w:rsid w:val="7B2E3935"/>
    <w:rsid w:val="7B932E1C"/>
    <w:rsid w:val="7B953C27"/>
    <w:rsid w:val="7B9A6D63"/>
    <w:rsid w:val="7BBF3C16"/>
    <w:rsid w:val="7BD07123"/>
    <w:rsid w:val="7BE45341"/>
    <w:rsid w:val="7BE76C61"/>
    <w:rsid w:val="7BE83755"/>
    <w:rsid w:val="7BED2919"/>
    <w:rsid w:val="7BEE607B"/>
    <w:rsid w:val="7C8B67B4"/>
    <w:rsid w:val="7C956F11"/>
    <w:rsid w:val="7CC269BB"/>
    <w:rsid w:val="7CD2070A"/>
    <w:rsid w:val="7DBC01D8"/>
    <w:rsid w:val="7DD71BE2"/>
    <w:rsid w:val="7E1B5039"/>
    <w:rsid w:val="7EC73B8E"/>
    <w:rsid w:val="7EE231B1"/>
    <w:rsid w:val="7EEF54AE"/>
    <w:rsid w:val="7F342DC6"/>
    <w:rsid w:val="7F900C29"/>
    <w:rsid w:val="7FAB3D5C"/>
    <w:rsid w:val="7FB9010B"/>
    <w:rsid w:val="7FC040FB"/>
    <w:rsid w:val="7FCC03E9"/>
    <w:rsid w:val="7FDD36D6"/>
    <w:rsid w:val="7FE43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qFormat/>
    <w:uiPriority w:val="0"/>
    <w:pPr>
      <w:keepNext/>
      <w:keepLines/>
      <w:spacing w:beforeLines="0" w:beforeAutospacing="0" w:afterLines="0" w:afterAutospacing="0" w:line="580" w:lineRule="exact"/>
      <w:ind w:firstLine="0" w:firstLineChars="0"/>
      <w:jc w:val="center"/>
      <w:outlineLvl w:val="0"/>
    </w:pPr>
    <w:rPr>
      <w:rFonts w:ascii="Calibri" w:hAnsi="Calibri" w:eastAsia="方正小标宋简体" w:cs="Times New Roman"/>
      <w:b/>
      <w:kern w:val="44"/>
      <w:sz w:val="4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line="600" w:lineRule="exact"/>
      <w:ind w:left="420" w:leftChars="200" w:firstLine="420"/>
    </w:pPr>
    <w:rPr>
      <w:rFonts w:ascii="Times New Roman" w:eastAsia="仿宋_GB2312"/>
      <w:szCs w:val="20"/>
    </w:rPr>
  </w:style>
  <w:style w:type="paragraph" w:styleId="3">
    <w:name w:val="Body Text Indent"/>
    <w:basedOn w:val="1"/>
    <w:next w:val="4"/>
    <w:qFormat/>
    <w:uiPriority w:val="0"/>
    <w:pPr>
      <w:ind w:left="200" w:leftChars="200"/>
    </w:pPr>
    <w:rPr>
      <w:rFonts w:ascii="Times New Roman" w:hAnsi="Times New Roman"/>
    </w:rPr>
  </w:style>
  <w:style w:type="paragraph" w:styleId="4">
    <w:name w:val="Body Text"/>
    <w:basedOn w:val="1"/>
    <w:next w:val="5"/>
    <w:qFormat/>
    <w:uiPriority w:val="0"/>
    <w:pPr>
      <w:spacing w:line="600" w:lineRule="exact"/>
    </w:pPr>
    <w:rPr>
      <w:rFonts w:ascii="仿宋_GB2312" w:eastAsia="仿宋_GB2312"/>
    </w:rPr>
  </w:style>
  <w:style w:type="paragraph" w:styleId="5">
    <w:name w:val="toc 5"/>
    <w:basedOn w:val="1"/>
    <w:next w:val="1"/>
    <w:unhideWhenUsed/>
    <w:qFormat/>
    <w:uiPriority w:val="39"/>
    <w:pPr>
      <w:ind w:left="1680" w:leftChars="800"/>
    </w:pPr>
  </w:style>
  <w:style w:type="paragraph" w:styleId="7">
    <w:name w:val="Normal Indent"/>
    <w:basedOn w:val="1"/>
    <w:qFormat/>
    <w:uiPriority w:val="99"/>
    <w:pPr>
      <w:ind w:firstLine="200" w:firstLineChars="200"/>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2"/>
    <w:basedOn w:val="1"/>
    <w:next w:val="1"/>
    <w:qFormat/>
    <w:uiPriority w:val="0"/>
    <w:pPr>
      <w:ind w:left="420" w:leftChars="200"/>
    </w:pPr>
    <w:rPr>
      <w:rFonts w:ascii="Calibri" w:hAnsi="Calibri" w:eastAsia="宋体" w:cs="Times New Roman"/>
      <w:szCs w:val="24"/>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4">
    <w:name w:val="Strong"/>
    <w:basedOn w:val="13"/>
    <w:qFormat/>
    <w:uiPriority w:val="22"/>
    <w:rPr>
      <w:b/>
      <w:bCs/>
    </w:rPr>
  </w:style>
  <w:style w:type="character" w:styleId="15">
    <w:name w:val="page number"/>
    <w:basedOn w:val="13"/>
    <w:qFormat/>
    <w:uiPriority w:val="0"/>
  </w:style>
  <w:style w:type="paragraph" w:customStyle="1" w:styleId="16">
    <w:name w:val="Normal Indent1"/>
    <w:basedOn w:val="1"/>
    <w:qFormat/>
    <w:uiPriority w:val="0"/>
    <w:pPr>
      <w:widowControl w:val="0"/>
      <w:adjustRightInd/>
      <w:snapToGrid/>
      <w:spacing w:after="0" w:line="660" w:lineRule="exact"/>
      <w:ind w:firstLine="720" w:firstLineChars="200"/>
      <w:jc w:val="both"/>
    </w:pPr>
    <w:rPr>
      <w:rFonts w:ascii="Calibri" w:hAnsi="Calibri" w:eastAsia="楷体_GB2312" w:cs="Times New Roman"/>
      <w:kern w:val="2"/>
      <w:sz w:val="36"/>
      <w:szCs w:val="36"/>
    </w:rPr>
  </w:style>
  <w:style w:type="paragraph" w:customStyle="1" w:styleId="17">
    <w:name w:val="NormalIndent"/>
    <w:basedOn w:val="1"/>
    <w:qFormat/>
    <w:uiPriority w:val="0"/>
    <w:pPr>
      <w:widowControl/>
      <w:ind w:firstLine="420"/>
      <w:textAlignment w:val="baseline"/>
    </w:pPr>
    <w:rPr>
      <w:szCs w:val="20"/>
    </w:rPr>
  </w:style>
  <w:style w:type="paragraph" w:customStyle="1" w:styleId="18">
    <w:name w:val="默认段落字体 Para Char Char Char Char Char Char Char"/>
    <w:basedOn w:val="1"/>
    <w:qFormat/>
    <w:uiPriority w:val="0"/>
    <w:rPr>
      <w:sz w:val="13"/>
      <w:szCs w:val="13"/>
    </w:rPr>
  </w:style>
  <w:style w:type="paragraph" w:customStyle="1" w:styleId="19">
    <w:name w:val="正文文本首行缩进 2"/>
    <w:basedOn w:val="3"/>
    <w:next w:val="1"/>
    <w:qFormat/>
    <w:uiPriority w:val="0"/>
    <w:pPr>
      <w:ind w:firstLine="200" w:firstLineChars="200"/>
    </w:pPr>
  </w:style>
  <w:style w:type="character" w:customStyle="1" w:styleId="20">
    <w:name w:val="font11"/>
    <w:basedOn w:val="13"/>
    <w:qFormat/>
    <w:uiPriority w:val="0"/>
    <w:rPr>
      <w:rFonts w:hint="eastAsia" w:ascii="宋体" w:hAnsi="宋体" w:eastAsia="宋体" w:cs="宋体"/>
      <w:b/>
      <w:bCs/>
      <w:color w:val="000000"/>
      <w:sz w:val="24"/>
      <w:szCs w:val="24"/>
      <w:u w:val="none"/>
    </w:rPr>
  </w:style>
  <w:style w:type="character" w:customStyle="1" w:styleId="21">
    <w:name w:val="font41"/>
    <w:basedOn w:val="13"/>
    <w:qFormat/>
    <w:uiPriority w:val="0"/>
    <w:rPr>
      <w:rFonts w:hint="eastAsia" w:ascii="宋体" w:hAnsi="宋体" w:eastAsia="宋体" w:cs="宋体"/>
      <w:b/>
      <w:bCs/>
      <w:color w:val="000000"/>
      <w:sz w:val="22"/>
      <w:szCs w:val="22"/>
      <w:u w:val="none"/>
    </w:rPr>
  </w:style>
  <w:style w:type="character" w:customStyle="1" w:styleId="22">
    <w:name w:val="font81"/>
    <w:basedOn w:val="13"/>
    <w:qFormat/>
    <w:uiPriority w:val="0"/>
    <w:rPr>
      <w:rFonts w:hint="default" w:ascii="Times New Roman" w:hAnsi="Times New Roman" w:cs="Times New Roman"/>
      <w:b/>
      <w:bCs/>
      <w:color w:val="000000"/>
      <w:sz w:val="22"/>
      <w:szCs w:val="22"/>
      <w:u w:val="none"/>
    </w:rPr>
  </w:style>
  <w:style w:type="character" w:customStyle="1" w:styleId="23">
    <w:name w:val="font91"/>
    <w:basedOn w:val="13"/>
    <w:qFormat/>
    <w:uiPriority w:val="0"/>
    <w:rPr>
      <w:rFonts w:hint="default" w:ascii="Times New Roman" w:hAnsi="Times New Roman" w:cs="Times New Roman"/>
      <w:b/>
      <w:bCs/>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8377</Words>
  <Characters>9777</Characters>
  <Lines>0</Lines>
  <Paragraphs>0</Paragraphs>
  <TotalTime>33</TotalTime>
  <ScaleCrop>false</ScaleCrop>
  <LinksUpToDate>false</LinksUpToDate>
  <CharactersWithSpaces>10106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2022-12-24T10:13:00Z</dcterms:created>
  <dc:creator>Administrator</dc:creator>
  <cp:lastModifiedBy>Am</cp:lastModifiedBy>
  <cp:lastPrinted>2024-02-21T09:02:00Z</cp:lastPrinted>
  <dcterms:modified xsi:type="dcterms:W3CDTF">2025-10-22T00:51:46Z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77C4D69A0BE5459EB8C183E911A5FA70</vt:lpwstr>
  </property>
  <property fmtid="{D5CDD505-2E9C-101B-9397-08002B2CF9AE}" pid="4" name="KSOTemplateDocerSaveRecord">
    <vt:lpwstr>eyJoZGlkIjoiYjZkOTdiNmRlNjVjYTc0MzZmZTVjZTVmMjZhMTMyMmMiLCJ1c2VySWQiOiIxMjI0Mjk2Nzk5In0=</vt:lpwstr>
  </property>
</Properties>
</file>