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rPr>
          <w:rFonts w:hint="eastAsia" w:eastAsia="方正仿宋_GBK"/>
          <w:lang w:val="en-US"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rPr>
          <w:rFonts w:hint="eastAsia"/>
          <w:lang w:val="en-US" w:eastAsia="zh-CN"/>
        </w:rPr>
        <w:t>.............</w:t>
      </w:r>
      <w:r>
        <w:fldChar w:fldCharType="end"/>
      </w:r>
      <w:r>
        <w:rPr>
          <w:rFonts w:hint="eastAsia"/>
          <w:lang w:val="en-US" w:eastAsia="zh-CN"/>
        </w:rPr>
        <w:t>1</w:t>
      </w:r>
    </w:p>
    <w:p>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default"/>
          <w:lang w:val="en-US"/>
        </w:rPr>
        <w:t>4</w:t>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8</w:t>
      </w:r>
      <w:r>
        <w:fldChar w:fldCharType="end"/>
      </w:r>
    </w:p>
    <w:p>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1</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1</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2</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default"/>
          <w:lang w:val="en-US"/>
        </w:rPr>
        <w:t>2</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default"/>
          <w:lang w:val="en-US"/>
        </w:rPr>
        <w:t>2</w:t>
      </w:r>
      <w:r>
        <w:fldChar w:fldCharType="end"/>
      </w:r>
      <w:r>
        <w:rPr>
          <w:rFonts w:hint="default"/>
          <w:lang w:val="en-US"/>
        </w:rPr>
        <w:t>3</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default"/>
          <w:lang w:val="en-US"/>
        </w:rPr>
        <w:t>2</w:t>
      </w:r>
      <w:r>
        <w:fldChar w:fldCharType="end"/>
      </w:r>
      <w:r>
        <w:rPr>
          <w:rFonts w:hint="default"/>
          <w:lang w:val="en-US"/>
        </w:rPr>
        <w:t>5</w:t>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default"/>
          <w:lang w:val="en-US"/>
        </w:rPr>
        <w:t>2</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"_Toc_3_3_0000000014" </w:instrText>
      </w:r>
      <w:r>
        <w:fldChar w:fldCharType="separate"/>
      </w:r>
      <w:r>
        <w:t>五、</w:t>
      </w:r>
      <w:r>
        <w:rPr>
          <w:rFonts w:hint="eastAsia"/>
          <w:lang w:val="en-US" w:eastAsia="zh-CN"/>
        </w:rPr>
        <w:t>单位项目预算安排情况及</w:t>
      </w:r>
      <w:r>
        <w:t>绩效目标</w:t>
      </w:r>
      <w:r>
        <w:tab/>
      </w:r>
      <w:r>
        <w:rPr>
          <w:rFonts w:hint="default"/>
          <w:lang w:val="en-US"/>
        </w:rPr>
        <w:t>2</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"_Toc_3_3_0000000015" </w:instrText>
      </w:r>
      <w:r>
        <w:fldChar w:fldCharType="separate"/>
      </w:r>
      <w:r>
        <w:t>六、政府采购预算情况</w:t>
      </w:r>
      <w:r>
        <w:tab/>
      </w:r>
      <w:r>
        <w:rPr>
          <w:rFonts w:hint="default"/>
          <w:lang w:val="en-US"/>
        </w:rPr>
        <w:t>2</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"_Toc_3_3_0000000016" </w:instrText>
      </w:r>
      <w:r>
        <w:fldChar w:fldCharType="separate"/>
      </w:r>
      <w:r>
        <w:t>七、国有资产信息</w:t>
      </w:r>
      <w:r>
        <w:tab/>
      </w:r>
      <w:r>
        <w:rPr>
          <w:rFonts w:hint="default"/>
          <w:lang w:val="en-US"/>
        </w:rPr>
        <w:t>2</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t>八、名词解释</w:t>
      </w:r>
      <w:r>
        <w:tab/>
      </w:r>
      <w:r>
        <w:rPr>
          <w:rFonts w:hint="default"/>
          <w:lang w:val="en-US"/>
        </w:rPr>
        <w:t>2</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"_Toc_3_3_0000000018" </w:instrText>
      </w:r>
      <w:r>
        <w:fldChar w:fldCharType="separate"/>
      </w:r>
      <w:r>
        <w:t>九、其他需要说明的事项</w:t>
      </w:r>
      <w:r>
        <w:tab/>
      </w:r>
      <w:r>
        <w:rPr>
          <w:rFonts w:hint="default"/>
          <w:lang w:val="en-US"/>
        </w:rPr>
        <w:t>3</w:t>
      </w:r>
      <w:r>
        <w:fldChar w:fldCharType="end"/>
      </w:r>
      <w:r>
        <w:rPr>
          <w:rFonts w:hint="default"/>
          <w:lang w:val="en-US"/>
        </w:rPr>
        <w:t>0</w:t>
      </w:r>
    </w:p>
    <w:p>
      <w:pPr>
        <w:pStyle w:val="2"/>
        <w:tabs>
          <w:tab w:val="right" w:leader="dot" w:pos="14562"/>
        </w:tabs>
      </w:pP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518.84</w:t>
            </w:r>
          </w:p>
        </w:tc>
        <w:tc>
          <w:tcPr>
            <w:tcW w:w="4535" w:type="dxa"/>
            <w:vAlign w:val="center"/>
          </w:tcPr>
          <w:p>
            <w:pPr>
              <w:pStyle w:val="12"/>
            </w:pPr>
            <w:r>
              <w:t>一、一般公共服务支出</w:t>
            </w:r>
          </w:p>
        </w:tc>
        <w:tc>
          <w:tcPr>
            <w:tcW w:w="2126" w:type="dxa"/>
            <w:vAlign w:val="center"/>
          </w:tcPr>
          <w:p>
            <w:pPr>
              <w:pStyle w:val="11"/>
            </w:pPr>
            <w:r>
              <w:t>385.02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518.84</w:t>
            </w:r>
          </w:p>
        </w:tc>
        <w:tc>
          <w:tcPr>
            <w:tcW w:w="4535" w:type="dxa"/>
            <w:vAlign w:val="center"/>
          </w:tcPr>
          <w:p>
            <w:pPr>
              <w:pStyle w:val="14"/>
            </w:pPr>
            <w:r>
              <w:t>本年支出合计</w:t>
            </w:r>
          </w:p>
        </w:tc>
        <w:tc>
          <w:tcPr>
            <w:tcW w:w="2126" w:type="dxa"/>
            <w:vAlign w:val="center"/>
          </w:tcPr>
          <w:p>
            <w:pPr>
              <w:pStyle w:val="15"/>
            </w:pPr>
            <w:r>
              <w:t>518.84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518.84</w:t>
            </w:r>
          </w:p>
        </w:tc>
        <w:tc>
          <w:tcPr>
            <w:tcW w:w="4535" w:type="dxa"/>
            <w:vAlign w:val="center"/>
          </w:tcPr>
          <w:p>
            <w:pPr>
              <w:pStyle w:val="14"/>
            </w:pPr>
            <w:r>
              <w:t>支出总计</w:t>
            </w:r>
          </w:p>
        </w:tc>
        <w:tc>
          <w:tcPr>
            <w:tcW w:w="2126" w:type="dxa"/>
            <w:vAlign w:val="center"/>
          </w:tcPr>
          <w:p>
            <w:pPr>
              <w:pStyle w:val="15"/>
            </w:pPr>
            <w:r>
              <w:t>518.84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518.84</w:t>
            </w:r>
          </w:p>
        </w:tc>
        <w:tc>
          <w:tcPr>
            <w:tcW w:w="1134" w:type="dxa"/>
            <w:vAlign w:val="center"/>
          </w:tcPr>
          <w:p>
            <w:pPr>
              <w:pStyle w:val="15"/>
            </w:pPr>
            <w:r>
              <w:t>518.84</w:t>
            </w:r>
          </w:p>
        </w:tc>
        <w:tc>
          <w:tcPr>
            <w:tcW w:w="1134" w:type="dxa"/>
            <w:vAlign w:val="center"/>
          </w:tcPr>
          <w:p>
            <w:pPr>
              <w:pStyle w:val="15"/>
            </w:pPr>
            <w:r>
              <w:t>518.84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385.02</w:t>
            </w:r>
          </w:p>
        </w:tc>
        <w:tc>
          <w:tcPr>
            <w:tcW w:w="1134" w:type="dxa"/>
            <w:vAlign w:val="center"/>
          </w:tcPr>
          <w:p>
            <w:pPr>
              <w:pStyle w:val="11"/>
            </w:pPr>
            <w:r>
              <w:t>385.02</w:t>
            </w:r>
          </w:p>
        </w:tc>
        <w:tc>
          <w:tcPr>
            <w:tcW w:w="1134" w:type="dxa"/>
            <w:vAlign w:val="center"/>
          </w:tcPr>
          <w:p>
            <w:pPr>
              <w:pStyle w:val="11"/>
            </w:pPr>
            <w:r>
              <w:t>385.02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20138</w:t>
            </w:r>
          </w:p>
        </w:tc>
        <w:tc>
          <w:tcPr>
            <w:tcW w:w="1559" w:type="dxa"/>
            <w:vAlign w:val="center"/>
          </w:tcPr>
          <w:p>
            <w:pPr>
              <w:pStyle w:val="12"/>
            </w:pPr>
            <w:r>
              <w:t>市场监督管理事务</w:t>
            </w:r>
          </w:p>
        </w:tc>
        <w:tc>
          <w:tcPr>
            <w:tcW w:w="1134" w:type="dxa"/>
            <w:vAlign w:val="center"/>
          </w:tcPr>
          <w:p>
            <w:pPr>
              <w:pStyle w:val="11"/>
            </w:pPr>
            <w:r>
              <w:t>385.02</w:t>
            </w:r>
          </w:p>
        </w:tc>
        <w:tc>
          <w:tcPr>
            <w:tcW w:w="1134" w:type="dxa"/>
            <w:vAlign w:val="center"/>
          </w:tcPr>
          <w:p>
            <w:pPr>
              <w:pStyle w:val="11"/>
            </w:pPr>
            <w:r>
              <w:t>385.02</w:t>
            </w:r>
          </w:p>
        </w:tc>
        <w:tc>
          <w:tcPr>
            <w:tcW w:w="1134" w:type="dxa"/>
            <w:vAlign w:val="center"/>
          </w:tcPr>
          <w:p>
            <w:pPr>
              <w:pStyle w:val="11"/>
            </w:pPr>
            <w:r>
              <w:t>385.02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2013850</w:t>
            </w:r>
          </w:p>
        </w:tc>
        <w:tc>
          <w:tcPr>
            <w:tcW w:w="1559" w:type="dxa"/>
            <w:vAlign w:val="center"/>
          </w:tcPr>
          <w:p>
            <w:pPr>
              <w:pStyle w:val="12"/>
            </w:pPr>
            <w:r>
              <w:t>事业运行</w:t>
            </w:r>
          </w:p>
        </w:tc>
        <w:tc>
          <w:tcPr>
            <w:tcW w:w="1134" w:type="dxa"/>
            <w:vAlign w:val="center"/>
          </w:tcPr>
          <w:p>
            <w:pPr>
              <w:pStyle w:val="11"/>
            </w:pPr>
            <w:r>
              <w:t>385.02</w:t>
            </w:r>
          </w:p>
        </w:tc>
        <w:tc>
          <w:tcPr>
            <w:tcW w:w="1134" w:type="dxa"/>
            <w:vAlign w:val="center"/>
          </w:tcPr>
          <w:p>
            <w:pPr>
              <w:pStyle w:val="11"/>
            </w:pPr>
            <w:r>
              <w:t>385.02</w:t>
            </w:r>
          </w:p>
        </w:tc>
        <w:tc>
          <w:tcPr>
            <w:tcW w:w="1134" w:type="dxa"/>
            <w:vAlign w:val="center"/>
          </w:tcPr>
          <w:p>
            <w:pPr>
              <w:pStyle w:val="11"/>
            </w:pPr>
            <w:r>
              <w:t>385.02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83.44</w:t>
            </w:r>
          </w:p>
        </w:tc>
        <w:tc>
          <w:tcPr>
            <w:tcW w:w="1134" w:type="dxa"/>
            <w:vAlign w:val="center"/>
          </w:tcPr>
          <w:p>
            <w:pPr>
              <w:pStyle w:val="11"/>
            </w:pPr>
            <w:r>
              <w:t>83.44</w:t>
            </w:r>
          </w:p>
        </w:tc>
        <w:tc>
          <w:tcPr>
            <w:tcW w:w="1134" w:type="dxa"/>
            <w:vAlign w:val="center"/>
          </w:tcPr>
          <w:p>
            <w:pPr>
              <w:pStyle w:val="11"/>
            </w:pPr>
            <w:r>
              <w:t>83.44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83.44</w:t>
            </w:r>
          </w:p>
        </w:tc>
        <w:tc>
          <w:tcPr>
            <w:tcW w:w="1134" w:type="dxa"/>
            <w:vAlign w:val="center"/>
          </w:tcPr>
          <w:p>
            <w:pPr>
              <w:pStyle w:val="11"/>
            </w:pPr>
            <w:r>
              <w:t>83.44</w:t>
            </w:r>
          </w:p>
        </w:tc>
        <w:tc>
          <w:tcPr>
            <w:tcW w:w="1134" w:type="dxa"/>
            <w:vAlign w:val="center"/>
          </w:tcPr>
          <w:p>
            <w:pPr>
              <w:pStyle w:val="11"/>
            </w:pPr>
            <w:r>
              <w:t>83.44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18.69</w:t>
            </w:r>
          </w:p>
        </w:tc>
        <w:tc>
          <w:tcPr>
            <w:tcW w:w="1134" w:type="dxa"/>
            <w:vAlign w:val="center"/>
          </w:tcPr>
          <w:p>
            <w:pPr>
              <w:pStyle w:val="11"/>
            </w:pPr>
            <w:r>
              <w:t>18.69</w:t>
            </w:r>
          </w:p>
        </w:tc>
        <w:tc>
          <w:tcPr>
            <w:tcW w:w="1134" w:type="dxa"/>
            <w:vAlign w:val="center"/>
          </w:tcPr>
          <w:p>
            <w:pPr>
              <w:pStyle w:val="11"/>
            </w:pPr>
            <w:r>
              <w:t>18.69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43.17</w:t>
            </w:r>
          </w:p>
        </w:tc>
        <w:tc>
          <w:tcPr>
            <w:tcW w:w="1134" w:type="dxa"/>
            <w:vAlign w:val="center"/>
          </w:tcPr>
          <w:p>
            <w:pPr>
              <w:pStyle w:val="11"/>
            </w:pPr>
            <w:r>
              <w:t>43.17</w:t>
            </w:r>
          </w:p>
        </w:tc>
        <w:tc>
          <w:tcPr>
            <w:tcW w:w="1134" w:type="dxa"/>
            <w:vAlign w:val="center"/>
          </w:tcPr>
          <w:p>
            <w:pPr>
              <w:pStyle w:val="11"/>
            </w:pPr>
            <w:r>
              <w:t>43.17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21.58</w:t>
            </w:r>
          </w:p>
        </w:tc>
        <w:tc>
          <w:tcPr>
            <w:tcW w:w="1134" w:type="dxa"/>
            <w:vAlign w:val="center"/>
          </w:tcPr>
          <w:p>
            <w:pPr>
              <w:pStyle w:val="11"/>
            </w:pPr>
            <w:r>
              <w:t>21.58</w:t>
            </w:r>
          </w:p>
        </w:tc>
        <w:tc>
          <w:tcPr>
            <w:tcW w:w="1134" w:type="dxa"/>
            <w:vAlign w:val="center"/>
          </w:tcPr>
          <w:p>
            <w:pPr>
              <w:pStyle w:val="11"/>
            </w:pPr>
            <w:r>
              <w:t>21.58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14.71</w:t>
            </w:r>
          </w:p>
        </w:tc>
        <w:tc>
          <w:tcPr>
            <w:tcW w:w="1134" w:type="dxa"/>
            <w:vAlign w:val="center"/>
          </w:tcPr>
          <w:p>
            <w:pPr>
              <w:pStyle w:val="11"/>
            </w:pPr>
            <w:r>
              <w:t>14.71</w:t>
            </w:r>
          </w:p>
        </w:tc>
        <w:tc>
          <w:tcPr>
            <w:tcW w:w="1134" w:type="dxa"/>
            <w:vAlign w:val="center"/>
          </w:tcPr>
          <w:p>
            <w:pPr>
              <w:pStyle w:val="11"/>
            </w:pPr>
            <w:r>
              <w:t>14.71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14.71</w:t>
            </w:r>
          </w:p>
        </w:tc>
        <w:tc>
          <w:tcPr>
            <w:tcW w:w="1134" w:type="dxa"/>
            <w:vAlign w:val="center"/>
          </w:tcPr>
          <w:p>
            <w:pPr>
              <w:pStyle w:val="11"/>
            </w:pPr>
            <w:r>
              <w:t>14.71</w:t>
            </w:r>
          </w:p>
        </w:tc>
        <w:tc>
          <w:tcPr>
            <w:tcW w:w="1134" w:type="dxa"/>
            <w:vAlign w:val="center"/>
          </w:tcPr>
          <w:p>
            <w:pPr>
              <w:pStyle w:val="11"/>
            </w:pPr>
            <w:r>
              <w:t>14.71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14.71</w:t>
            </w:r>
          </w:p>
        </w:tc>
        <w:tc>
          <w:tcPr>
            <w:tcW w:w="1134" w:type="dxa"/>
            <w:vAlign w:val="center"/>
          </w:tcPr>
          <w:p>
            <w:pPr>
              <w:pStyle w:val="11"/>
            </w:pPr>
            <w:r>
              <w:t>14.71</w:t>
            </w:r>
          </w:p>
        </w:tc>
        <w:tc>
          <w:tcPr>
            <w:tcW w:w="1134" w:type="dxa"/>
            <w:vAlign w:val="center"/>
          </w:tcPr>
          <w:p>
            <w:pPr>
              <w:pStyle w:val="11"/>
            </w:pPr>
            <w:r>
              <w:t>14.71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35.67</w:t>
            </w:r>
          </w:p>
        </w:tc>
        <w:tc>
          <w:tcPr>
            <w:tcW w:w="1134" w:type="dxa"/>
            <w:vAlign w:val="center"/>
          </w:tcPr>
          <w:p>
            <w:pPr>
              <w:pStyle w:val="11"/>
            </w:pPr>
            <w:r>
              <w:t>35.67</w:t>
            </w:r>
          </w:p>
        </w:tc>
        <w:tc>
          <w:tcPr>
            <w:tcW w:w="1134" w:type="dxa"/>
            <w:vAlign w:val="center"/>
          </w:tcPr>
          <w:p>
            <w:pPr>
              <w:pStyle w:val="11"/>
            </w:pPr>
            <w:r>
              <w:t>35.67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35.67</w:t>
            </w:r>
          </w:p>
        </w:tc>
        <w:tc>
          <w:tcPr>
            <w:tcW w:w="1134" w:type="dxa"/>
            <w:vAlign w:val="center"/>
          </w:tcPr>
          <w:p>
            <w:pPr>
              <w:pStyle w:val="11"/>
            </w:pPr>
            <w:r>
              <w:t>35.67</w:t>
            </w:r>
          </w:p>
        </w:tc>
        <w:tc>
          <w:tcPr>
            <w:tcW w:w="1134" w:type="dxa"/>
            <w:vAlign w:val="center"/>
          </w:tcPr>
          <w:p>
            <w:pPr>
              <w:pStyle w:val="11"/>
            </w:pPr>
            <w:r>
              <w:t>35.67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35.67</w:t>
            </w:r>
          </w:p>
        </w:tc>
        <w:tc>
          <w:tcPr>
            <w:tcW w:w="1134" w:type="dxa"/>
            <w:vAlign w:val="center"/>
          </w:tcPr>
          <w:p>
            <w:pPr>
              <w:pStyle w:val="11"/>
            </w:pPr>
            <w:r>
              <w:t>35.67</w:t>
            </w:r>
          </w:p>
        </w:tc>
        <w:tc>
          <w:tcPr>
            <w:tcW w:w="1134" w:type="dxa"/>
            <w:vAlign w:val="center"/>
          </w:tcPr>
          <w:p>
            <w:pPr>
              <w:pStyle w:val="11"/>
            </w:pPr>
            <w:r>
              <w:t>35.67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518.84</w:t>
            </w:r>
          </w:p>
        </w:tc>
        <w:tc>
          <w:tcPr>
            <w:tcW w:w="1361" w:type="dxa"/>
            <w:vAlign w:val="center"/>
          </w:tcPr>
          <w:p>
            <w:pPr>
              <w:pStyle w:val="15"/>
            </w:pPr>
            <w:r>
              <w:t>518.84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385.02</w:t>
            </w:r>
          </w:p>
        </w:tc>
        <w:tc>
          <w:tcPr>
            <w:tcW w:w="1361" w:type="dxa"/>
            <w:vAlign w:val="center"/>
          </w:tcPr>
          <w:p>
            <w:pPr>
              <w:pStyle w:val="11"/>
            </w:pPr>
            <w:r>
              <w:t>385.02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20138</w:t>
            </w:r>
          </w:p>
        </w:tc>
        <w:tc>
          <w:tcPr>
            <w:tcW w:w="4535" w:type="dxa"/>
            <w:vAlign w:val="center"/>
          </w:tcPr>
          <w:p>
            <w:pPr>
              <w:pStyle w:val="12"/>
            </w:pPr>
            <w:r>
              <w:t>市场监督管理事务</w:t>
            </w:r>
          </w:p>
        </w:tc>
        <w:tc>
          <w:tcPr>
            <w:tcW w:w="1361" w:type="dxa"/>
            <w:vAlign w:val="center"/>
          </w:tcPr>
          <w:p>
            <w:pPr>
              <w:pStyle w:val="11"/>
            </w:pPr>
            <w:r>
              <w:t>385.02</w:t>
            </w:r>
          </w:p>
        </w:tc>
        <w:tc>
          <w:tcPr>
            <w:tcW w:w="1361" w:type="dxa"/>
            <w:vAlign w:val="center"/>
          </w:tcPr>
          <w:p>
            <w:pPr>
              <w:pStyle w:val="11"/>
            </w:pPr>
            <w:r>
              <w:t>385.02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2013850</w:t>
            </w:r>
          </w:p>
        </w:tc>
        <w:tc>
          <w:tcPr>
            <w:tcW w:w="4535" w:type="dxa"/>
            <w:vAlign w:val="center"/>
          </w:tcPr>
          <w:p>
            <w:pPr>
              <w:pStyle w:val="12"/>
            </w:pPr>
            <w:r>
              <w:t>事业运行</w:t>
            </w:r>
          </w:p>
        </w:tc>
        <w:tc>
          <w:tcPr>
            <w:tcW w:w="1361" w:type="dxa"/>
            <w:vAlign w:val="center"/>
          </w:tcPr>
          <w:p>
            <w:pPr>
              <w:pStyle w:val="11"/>
            </w:pPr>
            <w:r>
              <w:t>385.02</w:t>
            </w:r>
          </w:p>
        </w:tc>
        <w:tc>
          <w:tcPr>
            <w:tcW w:w="1361" w:type="dxa"/>
            <w:vAlign w:val="center"/>
          </w:tcPr>
          <w:p>
            <w:pPr>
              <w:pStyle w:val="11"/>
            </w:pPr>
            <w:r>
              <w:t>385.02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83.44</w:t>
            </w:r>
          </w:p>
        </w:tc>
        <w:tc>
          <w:tcPr>
            <w:tcW w:w="1361" w:type="dxa"/>
            <w:vAlign w:val="center"/>
          </w:tcPr>
          <w:p>
            <w:pPr>
              <w:pStyle w:val="11"/>
            </w:pPr>
            <w:r>
              <w:t>83.44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83.44</w:t>
            </w:r>
          </w:p>
        </w:tc>
        <w:tc>
          <w:tcPr>
            <w:tcW w:w="1361" w:type="dxa"/>
            <w:vAlign w:val="center"/>
          </w:tcPr>
          <w:p>
            <w:pPr>
              <w:pStyle w:val="11"/>
            </w:pPr>
            <w:r>
              <w:t>83.44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18.69</w:t>
            </w:r>
          </w:p>
        </w:tc>
        <w:tc>
          <w:tcPr>
            <w:tcW w:w="1361" w:type="dxa"/>
            <w:vAlign w:val="center"/>
          </w:tcPr>
          <w:p>
            <w:pPr>
              <w:pStyle w:val="11"/>
            </w:pPr>
            <w:r>
              <w:t>18.69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43.17</w:t>
            </w:r>
          </w:p>
        </w:tc>
        <w:tc>
          <w:tcPr>
            <w:tcW w:w="1361" w:type="dxa"/>
            <w:vAlign w:val="center"/>
          </w:tcPr>
          <w:p>
            <w:pPr>
              <w:pStyle w:val="11"/>
            </w:pPr>
            <w:r>
              <w:t>43.17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21.58</w:t>
            </w:r>
          </w:p>
        </w:tc>
        <w:tc>
          <w:tcPr>
            <w:tcW w:w="1361" w:type="dxa"/>
            <w:vAlign w:val="center"/>
          </w:tcPr>
          <w:p>
            <w:pPr>
              <w:pStyle w:val="11"/>
            </w:pPr>
            <w:r>
              <w:t>21.58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14.71</w:t>
            </w:r>
          </w:p>
        </w:tc>
        <w:tc>
          <w:tcPr>
            <w:tcW w:w="1361" w:type="dxa"/>
            <w:vAlign w:val="center"/>
          </w:tcPr>
          <w:p>
            <w:pPr>
              <w:pStyle w:val="11"/>
            </w:pPr>
            <w:r>
              <w:t>14.71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14.71</w:t>
            </w:r>
          </w:p>
        </w:tc>
        <w:tc>
          <w:tcPr>
            <w:tcW w:w="1361" w:type="dxa"/>
            <w:vAlign w:val="center"/>
          </w:tcPr>
          <w:p>
            <w:pPr>
              <w:pStyle w:val="11"/>
            </w:pPr>
            <w:r>
              <w:t>14.71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14.71</w:t>
            </w:r>
          </w:p>
        </w:tc>
        <w:tc>
          <w:tcPr>
            <w:tcW w:w="1361" w:type="dxa"/>
            <w:vAlign w:val="center"/>
          </w:tcPr>
          <w:p>
            <w:pPr>
              <w:pStyle w:val="11"/>
            </w:pPr>
            <w:r>
              <w:t>14.71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35.67</w:t>
            </w:r>
          </w:p>
        </w:tc>
        <w:tc>
          <w:tcPr>
            <w:tcW w:w="1361" w:type="dxa"/>
            <w:vAlign w:val="center"/>
          </w:tcPr>
          <w:p>
            <w:pPr>
              <w:pStyle w:val="11"/>
            </w:pPr>
            <w:r>
              <w:t>35.67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35.67</w:t>
            </w:r>
          </w:p>
        </w:tc>
        <w:tc>
          <w:tcPr>
            <w:tcW w:w="1361" w:type="dxa"/>
            <w:vAlign w:val="center"/>
          </w:tcPr>
          <w:p>
            <w:pPr>
              <w:pStyle w:val="11"/>
            </w:pPr>
            <w:r>
              <w:t>35.67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35.67</w:t>
            </w:r>
          </w:p>
        </w:tc>
        <w:tc>
          <w:tcPr>
            <w:tcW w:w="1361" w:type="dxa"/>
            <w:vAlign w:val="center"/>
          </w:tcPr>
          <w:p>
            <w:pPr>
              <w:pStyle w:val="11"/>
            </w:pPr>
            <w:r>
              <w:t>35.67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518.84</w:t>
            </w:r>
          </w:p>
        </w:tc>
        <w:tc>
          <w:tcPr>
            <w:tcW w:w="3402" w:type="dxa"/>
            <w:vAlign w:val="center"/>
          </w:tcPr>
          <w:p>
            <w:pPr>
              <w:pStyle w:val="12"/>
            </w:pPr>
            <w:r>
              <w:t>一、一般公共服务支出</w:t>
            </w:r>
          </w:p>
        </w:tc>
        <w:tc>
          <w:tcPr>
            <w:tcW w:w="1474" w:type="dxa"/>
            <w:vAlign w:val="center"/>
          </w:tcPr>
          <w:p>
            <w:pPr>
              <w:pStyle w:val="11"/>
            </w:pPr>
            <w:r>
              <w:t>385.02</w:t>
            </w:r>
          </w:p>
        </w:tc>
        <w:tc>
          <w:tcPr>
            <w:tcW w:w="1474" w:type="dxa"/>
            <w:vAlign w:val="center"/>
          </w:tcPr>
          <w:p>
            <w:pPr>
              <w:pStyle w:val="11"/>
            </w:pPr>
            <w:r>
              <w:t>385.02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83.44</w:t>
            </w:r>
          </w:p>
        </w:tc>
        <w:tc>
          <w:tcPr>
            <w:tcW w:w="1474" w:type="dxa"/>
            <w:vAlign w:val="center"/>
          </w:tcPr>
          <w:p>
            <w:pPr>
              <w:pStyle w:val="11"/>
            </w:pPr>
            <w:r>
              <w:t>83.44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14.71</w:t>
            </w:r>
          </w:p>
        </w:tc>
        <w:tc>
          <w:tcPr>
            <w:tcW w:w="1474" w:type="dxa"/>
            <w:vAlign w:val="center"/>
          </w:tcPr>
          <w:p>
            <w:pPr>
              <w:pStyle w:val="11"/>
            </w:pPr>
            <w:r>
              <w:t>14.71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35.67</w:t>
            </w:r>
          </w:p>
        </w:tc>
        <w:tc>
          <w:tcPr>
            <w:tcW w:w="1474" w:type="dxa"/>
            <w:vAlign w:val="center"/>
          </w:tcPr>
          <w:p>
            <w:pPr>
              <w:pStyle w:val="11"/>
            </w:pPr>
            <w:r>
              <w:t>35.67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518.84</w:t>
            </w:r>
          </w:p>
        </w:tc>
        <w:tc>
          <w:tcPr>
            <w:tcW w:w="3402" w:type="dxa"/>
            <w:vAlign w:val="center"/>
          </w:tcPr>
          <w:p>
            <w:pPr>
              <w:pStyle w:val="14"/>
            </w:pPr>
            <w:r>
              <w:t>本年支出合计</w:t>
            </w:r>
          </w:p>
        </w:tc>
        <w:tc>
          <w:tcPr>
            <w:tcW w:w="1474" w:type="dxa"/>
            <w:vAlign w:val="center"/>
          </w:tcPr>
          <w:p>
            <w:pPr>
              <w:pStyle w:val="15"/>
            </w:pPr>
            <w:r>
              <w:t>518.84</w:t>
            </w:r>
          </w:p>
        </w:tc>
        <w:tc>
          <w:tcPr>
            <w:tcW w:w="1474" w:type="dxa"/>
            <w:vAlign w:val="center"/>
          </w:tcPr>
          <w:p>
            <w:pPr>
              <w:pStyle w:val="15"/>
            </w:pPr>
            <w:r>
              <w:t>518.84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518.84</w:t>
            </w:r>
          </w:p>
        </w:tc>
        <w:tc>
          <w:tcPr>
            <w:tcW w:w="3402" w:type="dxa"/>
            <w:vAlign w:val="center"/>
          </w:tcPr>
          <w:p>
            <w:pPr>
              <w:pStyle w:val="14"/>
            </w:pPr>
            <w:r>
              <w:t>支出总计</w:t>
            </w:r>
          </w:p>
        </w:tc>
        <w:tc>
          <w:tcPr>
            <w:tcW w:w="1474" w:type="dxa"/>
            <w:vAlign w:val="center"/>
          </w:tcPr>
          <w:p>
            <w:pPr>
              <w:pStyle w:val="15"/>
            </w:pPr>
            <w:r>
              <w:t>518.84</w:t>
            </w:r>
          </w:p>
        </w:tc>
        <w:tc>
          <w:tcPr>
            <w:tcW w:w="1474" w:type="dxa"/>
            <w:vAlign w:val="center"/>
          </w:tcPr>
          <w:p>
            <w:pPr>
              <w:pStyle w:val="15"/>
            </w:pPr>
            <w:r>
              <w:t>518.84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518.84</w:t>
            </w:r>
          </w:p>
        </w:tc>
        <w:tc>
          <w:tcPr>
            <w:tcW w:w="2551" w:type="dxa"/>
            <w:vAlign w:val="center"/>
          </w:tcPr>
          <w:p>
            <w:pPr>
              <w:pStyle w:val="15"/>
            </w:pPr>
            <w:r>
              <w:t>518.84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385.02</w:t>
            </w:r>
          </w:p>
        </w:tc>
        <w:tc>
          <w:tcPr>
            <w:tcW w:w="2551" w:type="dxa"/>
            <w:vAlign w:val="center"/>
          </w:tcPr>
          <w:p>
            <w:pPr>
              <w:pStyle w:val="11"/>
            </w:pPr>
            <w:r>
              <w:t>385.02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20138</w:t>
            </w:r>
          </w:p>
        </w:tc>
        <w:tc>
          <w:tcPr>
            <w:tcW w:w="4535" w:type="dxa"/>
            <w:vAlign w:val="center"/>
          </w:tcPr>
          <w:p>
            <w:pPr>
              <w:pStyle w:val="12"/>
            </w:pPr>
            <w:r>
              <w:t>市场监督管理事务</w:t>
            </w:r>
          </w:p>
        </w:tc>
        <w:tc>
          <w:tcPr>
            <w:tcW w:w="2551" w:type="dxa"/>
            <w:vAlign w:val="center"/>
          </w:tcPr>
          <w:p>
            <w:pPr>
              <w:pStyle w:val="11"/>
            </w:pPr>
            <w:r>
              <w:t>385.02</w:t>
            </w:r>
          </w:p>
        </w:tc>
        <w:tc>
          <w:tcPr>
            <w:tcW w:w="2551" w:type="dxa"/>
            <w:vAlign w:val="center"/>
          </w:tcPr>
          <w:p>
            <w:pPr>
              <w:pStyle w:val="11"/>
            </w:pPr>
            <w:r>
              <w:t>385.02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2013850</w:t>
            </w:r>
          </w:p>
        </w:tc>
        <w:tc>
          <w:tcPr>
            <w:tcW w:w="4535" w:type="dxa"/>
            <w:vAlign w:val="center"/>
          </w:tcPr>
          <w:p>
            <w:pPr>
              <w:pStyle w:val="12"/>
            </w:pPr>
            <w:r>
              <w:t>事业运行</w:t>
            </w:r>
          </w:p>
        </w:tc>
        <w:tc>
          <w:tcPr>
            <w:tcW w:w="2551" w:type="dxa"/>
            <w:vAlign w:val="center"/>
          </w:tcPr>
          <w:p>
            <w:pPr>
              <w:pStyle w:val="11"/>
            </w:pPr>
            <w:r>
              <w:t>385.02</w:t>
            </w:r>
          </w:p>
        </w:tc>
        <w:tc>
          <w:tcPr>
            <w:tcW w:w="2551" w:type="dxa"/>
            <w:vAlign w:val="center"/>
          </w:tcPr>
          <w:p>
            <w:pPr>
              <w:pStyle w:val="11"/>
            </w:pPr>
            <w:r>
              <w:t>385.02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83.44</w:t>
            </w:r>
          </w:p>
        </w:tc>
        <w:tc>
          <w:tcPr>
            <w:tcW w:w="2551" w:type="dxa"/>
            <w:vAlign w:val="center"/>
          </w:tcPr>
          <w:p>
            <w:pPr>
              <w:pStyle w:val="11"/>
            </w:pPr>
            <w:r>
              <w:t>83.44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83.44</w:t>
            </w:r>
          </w:p>
        </w:tc>
        <w:tc>
          <w:tcPr>
            <w:tcW w:w="2551" w:type="dxa"/>
            <w:vAlign w:val="center"/>
          </w:tcPr>
          <w:p>
            <w:pPr>
              <w:pStyle w:val="11"/>
            </w:pPr>
            <w:r>
              <w:t>83.44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18.69</w:t>
            </w:r>
          </w:p>
        </w:tc>
        <w:tc>
          <w:tcPr>
            <w:tcW w:w="2551" w:type="dxa"/>
            <w:vAlign w:val="center"/>
          </w:tcPr>
          <w:p>
            <w:pPr>
              <w:pStyle w:val="11"/>
            </w:pPr>
            <w:r>
              <w:t>18.69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43.17</w:t>
            </w:r>
          </w:p>
        </w:tc>
        <w:tc>
          <w:tcPr>
            <w:tcW w:w="2551" w:type="dxa"/>
            <w:vAlign w:val="center"/>
          </w:tcPr>
          <w:p>
            <w:pPr>
              <w:pStyle w:val="11"/>
            </w:pPr>
            <w:r>
              <w:t>43.17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21.58</w:t>
            </w:r>
          </w:p>
        </w:tc>
        <w:tc>
          <w:tcPr>
            <w:tcW w:w="2551" w:type="dxa"/>
            <w:vAlign w:val="center"/>
          </w:tcPr>
          <w:p>
            <w:pPr>
              <w:pStyle w:val="11"/>
            </w:pPr>
            <w:r>
              <w:t>21.58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14.71</w:t>
            </w:r>
          </w:p>
        </w:tc>
        <w:tc>
          <w:tcPr>
            <w:tcW w:w="2551" w:type="dxa"/>
            <w:vAlign w:val="center"/>
          </w:tcPr>
          <w:p>
            <w:pPr>
              <w:pStyle w:val="11"/>
            </w:pPr>
            <w:r>
              <w:t>14.71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14.71</w:t>
            </w:r>
          </w:p>
        </w:tc>
        <w:tc>
          <w:tcPr>
            <w:tcW w:w="2551" w:type="dxa"/>
            <w:vAlign w:val="center"/>
          </w:tcPr>
          <w:p>
            <w:pPr>
              <w:pStyle w:val="11"/>
            </w:pPr>
            <w:r>
              <w:t>14.71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14.71</w:t>
            </w:r>
          </w:p>
        </w:tc>
        <w:tc>
          <w:tcPr>
            <w:tcW w:w="2551" w:type="dxa"/>
            <w:vAlign w:val="center"/>
          </w:tcPr>
          <w:p>
            <w:pPr>
              <w:pStyle w:val="11"/>
            </w:pPr>
            <w:r>
              <w:t>14.71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35.67</w:t>
            </w:r>
          </w:p>
        </w:tc>
        <w:tc>
          <w:tcPr>
            <w:tcW w:w="2551" w:type="dxa"/>
            <w:vAlign w:val="center"/>
          </w:tcPr>
          <w:p>
            <w:pPr>
              <w:pStyle w:val="11"/>
            </w:pPr>
            <w:r>
              <w:t>35.67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35.67</w:t>
            </w:r>
          </w:p>
        </w:tc>
        <w:tc>
          <w:tcPr>
            <w:tcW w:w="2551" w:type="dxa"/>
            <w:vAlign w:val="center"/>
          </w:tcPr>
          <w:p>
            <w:pPr>
              <w:pStyle w:val="11"/>
            </w:pPr>
            <w:r>
              <w:t>35.67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35.67</w:t>
            </w:r>
          </w:p>
        </w:tc>
        <w:tc>
          <w:tcPr>
            <w:tcW w:w="2551" w:type="dxa"/>
            <w:vAlign w:val="center"/>
          </w:tcPr>
          <w:p>
            <w:pPr>
              <w:pStyle w:val="11"/>
            </w:pPr>
            <w:r>
              <w:t>35.67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518.84</w:t>
            </w:r>
          </w:p>
        </w:tc>
        <w:tc>
          <w:tcPr>
            <w:tcW w:w="2551" w:type="dxa"/>
            <w:vAlign w:val="center"/>
          </w:tcPr>
          <w:p>
            <w:pPr>
              <w:pStyle w:val="15"/>
            </w:pPr>
            <w:r>
              <w:t>497.09</w:t>
            </w:r>
          </w:p>
        </w:tc>
        <w:tc>
          <w:tcPr>
            <w:tcW w:w="2551" w:type="dxa"/>
            <w:vAlign w:val="center"/>
          </w:tcPr>
          <w:p>
            <w:pPr>
              <w:pStyle w:val="15"/>
            </w:pPr>
            <w:r>
              <w:t>21.75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477.03</w:t>
            </w:r>
          </w:p>
        </w:tc>
        <w:tc>
          <w:tcPr>
            <w:tcW w:w="2551" w:type="dxa"/>
            <w:vAlign w:val="center"/>
          </w:tcPr>
          <w:p>
            <w:pPr>
              <w:pStyle w:val="11"/>
            </w:pPr>
            <w:r>
              <w:t>477.03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120.61</w:t>
            </w:r>
          </w:p>
        </w:tc>
        <w:tc>
          <w:tcPr>
            <w:tcW w:w="2551" w:type="dxa"/>
            <w:vAlign w:val="center"/>
          </w:tcPr>
          <w:p>
            <w:pPr>
              <w:pStyle w:val="11"/>
            </w:pPr>
            <w:r>
              <w:t>120.61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24.74</w:t>
            </w:r>
          </w:p>
        </w:tc>
        <w:tc>
          <w:tcPr>
            <w:tcW w:w="2551" w:type="dxa"/>
            <w:vAlign w:val="center"/>
          </w:tcPr>
          <w:p>
            <w:pPr>
              <w:pStyle w:val="11"/>
            </w:pPr>
            <w:r>
              <w:t>24.74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176.61</w:t>
            </w:r>
          </w:p>
        </w:tc>
        <w:tc>
          <w:tcPr>
            <w:tcW w:w="2551" w:type="dxa"/>
            <w:vAlign w:val="center"/>
          </w:tcPr>
          <w:p>
            <w:pPr>
              <w:pStyle w:val="11"/>
            </w:pPr>
            <w:r>
              <w:t>176.61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43.17</w:t>
            </w:r>
          </w:p>
        </w:tc>
        <w:tc>
          <w:tcPr>
            <w:tcW w:w="2551" w:type="dxa"/>
            <w:vAlign w:val="center"/>
          </w:tcPr>
          <w:p>
            <w:pPr>
              <w:pStyle w:val="11"/>
            </w:pPr>
            <w:r>
              <w:t>43.17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21.58</w:t>
            </w:r>
          </w:p>
        </w:tc>
        <w:tc>
          <w:tcPr>
            <w:tcW w:w="2551" w:type="dxa"/>
            <w:vAlign w:val="center"/>
          </w:tcPr>
          <w:p>
            <w:pPr>
              <w:pStyle w:val="11"/>
            </w:pPr>
            <w:r>
              <w:t>21.58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14.71</w:t>
            </w:r>
          </w:p>
        </w:tc>
        <w:tc>
          <w:tcPr>
            <w:tcW w:w="2551" w:type="dxa"/>
            <w:vAlign w:val="center"/>
          </w:tcPr>
          <w:p>
            <w:pPr>
              <w:pStyle w:val="11"/>
            </w:pPr>
            <w:r>
              <w:t>14.71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2.61</w:t>
            </w:r>
          </w:p>
        </w:tc>
        <w:tc>
          <w:tcPr>
            <w:tcW w:w="2551" w:type="dxa"/>
            <w:vAlign w:val="center"/>
          </w:tcPr>
          <w:p>
            <w:pPr>
              <w:pStyle w:val="11"/>
            </w:pPr>
            <w:r>
              <w:t>2.61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35.67</w:t>
            </w:r>
          </w:p>
        </w:tc>
        <w:tc>
          <w:tcPr>
            <w:tcW w:w="2551" w:type="dxa"/>
            <w:vAlign w:val="center"/>
          </w:tcPr>
          <w:p>
            <w:pPr>
              <w:pStyle w:val="11"/>
            </w:pPr>
            <w:r>
              <w:t>35.67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37.33</w:t>
            </w:r>
          </w:p>
        </w:tc>
        <w:tc>
          <w:tcPr>
            <w:tcW w:w="2551" w:type="dxa"/>
            <w:vAlign w:val="center"/>
          </w:tcPr>
          <w:p>
            <w:pPr>
              <w:pStyle w:val="11"/>
            </w:pPr>
            <w:r>
              <w:t>37.33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21.45</w:t>
            </w:r>
          </w:p>
        </w:tc>
        <w:tc>
          <w:tcPr>
            <w:tcW w:w="2551" w:type="dxa"/>
            <w:vAlign w:val="center"/>
          </w:tcPr>
          <w:p>
            <w:pPr>
              <w:pStyle w:val="11"/>
            </w:pPr>
          </w:p>
        </w:tc>
        <w:tc>
          <w:tcPr>
            <w:tcW w:w="2551" w:type="dxa"/>
            <w:vAlign w:val="center"/>
          </w:tcPr>
          <w:p>
            <w:pPr>
              <w:pStyle w:val="11"/>
            </w:pPr>
            <w:r>
              <w:t>21.45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9.74</w:t>
            </w:r>
          </w:p>
        </w:tc>
        <w:tc>
          <w:tcPr>
            <w:tcW w:w="2551" w:type="dxa"/>
            <w:vAlign w:val="center"/>
          </w:tcPr>
          <w:p>
            <w:pPr>
              <w:pStyle w:val="11"/>
            </w:pPr>
          </w:p>
        </w:tc>
        <w:tc>
          <w:tcPr>
            <w:tcW w:w="2551" w:type="dxa"/>
            <w:vAlign w:val="center"/>
          </w:tcPr>
          <w:p>
            <w:pPr>
              <w:pStyle w:val="11"/>
            </w:pPr>
            <w:r>
              <w:t>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0.86</w:t>
            </w:r>
          </w:p>
        </w:tc>
        <w:tc>
          <w:tcPr>
            <w:tcW w:w="2551" w:type="dxa"/>
            <w:vAlign w:val="center"/>
          </w:tcPr>
          <w:p>
            <w:pPr>
              <w:pStyle w:val="11"/>
            </w:pPr>
          </w:p>
        </w:tc>
        <w:tc>
          <w:tcPr>
            <w:tcW w:w="2551" w:type="dxa"/>
            <w:vAlign w:val="center"/>
          </w:tcPr>
          <w:p>
            <w:pPr>
              <w:pStyle w:val="11"/>
            </w:pPr>
            <w:r>
              <w:t>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0.64</w:t>
            </w:r>
          </w:p>
        </w:tc>
        <w:tc>
          <w:tcPr>
            <w:tcW w:w="2551" w:type="dxa"/>
            <w:vAlign w:val="center"/>
          </w:tcPr>
          <w:p>
            <w:pPr>
              <w:pStyle w:val="11"/>
            </w:pPr>
          </w:p>
        </w:tc>
        <w:tc>
          <w:tcPr>
            <w:tcW w:w="2551" w:type="dxa"/>
            <w:vAlign w:val="center"/>
          </w:tcPr>
          <w:p>
            <w:pPr>
              <w:pStyle w:val="11"/>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4.35</w:t>
            </w:r>
          </w:p>
        </w:tc>
        <w:tc>
          <w:tcPr>
            <w:tcW w:w="2551" w:type="dxa"/>
            <w:vAlign w:val="center"/>
          </w:tcPr>
          <w:p>
            <w:pPr>
              <w:pStyle w:val="11"/>
            </w:pPr>
          </w:p>
        </w:tc>
        <w:tc>
          <w:tcPr>
            <w:tcW w:w="2551" w:type="dxa"/>
            <w:vAlign w:val="center"/>
          </w:tcPr>
          <w:p>
            <w:pPr>
              <w:pStyle w:val="11"/>
            </w:pPr>
            <w:r>
              <w:t>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3.12</w:t>
            </w:r>
          </w:p>
        </w:tc>
        <w:tc>
          <w:tcPr>
            <w:tcW w:w="2551" w:type="dxa"/>
            <w:vAlign w:val="center"/>
          </w:tcPr>
          <w:p>
            <w:pPr>
              <w:pStyle w:val="11"/>
            </w:pPr>
          </w:p>
        </w:tc>
        <w:tc>
          <w:tcPr>
            <w:tcW w:w="2551" w:type="dxa"/>
            <w:vAlign w:val="center"/>
          </w:tcPr>
          <w:p>
            <w:pPr>
              <w:pStyle w:val="11"/>
            </w:pPr>
            <w:r>
              <w:t>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2.43</w:t>
            </w:r>
          </w:p>
        </w:tc>
        <w:tc>
          <w:tcPr>
            <w:tcW w:w="2551" w:type="dxa"/>
            <w:vAlign w:val="center"/>
          </w:tcPr>
          <w:p>
            <w:pPr>
              <w:pStyle w:val="11"/>
            </w:pPr>
          </w:p>
        </w:tc>
        <w:tc>
          <w:tcPr>
            <w:tcW w:w="2551" w:type="dxa"/>
            <w:vAlign w:val="center"/>
          </w:tcPr>
          <w:p>
            <w:pPr>
              <w:pStyle w:val="11"/>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0.29</w:t>
            </w:r>
          </w:p>
        </w:tc>
        <w:tc>
          <w:tcPr>
            <w:tcW w:w="2551" w:type="dxa"/>
            <w:vAlign w:val="center"/>
          </w:tcPr>
          <w:p>
            <w:pPr>
              <w:pStyle w:val="11"/>
            </w:pPr>
          </w:p>
        </w:tc>
        <w:tc>
          <w:tcPr>
            <w:tcW w:w="2551" w:type="dxa"/>
            <w:vAlign w:val="center"/>
          </w:tcPr>
          <w:p>
            <w:pPr>
              <w:pStyle w:val="11"/>
            </w:pPr>
            <w:r>
              <w:t>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20.06</w:t>
            </w:r>
          </w:p>
        </w:tc>
        <w:tc>
          <w:tcPr>
            <w:tcW w:w="2551" w:type="dxa"/>
            <w:vAlign w:val="center"/>
          </w:tcPr>
          <w:p>
            <w:pPr>
              <w:pStyle w:val="11"/>
            </w:pPr>
            <w:r>
              <w:t>20.06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18.60</w:t>
            </w:r>
          </w:p>
        </w:tc>
        <w:tc>
          <w:tcPr>
            <w:tcW w:w="2551" w:type="dxa"/>
            <w:vAlign w:val="center"/>
          </w:tcPr>
          <w:p>
            <w:pPr>
              <w:pStyle w:val="11"/>
            </w:pPr>
            <w:r>
              <w:t>18.60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1.45</w:t>
            </w:r>
          </w:p>
        </w:tc>
        <w:tc>
          <w:tcPr>
            <w:tcW w:w="2551" w:type="dxa"/>
            <w:vAlign w:val="center"/>
          </w:tcPr>
          <w:p>
            <w:pPr>
              <w:pStyle w:val="11"/>
            </w:pPr>
            <w:r>
              <w:t>1.45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0.01</w:t>
            </w:r>
          </w:p>
        </w:tc>
        <w:tc>
          <w:tcPr>
            <w:tcW w:w="2551" w:type="dxa"/>
            <w:vAlign w:val="center"/>
          </w:tcPr>
          <w:p>
            <w:pPr>
              <w:pStyle w:val="11"/>
            </w:pPr>
            <w:r>
              <w:t>0.01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保定市徐水区市场建设服务中心本级2024年单位预算信息公开情况说明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按照《中华人民共和国预算法》、《地方预决算公开操作规程》和《关于进一步推进预算公开工作的实施意见》规定，现将保定市徐水区市场建设服务中心本级2024年单位预算公开如下：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（一）负责制定全县市场布局的规划、市场建设、组织市场论证，负责市场登记工作。</w:t>
      </w:r>
    </w:p>
    <w:p>
      <w:pPr>
        <w:pStyle w:val="17"/>
      </w:pPr>
      <w:r>
        <w:t>（二）负责对所辖市场的纠纷，物业管理，提供有偿服务，收取设施租赁费。</w:t>
      </w:r>
    </w:p>
    <w:p>
      <w:pPr>
        <w:pStyle w:val="17"/>
      </w:pPr>
      <w:r>
        <w:t>（三）配合有关执法部门或受有关执法部门委托，对市场经营者违法违章问题进行查处。</w:t>
      </w:r>
    </w:p>
    <w:p>
      <w:pPr>
        <w:pStyle w:val="17"/>
      </w:pPr>
      <w:r>
        <w:t>（四）配合公安、消防等部门，对市场的日常安全和消防设施管理使用达标情况进行规范和检查。</w:t>
      </w:r>
    </w:p>
    <w:p>
      <w:pPr>
        <w:pStyle w:val="17"/>
      </w:pPr>
      <w:r>
        <w:t>（五）负责市场的培育开发、引进现代化商业业态，推动市场上档升级。</w:t>
      </w:r>
    </w:p>
    <w:p>
      <w:pPr>
        <w:pStyle w:val="17"/>
      </w:pPr>
      <w:r>
        <w:t>（六）组织各类庙会、商品交易会。</w:t>
      </w:r>
    </w:p>
    <w:p>
      <w:pPr>
        <w:pStyle w:val="17"/>
      </w:pPr>
      <w:r>
        <w:t>（七）负责市场统计与分析。</w:t>
      </w:r>
    </w:p>
    <w:p>
      <w:pPr>
        <w:pStyle w:val="17"/>
      </w:pPr>
      <w:r>
        <w:t>（八）组织市场检查评比、验收。</w:t>
      </w:r>
    </w:p>
    <w:p>
      <w:pPr>
        <w:pStyle w:val="17"/>
      </w:pPr>
      <w:r>
        <w:t>(九）承办区委、区政府交办的其它事项。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保定市徐水区市场建设服务中心本级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rPr>
          <w:rFonts w:hint="eastAsia"/>
          <w:lang w:val="en-US" w:eastAsia="zh-CN"/>
        </w:rPr>
        <w:t>(</w:t>
      </w:r>
      <w:r>
        <w:t>一</w:t>
      </w:r>
      <w:r>
        <w:rPr>
          <w:rFonts w:hint="eastAsia"/>
          <w:lang w:val="en-US" w:eastAsia="zh-CN"/>
        </w:rPr>
        <w:t>)</w:t>
      </w:r>
      <w:r>
        <w:t>、收入说明</w:t>
      </w:r>
    </w:p>
    <w:p>
      <w:pPr>
        <w:pStyle w:val="18"/>
      </w:pPr>
      <w:r>
        <w:t>反映本</w:t>
      </w:r>
      <w:r>
        <w:rPr>
          <w:rFonts w:hint="eastAsia"/>
          <w:lang w:eastAsia="zh-CN"/>
        </w:rPr>
        <w:t>单位</w:t>
      </w:r>
      <w:r>
        <w:t>当年全部收入。2024年预算收入518.84万元，其中：一般公共预算收入518.84万元，基金预算收入0万元，国有资本经营预算收入0万元，财政专户核拨收入0万元，单位资金收入0万元，上年结转结余0万元。</w:t>
      </w:r>
    </w:p>
    <w:p>
      <w:pPr>
        <w:pStyle w:val="18"/>
      </w:pPr>
      <w:r>
        <w:rPr>
          <w:rFonts w:hint="eastAsia"/>
          <w:lang w:val="en-US" w:eastAsia="zh-CN"/>
        </w:rPr>
        <w:t>(</w:t>
      </w:r>
      <w:r>
        <w:t>二</w:t>
      </w:r>
      <w:r>
        <w:rPr>
          <w:rFonts w:hint="eastAsia"/>
          <w:lang w:val="en-US" w:eastAsia="zh-CN"/>
        </w:rPr>
        <w:t>)</w:t>
      </w:r>
      <w:r>
        <w:t>、支出说明</w:t>
      </w:r>
    </w:p>
    <w:p>
      <w:pPr>
        <w:pStyle w:val="18"/>
      </w:pPr>
      <w:r>
        <w:t>收支预算总表支出栏、基本支出表、项目支出表按经济分类和支出功能分类科目编制，反映市场建设服务中心年度</w:t>
      </w:r>
      <w:r>
        <w:rPr>
          <w:rFonts w:hint="eastAsia"/>
          <w:lang w:eastAsia="zh-CN"/>
        </w:rPr>
        <w:t>单位</w:t>
      </w:r>
      <w:r>
        <w:t>预算中支出预算的总体情况。2024年支出预算518.84万元，其中基本支出518.84万元，包括人员经费497.09万元和日常公用经费21.75万元；项目支出0万元，主要为</w:t>
      </w:r>
      <w:r>
        <w:rPr>
          <w:rFonts w:hint="eastAsia"/>
          <w:lang w:eastAsia="zh-CN"/>
        </w:rPr>
        <w:t>无项目</w:t>
      </w:r>
      <w:r>
        <w:t>支出。</w:t>
      </w:r>
    </w:p>
    <w:p>
      <w:pPr>
        <w:pStyle w:val="18"/>
      </w:pPr>
      <w:r>
        <w:rPr>
          <w:rFonts w:hint="eastAsia"/>
          <w:lang w:val="en-US" w:eastAsia="zh-CN"/>
        </w:rPr>
        <w:t>(</w:t>
      </w:r>
      <w:r>
        <w:t>三</w:t>
      </w:r>
      <w:r>
        <w:rPr>
          <w:rFonts w:hint="eastAsia"/>
          <w:lang w:val="en-US" w:eastAsia="zh-CN"/>
        </w:rPr>
        <w:t>)</w:t>
      </w:r>
      <w:r>
        <w:t>、比上年增减情况</w:t>
      </w:r>
    </w:p>
    <w:p>
      <w:pPr>
        <w:pStyle w:val="18"/>
      </w:pPr>
      <w:r>
        <w:t>本年度预算收支安排518.84万元，较上年增加78.03万元。其中:基本支出增加78.0</w:t>
      </w:r>
      <w:r>
        <w:rPr>
          <w:rFonts w:hint="eastAsia"/>
          <w:lang w:val="en-US" w:eastAsia="zh-CN"/>
        </w:rPr>
        <w:t>5</w:t>
      </w:r>
      <w:bookmarkStart w:id="0" w:name="_GoBack"/>
      <w:bookmarkEnd w:id="0"/>
      <w:r>
        <w:t>万元，主要原因是职工人数增加，基本支出增加；项目支出减少0.02万元，主要原因是利息收入缴入国库，未纳入项目。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w:t>
      </w:r>
      <w:r>
        <w:rPr>
          <w:rFonts w:hint="eastAsia"/>
          <w:lang w:eastAsia="zh-CN"/>
        </w:rPr>
        <w:t>单位</w:t>
      </w:r>
      <w:r>
        <w:t>机关运行经费安排21.7</w:t>
      </w:r>
      <w:r>
        <w:rPr>
          <w:rFonts w:hint="eastAsia"/>
          <w:lang w:val="en-US" w:eastAsia="zh-CN"/>
        </w:rPr>
        <w:t>5</w:t>
      </w:r>
      <w:r>
        <w:t>万元，其中办公费</w:t>
      </w:r>
      <w:r>
        <w:rPr>
          <w:rFonts w:hint="eastAsia"/>
          <w:lang w:val="en-US" w:eastAsia="zh-CN"/>
        </w:rPr>
        <w:t>9.74</w:t>
      </w:r>
      <w:r>
        <w:t>万元，邮电费0.86万元，</w:t>
      </w:r>
      <w:r>
        <w:rPr>
          <w:rFonts w:hint="eastAsia"/>
          <w:lang w:val="en-US" w:eastAsia="zh-CN"/>
        </w:rPr>
        <w:t>取暖费0.64万元，</w:t>
      </w:r>
      <w:r>
        <w:t>工会经费</w:t>
      </w:r>
      <w:r>
        <w:rPr>
          <w:rFonts w:hint="eastAsia"/>
          <w:lang w:val="en-US" w:eastAsia="zh-CN"/>
        </w:rPr>
        <w:t>4.35万元</w:t>
      </w:r>
      <w:r>
        <w:t>、福利费</w:t>
      </w:r>
      <w:r>
        <w:rPr>
          <w:rFonts w:hint="eastAsia"/>
          <w:lang w:val="en-US" w:eastAsia="zh-CN"/>
        </w:rPr>
        <w:t>3.12</w:t>
      </w:r>
      <w:r>
        <w:t>万元，公务用车运行维护费2.43万元，其他</w:t>
      </w:r>
      <w:r>
        <w:rPr>
          <w:rFonts w:hint="eastAsia"/>
          <w:lang w:eastAsia="zh-CN"/>
        </w:rPr>
        <w:t>商品和服务</w:t>
      </w:r>
      <w:r>
        <w:t>支出0.</w:t>
      </w:r>
      <w:r>
        <w:rPr>
          <w:rFonts w:hint="eastAsia"/>
          <w:lang w:val="en-US" w:eastAsia="zh-CN"/>
        </w:rPr>
        <w:t>29</w:t>
      </w:r>
      <w:r>
        <w:t>万元</w:t>
      </w:r>
      <w:r>
        <w:rPr>
          <w:rFonts w:hint="eastAsia"/>
          <w:lang w:eastAsia="zh-CN"/>
        </w:rPr>
        <w:t>，办公设备购置</w:t>
      </w:r>
      <w:r>
        <w:rPr>
          <w:rFonts w:hint="eastAsia"/>
          <w:lang w:val="en-US" w:eastAsia="zh-CN"/>
        </w:rPr>
        <w:t>0.30万元</w:t>
      </w:r>
      <w:r>
        <w:t>。</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w:t>
      </w:r>
      <w:r>
        <w:rPr>
          <w:rFonts w:hint="eastAsia"/>
          <w:lang w:eastAsia="zh-CN"/>
        </w:rPr>
        <w:t>单位</w:t>
      </w:r>
      <w:r>
        <w:t>财政拨款“三公”经费预算安排2.43万元，其中因公出国（境）费0万元；公务用车购置及运维费2.43万元（其中：公务用车购置费为0万元，公务用车运维费2.43万元)；公务接待费0万元。与2023年相比增加0万元，增加的主要原因是：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0.30</w:t>
            </w:r>
          </w:p>
        </w:tc>
        <w:tc>
          <w:tcPr>
            <w:tcW w:w="964" w:type="dxa"/>
            <w:vAlign w:val="center"/>
          </w:tcPr>
          <w:p>
            <w:pPr>
              <w:pStyle w:val="15"/>
            </w:pPr>
            <w:r>
              <w:t>0.30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保定市徐水区市场建设服务中心本级小计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0.30</w:t>
            </w:r>
          </w:p>
        </w:tc>
        <w:tc>
          <w:tcPr>
            <w:tcW w:w="964" w:type="dxa"/>
            <w:vAlign w:val="center"/>
          </w:tcPr>
          <w:p>
            <w:pPr>
              <w:pStyle w:val="15"/>
            </w:pPr>
            <w:r>
              <w:t>0.30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公用经费项目二（三保）</w:t>
            </w:r>
          </w:p>
        </w:tc>
        <w:tc>
          <w:tcPr>
            <w:tcW w:w="964" w:type="dxa"/>
            <w:vAlign w:val="center"/>
          </w:tcPr>
          <w:p>
            <w:pPr>
              <w:pStyle w:val="11"/>
            </w:pPr>
            <w:r>
              <w:t>14.27</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保定市徐水区市场建设服务中心本级上年末固定资产金额为</w:t>
      </w:r>
      <w:r>
        <w:rPr>
          <w:rFonts w:hint="default" w:eastAsia="方正仿宋_GBK" w:cs="Times New Roman"/>
          <w:b w:val="0"/>
          <w:color w:val="000000"/>
          <w:sz w:val="28"/>
          <w:lang w:val="en-US"/>
        </w:rPr>
        <w:t>10.70</w:t>
      </w:r>
      <w:r>
        <w:rPr>
          <w:rFonts w:ascii="Times New Roman" w:hAnsi="Times New Roman" w:eastAsia="方正仿宋_GBK" w:cs="Times New Roman"/>
          <w:b w:val="0"/>
          <w:color w:val="000000"/>
          <w:sz w:val="28"/>
        </w:rPr>
        <w:t>万元（详见下表）。本年度拟购置固定资产总额为0.</w:t>
      </w:r>
      <w:r>
        <w:rPr>
          <w:rFonts w:hint="default" w:eastAsia="方正仿宋_GBK" w:cs="Times New Roman"/>
          <w:b w:val="0"/>
          <w:color w:val="000000"/>
          <w:sz w:val="28"/>
          <w:lang w:val="en-US"/>
        </w:rPr>
        <w:t>30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rPr>
                <w:rFonts w:hint="eastAsia" w:eastAsia="方正小标宋_GBK"/>
                <w:lang w:val="en-US" w:eastAsia="zh-CN"/>
              </w:rPr>
            </w:pPr>
            <w:r>
              <w:t>521001保定市徐水区市场建设服务中心本</w:t>
            </w:r>
            <w:r>
              <w:rPr>
                <w:rFonts w:hint="eastAsia"/>
                <w:lang w:val="en-US" w:eastAsia="zh-CN"/>
              </w:rPr>
              <w:t>级</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资产总额</w:t>
            </w:r>
          </w:p>
        </w:tc>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1"/>
              <w:ind w:firstLine="0" w:firstLineChars="0"/>
              <w:rPr>
                <w:rFonts w:hint="default" w:ascii="方正书宋_GBK" w:hAnsi="方正书宋_GBK" w:eastAsia="方正书宋_GBK" w:cs="方正书宋_GBK"/>
                <w:sz w:val="21"/>
                <w:szCs w:val="24"/>
                <w:lang w:val="en-US" w:eastAsia="uk-UA" w:bidi="ar-SA"/>
              </w:rPr>
            </w:pPr>
            <w:r>
              <w:rPr>
                <w:rFonts w:hint="default"/>
                <w:lang w:val="en-US"/>
              </w:rP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default"/>
                <w:lang w:val="en-US"/>
              </w:rPr>
              <w:t>1</w:t>
            </w:r>
            <w:r>
              <w:rPr>
                <w:rFonts w:hint="eastAsia"/>
                <w:lang w:val="en-US" w:eastAsia="zh-CN"/>
              </w:rPr>
              <w:t>、房屋（平方米）</w:t>
            </w:r>
          </w:p>
        </w:tc>
        <w:tc>
          <w:tcPr>
            <w:tcW w:w="4933" w:type="dxa"/>
            <w:vAlign w:val="center"/>
          </w:tcPr>
          <w:p>
            <w:pPr>
              <w:pStyle w:val="13"/>
              <w:ind w:firstLine="0" w:firstLineChars="0"/>
              <w:rPr>
                <w:rFonts w:hint="default" w:ascii="方正书宋_GBK" w:hAnsi="方正书宋_GBK" w:eastAsia="方正书宋_GBK" w:cs="方正书宋_GBK"/>
                <w:sz w:val="21"/>
                <w:szCs w:val="24"/>
                <w:lang w:val="en-US" w:eastAsia="uk-UA" w:bidi="ar-SA"/>
              </w:rPr>
            </w:pPr>
            <w:r>
              <w:rPr>
                <w:rFonts w:hint="default"/>
                <w:lang w:val="en-US"/>
              </w:rPr>
              <w:t>755.80</w:t>
            </w:r>
          </w:p>
        </w:tc>
        <w:tc>
          <w:tcPr>
            <w:tcW w:w="4933" w:type="dxa"/>
            <w:vAlign w:val="center"/>
          </w:tcPr>
          <w:p>
            <w:pPr>
              <w:pStyle w:val="11"/>
              <w:ind w:firstLine="0" w:firstLineChars="0"/>
              <w:rPr>
                <w:rFonts w:hint="default" w:ascii="方正书宋_GBK" w:hAnsi="方正书宋_GBK" w:eastAsia="方正书宋_GBK" w:cs="方正书宋_GBK"/>
                <w:sz w:val="21"/>
                <w:szCs w:val="24"/>
                <w:lang w:val="en-US" w:eastAsia="uk-UA" w:bidi="ar-SA"/>
              </w:rPr>
            </w:pPr>
            <w:r>
              <w:rPr>
                <w:rFonts w:hint="default"/>
                <w:lang w:val="en-US"/>
              </w:rPr>
              <w:t>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其中：办公用房（平方米）</w:t>
            </w:r>
          </w:p>
        </w:tc>
        <w:tc>
          <w:tcPr>
            <w:tcW w:w="4933" w:type="dxa"/>
            <w:vAlign w:val="center"/>
          </w:tcPr>
          <w:p>
            <w:pPr>
              <w:pStyle w:val="13"/>
              <w:ind w:firstLine="0" w:firstLineChars="0"/>
              <w:rPr>
                <w:rFonts w:hint="default" w:ascii="方正书宋_GBK" w:hAnsi="方正书宋_GBK" w:eastAsia="方正书宋_GBK" w:cs="方正书宋_GBK"/>
                <w:sz w:val="21"/>
                <w:szCs w:val="24"/>
                <w:lang w:val="en-US" w:eastAsia="uk-UA" w:bidi="ar-SA"/>
              </w:rPr>
            </w:pPr>
            <w:r>
              <w:rPr>
                <w:rFonts w:hint="default"/>
                <w:lang w:val="en-US"/>
              </w:rPr>
              <w:t>755.80</w:t>
            </w:r>
          </w:p>
        </w:tc>
        <w:tc>
          <w:tcPr>
            <w:tcW w:w="4933" w:type="dxa"/>
            <w:vAlign w:val="center"/>
          </w:tcPr>
          <w:p>
            <w:pPr>
              <w:pStyle w:val="11"/>
              <w:ind w:firstLine="0" w:firstLineChars="0"/>
              <w:rPr>
                <w:rFonts w:hint="default" w:ascii="方正书宋_GBK" w:hAnsi="方正书宋_GBK" w:eastAsia="方正书宋_GBK" w:cs="方正书宋_GBK"/>
                <w:sz w:val="21"/>
                <w:szCs w:val="24"/>
                <w:lang w:val="en-US" w:eastAsia="uk-UA" w:bidi="ar-SA"/>
              </w:rPr>
            </w:pPr>
            <w:r>
              <w:rPr>
                <w:rFonts w:hint="default"/>
                <w:lang w:val="en-US"/>
              </w:rPr>
              <w:t>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default"/>
                <w:lang w:val="en-US" w:eastAsia="zh-CN"/>
              </w:rPr>
              <w:t>2</w:t>
            </w:r>
            <w:r>
              <w:rPr>
                <w:rFonts w:hint="eastAsia"/>
                <w:lang w:val="en-US" w:eastAsia="zh-CN"/>
              </w:rPr>
              <w:t>、车辆（台、辆）</w:t>
            </w:r>
          </w:p>
        </w:tc>
        <w:tc>
          <w:tcPr>
            <w:tcW w:w="4933" w:type="dxa"/>
            <w:vAlign w:val="center"/>
          </w:tcPr>
          <w:p>
            <w:pPr>
              <w:pStyle w:val="13"/>
              <w:ind w:firstLine="0" w:firstLineChars="0"/>
              <w:rPr>
                <w:rFonts w:hint="default" w:ascii="方正书宋_GBK" w:hAnsi="方正书宋_GBK" w:eastAsia="方正书宋_GBK" w:cs="方正书宋_GBK"/>
                <w:sz w:val="21"/>
                <w:szCs w:val="24"/>
                <w:lang w:val="en-US" w:eastAsia="uk-UA" w:bidi="ar-SA"/>
              </w:rPr>
            </w:pPr>
            <w:r>
              <w:rPr>
                <w:rFonts w:hint="default"/>
                <w:lang w:val="en-US"/>
              </w:rPr>
              <w:t>1</w:t>
            </w:r>
          </w:p>
        </w:tc>
        <w:tc>
          <w:tcPr>
            <w:tcW w:w="493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default"/>
                <w:lang w:val="en-US" w:eastAsia="zh-CN"/>
              </w:rPr>
              <w:t>3</w:t>
            </w:r>
            <w:r>
              <w:rPr>
                <w:rFonts w:hint="eastAsia"/>
                <w:lang w:val="en-US" w:eastAsia="zh-CN"/>
              </w:rPr>
              <w:t>单位在</w:t>
            </w:r>
            <w:r>
              <w:rPr>
                <w:rFonts w:hint="default"/>
                <w:lang w:val="en-US" w:eastAsia="zh-CN"/>
              </w:rPr>
              <w:t>20</w:t>
            </w:r>
            <w:r>
              <w:rPr>
                <w:rFonts w:hint="eastAsia"/>
                <w:lang w:val="en-US" w:eastAsia="zh-CN"/>
              </w:rPr>
              <w:t>万元以上的设备</w:t>
            </w: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其他固定资产</w:t>
            </w:r>
          </w:p>
        </w:tc>
        <w:tc>
          <w:tcPr>
            <w:tcW w:w="0" w:type="auto"/>
            <w:vAlign w:val="center"/>
          </w:tcPr>
          <w:p>
            <w:pPr>
              <w:pStyle w:val="13"/>
              <w:ind w:firstLine="0" w:firstLineChars="0"/>
              <w:rPr>
                <w:rFonts w:hint="default" w:ascii="方正书宋_GBK" w:hAnsi="方正书宋_GBK" w:eastAsia="方正书宋_GBK" w:cs="方正书宋_GBK"/>
                <w:sz w:val="21"/>
                <w:szCs w:val="24"/>
                <w:lang w:val="en-US" w:eastAsia="uk-UA" w:bidi="ar-SA"/>
              </w:rPr>
            </w:pPr>
            <w:r>
              <w:rPr>
                <w:rFonts w:hint="default"/>
                <w:lang w:val="en-US"/>
              </w:rPr>
              <w:t>90</w:t>
            </w:r>
          </w:p>
        </w:tc>
        <w:tc>
          <w:tcPr>
            <w:tcW w:w="0" w:type="auto"/>
            <w:vAlign w:val="center"/>
          </w:tcPr>
          <w:p>
            <w:pPr>
              <w:pStyle w:val="11"/>
              <w:ind w:firstLine="0" w:firstLineChars="0"/>
              <w:rPr>
                <w:rFonts w:hint="default" w:ascii="方正书宋_GBK" w:hAnsi="方正书宋_GBK" w:eastAsia="方正书宋_GBK" w:cs="方正书宋_GBK"/>
                <w:sz w:val="21"/>
                <w:szCs w:val="24"/>
                <w:lang w:val="en-US" w:eastAsia="uk-UA" w:bidi="ar-SA"/>
              </w:rPr>
            </w:pPr>
            <w:r>
              <w:rPr>
                <w:rFonts w:hint="default"/>
                <w:lang w:val="en-US"/>
              </w:rPr>
              <w:t>1.45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D106F"/>
    <w:rsid w:val="12756262"/>
    <w:rsid w:val="1B5C1232"/>
    <w:rsid w:val="1C971437"/>
    <w:rsid w:val="23CC456F"/>
    <w:rsid w:val="266D7A18"/>
    <w:rsid w:val="270A7675"/>
    <w:rsid w:val="2B6E5A93"/>
    <w:rsid w:val="2E930678"/>
    <w:rsid w:val="38393941"/>
    <w:rsid w:val="40425E9A"/>
    <w:rsid w:val="45DE03E6"/>
    <w:rsid w:val="4D7F73EF"/>
    <w:rsid w:val="5456436D"/>
    <w:rsid w:val="69F22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2024-02-26T09:53:35Z</dcterms:created>
  <dcterms:modified xsi:type="dcterms:W3CDTF">2024-02-26T01:53:35Z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2024-02-26T09:53:38Z</dcterms:created>
  <dcterms:modified xsi:type="dcterms:W3CDTF">2024-02-26T01:53:38Z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2024-02-26T09:53:37Z</dcterms:created>
  <dcterms:modified xsi:type="dcterms:W3CDTF">2024-02-26T01:53:37Z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0999f-1573-4c36-acfe-e37bbcb65d93}">
  <ds:schemaRefs/>
</ds:datastoreItem>
</file>

<file path=customXml/itemProps3.xml><?xml version="1.0" encoding="utf-8"?>
<ds:datastoreItem xmlns:ds="http://schemas.openxmlformats.org/officeDocument/2006/customXml" ds:itemID="{2c5cf4ca-f78e-4aa4-8afd-83e271e5e1ec}">
  <ds:schemaRefs/>
</ds:datastoreItem>
</file>

<file path=customXml/itemProps4.xml><?xml version="1.0" encoding="utf-8"?>
<ds:datastoreItem xmlns:ds="http://schemas.openxmlformats.org/officeDocument/2006/customXml" ds:itemID="{b82c648a-abae-42dc-817c-c1c246e9bc2c}">
  <ds:schemaRefs/>
</ds:datastoreItem>
</file>

<file path=customXml/itemProps5.xml><?xml version="1.0" encoding="utf-8"?>
<ds:datastoreItem xmlns:ds="http://schemas.openxmlformats.org/officeDocument/2006/customXml" ds:itemID="{7c5e04aa-f029-4ccd-b41d-0e24e0f29980}">
  <ds:schemaRefs/>
</ds:datastoreItem>
</file>

<file path=customXml/itemProps6.xml><?xml version="1.0" encoding="utf-8"?>
<ds:datastoreItem xmlns:ds="http://schemas.openxmlformats.org/officeDocument/2006/customXml" ds:itemID="{4e324010-a6f5-4b65-abae-c24d3c13b17b}">
  <ds:schemaRefs/>
</ds:datastoreItem>
</file>

<file path=customXml/itemProps7.xml><?xml version="1.0" encoding="utf-8"?>
<ds:datastoreItem xmlns:ds="http://schemas.openxmlformats.org/officeDocument/2006/customXml" ds:itemID="{24369645-4776-41d2-afe3-a90bef3890d8}">
  <ds:schemaRefs/>
</ds:datastoreItem>
</file>

<file path=docProps/app.xml><?xml version="1.0" encoding="utf-8"?>
<Properties xmlns="http://schemas.openxmlformats.org/officeDocument/2006/extended-properties" xmlns:vt="http://schemas.openxmlformats.org/officeDocument/2006/docPropsVTypes">
  <TotalTime>43</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2024-02-26T09:53:00Z</dcterms:created>
  <dc:creator>Lenovo</dc:creator>
  <cp:lastModifiedBy>Administrator</cp:lastModifiedBy>
  <cp:lastPrinted>2024-04-08T05:20:00Z</cp:lastPrinted>
  <dcterms:modified xsi:type="dcterms:W3CDTF">2025-09-09T01:21:43Z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BA3E9E035732480783296051BD58F150</vt:lpwstr>
  </property>
</Properties>
</file>