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23</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24</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26</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27</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27</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28</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28</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30</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31</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32</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32</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33</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34</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0"/>
            </w:pPr>
            <w:r>
              <w:t>521保定市徐水区市场建设服务中心</w:t>
            </w:r>
          </w:p>
        </w:tc>
        <w:tc>
          <w:tcPr>
            <w:tcW w:w="2126" w:type="dxa"/>
            <w:tcBorders>
              <w:top w:val="single" w:color="FFFFFF" w:sz="6" w:space="0"/>
              <w:left w:val="single" w:color="FFFFFF" w:sz="6" w:space="0"/>
              <w:right w:val="single" w:color="FFFFFF" w:sz="6" w:space="0"/>
            </w:tcBorders>
            <w:vAlign w:val="center"/>
          </w:tcPr>
          <w:p>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518.84</w:t>
            </w:r>
          </w:p>
        </w:tc>
        <w:tc>
          <w:tcPr>
            <w:tcW w:w="4535" w:type="dxa"/>
            <w:vAlign w:val="center"/>
          </w:tcPr>
          <w:p>
            <w:pPr>
              <w:pStyle w:val="13"/>
            </w:pPr>
            <w:r>
              <w:t>一、一般公共服务支出</w:t>
            </w:r>
          </w:p>
        </w:tc>
        <w:tc>
          <w:tcPr>
            <w:tcW w:w="2126" w:type="dxa"/>
            <w:vAlign w:val="center"/>
          </w:tcPr>
          <w:p>
            <w:pPr>
              <w:pStyle w:val="12"/>
            </w:pPr>
            <w:r>
              <w:t>385.02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83.44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14.71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35.67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518.84</w:t>
            </w:r>
          </w:p>
        </w:tc>
        <w:tc>
          <w:tcPr>
            <w:tcW w:w="4535" w:type="dxa"/>
            <w:vAlign w:val="center"/>
          </w:tcPr>
          <w:p>
            <w:pPr>
              <w:pStyle w:val="15"/>
            </w:pPr>
            <w:r>
              <w:t>本年支出合计</w:t>
            </w:r>
          </w:p>
        </w:tc>
        <w:tc>
          <w:tcPr>
            <w:tcW w:w="2126" w:type="dxa"/>
            <w:vAlign w:val="center"/>
          </w:tcPr>
          <w:p>
            <w:pPr>
              <w:pStyle w:val="16"/>
            </w:pPr>
            <w:r>
              <w:t>518.84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518.84</w:t>
            </w:r>
          </w:p>
        </w:tc>
        <w:tc>
          <w:tcPr>
            <w:tcW w:w="4535" w:type="dxa"/>
            <w:vAlign w:val="center"/>
          </w:tcPr>
          <w:p>
            <w:pPr>
              <w:pStyle w:val="15"/>
            </w:pPr>
            <w:r>
              <w:t>支出总计</w:t>
            </w:r>
          </w:p>
        </w:tc>
        <w:tc>
          <w:tcPr>
            <w:tcW w:w="2126" w:type="dxa"/>
            <w:vAlign w:val="center"/>
          </w:tcPr>
          <w:p>
            <w:pPr>
              <w:pStyle w:val="16"/>
            </w:pPr>
            <w:r>
              <w:t>518.84</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521保定市徐水区市场建设服务中心</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1"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518.84</w:t>
            </w:r>
          </w:p>
        </w:tc>
        <w:tc>
          <w:tcPr>
            <w:tcW w:w="1134" w:type="dxa"/>
            <w:vAlign w:val="center"/>
          </w:tcPr>
          <w:p>
            <w:pPr>
              <w:pStyle w:val="16"/>
            </w:pPr>
            <w:r>
              <w:t>518.84</w:t>
            </w:r>
          </w:p>
        </w:tc>
        <w:tc>
          <w:tcPr>
            <w:tcW w:w="1134" w:type="dxa"/>
            <w:vAlign w:val="center"/>
          </w:tcPr>
          <w:p>
            <w:pPr>
              <w:pStyle w:val="16"/>
            </w:pPr>
            <w:r>
              <w:t>518.84</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385.02</w:t>
            </w:r>
          </w:p>
        </w:tc>
        <w:tc>
          <w:tcPr>
            <w:tcW w:w="1134" w:type="dxa"/>
            <w:vAlign w:val="center"/>
          </w:tcPr>
          <w:p>
            <w:pPr>
              <w:pStyle w:val="12"/>
            </w:pPr>
            <w:r>
              <w:t>385.02</w:t>
            </w:r>
          </w:p>
        </w:tc>
        <w:tc>
          <w:tcPr>
            <w:tcW w:w="1134" w:type="dxa"/>
            <w:vAlign w:val="center"/>
          </w:tcPr>
          <w:p>
            <w:pPr>
              <w:pStyle w:val="12"/>
            </w:pPr>
            <w:r>
              <w:t>385.02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20138</w:t>
            </w:r>
          </w:p>
        </w:tc>
        <w:tc>
          <w:tcPr>
            <w:tcW w:w="1559" w:type="dxa"/>
            <w:vAlign w:val="center"/>
          </w:tcPr>
          <w:p>
            <w:pPr>
              <w:pStyle w:val="13"/>
            </w:pPr>
            <w:r>
              <w:t>市场监督管理事务</w:t>
            </w:r>
          </w:p>
        </w:tc>
        <w:tc>
          <w:tcPr>
            <w:tcW w:w="1134" w:type="dxa"/>
            <w:vAlign w:val="center"/>
          </w:tcPr>
          <w:p>
            <w:pPr>
              <w:pStyle w:val="12"/>
            </w:pPr>
            <w:r>
              <w:t>385.02</w:t>
            </w:r>
          </w:p>
        </w:tc>
        <w:tc>
          <w:tcPr>
            <w:tcW w:w="1134" w:type="dxa"/>
            <w:vAlign w:val="center"/>
          </w:tcPr>
          <w:p>
            <w:pPr>
              <w:pStyle w:val="12"/>
            </w:pPr>
            <w:r>
              <w:t>385.02</w:t>
            </w:r>
          </w:p>
        </w:tc>
        <w:tc>
          <w:tcPr>
            <w:tcW w:w="1134" w:type="dxa"/>
            <w:vAlign w:val="center"/>
          </w:tcPr>
          <w:p>
            <w:pPr>
              <w:pStyle w:val="12"/>
            </w:pPr>
            <w:r>
              <w:t>385.02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2013850</w:t>
            </w:r>
          </w:p>
        </w:tc>
        <w:tc>
          <w:tcPr>
            <w:tcW w:w="1559" w:type="dxa"/>
            <w:vAlign w:val="center"/>
          </w:tcPr>
          <w:p>
            <w:pPr>
              <w:pStyle w:val="13"/>
            </w:pPr>
            <w:r>
              <w:t>事业运行</w:t>
            </w:r>
          </w:p>
        </w:tc>
        <w:tc>
          <w:tcPr>
            <w:tcW w:w="1134" w:type="dxa"/>
            <w:vAlign w:val="center"/>
          </w:tcPr>
          <w:p>
            <w:pPr>
              <w:pStyle w:val="12"/>
            </w:pPr>
            <w:r>
              <w:t>385.02</w:t>
            </w:r>
          </w:p>
        </w:tc>
        <w:tc>
          <w:tcPr>
            <w:tcW w:w="1134" w:type="dxa"/>
            <w:vAlign w:val="center"/>
          </w:tcPr>
          <w:p>
            <w:pPr>
              <w:pStyle w:val="12"/>
            </w:pPr>
            <w:r>
              <w:t>385.02</w:t>
            </w:r>
          </w:p>
        </w:tc>
        <w:tc>
          <w:tcPr>
            <w:tcW w:w="1134" w:type="dxa"/>
            <w:vAlign w:val="center"/>
          </w:tcPr>
          <w:p>
            <w:pPr>
              <w:pStyle w:val="12"/>
            </w:pPr>
            <w:r>
              <w:t>385.02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83.44</w:t>
            </w:r>
          </w:p>
        </w:tc>
        <w:tc>
          <w:tcPr>
            <w:tcW w:w="1134" w:type="dxa"/>
            <w:vAlign w:val="center"/>
          </w:tcPr>
          <w:p>
            <w:pPr>
              <w:pStyle w:val="12"/>
            </w:pPr>
            <w:r>
              <w:t>83.44</w:t>
            </w:r>
          </w:p>
        </w:tc>
        <w:tc>
          <w:tcPr>
            <w:tcW w:w="1134" w:type="dxa"/>
            <w:vAlign w:val="center"/>
          </w:tcPr>
          <w:p>
            <w:pPr>
              <w:pStyle w:val="12"/>
            </w:pPr>
            <w:r>
              <w:t>83.44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83.44</w:t>
            </w:r>
          </w:p>
        </w:tc>
        <w:tc>
          <w:tcPr>
            <w:tcW w:w="1134" w:type="dxa"/>
            <w:vAlign w:val="center"/>
          </w:tcPr>
          <w:p>
            <w:pPr>
              <w:pStyle w:val="12"/>
            </w:pPr>
            <w:r>
              <w:t>83.44</w:t>
            </w:r>
          </w:p>
        </w:tc>
        <w:tc>
          <w:tcPr>
            <w:tcW w:w="1134" w:type="dxa"/>
            <w:vAlign w:val="center"/>
          </w:tcPr>
          <w:p>
            <w:pPr>
              <w:pStyle w:val="12"/>
            </w:pPr>
            <w:r>
              <w:t>83.44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18.69</w:t>
            </w:r>
          </w:p>
        </w:tc>
        <w:tc>
          <w:tcPr>
            <w:tcW w:w="1134" w:type="dxa"/>
            <w:vAlign w:val="center"/>
          </w:tcPr>
          <w:p>
            <w:pPr>
              <w:pStyle w:val="12"/>
            </w:pPr>
            <w:r>
              <w:t>18.69</w:t>
            </w:r>
          </w:p>
        </w:tc>
        <w:tc>
          <w:tcPr>
            <w:tcW w:w="1134" w:type="dxa"/>
            <w:vAlign w:val="center"/>
          </w:tcPr>
          <w:p>
            <w:pPr>
              <w:pStyle w:val="12"/>
            </w:pPr>
            <w:r>
              <w:t>18.69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43.17</w:t>
            </w:r>
          </w:p>
        </w:tc>
        <w:tc>
          <w:tcPr>
            <w:tcW w:w="1134" w:type="dxa"/>
            <w:vAlign w:val="center"/>
          </w:tcPr>
          <w:p>
            <w:pPr>
              <w:pStyle w:val="12"/>
            </w:pPr>
            <w:r>
              <w:t>43.17</w:t>
            </w:r>
          </w:p>
        </w:tc>
        <w:tc>
          <w:tcPr>
            <w:tcW w:w="1134" w:type="dxa"/>
            <w:vAlign w:val="center"/>
          </w:tcPr>
          <w:p>
            <w:pPr>
              <w:pStyle w:val="12"/>
            </w:pPr>
            <w:r>
              <w:t>43.17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21.58</w:t>
            </w:r>
          </w:p>
        </w:tc>
        <w:tc>
          <w:tcPr>
            <w:tcW w:w="1134" w:type="dxa"/>
            <w:vAlign w:val="center"/>
          </w:tcPr>
          <w:p>
            <w:pPr>
              <w:pStyle w:val="12"/>
            </w:pPr>
            <w:r>
              <w:t>21.58</w:t>
            </w:r>
          </w:p>
        </w:tc>
        <w:tc>
          <w:tcPr>
            <w:tcW w:w="1134" w:type="dxa"/>
            <w:vAlign w:val="center"/>
          </w:tcPr>
          <w:p>
            <w:pPr>
              <w:pStyle w:val="12"/>
            </w:pPr>
            <w:r>
              <w:t>21.58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14.71</w:t>
            </w:r>
          </w:p>
        </w:tc>
        <w:tc>
          <w:tcPr>
            <w:tcW w:w="1134" w:type="dxa"/>
            <w:vAlign w:val="center"/>
          </w:tcPr>
          <w:p>
            <w:pPr>
              <w:pStyle w:val="12"/>
            </w:pPr>
            <w:r>
              <w:t>14.71</w:t>
            </w:r>
          </w:p>
        </w:tc>
        <w:tc>
          <w:tcPr>
            <w:tcW w:w="1134" w:type="dxa"/>
            <w:vAlign w:val="center"/>
          </w:tcPr>
          <w:p>
            <w:pPr>
              <w:pStyle w:val="12"/>
            </w:pPr>
            <w:r>
              <w:t>14.71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14.71</w:t>
            </w:r>
          </w:p>
        </w:tc>
        <w:tc>
          <w:tcPr>
            <w:tcW w:w="1134" w:type="dxa"/>
            <w:vAlign w:val="center"/>
          </w:tcPr>
          <w:p>
            <w:pPr>
              <w:pStyle w:val="12"/>
            </w:pPr>
            <w:r>
              <w:t>14.71</w:t>
            </w:r>
          </w:p>
        </w:tc>
        <w:tc>
          <w:tcPr>
            <w:tcW w:w="1134" w:type="dxa"/>
            <w:vAlign w:val="center"/>
          </w:tcPr>
          <w:p>
            <w:pPr>
              <w:pStyle w:val="12"/>
            </w:pPr>
            <w:r>
              <w:t>14.71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14.71</w:t>
            </w:r>
          </w:p>
        </w:tc>
        <w:tc>
          <w:tcPr>
            <w:tcW w:w="1134" w:type="dxa"/>
            <w:vAlign w:val="center"/>
          </w:tcPr>
          <w:p>
            <w:pPr>
              <w:pStyle w:val="12"/>
            </w:pPr>
            <w:r>
              <w:t>14.71</w:t>
            </w:r>
          </w:p>
        </w:tc>
        <w:tc>
          <w:tcPr>
            <w:tcW w:w="1134" w:type="dxa"/>
            <w:vAlign w:val="center"/>
          </w:tcPr>
          <w:p>
            <w:pPr>
              <w:pStyle w:val="12"/>
            </w:pPr>
            <w:r>
              <w:t>14.71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35.67</w:t>
            </w:r>
          </w:p>
        </w:tc>
        <w:tc>
          <w:tcPr>
            <w:tcW w:w="1134" w:type="dxa"/>
            <w:vAlign w:val="center"/>
          </w:tcPr>
          <w:p>
            <w:pPr>
              <w:pStyle w:val="12"/>
            </w:pPr>
            <w:r>
              <w:t>35.67</w:t>
            </w:r>
          </w:p>
        </w:tc>
        <w:tc>
          <w:tcPr>
            <w:tcW w:w="1134" w:type="dxa"/>
            <w:vAlign w:val="center"/>
          </w:tcPr>
          <w:p>
            <w:pPr>
              <w:pStyle w:val="12"/>
            </w:pPr>
            <w:r>
              <w:t>35.67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35.67</w:t>
            </w:r>
          </w:p>
        </w:tc>
        <w:tc>
          <w:tcPr>
            <w:tcW w:w="1134" w:type="dxa"/>
            <w:vAlign w:val="center"/>
          </w:tcPr>
          <w:p>
            <w:pPr>
              <w:pStyle w:val="12"/>
            </w:pPr>
            <w:r>
              <w:t>35.67</w:t>
            </w:r>
          </w:p>
        </w:tc>
        <w:tc>
          <w:tcPr>
            <w:tcW w:w="1134" w:type="dxa"/>
            <w:vAlign w:val="center"/>
          </w:tcPr>
          <w:p>
            <w:pPr>
              <w:pStyle w:val="12"/>
            </w:pPr>
            <w:r>
              <w:t>35.67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35.67</w:t>
            </w:r>
          </w:p>
        </w:tc>
        <w:tc>
          <w:tcPr>
            <w:tcW w:w="1134" w:type="dxa"/>
            <w:vAlign w:val="center"/>
          </w:tcPr>
          <w:p>
            <w:pPr>
              <w:pStyle w:val="12"/>
            </w:pPr>
            <w:r>
              <w:t>35.67</w:t>
            </w:r>
          </w:p>
        </w:tc>
        <w:tc>
          <w:tcPr>
            <w:tcW w:w="1134" w:type="dxa"/>
            <w:vAlign w:val="center"/>
          </w:tcPr>
          <w:p>
            <w:pPr>
              <w:pStyle w:val="12"/>
            </w:pPr>
            <w:r>
              <w:t>35.67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0"/>
            </w:pPr>
            <w:r>
              <w:t>521保定市徐水区市场建设服务中心</w:t>
            </w:r>
          </w:p>
        </w:tc>
        <w:tc>
          <w:tcPr>
            <w:tcW w:w="2721"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8"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518.84</w:t>
            </w:r>
          </w:p>
        </w:tc>
        <w:tc>
          <w:tcPr>
            <w:tcW w:w="1361" w:type="dxa"/>
            <w:vAlign w:val="center"/>
          </w:tcPr>
          <w:p>
            <w:pPr>
              <w:pStyle w:val="16"/>
            </w:pPr>
            <w:r>
              <w:t>518.84</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385.02</w:t>
            </w:r>
          </w:p>
        </w:tc>
        <w:tc>
          <w:tcPr>
            <w:tcW w:w="1361" w:type="dxa"/>
            <w:vAlign w:val="center"/>
          </w:tcPr>
          <w:p>
            <w:pPr>
              <w:pStyle w:val="12"/>
            </w:pPr>
            <w:r>
              <w:t>385.02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20138</w:t>
            </w:r>
          </w:p>
        </w:tc>
        <w:tc>
          <w:tcPr>
            <w:tcW w:w="4535" w:type="dxa"/>
            <w:vAlign w:val="center"/>
          </w:tcPr>
          <w:p>
            <w:pPr>
              <w:pStyle w:val="13"/>
            </w:pPr>
            <w:r>
              <w:t>市场监督管理事务</w:t>
            </w:r>
          </w:p>
        </w:tc>
        <w:tc>
          <w:tcPr>
            <w:tcW w:w="1361" w:type="dxa"/>
            <w:vAlign w:val="center"/>
          </w:tcPr>
          <w:p>
            <w:pPr>
              <w:pStyle w:val="12"/>
            </w:pPr>
            <w:r>
              <w:t>385.02</w:t>
            </w:r>
          </w:p>
        </w:tc>
        <w:tc>
          <w:tcPr>
            <w:tcW w:w="1361" w:type="dxa"/>
            <w:vAlign w:val="center"/>
          </w:tcPr>
          <w:p>
            <w:pPr>
              <w:pStyle w:val="12"/>
            </w:pPr>
            <w:r>
              <w:t>385.02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2013850</w:t>
            </w:r>
          </w:p>
        </w:tc>
        <w:tc>
          <w:tcPr>
            <w:tcW w:w="4535" w:type="dxa"/>
            <w:vAlign w:val="center"/>
          </w:tcPr>
          <w:p>
            <w:pPr>
              <w:pStyle w:val="13"/>
            </w:pPr>
            <w:r>
              <w:t>事业运行</w:t>
            </w:r>
          </w:p>
        </w:tc>
        <w:tc>
          <w:tcPr>
            <w:tcW w:w="1361" w:type="dxa"/>
            <w:vAlign w:val="center"/>
          </w:tcPr>
          <w:p>
            <w:pPr>
              <w:pStyle w:val="12"/>
            </w:pPr>
            <w:r>
              <w:t>385.02</w:t>
            </w:r>
          </w:p>
        </w:tc>
        <w:tc>
          <w:tcPr>
            <w:tcW w:w="1361" w:type="dxa"/>
            <w:vAlign w:val="center"/>
          </w:tcPr>
          <w:p>
            <w:pPr>
              <w:pStyle w:val="12"/>
            </w:pPr>
            <w:r>
              <w:t>385.02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83.44</w:t>
            </w:r>
          </w:p>
        </w:tc>
        <w:tc>
          <w:tcPr>
            <w:tcW w:w="1361" w:type="dxa"/>
            <w:vAlign w:val="center"/>
          </w:tcPr>
          <w:p>
            <w:pPr>
              <w:pStyle w:val="12"/>
            </w:pPr>
            <w:r>
              <w:t>83.44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83.44</w:t>
            </w:r>
          </w:p>
        </w:tc>
        <w:tc>
          <w:tcPr>
            <w:tcW w:w="1361" w:type="dxa"/>
            <w:vAlign w:val="center"/>
          </w:tcPr>
          <w:p>
            <w:pPr>
              <w:pStyle w:val="12"/>
            </w:pPr>
            <w:r>
              <w:t>83.44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18.69</w:t>
            </w:r>
          </w:p>
        </w:tc>
        <w:tc>
          <w:tcPr>
            <w:tcW w:w="1361" w:type="dxa"/>
            <w:vAlign w:val="center"/>
          </w:tcPr>
          <w:p>
            <w:pPr>
              <w:pStyle w:val="12"/>
            </w:pPr>
            <w:r>
              <w:t>18.69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43.17</w:t>
            </w:r>
          </w:p>
        </w:tc>
        <w:tc>
          <w:tcPr>
            <w:tcW w:w="1361" w:type="dxa"/>
            <w:vAlign w:val="center"/>
          </w:tcPr>
          <w:p>
            <w:pPr>
              <w:pStyle w:val="12"/>
            </w:pPr>
            <w:r>
              <w:t>43.17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21.58</w:t>
            </w:r>
          </w:p>
        </w:tc>
        <w:tc>
          <w:tcPr>
            <w:tcW w:w="1361" w:type="dxa"/>
            <w:vAlign w:val="center"/>
          </w:tcPr>
          <w:p>
            <w:pPr>
              <w:pStyle w:val="12"/>
            </w:pPr>
            <w:r>
              <w:t>21.58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14.71</w:t>
            </w:r>
          </w:p>
        </w:tc>
        <w:tc>
          <w:tcPr>
            <w:tcW w:w="1361" w:type="dxa"/>
            <w:vAlign w:val="center"/>
          </w:tcPr>
          <w:p>
            <w:pPr>
              <w:pStyle w:val="12"/>
            </w:pPr>
            <w:r>
              <w:t>14.71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14.71</w:t>
            </w:r>
          </w:p>
        </w:tc>
        <w:tc>
          <w:tcPr>
            <w:tcW w:w="1361" w:type="dxa"/>
            <w:vAlign w:val="center"/>
          </w:tcPr>
          <w:p>
            <w:pPr>
              <w:pStyle w:val="12"/>
            </w:pPr>
            <w:r>
              <w:t>14.71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14.71</w:t>
            </w:r>
          </w:p>
        </w:tc>
        <w:tc>
          <w:tcPr>
            <w:tcW w:w="1361" w:type="dxa"/>
            <w:vAlign w:val="center"/>
          </w:tcPr>
          <w:p>
            <w:pPr>
              <w:pStyle w:val="12"/>
            </w:pPr>
            <w:r>
              <w:t>14.71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35.67</w:t>
            </w:r>
          </w:p>
        </w:tc>
        <w:tc>
          <w:tcPr>
            <w:tcW w:w="1361" w:type="dxa"/>
            <w:vAlign w:val="center"/>
          </w:tcPr>
          <w:p>
            <w:pPr>
              <w:pStyle w:val="12"/>
            </w:pPr>
            <w:r>
              <w:t>35.67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35.67</w:t>
            </w:r>
          </w:p>
        </w:tc>
        <w:tc>
          <w:tcPr>
            <w:tcW w:w="1361" w:type="dxa"/>
            <w:vAlign w:val="center"/>
          </w:tcPr>
          <w:p>
            <w:pPr>
              <w:pStyle w:val="12"/>
            </w:pPr>
            <w:r>
              <w:t>35.67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35.67</w:t>
            </w:r>
          </w:p>
        </w:tc>
        <w:tc>
          <w:tcPr>
            <w:tcW w:w="1361" w:type="dxa"/>
            <w:vAlign w:val="center"/>
          </w:tcPr>
          <w:p>
            <w:pPr>
              <w:pStyle w:val="12"/>
            </w:pPr>
            <w:r>
              <w:t>35.67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521保定市徐水区市场建设服务中心</w:t>
            </w:r>
          </w:p>
        </w:tc>
        <w:tc>
          <w:tcPr>
            <w:tcW w:w="3402" w:type="dxa"/>
            <w:tcBorders>
              <w:top w:val="single" w:color="FFFFFF" w:sz="6" w:space="0"/>
              <w:left w:val="single" w:color="FFFFFF" w:sz="6" w:space="0"/>
              <w:right w:val="single" w:color="FFFFFF" w:sz="6" w:space="0"/>
            </w:tcBorders>
            <w:vAlign w:val="center"/>
          </w:tcPr>
          <w:p>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518.84</w:t>
            </w:r>
          </w:p>
        </w:tc>
        <w:tc>
          <w:tcPr>
            <w:tcW w:w="3402" w:type="dxa"/>
            <w:vAlign w:val="center"/>
          </w:tcPr>
          <w:p>
            <w:pPr>
              <w:pStyle w:val="13"/>
            </w:pPr>
            <w:r>
              <w:t>一、一般公共服务支出</w:t>
            </w:r>
          </w:p>
        </w:tc>
        <w:tc>
          <w:tcPr>
            <w:tcW w:w="1474" w:type="dxa"/>
            <w:vAlign w:val="center"/>
          </w:tcPr>
          <w:p>
            <w:pPr>
              <w:pStyle w:val="12"/>
            </w:pPr>
            <w:r>
              <w:t>385.02</w:t>
            </w:r>
          </w:p>
        </w:tc>
        <w:tc>
          <w:tcPr>
            <w:tcW w:w="1474" w:type="dxa"/>
            <w:vAlign w:val="center"/>
          </w:tcPr>
          <w:p>
            <w:pPr>
              <w:pStyle w:val="12"/>
            </w:pPr>
            <w:r>
              <w:t>385.02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83.44</w:t>
            </w:r>
          </w:p>
        </w:tc>
        <w:tc>
          <w:tcPr>
            <w:tcW w:w="1474" w:type="dxa"/>
            <w:vAlign w:val="center"/>
          </w:tcPr>
          <w:p>
            <w:pPr>
              <w:pStyle w:val="12"/>
            </w:pPr>
            <w:r>
              <w:t>83.44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14.71</w:t>
            </w:r>
          </w:p>
        </w:tc>
        <w:tc>
          <w:tcPr>
            <w:tcW w:w="1474" w:type="dxa"/>
            <w:vAlign w:val="center"/>
          </w:tcPr>
          <w:p>
            <w:pPr>
              <w:pStyle w:val="12"/>
            </w:pPr>
            <w:r>
              <w:t>14.71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35.67</w:t>
            </w:r>
          </w:p>
        </w:tc>
        <w:tc>
          <w:tcPr>
            <w:tcW w:w="1474" w:type="dxa"/>
            <w:vAlign w:val="center"/>
          </w:tcPr>
          <w:p>
            <w:pPr>
              <w:pStyle w:val="12"/>
            </w:pPr>
            <w:r>
              <w:t>35.67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518.84</w:t>
            </w:r>
          </w:p>
        </w:tc>
        <w:tc>
          <w:tcPr>
            <w:tcW w:w="3402" w:type="dxa"/>
            <w:vAlign w:val="center"/>
          </w:tcPr>
          <w:p>
            <w:pPr>
              <w:pStyle w:val="15"/>
            </w:pPr>
            <w:r>
              <w:t>本年支出合计</w:t>
            </w:r>
          </w:p>
        </w:tc>
        <w:tc>
          <w:tcPr>
            <w:tcW w:w="1474" w:type="dxa"/>
            <w:vAlign w:val="center"/>
          </w:tcPr>
          <w:p>
            <w:pPr>
              <w:pStyle w:val="16"/>
            </w:pPr>
            <w:r>
              <w:t>518.84</w:t>
            </w:r>
          </w:p>
        </w:tc>
        <w:tc>
          <w:tcPr>
            <w:tcW w:w="1474" w:type="dxa"/>
            <w:vAlign w:val="center"/>
          </w:tcPr>
          <w:p>
            <w:pPr>
              <w:pStyle w:val="16"/>
            </w:pPr>
            <w:r>
              <w:t>518.84</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518.84</w:t>
            </w:r>
          </w:p>
        </w:tc>
        <w:tc>
          <w:tcPr>
            <w:tcW w:w="3402" w:type="dxa"/>
            <w:vAlign w:val="center"/>
          </w:tcPr>
          <w:p>
            <w:pPr>
              <w:pStyle w:val="15"/>
            </w:pPr>
            <w:r>
              <w:t>支出总计</w:t>
            </w:r>
          </w:p>
        </w:tc>
        <w:tc>
          <w:tcPr>
            <w:tcW w:w="1474" w:type="dxa"/>
            <w:vAlign w:val="center"/>
          </w:tcPr>
          <w:p>
            <w:pPr>
              <w:pStyle w:val="16"/>
            </w:pPr>
            <w:r>
              <w:t>518.84</w:t>
            </w:r>
          </w:p>
        </w:tc>
        <w:tc>
          <w:tcPr>
            <w:tcW w:w="1474" w:type="dxa"/>
            <w:vAlign w:val="center"/>
          </w:tcPr>
          <w:p>
            <w:pPr>
              <w:pStyle w:val="16"/>
            </w:pPr>
            <w:r>
              <w:t>518.84</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521保定市徐水区市场建设服务中心</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518.84</w:t>
            </w:r>
          </w:p>
        </w:tc>
        <w:tc>
          <w:tcPr>
            <w:tcW w:w="2551" w:type="dxa"/>
            <w:vAlign w:val="center"/>
          </w:tcPr>
          <w:p>
            <w:pPr>
              <w:pStyle w:val="16"/>
            </w:pPr>
            <w:r>
              <w:t>518.84</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385.02</w:t>
            </w:r>
          </w:p>
        </w:tc>
        <w:tc>
          <w:tcPr>
            <w:tcW w:w="2551" w:type="dxa"/>
            <w:vAlign w:val="center"/>
          </w:tcPr>
          <w:p>
            <w:pPr>
              <w:pStyle w:val="12"/>
            </w:pPr>
            <w:r>
              <w:t>385.02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20138</w:t>
            </w:r>
          </w:p>
        </w:tc>
        <w:tc>
          <w:tcPr>
            <w:tcW w:w="4535" w:type="dxa"/>
            <w:vAlign w:val="center"/>
          </w:tcPr>
          <w:p>
            <w:pPr>
              <w:pStyle w:val="13"/>
            </w:pPr>
            <w:r>
              <w:t>市场监督管理事务</w:t>
            </w:r>
          </w:p>
        </w:tc>
        <w:tc>
          <w:tcPr>
            <w:tcW w:w="2551" w:type="dxa"/>
            <w:vAlign w:val="center"/>
          </w:tcPr>
          <w:p>
            <w:pPr>
              <w:pStyle w:val="12"/>
            </w:pPr>
            <w:r>
              <w:t>385.02</w:t>
            </w:r>
          </w:p>
        </w:tc>
        <w:tc>
          <w:tcPr>
            <w:tcW w:w="2551" w:type="dxa"/>
            <w:vAlign w:val="center"/>
          </w:tcPr>
          <w:p>
            <w:pPr>
              <w:pStyle w:val="12"/>
            </w:pPr>
            <w:r>
              <w:t>385.02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2013850</w:t>
            </w:r>
          </w:p>
        </w:tc>
        <w:tc>
          <w:tcPr>
            <w:tcW w:w="4535" w:type="dxa"/>
            <w:vAlign w:val="center"/>
          </w:tcPr>
          <w:p>
            <w:pPr>
              <w:pStyle w:val="13"/>
            </w:pPr>
            <w:r>
              <w:t>事业运行</w:t>
            </w:r>
          </w:p>
        </w:tc>
        <w:tc>
          <w:tcPr>
            <w:tcW w:w="2551" w:type="dxa"/>
            <w:vAlign w:val="center"/>
          </w:tcPr>
          <w:p>
            <w:pPr>
              <w:pStyle w:val="12"/>
            </w:pPr>
            <w:r>
              <w:t>385.02</w:t>
            </w:r>
          </w:p>
        </w:tc>
        <w:tc>
          <w:tcPr>
            <w:tcW w:w="2551" w:type="dxa"/>
            <w:vAlign w:val="center"/>
          </w:tcPr>
          <w:p>
            <w:pPr>
              <w:pStyle w:val="12"/>
            </w:pPr>
            <w:r>
              <w:t>385.02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83.44</w:t>
            </w:r>
          </w:p>
        </w:tc>
        <w:tc>
          <w:tcPr>
            <w:tcW w:w="2551" w:type="dxa"/>
            <w:vAlign w:val="center"/>
          </w:tcPr>
          <w:p>
            <w:pPr>
              <w:pStyle w:val="12"/>
            </w:pPr>
            <w:r>
              <w:t>83.44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83.44</w:t>
            </w:r>
          </w:p>
        </w:tc>
        <w:tc>
          <w:tcPr>
            <w:tcW w:w="2551" w:type="dxa"/>
            <w:vAlign w:val="center"/>
          </w:tcPr>
          <w:p>
            <w:pPr>
              <w:pStyle w:val="12"/>
            </w:pPr>
            <w:r>
              <w:t>83.44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18.69</w:t>
            </w:r>
          </w:p>
        </w:tc>
        <w:tc>
          <w:tcPr>
            <w:tcW w:w="2551" w:type="dxa"/>
            <w:vAlign w:val="center"/>
          </w:tcPr>
          <w:p>
            <w:pPr>
              <w:pStyle w:val="12"/>
            </w:pPr>
            <w:r>
              <w:t>18.69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43.17</w:t>
            </w:r>
          </w:p>
        </w:tc>
        <w:tc>
          <w:tcPr>
            <w:tcW w:w="2551" w:type="dxa"/>
            <w:vAlign w:val="center"/>
          </w:tcPr>
          <w:p>
            <w:pPr>
              <w:pStyle w:val="12"/>
            </w:pPr>
            <w:r>
              <w:t>43.17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21.58</w:t>
            </w:r>
          </w:p>
        </w:tc>
        <w:tc>
          <w:tcPr>
            <w:tcW w:w="2551" w:type="dxa"/>
            <w:vAlign w:val="center"/>
          </w:tcPr>
          <w:p>
            <w:pPr>
              <w:pStyle w:val="12"/>
            </w:pPr>
            <w:r>
              <w:t>21.58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14.71</w:t>
            </w:r>
          </w:p>
        </w:tc>
        <w:tc>
          <w:tcPr>
            <w:tcW w:w="2551" w:type="dxa"/>
            <w:vAlign w:val="center"/>
          </w:tcPr>
          <w:p>
            <w:pPr>
              <w:pStyle w:val="12"/>
            </w:pPr>
            <w:r>
              <w:t>14.71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14.71</w:t>
            </w:r>
          </w:p>
        </w:tc>
        <w:tc>
          <w:tcPr>
            <w:tcW w:w="2551" w:type="dxa"/>
            <w:vAlign w:val="center"/>
          </w:tcPr>
          <w:p>
            <w:pPr>
              <w:pStyle w:val="12"/>
            </w:pPr>
            <w:r>
              <w:t>14.71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14.71</w:t>
            </w:r>
          </w:p>
        </w:tc>
        <w:tc>
          <w:tcPr>
            <w:tcW w:w="2551" w:type="dxa"/>
            <w:vAlign w:val="center"/>
          </w:tcPr>
          <w:p>
            <w:pPr>
              <w:pStyle w:val="12"/>
            </w:pPr>
            <w:r>
              <w:t>14.71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35.67</w:t>
            </w:r>
          </w:p>
        </w:tc>
        <w:tc>
          <w:tcPr>
            <w:tcW w:w="2551" w:type="dxa"/>
            <w:vAlign w:val="center"/>
          </w:tcPr>
          <w:p>
            <w:pPr>
              <w:pStyle w:val="12"/>
            </w:pPr>
            <w:r>
              <w:t>35.67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35.67</w:t>
            </w:r>
          </w:p>
        </w:tc>
        <w:tc>
          <w:tcPr>
            <w:tcW w:w="2551" w:type="dxa"/>
            <w:vAlign w:val="center"/>
          </w:tcPr>
          <w:p>
            <w:pPr>
              <w:pStyle w:val="12"/>
            </w:pPr>
            <w:r>
              <w:t>35.67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35.67</w:t>
            </w:r>
          </w:p>
        </w:tc>
        <w:tc>
          <w:tcPr>
            <w:tcW w:w="2551" w:type="dxa"/>
            <w:vAlign w:val="center"/>
          </w:tcPr>
          <w:p>
            <w:pPr>
              <w:pStyle w:val="12"/>
            </w:pPr>
            <w:r>
              <w:t>35.67</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521保定市徐水区市场建设服务中心</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4"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518.84</w:t>
            </w:r>
          </w:p>
        </w:tc>
        <w:tc>
          <w:tcPr>
            <w:tcW w:w="2551" w:type="dxa"/>
            <w:vAlign w:val="center"/>
          </w:tcPr>
          <w:p>
            <w:pPr>
              <w:pStyle w:val="16"/>
            </w:pPr>
            <w:r>
              <w:t>497.09</w:t>
            </w:r>
          </w:p>
        </w:tc>
        <w:tc>
          <w:tcPr>
            <w:tcW w:w="2551" w:type="dxa"/>
            <w:vAlign w:val="center"/>
          </w:tcPr>
          <w:p>
            <w:pPr>
              <w:pStyle w:val="16"/>
            </w:pPr>
            <w:r>
              <w:t>21.75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477.03</w:t>
            </w:r>
          </w:p>
        </w:tc>
        <w:tc>
          <w:tcPr>
            <w:tcW w:w="2551" w:type="dxa"/>
            <w:vAlign w:val="center"/>
          </w:tcPr>
          <w:p>
            <w:pPr>
              <w:pStyle w:val="12"/>
            </w:pPr>
            <w:r>
              <w:t>477.03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120.61</w:t>
            </w:r>
          </w:p>
        </w:tc>
        <w:tc>
          <w:tcPr>
            <w:tcW w:w="2551" w:type="dxa"/>
            <w:vAlign w:val="center"/>
          </w:tcPr>
          <w:p>
            <w:pPr>
              <w:pStyle w:val="12"/>
            </w:pPr>
            <w:r>
              <w:t>120.61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24.74</w:t>
            </w:r>
          </w:p>
        </w:tc>
        <w:tc>
          <w:tcPr>
            <w:tcW w:w="2551" w:type="dxa"/>
            <w:vAlign w:val="center"/>
          </w:tcPr>
          <w:p>
            <w:pPr>
              <w:pStyle w:val="12"/>
            </w:pPr>
            <w:r>
              <w:t>24.74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176.61</w:t>
            </w:r>
          </w:p>
        </w:tc>
        <w:tc>
          <w:tcPr>
            <w:tcW w:w="2551" w:type="dxa"/>
            <w:vAlign w:val="center"/>
          </w:tcPr>
          <w:p>
            <w:pPr>
              <w:pStyle w:val="12"/>
            </w:pPr>
            <w:r>
              <w:t>176.61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43.17</w:t>
            </w:r>
          </w:p>
        </w:tc>
        <w:tc>
          <w:tcPr>
            <w:tcW w:w="2551" w:type="dxa"/>
            <w:vAlign w:val="center"/>
          </w:tcPr>
          <w:p>
            <w:pPr>
              <w:pStyle w:val="12"/>
            </w:pPr>
            <w:r>
              <w:t>43.17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21.58</w:t>
            </w:r>
          </w:p>
        </w:tc>
        <w:tc>
          <w:tcPr>
            <w:tcW w:w="2551" w:type="dxa"/>
            <w:vAlign w:val="center"/>
          </w:tcPr>
          <w:p>
            <w:pPr>
              <w:pStyle w:val="12"/>
            </w:pPr>
            <w:r>
              <w:t>21.58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14.71</w:t>
            </w:r>
          </w:p>
        </w:tc>
        <w:tc>
          <w:tcPr>
            <w:tcW w:w="2551" w:type="dxa"/>
            <w:vAlign w:val="center"/>
          </w:tcPr>
          <w:p>
            <w:pPr>
              <w:pStyle w:val="12"/>
            </w:pPr>
            <w:r>
              <w:t>14.71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2.61</w:t>
            </w:r>
          </w:p>
        </w:tc>
        <w:tc>
          <w:tcPr>
            <w:tcW w:w="2551" w:type="dxa"/>
            <w:vAlign w:val="center"/>
          </w:tcPr>
          <w:p>
            <w:pPr>
              <w:pStyle w:val="12"/>
            </w:pPr>
            <w:r>
              <w:t>2.61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35.67</w:t>
            </w:r>
          </w:p>
        </w:tc>
        <w:tc>
          <w:tcPr>
            <w:tcW w:w="2551" w:type="dxa"/>
            <w:vAlign w:val="center"/>
          </w:tcPr>
          <w:p>
            <w:pPr>
              <w:pStyle w:val="12"/>
            </w:pPr>
            <w:r>
              <w:t>35.67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37.33</w:t>
            </w:r>
          </w:p>
        </w:tc>
        <w:tc>
          <w:tcPr>
            <w:tcW w:w="2551" w:type="dxa"/>
            <w:vAlign w:val="center"/>
          </w:tcPr>
          <w:p>
            <w:pPr>
              <w:pStyle w:val="12"/>
            </w:pPr>
            <w:r>
              <w:t>37.33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21.45</w:t>
            </w:r>
          </w:p>
        </w:tc>
        <w:tc>
          <w:tcPr>
            <w:tcW w:w="2551" w:type="dxa"/>
            <w:vAlign w:val="center"/>
          </w:tcPr>
          <w:p>
            <w:pPr>
              <w:pStyle w:val="12"/>
            </w:pPr>
          </w:p>
        </w:tc>
        <w:tc>
          <w:tcPr>
            <w:tcW w:w="2551" w:type="dxa"/>
            <w:vAlign w:val="center"/>
          </w:tcPr>
          <w:p>
            <w:pPr>
              <w:pStyle w:val="12"/>
            </w:pPr>
            <w:r>
              <w:t>21.45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9.74</w:t>
            </w:r>
          </w:p>
        </w:tc>
        <w:tc>
          <w:tcPr>
            <w:tcW w:w="2551" w:type="dxa"/>
            <w:vAlign w:val="center"/>
          </w:tcPr>
          <w:p>
            <w:pPr>
              <w:pStyle w:val="12"/>
            </w:pPr>
          </w:p>
        </w:tc>
        <w:tc>
          <w:tcPr>
            <w:tcW w:w="2551" w:type="dxa"/>
            <w:vAlign w:val="center"/>
          </w:tcPr>
          <w:p>
            <w:pPr>
              <w:pStyle w:val="12"/>
            </w:pPr>
            <w:r>
              <w:t>9.74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0.86</w:t>
            </w:r>
          </w:p>
        </w:tc>
        <w:tc>
          <w:tcPr>
            <w:tcW w:w="2551" w:type="dxa"/>
            <w:vAlign w:val="center"/>
          </w:tcPr>
          <w:p>
            <w:pPr>
              <w:pStyle w:val="12"/>
            </w:pPr>
          </w:p>
        </w:tc>
        <w:tc>
          <w:tcPr>
            <w:tcW w:w="2551" w:type="dxa"/>
            <w:vAlign w:val="center"/>
          </w:tcPr>
          <w:p>
            <w:pPr>
              <w:pStyle w:val="12"/>
            </w:pPr>
            <w:r>
              <w:t>0.86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0.64</w:t>
            </w:r>
          </w:p>
        </w:tc>
        <w:tc>
          <w:tcPr>
            <w:tcW w:w="2551" w:type="dxa"/>
            <w:vAlign w:val="center"/>
          </w:tcPr>
          <w:p>
            <w:pPr>
              <w:pStyle w:val="12"/>
            </w:pPr>
          </w:p>
        </w:tc>
        <w:tc>
          <w:tcPr>
            <w:tcW w:w="2551" w:type="dxa"/>
            <w:vAlign w:val="center"/>
          </w:tcPr>
          <w:p>
            <w:pPr>
              <w:pStyle w:val="12"/>
            </w:pPr>
            <w:r>
              <w:t>0.64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4.35</w:t>
            </w:r>
          </w:p>
        </w:tc>
        <w:tc>
          <w:tcPr>
            <w:tcW w:w="2551" w:type="dxa"/>
            <w:vAlign w:val="center"/>
          </w:tcPr>
          <w:p>
            <w:pPr>
              <w:pStyle w:val="12"/>
            </w:pPr>
          </w:p>
        </w:tc>
        <w:tc>
          <w:tcPr>
            <w:tcW w:w="2551" w:type="dxa"/>
            <w:vAlign w:val="center"/>
          </w:tcPr>
          <w:p>
            <w:pPr>
              <w:pStyle w:val="12"/>
            </w:pPr>
            <w:r>
              <w:t>4.35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3.12</w:t>
            </w:r>
          </w:p>
        </w:tc>
        <w:tc>
          <w:tcPr>
            <w:tcW w:w="2551" w:type="dxa"/>
            <w:vAlign w:val="center"/>
          </w:tcPr>
          <w:p>
            <w:pPr>
              <w:pStyle w:val="12"/>
            </w:pPr>
          </w:p>
        </w:tc>
        <w:tc>
          <w:tcPr>
            <w:tcW w:w="2551" w:type="dxa"/>
            <w:vAlign w:val="center"/>
          </w:tcPr>
          <w:p>
            <w:pPr>
              <w:pStyle w:val="12"/>
            </w:pPr>
            <w:r>
              <w:t>3.12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2.43</w:t>
            </w:r>
          </w:p>
        </w:tc>
        <w:tc>
          <w:tcPr>
            <w:tcW w:w="2551" w:type="dxa"/>
            <w:vAlign w:val="center"/>
          </w:tcPr>
          <w:p>
            <w:pPr>
              <w:pStyle w:val="12"/>
            </w:pPr>
          </w:p>
        </w:tc>
        <w:tc>
          <w:tcPr>
            <w:tcW w:w="2551" w:type="dxa"/>
            <w:vAlign w:val="center"/>
          </w:tcPr>
          <w:p>
            <w:pPr>
              <w:pStyle w:val="12"/>
            </w:pPr>
            <w:r>
              <w:t>2.43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0.29</w:t>
            </w:r>
          </w:p>
        </w:tc>
        <w:tc>
          <w:tcPr>
            <w:tcW w:w="2551" w:type="dxa"/>
            <w:vAlign w:val="center"/>
          </w:tcPr>
          <w:p>
            <w:pPr>
              <w:pStyle w:val="12"/>
            </w:pPr>
          </w:p>
        </w:tc>
        <w:tc>
          <w:tcPr>
            <w:tcW w:w="2551" w:type="dxa"/>
            <w:vAlign w:val="center"/>
          </w:tcPr>
          <w:p>
            <w:pPr>
              <w:pStyle w:val="12"/>
            </w:pPr>
            <w:r>
              <w:t>0.29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20.06</w:t>
            </w:r>
          </w:p>
        </w:tc>
        <w:tc>
          <w:tcPr>
            <w:tcW w:w="2551" w:type="dxa"/>
            <w:vAlign w:val="center"/>
          </w:tcPr>
          <w:p>
            <w:pPr>
              <w:pStyle w:val="12"/>
            </w:pPr>
            <w:r>
              <w:t>20.06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18.60</w:t>
            </w:r>
          </w:p>
        </w:tc>
        <w:tc>
          <w:tcPr>
            <w:tcW w:w="2551" w:type="dxa"/>
            <w:vAlign w:val="center"/>
          </w:tcPr>
          <w:p>
            <w:pPr>
              <w:pStyle w:val="12"/>
            </w:pPr>
            <w:r>
              <w:t>18.60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1.45</w:t>
            </w:r>
          </w:p>
        </w:tc>
        <w:tc>
          <w:tcPr>
            <w:tcW w:w="2551" w:type="dxa"/>
            <w:vAlign w:val="center"/>
          </w:tcPr>
          <w:p>
            <w:pPr>
              <w:pStyle w:val="12"/>
            </w:pPr>
            <w:r>
              <w:t>1.45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30309</w:t>
            </w:r>
          </w:p>
        </w:tc>
        <w:tc>
          <w:tcPr>
            <w:tcW w:w="4535" w:type="dxa"/>
            <w:vAlign w:val="center"/>
          </w:tcPr>
          <w:p>
            <w:pPr>
              <w:pStyle w:val="13"/>
            </w:pPr>
            <w:r>
              <w:t>奖励金</w:t>
            </w:r>
          </w:p>
        </w:tc>
        <w:tc>
          <w:tcPr>
            <w:tcW w:w="2551" w:type="dxa"/>
            <w:vAlign w:val="center"/>
          </w:tcPr>
          <w:p>
            <w:pPr>
              <w:pStyle w:val="12"/>
            </w:pPr>
            <w:r>
              <w:t>0.01</w:t>
            </w:r>
          </w:p>
        </w:tc>
        <w:tc>
          <w:tcPr>
            <w:tcW w:w="2551" w:type="dxa"/>
            <w:vAlign w:val="center"/>
          </w:tcPr>
          <w:p>
            <w:pPr>
              <w:pStyle w:val="12"/>
            </w:pPr>
            <w:r>
              <w:t>0.01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0.30</w:t>
            </w:r>
          </w:p>
        </w:tc>
        <w:tc>
          <w:tcPr>
            <w:tcW w:w="2551" w:type="dxa"/>
            <w:vAlign w:val="center"/>
          </w:tcPr>
          <w:p>
            <w:pPr>
              <w:pStyle w:val="12"/>
            </w:pPr>
          </w:p>
        </w:tc>
        <w:tc>
          <w:tcPr>
            <w:tcW w:w="2551" w:type="dxa"/>
            <w:vAlign w:val="center"/>
          </w:tcPr>
          <w:p>
            <w:pPr>
              <w:pStyle w:val="12"/>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0.30</w:t>
            </w:r>
          </w:p>
        </w:tc>
        <w:tc>
          <w:tcPr>
            <w:tcW w:w="2551" w:type="dxa"/>
            <w:vAlign w:val="center"/>
          </w:tcPr>
          <w:p>
            <w:pPr>
              <w:pStyle w:val="12"/>
            </w:pPr>
          </w:p>
        </w:tc>
        <w:tc>
          <w:tcPr>
            <w:tcW w:w="2551" w:type="dxa"/>
            <w:vAlign w:val="center"/>
          </w:tcPr>
          <w:p>
            <w:pPr>
              <w:pStyle w:val="12"/>
            </w:pPr>
            <w:r>
              <w:t>0.30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521保定市徐水区市场建设服务中心</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521保定市徐水区市场建设服务中心</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0"/>
            </w:pPr>
            <w:r>
              <w:t>521保定市徐水区市场建设服务中心</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2.43</w:t>
            </w:r>
          </w:p>
        </w:tc>
        <w:tc>
          <w:tcPr>
            <w:tcW w:w="2381" w:type="dxa"/>
            <w:vAlign w:val="center"/>
          </w:tcPr>
          <w:p>
            <w:pPr>
              <w:pStyle w:val="16"/>
            </w:pPr>
            <w:r>
              <w:t>2.43</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2.43</w:t>
            </w:r>
          </w:p>
        </w:tc>
        <w:tc>
          <w:tcPr>
            <w:tcW w:w="2381" w:type="dxa"/>
            <w:vAlign w:val="center"/>
          </w:tcPr>
          <w:p>
            <w:pPr>
              <w:pStyle w:val="12"/>
            </w:pPr>
            <w:r>
              <w:t>2.43</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2.43</w:t>
            </w:r>
          </w:p>
        </w:tc>
        <w:tc>
          <w:tcPr>
            <w:tcW w:w="2381" w:type="dxa"/>
            <w:vAlign w:val="center"/>
          </w:tcPr>
          <w:p>
            <w:pPr>
              <w:pStyle w:val="12"/>
            </w:pPr>
            <w:r>
              <w:t>2.43</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2.43</w:t>
            </w:r>
          </w:p>
        </w:tc>
        <w:tc>
          <w:tcPr>
            <w:tcW w:w="2381" w:type="dxa"/>
            <w:vAlign w:val="center"/>
          </w:tcPr>
          <w:p>
            <w:pPr>
              <w:pStyle w:val="12"/>
            </w:pPr>
            <w:r>
              <w:t>2.43</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保定市徐水区市场建设服务中心2024年部门预算信息公开情况说明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保定市徐水区市场建设服务中心2024年部门预算信息公开情况说明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按照《中华人民共和国预算法》、《地方预决算公开操作规程》和《关于进一步推进预算公开工作的实施意见》规定，现将保定市徐水区市场建设服务中心2024年部门预算公开如下：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（一）负责制定全县市场布局的规划、市场建设、组织市场论证，负责市场登记工作。</w:t>
      </w:r>
    </w:p>
    <w:p>
      <w:pPr>
        <w:pStyle w:val="18"/>
      </w:pPr>
      <w:r>
        <w:t>（二）负责对所辖市场的纠纷，物业管理，提供有偿服务，收取设施租赁费。</w:t>
      </w:r>
    </w:p>
    <w:p>
      <w:pPr>
        <w:pStyle w:val="18"/>
      </w:pPr>
      <w:r>
        <w:t>（三）配合有关执法部门或受有关执法部门委托，对市场经营者违法违章问题进行查处。</w:t>
      </w:r>
    </w:p>
    <w:p>
      <w:pPr>
        <w:pStyle w:val="18"/>
      </w:pPr>
      <w:r>
        <w:t>（四）配合公安、消防等部门，对市场的日常安全和消防设施管理使用达标情况进行规范和检查。</w:t>
      </w:r>
    </w:p>
    <w:p>
      <w:pPr>
        <w:pStyle w:val="18"/>
      </w:pPr>
      <w:r>
        <w:t>（五）负责市场的培育开发、引进现代化商业业态，推动市场上档升级。</w:t>
      </w:r>
    </w:p>
    <w:p>
      <w:pPr>
        <w:pStyle w:val="18"/>
      </w:pPr>
      <w:r>
        <w:t>（六）组织各类庙会、商品交易会。</w:t>
      </w:r>
    </w:p>
    <w:p>
      <w:pPr>
        <w:pStyle w:val="18"/>
      </w:pPr>
      <w:r>
        <w:t>（七）负责市场统计与分析。</w:t>
      </w:r>
    </w:p>
    <w:p>
      <w:pPr>
        <w:pStyle w:val="18"/>
      </w:pPr>
      <w:r>
        <w:t>（八）组织市场检查评比、验收。</w:t>
      </w:r>
    </w:p>
    <w:p>
      <w:pPr>
        <w:pStyle w:val="18"/>
      </w:pPr>
      <w:r>
        <w:t>(九）承办区委、区政府交办的其它事项。</w:t>
      </w:r>
    </w:p>
    <w:p>
      <w:pPr>
        <w:pStyle w:val="18"/>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保定市徐水区市场建设服务中心本级</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rPr>
          <w:rFonts w:hint="eastAsia"/>
          <w:lang w:val="en-US" w:eastAsia="zh-CN"/>
        </w:rPr>
        <w:t>(</w:t>
      </w:r>
      <w:r>
        <w:t>一</w:t>
      </w:r>
      <w:r>
        <w:rPr>
          <w:rFonts w:hint="eastAsia"/>
          <w:lang w:val="en-US" w:eastAsia="zh-CN"/>
        </w:rPr>
        <w:t>)</w:t>
      </w:r>
      <w:r>
        <w:t>、收入说明</w:t>
      </w:r>
    </w:p>
    <w:p>
      <w:pPr>
        <w:pStyle w:val="19"/>
      </w:pPr>
      <w:r>
        <w:t>反映本部门当年全部收入。2024年预算收入518.84万元，其中：一般公共预算收入518.84万元，基金预算收入0万元，国有资本经营预算收入0万元，财政专户核拨收入0万元，单位资金收入0万元，上年结转结余0万元。</w:t>
      </w:r>
    </w:p>
    <w:p>
      <w:pPr>
        <w:pStyle w:val="19"/>
      </w:pPr>
      <w:r>
        <w:rPr>
          <w:rFonts w:hint="eastAsia"/>
          <w:lang w:val="en-US" w:eastAsia="zh-CN"/>
        </w:rPr>
        <w:t>(</w:t>
      </w:r>
      <w:r>
        <w:t>二</w:t>
      </w:r>
      <w:r>
        <w:rPr>
          <w:rFonts w:hint="eastAsia"/>
          <w:lang w:val="en-US" w:eastAsia="zh-CN"/>
        </w:rPr>
        <w:t>)</w:t>
      </w:r>
      <w:r>
        <w:t>、支出说明</w:t>
      </w:r>
    </w:p>
    <w:p>
      <w:pPr>
        <w:pStyle w:val="19"/>
      </w:pPr>
      <w:r>
        <w:t>收支预算总表支出栏、基本支出表、项目支出表按经济分类和支出功能分类科目编制，反映市场建设服务中心年度部门预算中支出预算的总体情况。2024年支出预算518.84万元，其中基本支出518.84万元，包括人员经费497.09万元和日常公用经费21.75万元；项目支出0万元，主要为</w:t>
      </w:r>
      <w:r>
        <w:rPr>
          <w:rFonts w:hint="eastAsia"/>
          <w:lang w:eastAsia="zh-CN"/>
        </w:rPr>
        <w:t>无项目</w:t>
      </w:r>
      <w:r>
        <w:t>支出。</w:t>
      </w:r>
    </w:p>
    <w:p>
      <w:pPr>
        <w:pStyle w:val="19"/>
      </w:pPr>
      <w:r>
        <w:rPr>
          <w:rFonts w:hint="eastAsia"/>
          <w:lang w:val="en-US" w:eastAsia="zh-CN"/>
        </w:rPr>
        <w:t>(</w:t>
      </w:r>
      <w:r>
        <w:t>三</w:t>
      </w:r>
      <w:r>
        <w:rPr>
          <w:rFonts w:hint="eastAsia"/>
          <w:lang w:val="en-US" w:eastAsia="zh-CN"/>
        </w:rPr>
        <w:t>)</w:t>
      </w:r>
      <w:r>
        <w:t>、比上年增减情况</w:t>
      </w:r>
    </w:p>
    <w:p>
      <w:pPr>
        <w:pStyle w:val="19"/>
      </w:pPr>
      <w:r>
        <w:t>本年度预算收支安排518.84万元，较上年增加78.03万元。其中:基本支出增加78.0</w:t>
      </w:r>
      <w:r>
        <w:rPr>
          <w:rFonts w:hint="eastAsia"/>
          <w:lang w:val="en-US" w:eastAsia="zh-CN"/>
        </w:rPr>
        <w:t>5</w:t>
      </w:r>
      <w:bookmarkStart w:id="20" w:name="_GoBack"/>
      <w:bookmarkEnd w:id="20"/>
      <w:r>
        <w:t>万元，主要原因是职工人数增加，基本支出增加增加；项目支出减少0.02万元，主要原因是利息收入缴入国库，未纳入项目。</w:t>
      </w:r>
    </w:p>
    <w:p>
      <w:pPr>
        <w:pStyle w:val="19"/>
      </w:pP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2024年我部门机关运行经费安排21.7</w:t>
      </w:r>
      <w:r>
        <w:rPr>
          <w:rFonts w:hint="eastAsia"/>
          <w:lang w:val="en-US" w:eastAsia="zh-CN"/>
        </w:rPr>
        <w:t>5</w:t>
      </w:r>
      <w:r>
        <w:t>万元，其中办公费</w:t>
      </w:r>
      <w:r>
        <w:rPr>
          <w:rFonts w:hint="eastAsia"/>
          <w:lang w:val="en-US" w:eastAsia="zh-CN"/>
        </w:rPr>
        <w:t>9.74</w:t>
      </w:r>
      <w:r>
        <w:t>万元，邮电费0.86万元，</w:t>
      </w:r>
      <w:r>
        <w:rPr>
          <w:rFonts w:hint="eastAsia"/>
          <w:lang w:val="en-US" w:eastAsia="zh-CN"/>
        </w:rPr>
        <w:t>取暖费0.64万元，</w:t>
      </w:r>
      <w:r>
        <w:t>工会经费</w:t>
      </w:r>
      <w:r>
        <w:rPr>
          <w:rFonts w:hint="eastAsia"/>
          <w:lang w:val="en-US" w:eastAsia="zh-CN"/>
        </w:rPr>
        <w:t>4.35万元</w:t>
      </w:r>
      <w:r>
        <w:t>、福利费</w:t>
      </w:r>
      <w:r>
        <w:rPr>
          <w:rFonts w:hint="eastAsia"/>
          <w:lang w:val="en-US" w:eastAsia="zh-CN"/>
        </w:rPr>
        <w:t>3.12</w:t>
      </w:r>
      <w:r>
        <w:t>万元，公务用车运行维护费2.43万元，其他</w:t>
      </w:r>
      <w:r>
        <w:rPr>
          <w:rFonts w:hint="eastAsia"/>
          <w:lang w:eastAsia="zh-CN"/>
        </w:rPr>
        <w:t>商品和服务</w:t>
      </w:r>
      <w:r>
        <w:t>支出0.</w:t>
      </w:r>
      <w:r>
        <w:rPr>
          <w:rFonts w:hint="eastAsia"/>
          <w:lang w:val="en-US" w:eastAsia="zh-CN"/>
        </w:rPr>
        <w:t>29</w:t>
      </w:r>
      <w:r>
        <w:t>万元</w:t>
      </w:r>
      <w:r>
        <w:rPr>
          <w:rFonts w:hint="eastAsia"/>
          <w:lang w:eastAsia="zh-CN"/>
        </w:rPr>
        <w:t>，办公设备购置</w:t>
      </w:r>
      <w:r>
        <w:rPr>
          <w:rFonts w:hint="eastAsia"/>
          <w:lang w:val="en-US" w:eastAsia="zh-CN"/>
        </w:rPr>
        <w:t>0.30万元</w:t>
      </w:r>
      <w:r>
        <w:t>。</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2024年，我部门财政拨款“三公”经费预算安排2.43万元，其中因公出国（境）费0万元；公务用车购置及运维费2.43万元（其中：公务用车购置费为0万元，公务用车运维费2.43万元)；公务接待费0万元。与2023年相比增加0万元，增加的主要原因是：无变化。</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按照2024年绩效预算编制要求，区市场建设服务中心设置年度发展规划总体目标：以习近平新时代中国特色社会主义思想为统领，坚持以人民为中心，坚持围绕中心服务大局，坚持高质量发展，努力实现市场有活力、竞争有秩序、发展有质量、安全有保障，提升人民群众满意度。积极引进现代化商业业态，推动市场提档升级。配合公安、消防等部门，对市场日常安全和消防实施管理使用达标情况进行规范和检查。按照国家、省、市、区委、政府的决策部署，牢固树立红线意识，强化底线思维，坚持生命至上、安全第一的发展理念，坚持以防为主，全力防范化解安全风险，切实保障所辖市场商户人民群众生命财产安全，积极维护社会稳定。配合市监局党组认真做好创城、创卫、谋划市场建设发展、市场监管等各项工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配合市监局职能股室、队、所严厉打击市场非法违法生产经营活动；做好对分包市场的安全生产宣传工作，全年安全生产宣传4次；适时谋划引进现代化的市场新业态，推动一个分包市场提档升级。</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加强组织领导。建立部门预算绩效管理路径和制度体系，不断完善工作机制和工作流程，将事前评估、目标管理、运行监控、绩效评价等各项改革措施，有效融入预算管理的全过程、各环节。围绕年度总体绩效目标，细化工作方案，明确责任主体，确保如期完成。</w:t>
      </w:r>
    </w:p>
    <w:p>
      <w:pPr>
        <w:pStyle w:val="24"/>
      </w:pPr>
      <w:r>
        <w:t>二、加强支出管理。狠抓任务落实，充分调动各股室的积极性和主动性，由项目实施部门科学制定项目内容的中期、终期绩效目标。</w:t>
      </w:r>
    </w:p>
    <w:p>
      <w:pPr>
        <w:pStyle w:val="24"/>
      </w:pPr>
      <w:r>
        <w:t>三、加强绩效运行监控。强化预算执行的刚性约束，及时启动项目和支付资金，加快履行政府采购手续，优化部门预算支出结构，做到按照时间节点完成支出任务，督促各业务股室加快执行进度，规范财政资金使用和管理，强化内部控制制度建设，更好的发挥资金使用效益。</w:t>
      </w:r>
    </w:p>
    <w:p>
      <w:pPr>
        <w:pStyle w:val="24"/>
      </w:pPr>
      <w:r>
        <w:t>四、做好绩效自评。</w:t>
      </w:r>
      <w:r>
        <w:rPr>
          <w:rFonts w:hint="eastAsia"/>
          <w:lang w:eastAsia="zh-CN"/>
        </w:rPr>
        <w:t>健</w:t>
      </w:r>
      <w:r>
        <w:t>全评价机制，结合第三方力量，成立专门的评价工作小组，制定科学评价办法，对项目资金支出的经济性、效率性以及绩效目标实现程度进行全方位评价，及时发现实施中存在的问题，并研究解决对策。</w:t>
      </w:r>
    </w:p>
    <w:p>
      <w:pPr>
        <w:pStyle w:val="24"/>
      </w:pPr>
      <w:r>
        <w:t>五、规范财务资产管理。及时录入 固定资产，月底进行折旧，做好固定资产台账登记。</w:t>
      </w:r>
    </w:p>
    <w:p>
      <w:pPr>
        <w:pStyle w:val="24"/>
      </w:pPr>
      <w:r>
        <w:t>六、加强内部监督。按照预算绩效目标和绩效指标，对专项资金管理设定明确的内部绩效管理目标指标，明确责任分工，细化支出节点，量化评价标准，切实提高资金使用效益。</w:t>
      </w:r>
    </w:p>
    <w:p>
      <w:pPr>
        <w:pStyle w:val="24"/>
        <w:sectPr>
          <w:pgSz w:w="16840" w:h="11900" w:orient="landscape"/>
          <w:pgMar w:top="1361" w:right="1020" w:bottom="1361" w:left="1020" w:header="720" w:footer="720" w:gutter="0"/>
          <w:cols w:space="720" w:num="1"/>
        </w:sectPr>
      </w:pPr>
      <w:r>
        <w:t>七、加强宣传培训。对工作人员不定期进行理论学习，强化业务素质。</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rPr>
          <w:rFonts w:hint="eastAsia" w:ascii="仿宋" w:hAnsi="仿宋" w:eastAsia="仿宋" w:cs="仿宋"/>
          <w:color w:val="000000"/>
          <w:sz w:val="32"/>
          <w:lang w:val="en-US" w:eastAsia="zh-CN"/>
        </w:rPr>
        <w:sectPr>
          <w:pgSz w:w="16840" w:h="11900" w:orient="landscape"/>
          <w:pgMar w:top="1361" w:right="1020" w:bottom="1134" w:left="1020" w:header="720" w:footer="720" w:gutter="0"/>
          <w:cols w:space="720" w:num="1"/>
        </w:sectPr>
      </w:pPr>
      <w:r>
        <w:rPr>
          <w:rFonts w:hint="eastAsia" w:ascii="仿宋" w:hAnsi="仿宋" w:eastAsia="仿宋" w:cs="仿宋"/>
          <w:color w:val="000000"/>
          <w:sz w:val="32"/>
          <w:lang w:val="en-US" w:eastAsia="zh-CN"/>
        </w:rPr>
        <w:t>我部门无主管专项资金预算安排。</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521保定市徐水区市场建设服务中心</w:t>
            </w:r>
          </w:p>
        </w:tc>
        <w:tc>
          <w:tcPr>
            <w:tcW w:w="7710"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0.30</w:t>
            </w:r>
          </w:p>
        </w:tc>
        <w:tc>
          <w:tcPr>
            <w:tcW w:w="964" w:type="dxa"/>
            <w:vAlign w:val="center"/>
          </w:tcPr>
          <w:p>
            <w:pPr>
              <w:pStyle w:val="16"/>
            </w:pPr>
            <w:r>
              <w:t>0.30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保定市徐水区市场建设服务中心本级小计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0.30</w:t>
            </w:r>
          </w:p>
        </w:tc>
        <w:tc>
          <w:tcPr>
            <w:tcW w:w="964" w:type="dxa"/>
            <w:vAlign w:val="center"/>
          </w:tcPr>
          <w:p>
            <w:pPr>
              <w:pStyle w:val="16"/>
            </w:pPr>
            <w:r>
              <w:t>0.30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3"/>
            </w:pPr>
            <w:r>
              <w:t>公用经费项目二（三保）</w:t>
            </w:r>
          </w:p>
        </w:tc>
        <w:tc>
          <w:tcPr>
            <w:tcW w:w="964" w:type="dxa"/>
            <w:vAlign w:val="center"/>
          </w:tcPr>
          <w:p>
            <w:pPr>
              <w:pStyle w:val="12"/>
            </w:pPr>
            <w:r>
              <w:t>14.27</w:t>
            </w:r>
          </w:p>
        </w:tc>
        <w:tc>
          <w:tcPr>
            <w:tcW w:w="1134" w:type="dxa"/>
            <w:vAlign w:val="center"/>
          </w:tcPr>
          <w:p>
            <w:pPr>
              <w:pStyle w:val="13"/>
            </w:pPr>
            <w:r>
              <w:t>多功能一体机</w:t>
            </w:r>
          </w:p>
        </w:tc>
        <w:tc>
          <w:tcPr>
            <w:tcW w:w="1134" w:type="dxa"/>
            <w:vAlign w:val="center"/>
          </w:tcPr>
          <w:p>
            <w:pPr>
              <w:pStyle w:val="13"/>
            </w:pPr>
            <w:r>
              <w:t>A02020400</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0.30</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保定市徐水区市场建设服务中心（含所属单位）上年末固定资产金额为</w:t>
      </w:r>
      <w:r>
        <w:rPr>
          <w:rFonts w:hint="default" w:eastAsia="方正仿宋_GBK" w:cs="Times New Roman"/>
          <w:b w:val="0"/>
          <w:color w:val="000000"/>
          <w:sz w:val="28"/>
          <w:lang w:val="en-US"/>
        </w:rPr>
        <w:t>10.70</w:t>
      </w:r>
      <w:r>
        <w:rPr>
          <w:rFonts w:ascii="Times New Roman" w:hAnsi="Times New Roman" w:eastAsia="方正仿宋_GBK" w:cs="Times New Roman"/>
          <w:b w:val="0"/>
          <w:color w:val="000000"/>
          <w:sz w:val="28"/>
        </w:rPr>
        <w:t>万元（详见下表）。本年度拟购置固定资产总额为0.</w:t>
      </w:r>
      <w:r>
        <w:rPr>
          <w:rFonts w:hint="default" w:eastAsia="方正仿宋_GBK" w:cs="Times New Roman"/>
          <w:b w:val="0"/>
          <w:color w:val="000000"/>
          <w:sz w:val="28"/>
          <w:lang w:val="en-US"/>
        </w:rPr>
        <w:t>30</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521保定市徐水区市场建设服务中心</w:t>
            </w:r>
          </w:p>
        </w:tc>
        <w:tc>
          <w:tcPr>
            <w:tcW w:w="5669"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rPr>
                <w:rFonts w:hint="default" w:eastAsia="方正书宋_GBK"/>
                <w:lang w:val="en-US" w:eastAsia="zh-CN"/>
              </w:rPr>
            </w:pPr>
            <w:r>
              <w:rPr>
                <w:rFonts w:hint="eastAsia"/>
                <w:lang w:val="en-US" w:eastAsia="zh-CN"/>
              </w:rPr>
              <w:t>资产总额</w:t>
            </w:r>
          </w:p>
        </w:tc>
        <w:tc>
          <w:tcPr>
            <w:tcW w:w="2835" w:type="dxa"/>
            <w:vAlign w:val="center"/>
          </w:tcPr>
          <w:p>
            <w:pPr>
              <w:pStyle w:val="14"/>
            </w:pPr>
          </w:p>
        </w:tc>
        <w:tc>
          <w:tcPr>
            <w:tcW w:w="2835" w:type="dxa"/>
            <w:vAlign w:val="center"/>
          </w:tcPr>
          <w:p>
            <w:pPr>
              <w:pStyle w:val="12"/>
              <w:rPr>
                <w:rFonts w:hint="default"/>
                <w:lang w:val="en-US"/>
              </w:rPr>
            </w:pPr>
            <w:r>
              <w:rPr>
                <w:rFonts w:hint="default"/>
                <w:lang w:val="en-US"/>
              </w:rPr>
              <w:t>10.70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rPr>
                <w:rFonts w:hint="default" w:eastAsia="方正书宋_GBK"/>
                <w:lang w:val="en-US" w:eastAsia="zh-CN"/>
              </w:rPr>
            </w:pPr>
            <w:r>
              <w:rPr>
                <w:rFonts w:hint="default"/>
                <w:lang w:val="en-US"/>
              </w:rPr>
              <w:t>1</w:t>
            </w:r>
            <w:r>
              <w:rPr>
                <w:rFonts w:hint="eastAsia"/>
                <w:lang w:val="en-US" w:eastAsia="zh-CN"/>
              </w:rPr>
              <w:t>、房屋（平方米）</w:t>
            </w:r>
          </w:p>
        </w:tc>
        <w:tc>
          <w:tcPr>
            <w:tcW w:w="2835" w:type="dxa"/>
            <w:vAlign w:val="center"/>
          </w:tcPr>
          <w:p>
            <w:pPr>
              <w:pStyle w:val="14"/>
              <w:rPr>
                <w:rFonts w:hint="default"/>
                <w:lang w:val="en-US"/>
              </w:rPr>
            </w:pPr>
            <w:r>
              <w:rPr>
                <w:rFonts w:hint="default"/>
                <w:lang w:val="en-US"/>
              </w:rPr>
              <w:t>755.80</w:t>
            </w:r>
          </w:p>
        </w:tc>
        <w:tc>
          <w:tcPr>
            <w:tcW w:w="2835" w:type="dxa"/>
            <w:vAlign w:val="center"/>
          </w:tcPr>
          <w:p>
            <w:pPr>
              <w:pStyle w:val="12"/>
              <w:rPr>
                <w:rFonts w:hint="default"/>
                <w:lang w:val="en-US"/>
              </w:rPr>
            </w:pPr>
            <w:r>
              <w:rPr>
                <w:rFonts w:hint="default"/>
                <w:lang w:val="en-US"/>
              </w:rPr>
              <w:t>9.25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rPr>
                <w:rFonts w:hint="default" w:eastAsia="方正书宋_GBK"/>
                <w:lang w:val="en-US" w:eastAsia="zh-CN"/>
              </w:rPr>
            </w:pPr>
            <w:r>
              <w:rPr>
                <w:rFonts w:hint="eastAsia"/>
                <w:lang w:val="en-US" w:eastAsia="zh-CN"/>
              </w:rPr>
              <w:t>其中：办公用房（平方米）</w:t>
            </w:r>
          </w:p>
        </w:tc>
        <w:tc>
          <w:tcPr>
            <w:tcW w:w="2835" w:type="dxa"/>
            <w:vAlign w:val="center"/>
          </w:tcPr>
          <w:p>
            <w:pPr>
              <w:pStyle w:val="14"/>
              <w:rPr>
                <w:rFonts w:hint="default"/>
                <w:lang w:val="en-US"/>
              </w:rPr>
            </w:pPr>
            <w:r>
              <w:rPr>
                <w:rFonts w:hint="default"/>
                <w:lang w:val="en-US"/>
              </w:rPr>
              <w:t>755.80</w:t>
            </w:r>
          </w:p>
        </w:tc>
        <w:tc>
          <w:tcPr>
            <w:tcW w:w="2835" w:type="dxa"/>
            <w:vAlign w:val="center"/>
          </w:tcPr>
          <w:p>
            <w:pPr>
              <w:pStyle w:val="12"/>
              <w:rPr>
                <w:rFonts w:hint="default"/>
                <w:lang w:val="en-US"/>
              </w:rPr>
            </w:pPr>
            <w:r>
              <w:rPr>
                <w:rFonts w:hint="default"/>
                <w:lang w:val="en-US"/>
              </w:rPr>
              <w:t>9.25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rPr>
                <w:rFonts w:hint="default"/>
                <w:lang w:val="en-US" w:eastAsia="zh-CN"/>
              </w:rPr>
            </w:pPr>
            <w:r>
              <w:rPr>
                <w:rFonts w:hint="default"/>
                <w:lang w:val="en-US" w:eastAsia="zh-CN"/>
              </w:rPr>
              <w:t>2</w:t>
            </w:r>
            <w:r>
              <w:rPr>
                <w:rFonts w:hint="eastAsia"/>
                <w:lang w:val="en-US" w:eastAsia="zh-CN"/>
              </w:rPr>
              <w:t>、车辆（台、辆）</w:t>
            </w:r>
          </w:p>
        </w:tc>
        <w:tc>
          <w:tcPr>
            <w:tcW w:w="2835" w:type="dxa"/>
            <w:vAlign w:val="center"/>
          </w:tcPr>
          <w:p>
            <w:pPr>
              <w:pStyle w:val="14"/>
              <w:rPr>
                <w:rFonts w:hint="default"/>
                <w:lang w:val="en-US"/>
              </w:rPr>
            </w:pPr>
            <w:r>
              <w:rPr>
                <w:rFonts w:hint="default"/>
                <w:lang w:val="en-US"/>
              </w:rPr>
              <w:t>1</w:t>
            </w: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rPr>
                <w:rFonts w:hint="default"/>
                <w:lang w:val="en-US" w:eastAsia="zh-CN"/>
              </w:rPr>
            </w:pPr>
            <w:r>
              <w:rPr>
                <w:rFonts w:hint="default"/>
                <w:lang w:val="en-US" w:eastAsia="zh-CN"/>
              </w:rPr>
              <w:t>3</w:t>
            </w:r>
            <w:r>
              <w:rPr>
                <w:rFonts w:hint="eastAsia"/>
                <w:lang w:val="en-US" w:eastAsia="zh-CN"/>
              </w:rPr>
              <w:t>单位在</w:t>
            </w:r>
            <w:r>
              <w:rPr>
                <w:rFonts w:hint="default"/>
                <w:lang w:val="en-US" w:eastAsia="zh-CN"/>
              </w:rPr>
              <w:t>20</w:t>
            </w:r>
            <w:r>
              <w:rPr>
                <w:rFonts w:hint="eastAsia"/>
                <w:lang w:val="en-US" w:eastAsia="zh-CN"/>
              </w:rPr>
              <w:t>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rPr>
                <w:rFonts w:hint="default"/>
                <w:lang w:val="en-US" w:eastAsia="zh-CN"/>
              </w:rPr>
            </w:pPr>
            <w:r>
              <w:rPr>
                <w:rFonts w:hint="eastAsia"/>
                <w:lang w:val="en-US" w:eastAsia="zh-CN"/>
              </w:rPr>
              <w:t>其他固定资产</w:t>
            </w:r>
          </w:p>
        </w:tc>
        <w:tc>
          <w:tcPr>
            <w:tcW w:w="2835" w:type="dxa"/>
            <w:vAlign w:val="center"/>
          </w:tcPr>
          <w:p>
            <w:pPr>
              <w:pStyle w:val="14"/>
              <w:rPr>
                <w:rFonts w:hint="default"/>
                <w:lang w:val="en-US"/>
              </w:rPr>
            </w:pPr>
            <w:r>
              <w:rPr>
                <w:rFonts w:hint="default"/>
                <w:lang w:val="en-US"/>
              </w:rPr>
              <w:t>90</w:t>
            </w:r>
          </w:p>
        </w:tc>
        <w:tc>
          <w:tcPr>
            <w:tcW w:w="2835" w:type="dxa"/>
            <w:vAlign w:val="center"/>
          </w:tcPr>
          <w:p>
            <w:pPr>
              <w:pStyle w:val="12"/>
              <w:rPr>
                <w:rFonts w:hint="default"/>
                <w:lang w:val="en-US"/>
              </w:rPr>
            </w:pPr>
            <w:r>
              <w:rPr>
                <w:rFonts w:hint="default"/>
                <w:lang w:val="en-US"/>
              </w:rPr>
              <w:t>1.45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5E21BE8"/>
    <w:rsid w:val="0C206706"/>
    <w:rsid w:val="11EC3439"/>
    <w:rsid w:val="16FB1E8C"/>
    <w:rsid w:val="644A3388"/>
    <w:rsid w:val="65F019DC"/>
    <w:rsid w:val="6C147CC5"/>
    <w:rsid w:val="6C6509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2024-02-26T09:52:49Z</dcterms:created>
  <dcterms:modified xsi:type="dcterms:W3CDTF">2024-02-26T01:52:49Z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2024-02-26T09:52:48Z</dcterms:created>
  <dcterms:modified xsi:type="dcterms:W3CDTF">2024-02-26T01:52:48Z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2024-02-26T09:52:48Z</dcterms:created>
  <dcterms:modified xsi:type="dcterms:W3CDTF">2024-02-26T01:52:48Z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2024-02-26T09:52:48Z</dcterms:created>
  <dcterms:modified xsi:type="dcterms:W3CDTF">2024-02-26T01:52:48Z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26c1b3-a9c3-4570-bab1-dcbd703fb7a8}">
  <ds:schemaRefs/>
</ds:datastoreItem>
</file>

<file path=customXml/itemProps3.xml><?xml version="1.0" encoding="utf-8"?>
<ds:datastoreItem xmlns:ds="http://schemas.openxmlformats.org/officeDocument/2006/customXml" ds:itemID="{05c6ca3c-1f48-4bf7-8925-683f3fa1346b}">
  <ds:schemaRefs/>
</ds:datastoreItem>
</file>

<file path=customXml/itemProps4.xml><?xml version="1.0" encoding="utf-8"?>
<ds:datastoreItem xmlns:ds="http://schemas.openxmlformats.org/officeDocument/2006/customXml" ds:itemID="{7181862f-df03-49db-8000-bbb8710ea10f}">
  <ds:schemaRefs/>
</ds:datastoreItem>
</file>

<file path=customXml/itemProps5.xml><?xml version="1.0" encoding="utf-8"?>
<ds:datastoreItem xmlns:ds="http://schemas.openxmlformats.org/officeDocument/2006/customXml" ds:itemID="{81519bee-9170-4529-94ae-c3588e239279}">
  <ds:schemaRefs/>
</ds:datastoreItem>
</file>

<file path=customXml/itemProps6.xml><?xml version="1.0" encoding="utf-8"?>
<ds:datastoreItem xmlns:ds="http://schemas.openxmlformats.org/officeDocument/2006/customXml" ds:itemID="{2a374dc0-ac79-42d7-8732-cb25b2b8c359}">
  <ds:schemaRefs/>
</ds:datastoreItem>
</file>

<file path=customXml/itemProps7.xml><?xml version="1.0" encoding="utf-8"?>
<ds:datastoreItem xmlns:ds="http://schemas.openxmlformats.org/officeDocument/2006/customXml" ds:itemID="{c6ca02f7-15dc-4966-bee7-4a2df5dfe714}">
  <ds:schemaRefs/>
</ds:datastoreItem>
</file>

<file path=customXml/itemProps8.xml><?xml version="1.0" encoding="utf-8"?>
<ds:datastoreItem xmlns:ds="http://schemas.openxmlformats.org/officeDocument/2006/customXml" ds:itemID="{5b0319c7-6f45-4387-b5e8-76e31795b153}">
  <ds:schemaRefs/>
</ds:datastoreItem>
</file>

<file path=customXml/itemProps9.xml><?xml version="1.0" encoding="utf-8"?>
<ds:datastoreItem xmlns:ds="http://schemas.openxmlformats.org/officeDocument/2006/customXml" ds:itemID="{0defa51f-798e-4e56-aa27-992268089e33}">
  <ds:schemaRefs/>
</ds:datastoreItem>
</file>

<file path=docProps/app.xml><?xml version="1.0" encoding="utf-8"?>
<Properties xmlns="http://schemas.openxmlformats.org/officeDocument/2006/extended-properties" xmlns:vt="http://schemas.openxmlformats.org/officeDocument/2006/docPropsVTypes">
  <TotalTime>73</TotalTime>
  <ScaleCrop>false</ScaleCrop>
  <LinksUpToDate>false</LinksUpToDate>
  <Application>WPS Office_11.8.2.10154_F1E327BC-269C-435d-A152-05C5408002CA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2024-02-26T09:52:00Z</dcterms:created>
  <dc:creator>Lenovo</dc:creator>
  <cp:lastModifiedBy>Administrator</cp:lastModifiedBy>
  <cp:lastPrinted>2025-09-09T00:28:43Z</cp:lastPrinted>
  <dcterms:modified xsi:type="dcterms:W3CDTF">2025-09-09T01:22:15Z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33CEA2FF569C4916BB75DCE150E4DE5A</vt:lpwstr>
  </property>
</Properties>
</file>