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C459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第一部分 徐水区安全生产监督管理局</w:t>
      </w:r>
    </w:p>
    <w:p w14:paraId="419901B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部门</w:t>
      </w:r>
      <w:r>
        <w:rPr>
          <w:b/>
          <w:sz w:val="44"/>
          <w:szCs w:val="44"/>
        </w:rPr>
        <w:t>概况</w:t>
      </w:r>
      <w:bookmarkStart w:id="0" w:name="_GoBack"/>
      <w:bookmarkEnd w:id="0"/>
    </w:p>
    <w:p w14:paraId="39969673"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、部门职责</w:t>
      </w:r>
    </w:p>
    <w:p w14:paraId="1FD335DE">
      <w:pPr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（一）综合监督管理全区安全生产工作；组织起草有关安全生产方面的管理办法和实施意见；组织实施工矿商贸企业安全生产标准。</w:t>
      </w:r>
    </w:p>
    <w:p w14:paraId="195E4304">
      <w:pPr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（二）依法行使安全生产综合监督管理职权，指导协调和监督全区安全生产监督管理工作；制定全区安全生产发展规划；定期分析和预测全区安全生产形势，研究、协调解决安全生产中的重大问题。</w:t>
      </w:r>
    </w:p>
    <w:p w14:paraId="5451C53A">
      <w:pPr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（三）负责全区非煤矿山企业、危险化学品、烟花爆竹等生产经营单位安全生产的监督管理；</w:t>
      </w:r>
    </w:p>
    <w:p w14:paraId="13CF69EE">
      <w:pPr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（四）负责对工矿商贸作业场所（煤矿作业场所除外）职业卫生监督检查，组织调查处理职业危害事故和违法违规行为；依据《中华人民共和国行政许可法》受理、审报安全生产经营许可证。</w:t>
      </w:r>
    </w:p>
    <w:p w14:paraId="024B575B">
      <w:pPr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（五）负责发布全区安全生产信息，综合管理全区安全生产伤亡事故统计、分析和上报工作；依法组织、协调重大事故的调查处理，实施责任追究；组织、指挥和协调安全生产应急救援工作。</w:t>
      </w:r>
    </w:p>
    <w:p w14:paraId="7EB98293">
      <w:pPr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六）依法对工矿商贸企业贯彻执行安全生产法律法规情况实施监督管理，组织开展对工矿商贸企业安全生产条件和有关设备（特种设备除外）的安全评价、检测检验、安全咨询等工作；依法查处不具备安全生产经营条件的生产经营单位，对违法违规行为依法给与行政处罚，依法规范企业生产经营行为。</w:t>
      </w:r>
    </w:p>
    <w:p w14:paraId="48BFB40E">
      <w:pPr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（七）组织、指导全区安全生产宣传教育工作；依法组织并监督对生产经营单位负责人、安全管理人员、特种作业人员（特种设备作业人员除外）的培训、安全资格考核及发证工作；监督检查生产经营单位对其他从业人员的安全教育与培训工作。</w:t>
      </w:r>
    </w:p>
    <w:p w14:paraId="37F9CA43"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、部门决算单位构成</w:t>
      </w:r>
    </w:p>
    <w:p w14:paraId="474FF23F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</w:t>
      </w:r>
      <w:r>
        <w:rPr>
          <w:snapToGrid w:val="0"/>
          <w:kern w:val="0"/>
          <w:sz w:val="28"/>
          <w:szCs w:val="28"/>
        </w:rPr>
        <w:t>部门独立核算</w:t>
      </w:r>
      <w:r>
        <w:rPr>
          <w:rFonts w:hint="eastAsia"/>
          <w:snapToGrid w:val="0"/>
          <w:kern w:val="0"/>
          <w:sz w:val="28"/>
          <w:szCs w:val="28"/>
        </w:rPr>
        <w:t>机构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1个</w:t>
      </w:r>
      <w:r>
        <w:rPr>
          <w:snapToGrid w:val="0"/>
          <w:kern w:val="0"/>
          <w:sz w:val="28"/>
          <w:szCs w:val="28"/>
        </w:rPr>
        <w:t>，年末</w:t>
      </w:r>
      <w:r>
        <w:rPr>
          <w:rFonts w:hint="eastAsia"/>
          <w:snapToGrid w:val="0"/>
          <w:kern w:val="0"/>
          <w:sz w:val="28"/>
          <w:szCs w:val="28"/>
        </w:rPr>
        <w:t>实</w:t>
      </w:r>
      <w:r>
        <w:rPr>
          <w:snapToGrid w:val="0"/>
          <w:kern w:val="0"/>
          <w:sz w:val="28"/>
          <w:szCs w:val="28"/>
        </w:rPr>
        <w:t>有人数</w:t>
      </w:r>
      <w:r>
        <w:rPr>
          <w:rFonts w:hint="eastAsia"/>
          <w:snapToGrid w:val="0"/>
          <w:kern w:val="0"/>
          <w:sz w:val="28"/>
          <w:szCs w:val="28"/>
        </w:rPr>
        <w:t>25人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其中</w:t>
      </w:r>
      <w:r>
        <w:rPr>
          <w:snapToGrid w:val="0"/>
          <w:kern w:val="0"/>
          <w:sz w:val="28"/>
          <w:szCs w:val="28"/>
        </w:rPr>
        <w:t>在职人员</w:t>
      </w:r>
      <w:r>
        <w:rPr>
          <w:rFonts w:hint="eastAsia"/>
          <w:snapToGrid w:val="0"/>
          <w:kern w:val="0"/>
          <w:sz w:val="28"/>
          <w:szCs w:val="28"/>
        </w:rPr>
        <w:t>24人</w:t>
      </w:r>
      <w:r>
        <w:rPr>
          <w:snapToGrid w:val="0"/>
          <w:kern w:val="0"/>
          <w:sz w:val="28"/>
          <w:szCs w:val="28"/>
        </w:rPr>
        <w:t>，离休人员</w:t>
      </w:r>
      <w:r>
        <w:rPr>
          <w:rFonts w:hint="eastAsia"/>
          <w:snapToGrid w:val="0"/>
          <w:kern w:val="0"/>
          <w:sz w:val="28"/>
          <w:szCs w:val="28"/>
        </w:rPr>
        <w:t>0人</w:t>
      </w:r>
      <w:r>
        <w:rPr>
          <w:snapToGrid w:val="0"/>
          <w:kern w:val="0"/>
          <w:sz w:val="28"/>
          <w:szCs w:val="28"/>
        </w:rPr>
        <w:t>，退休人员</w:t>
      </w:r>
      <w:r>
        <w:rPr>
          <w:rFonts w:hint="eastAsia"/>
          <w:snapToGrid w:val="0"/>
          <w:kern w:val="0"/>
          <w:sz w:val="28"/>
          <w:szCs w:val="28"/>
        </w:rPr>
        <w:t>1人</w:t>
      </w:r>
      <w:r>
        <w:rPr>
          <w:snapToGrid w:val="0"/>
          <w:kern w:val="0"/>
          <w:sz w:val="28"/>
          <w:szCs w:val="28"/>
        </w:rPr>
        <w:t>。</w:t>
      </w:r>
    </w:p>
    <w:p w14:paraId="0EC4F366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1.根据上述职责，安监局设 2个内设机构：</w:t>
      </w:r>
    </w:p>
    <w:p w14:paraId="58F8F6F6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综合股、监督管理股。</w:t>
      </w:r>
    </w:p>
    <w:p w14:paraId="0587CD58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2.下属事业单位1个：徐水区安全生产监察大队。</w:t>
      </w:r>
    </w:p>
    <w:p w14:paraId="3F8D3A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第二部分 徐水区安全生产监督管理局</w:t>
      </w:r>
    </w:p>
    <w:p w14:paraId="7D23FB8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2016年</w:t>
      </w:r>
      <w:r>
        <w:rPr>
          <w:b/>
          <w:sz w:val="44"/>
          <w:szCs w:val="44"/>
        </w:rPr>
        <w:t>部门决算情况说明</w:t>
      </w:r>
    </w:p>
    <w:p w14:paraId="48E1651B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一、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收入支出决算总体情况说明</w:t>
      </w:r>
    </w:p>
    <w:p w14:paraId="1B1C9F8C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本部门2016年本</w:t>
      </w:r>
      <w:r>
        <w:rPr>
          <w:snapToGrid w:val="0"/>
          <w:kern w:val="0"/>
          <w:sz w:val="28"/>
          <w:szCs w:val="28"/>
        </w:rPr>
        <w:t>年收入总计</w:t>
      </w:r>
      <w:r>
        <w:rPr>
          <w:rFonts w:hint="eastAsia"/>
          <w:snapToGrid w:val="0"/>
          <w:kern w:val="0"/>
          <w:sz w:val="28"/>
          <w:szCs w:val="28"/>
        </w:rPr>
        <w:t>297.98万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上年增长</w:t>
      </w:r>
      <w:r>
        <w:rPr>
          <w:rFonts w:hint="eastAsia"/>
          <w:snapToGrid w:val="0"/>
          <w:kern w:val="0"/>
          <w:sz w:val="28"/>
          <w:szCs w:val="28"/>
        </w:rPr>
        <w:t>0.88</w:t>
      </w:r>
      <w:r>
        <w:rPr>
          <w:snapToGrid w:val="0"/>
          <w:kern w:val="0"/>
          <w:sz w:val="28"/>
          <w:szCs w:val="28"/>
        </w:rPr>
        <w:t>%，增</w:t>
      </w:r>
      <w:r>
        <w:rPr>
          <w:rFonts w:hint="eastAsia"/>
          <w:snapToGrid w:val="0"/>
          <w:kern w:val="0"/>
          <w:sz w:val="28"/>
          <w:szCs w:val="28"/>
        </w:rPr>
        <w:t>收2.61万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，原因</w:t>
      </w:r>
      <w:r>
        <w:rPr>
          <w:snapToGrid w:val="0"/>
          <w:kern w:val="0"/>
          <w:sz w:val="28"/>
          <w:szCs w:val="28"/>
        </w:rPr>
        <w:t>：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本年收入_原因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rFonts w:hint="eastAsia"/>
          <w:snapToGrid w:val="0"/>
          <w:kern w:val="0"/>
          <w:sz w:val="28"/>
          <w:szCs w:val="28"/>
        </w:rPr>
        <w:t>人员调入、根据政策增加单位人员工资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；本</w:t>
      </w:r>
      <w:r>
        <w:rPr>
          <w:snapToGrid w:val="0"/>
          <w:kern w:val="0"/>
          <w:sz w:val="28"/>
          <w:szCs w:val="28"/>
        </w:rPr>
        <w:t>年支出总计</w:t>
      </w:r>
      <w:r>
        <w:rPr>
          <w:rFonts w:hint="eastAsia"/>
          <w:snapToGrid w:val="0"/>
          <w:kern w:val="0"/>
          <w:sz w:val="28"/>
          <w:szCs w:val="28"/>
        </w:rPr>
        <w:t>317.32万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</w:rPr>
        <w:t>0.46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/>
          <w:snapToGrid w:val="0"/>
          <w:kern w:val="0"/>
          <w:sz w:val="28"/>
          <w:szCs w:val="28"/>
        </w:rPr>
        <w:t>1.44万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，原因</w:t>
      </w:r>
      <w:r>
        <w:rPr>
          <w:snapToGrid w:val="0"/>
          <w:kern w:val="0"/>
          <w:sz w:val="28"/>
          <w:szCs w:val="28"/>
        </w:rPr>
        <w:t>：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本年支出_原因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rFonts w:hint="eastAsia"/>
          <w:snapToGrid w:val="0"/>
          <w:kern w:val="0"/>
          <w:sz w:val="28"/>
          <w:szCs w:val="28"/>
        </w:rPr>
        <w:t>人员调入、根据政策增加单位人员工资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。</w:t>
      </w:r>
      <w:r>
        <w:rPr>
          <w:snapToGrid w:val="0"/>
          <w:kern w:val="0"/>
          <w:sz w:val="28"/>
          <w:szCs w:val="28"/>
        </w:rPr>
        <w:t>年末结转结余</w:t>
      </w:r>
      <w:r>
        <w:rPr>
          <w:rFonts w:hint="eastAsia"/>
          <w:snapToGrid w:val="0"/>
          <w:kern w:val="0"/>
          <w:sz w:val="28"/>
          <w:szCs w:val="28"/>
        </w:rPr>
        <w:t>7.02万</w:t>
      </w:r>
      <w:r>
        <w:rPr>
          <w:snapToGrid w:val="0"/>
          <w:kern w:val="0"/>
          <w:sz w:val="28"/>
          <w:szCs w:val="28"/>
        </w:rPr>
        <w:t>元。</w:t>
      </w:r>
    </w:p>
    <w:p w14:paraId="4DFDB9CB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收入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决算情况说明</w:t>
      </w:r>
    </w:p>
    <w:p w14:paraId="5F4D3D42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</w:t>
      </w:r>
      <w:r>
        <w:rPr>
          <w:rFonts w:hint="eastAsia"/>
          <w:snapToGrid w:val="0"/>
          <w:kern w:val="0"/>
          <w:sz w:val="28"/>
          <w:szCs w:val="28"/>
        </w:rPr>
        <w:t>297.98万元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>
        <w:rPr>
          <w:rFonts w:hint="eastAsia"/>
          <w:snapToGrid w:val="0"/>
          <w:kern w:val="0"/>
          <w:sz w:val="28"/>
          <w:szCs w:val="28"/>
        </w:rPr>
        <w:t xml:space="preserve">    297.96万元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较上年</w:t>
      </w:r>
      <w:r>
        <w:rPr>
          <w:snapToGrid w:val="0"/>
          <w:kern w:val="0"/>
          <w:sz w:val="28"/>
          <w:szCs w:val="28"/>
        </w:rPr>
        <w:t>增长</w:t>
      </w:r>
      <w:r>
        <w:rPr>
          <w:rFonts w:hint="eastAsia"/>
          <w:snapToGrid w:val="0"/>
          <w:kern w:val="0"/>
          <w:sz w:val="28"/>
          <w:szCs w:val="28"/>
        </w:rPr>
        <w:t xml:space="preserve">0.88 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2.6万元，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工资调标；上</w:t>
      </w:r>
      <w:r>
        <w:rPr>
          <w:snapToGrid w:val="0"/>
          <w:kern w:val="0"/>
          <w:sz w:val="28"/>
          <w:szCs w:val="28"/>
        </w:rPr>
        <w:t>级补助收入</w:t>
      </w:r>
      <w:r>
        <w:rPr>
          <w:rFonts w:hint="eastAsia"/>
          <w:snapToGrid w:val="0"/>
          <w:kern w:val="0"/>
          <w:sz w:val="28"/>
          <w:szCs w:val="28"/>
        </w:rPr>
        <w:t>0万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0 万元； 事业</w:t>
      </w:r>
      <w:r>
        <w:rPr>
          <w:snapToGrid w:val="0"/>
          <w:kern w:val="0"/>
          <w:sz w:val="28"/>
          <w:szCs w:val="28"/>
        </w:rPr>
        <w:t>收入</w:t>
      </w:r>
      <w:r>
        <w:rPr>
          <w:rFonts w:hint="eastAsia"/>
          <w:snapToGrid w:val="0"/>
          <w:kern w:val="0"/>
          <w:sz w:val="28"/>
          <w:szCs w:val="28"/>
        </w:rPr>
        <w:t xml:space="preserve"> 0万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 xml:space="preserve">0 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0万元；</w:t>
      </w:r>
      <w:r>
        <w:rPr>
          <w:snapToGrid w:val="0"/>
          <w:kern w:val="0"/>
          <w:sz w:val="28"/>
          <w:szCs w:val="28"/>
        </w:rPr>
        <w:t>其他收入</w:t>
      </w:r>
      <w:r>
        <w:rPr>
          <w:rFonts w:hint="eastAsia"/>
          <w:snapToGrid w:val="0"/>
          <w:kern w:val="0"/>
          <w:sz w:val="28"/>
          <w:szCs w:val="28"/>
        </w:rPr>
        <w:t>0.02万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>100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0.01万元，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利息增加。</w:t>
      </w:r>
    </w:p>
    <w:p w14:paraId="75FC2995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三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、支出决算情况说明</w:t>
      </w:r>
    </w:p>
    <w:p w14:paraId="3DFE76D4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度支出总计</w:t>
      </w:r>
      <w:r>
        <w:rPr>
          <w:rFonts w:hint="eastAsia"/>
          <w:snapToGrid w:val="0"/>
          <w:kern w:val="0"/>
          <w:sz w:val="28"/>
          <w:szCs w:val="28"/>
        </w:rPr>
        <w:t>317.32万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>254.75万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占</w:t>
      </w:r>
      <w:r>
        <w:rPr>
          <w:snapToGrid w:val="0"/>
          <w:kern w:val="0"/>
          <w:sz w:val="28"/>
          <w:szCs w:val="28"/>
        </w:rPr>
        <w:t>总支出</w:t>
      </w:r>
      <w:r>
        <w:rPr>
          <w:rFonts w:hint="eastAsia"/>
          <w:snapToGrid w:val="0"/>
          <w:kern w:val="0"/>
          <w:sz w:val="28"/>
          <w:szCs w:val="28"/>
        </w:rPr>
        <w:t xml:space="preserve"> 80.28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项目支出</w:t>
      </w:r>
      <w:r>
        <w:rPr>
          <w:rFonts w:hint="eastAsia"/>
          <w:snapToGrid w:val="0"/>
          <w:kern w:val="0"/>
          <w:sz w:val="28"/>
          <w:szCs w:val="28"/>
        </w:rPr>
        <w:t>62.57万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占总支出</w:t>
      </w:r>
      <w:r>
        <w:rPr>
          <w:rFonts w:hint="eastAsia"/>
          <w:snapToGrid w:val="0"/>
          <w:kern w:val="0"/>
          <w:sz w:val="28"/>
          <w:szCs w:val="28"/>
        </w:rPr>
        <w:t>19.72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14:paraId="24A22C19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四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、财政拨款收入支出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决算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总体情况说明</w:t>
      </w:r>
    </w:p>
    <w:p w14:paraId="2611A61A">
      <w:pPr>
        <w:adjustRightInd w:val="0"/>
        <w:snapToGrid w:val="0"/>
        <w:spacing w:line="52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>计</w:t>
      </w:r>
      <w:r>
        <w:rPr>
          <w:rFonts w:hint="eastAsia"/>
          <w:snapToGrid w:val="0"/>
          <w:kern w:val="0"/>
          <w:sz w:val="28"/>
          <w:szCs w:val="28"/>
        </w:rPr>
        <w:t>297.96万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</w:rPr>
        <w:t>0.88</w:t>
      </w:r>
      <w:r>
        <w:rPr>
          <w:snapToGrid w:val="0"/>
          <w:kern w:val="0"/>
          <w:sz w:val="28"/>
          <w:szCs w:val="28"/>
        </w:rPr>
        <w:t xml:space="preserve"> %，增收</w:t>
      </w:r>
      <w:r>
        <w:rPr>
          <w:rFonts w:hint="eastAsia"/>
          <w:snapToGrid w:val="0"/>
          <w:kern w:val="0"/>
          <w:sz w:val="28"/>
          <w:szCs w:val="28"/>
        </w:rPr>
        <w:t>2.6万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财政拨款支出总计</w:t>
      </w:r>
      <w:r>
        <w:rPr>
          <w:rFonts w:hint="eastAsia"/>
          <w:snapToGrid w:val="0"/>
          <w:kern w:val="0"/>
          <w:sz w:val="28"/>
          <w:szCs w:val="28"/>
        </w:rPr>
        <w:t xml:space="preserve"> 317.29万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>
        <w:rPr>
          <w:rFonts w:hint="eastAsia"/>
          <w:snapToGrid w:val="0"/>
          <w:kern w:val="0"/>
          <w:sz w:val="28"/>
          <w:szCs w:val="28"/>
        </w:rPr>
        <w:t>0.45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/>
          <w:snapToGrid w:val="0"/>
          <w:kern w:val="0"/>
          <w:sz w:val="28"/>
          <w:szCs w:val="28"/>
        </w:rPr>
        <w:t>1.42万</w:t>
      </w:r>
      <w:r>
        <w:rPr>
          <w:snapToGrid w:val="0"/>
          <w:kern w:val="0"/>
          <w:sz w:val="28"/>
          <w:szCs w:val="28"/>
        </w:rPr>
        <w:t>元，主要原因是：</w:t>
      </w:r>
      <w:r>
        <w:rPr>
          <w:rFonts w:hint="eastAsia"/>
          <w:snapToGrid w:val="0"/>
          <w:kern w:val="0"/>
          <w:sz w:val="28"/>
          <w:szCs w:val="28"/>
        </w:rPr>
        <w:t>人员调入、根据政策增加单位人员工资。年</w:t>
      </w:r>
      <w:r>
        <w:rPr>
          <w:snapToGrid w:val="0"/>
          <w:kern w:val="0"/>
          <w:sz w:val="28"/>
          <w:szCs w:val="28"/>
        </w:rPr>
        <w:t>末财政拨款结转结余</w:t>
      </w:r>
      <w:r>
        <w:rPr>
          <w:rFonts w:hint="eastAsia"/>
          <w:snapToGrid w:val="0"/>
          <w:kern w:val="0"/>
          <w:sz w:val="28"/>
          <w:szCs w:val="28"/>
        </w:rPr>
        <w:t xml:space="preserve"> 7.02万</w:t>
      </w:r>
      <w:r>
        <w:rPr>
          <w:snapToGrid w:val="0"/>
          <w:kern w:val="0"/>
          <w:sz w:val="28"/>
          <w:szCs w:val="28"/>
        </w:rPr>
        <w:t>元。</w:t>
      </w:r>
    </w:p>
    <w:p w14:paraId="333D57CA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财政拨款</w:t>
      </w:r>
      <w:r>
        <w:rPr>
          <w:rFonts w:hint="eastAsia"/>
          <w:snapToGrid w:val="0"/>
          <w:kern w:val="0"/>
          <w:sz w:val="28"/>
          <w:szCs w:val="28"/>
        </w:rPr>
        <w:t>支出</w:t>
      </w:r>
      <w:r>
        <w:rPr>
          <w:snapToGrid w:val="0"/>
          <w:kern w:val="0"/>
          <w:sz w:val="28"/>
          <w:szCs w:val="28"/>
        </w:rPr>
        <w:t>年初预算数</w:t>
      </w:r>
      <w:r>
        <w:rPr>
          <w:rFonts w:hint="eastAsia"/>
          <w:snapToGrid w:val="0"/>
          <w:kern w:val="0"/>
          <w:sz w:val="28"/>
          <w:szCs w:val="28"/>
        </w:rPr>
        <w:t>为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本年支出合计_支出年初预算数小计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284.46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万元，本年</w:t>
      </w:r>
      <w:r>
        <w:rPr>
          <w:snapToGrid w:val="0"/>
          <w:kern w:val="0"/>
          <w:sz w:val="28"/>
          <w:szCs w:val="28"/>
        </w:rPr>
        <w:t>支出决算数为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本年支出合计_支出决算数小计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317.29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万元，占</w:t>
      </w:r>
      <w:r>
        <w:rPr>
          <w:snapToGrid w:val="0"/>
          <w:kern w:val="0"/>
          <w:sz w:val="28"/>
          <w:szCs w:val="28"/>
        </w:rPr>
        <w:t>年初预算数的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决算占预算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111.54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，主要</w:t>
      </w:r>
      <w:r>
        <w:rPr>
          <w:snapToGrid w:val="0"/>
          <w:kern w:val="0"/>
          <w:sz w:val="28"/>
          <w:szCs w:val="28"/>
        </w:rPr>
        <w:t>原因：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本年支出_原因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rFonts w:hint="eastAsia"/>
          <w:snapToGrid w:val="0"/>
          <w:kern w:val="0"/>
          <w:sz w:val="28"/>
          <w:szCs w:val="28"/>
        </w:rPr>
        <w:t>人员调入、根据政策增加单位人员工资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14:paraId="294DEDE7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五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14:paraId="1007C886"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2016年，在做好各项工作的前提下，节省各项开支，尤其严格控制"三公"经费的支出，全年一般公共预算财政拨款"三公"经费支出合计</w:t>
      </w:r>
      <w:r>
        <w:rPr>
          <w:snapToGrid w:val="0"/>
          <w:kern w:val="0"/>
          <w:sz w:val="28"/>
          <w:szCs w:val="28"/>
        </w:rPr>
        <w:t>12.73</w:t>
      </w:r>
      <w:r>
        <w:rPr>
          <w:rFonts w:hint="eastAsia"/>
          <w:snapToGrid w:val="0"/>
          <w:kern w:val="0"/>
          <w:sz w:val="28"/>
          <w:szCs w:val="28"/>
        </w:rPr>
        <w:t>万元，较2015年减少</w:t>
      </w:r>
      <w:r>
        <w:rPr>
          <w:snapToGrid w:val="0"/>
          <w:kern w:val="0"/>
          <w:sz w:val="28"/>
          <w:szCs w:val="28"/>
        </w:rPr>
        <w:t>40.23</w:t>
      </w:r>
      <w:r>
        <w:rPr>
          <w:rFonts w:hint="eastAsia"/>
          <w:snapToGrid w:val="0"/>
          <w:kern w:val="0"/>
          <w:sz w:val="28"/>
          <w:szCs w:val="28"/>
        </w:rPr>
        <w:t>万元，减少</w:t>
      </w:r>
      <w:r>
        <w:rPr>
          <w:snapToGrid w:val="0"/>
          <w:kern w:val="0"/>
          <w:sz w:val="28"/>
          <w:szCs w:val="28"/>
        </w:rPr>
        <w:t>75.97</w:t>
      </w:r>
      <w:r>
        <w:rPr>
          <w:rFonts w:hint="eastAsia"/>
          <w:snapToGrid w:val="0"/>
          <w:kern w:val="0"/>
          <w:sz w:val="28"/>
          <w:szCs w:val="28"/>
        </w:rPr>
        <w:t>%。</w:t>
      </w:r>
    </w:p>
    <w:p w14:paraId="554A4A2C"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1、本部门2016年因公出国（境）费本年支出0万元，较预算压减0万元，增加0%，较2015年增加0万元，增加0 %。主要原因：无出国出境安排。因公出国（境）团组                                                                    0个，因公出国（境）人次数0人。</w:t>
      </w:r>
    </w:p>
    <w:p w14:paraId="21512D42"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</w:t>
      </w:r>
      <w:r>
        <w:rPr>
          <w:snapToGrid w:val="0"/>
          <w:kern w:val="0"/>
          <w:sz w:val="28"/>
          <w:szCs w:val="28"/>
        </w:rPr>
        <w:t>购置</w:t>
      </w:r>
      <w:r>
        <w:rPr>
          <w:rFonts w:hint="eastAsia"/>
          <w:snapToGrid w:val="0"/>
          <w:kern w:val="0"/>
          <w:sz w:val="28"/>
          <w:szCs w:val="28"/>
        </w:rPr>
        <w:t>及运行维护费本年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 xml:space="preserve"> 9.36万元。（2016年度未购置公务用车，年末公务用车保有量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辆。）</w:t>
      </w:r>
    </w:p>
    <w:p w14:paraId="49195AAE"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公务用车购置费本年支出0万元；较预算压减0万元，减少0%；较2015年增加0万元，增加0%。主要原因：无公务用车购置。</w:t>
      </w:r>
    </w:p>
    <w:p w14:paraId="60B8F261"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公务用车运行维护费本年支出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9.36万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；较预算压减1</w:t>
      </w:r>
      <w:r>
        <w:rPr>
          <w:snapToGrid w:val="0"/>
          <w:kern w:val="0"/>
          <w:sz w:val="28"/>
          <w:szCs w:val="28"/>
        </w:rPr>
        <w:t>8.64</w:t>
      </w:r>
      <w:r>
        <w:rPr>
          <w:rFonts w:hint="eastAsia"/>
          <w:snapToGrid w:val="0"/>
          <w:kern w:val="0"/>
          <w:sz w:val="28"/>
          <w:szCs w:val="28"/>
        </w:rPr>
        <w:t>万元，减少66.57%；较2015年减少39.5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万元，减少8</w:t>
      </w:r>
      <w:r>
        <w:rPr>
          <w:snapToGrid w:val="0"/>
          <w:kern w:val="0"/>
          <w:sz w:val="28"/>
          <w:szCs w:val="28"/>
        </w:rPr>
        <w:t>0.87</w:t>
      </w:r>
      <w:r>
        <w:rPr>
          <w:rFonts w:hint="eastAsia"/>
          <w:snapToGrid w:val="0"/>
          <w:kern w:val="0"/>
          <w:sz w:val="28"/>
          <w:szCs w:val="28"/>
        </w:rPr>
        <w:t>%。主要原因：1.</w:t>
      </w:r>
      <w:r>
        <w:rPr>
          <w:rFonts w:hint="eastAsia" w:ascii="宋体" w:hAnsi="宋体" w:eastAsia="宋体" w:cs="FZFSK--GBK1-0"/>
          <w:sz w:val="28"/>
          <w:szCs w:val="28"/>
        </w:rPr>
        <w:t>2015年公务用车运行费偿还以前年度修车、加油款25.8万元。</w:t>
      </w: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/>
          <w:snapToGrid w:val="0"/>
          <w:kern w:val="0"/>
          <w:sz w:val="28"/>
          <w:szCs w:val="28"/>
        </w:rPr>
        <w:t>.公车改革后，我单位公务用车数量没有减少，而且执法检查及公务活动很多，致使公务用车费、加油费用难以压</w:t>
      </w:r>
      <w:r>
        <w:rPr>
          <w:rFonts w:hint="eastAsia" w:ascii="宋体" w:hAnsi="宋体"/>
          <w:sz w:val="32"/>
          <w:szCs w:val="32"/>
        </w:rPr>
        <w:t>缩</w:t>
      </w:r>
      <w:r>
        <w:rPr>
          <w:rFonts w:hint="eastAsia"/>
          <w:snapToGrid w:val="0"/>
          <w:kern w:val="0"/>
          <w:sz w:val="28"/>
          <w:szCs w:val="28"/>
        </w:rPr>
        <w:t>。3.我单位公务用车中，有两辆使用年限已经很长，车况很差，需经常维护、维修，维修费用加大。。</w:t>
      </w:r>
    </w:p>
    <w:p w14:paraId="045BA8C0"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2016年公务接待费全年支出3.37万元，较预算压减0</w:t>
      </w:r>
      <w:r>
        <w:rPr>
          <w:snapToGrid w:val="0"/>
          <w:kern w:val="0"/>
          <w:sz w:val="28"/>
          <w:szCs w:val="28"/>
        </w:rPr>
        <w:t>.63</w:t>
      </w:r>
      <w:r>
        <w:rPr>
          <w:rFonts w:hint="eastAsia"/>
          <w:snapToGrid w:val="0"/>
          <w:kern w:val="0"/>
          <w:sz w:val="28"/>
          <w:szCs w:val="28"/>
        </w:rPr>
        <w:t>万元，减少1</w:t>
      </w:r>
      <w:r>
        <w:rPr>
          <w:snapToGrid w:val="0"/>
          <w:kern w:val="0"/>
          <w:sz w:val="28"/>
          <w:szCs w:val="28"/>
        </w:rPr>
        <w:t>5.75</w:t>
      </w:r>
      <w:r>
        <w:rPr>
          <w:rFonts w:hint="eastAsia"/>
          <w:snapToGrid w:val="0"/>
          <w:kern w:val="0"/>
          <w:sz w:val="28"/>
          <w:szCs w:val="28"/>
        </w:rPr>
        <w:t>%；较2015年减少0.69万元，减少1</w:t>
      </w:r>
      <w:r>
        <w:rPr>
          <w:snapToGrid w:val="0"/>
          <w:kern w:val="0"/>
          <w:sz w:val="28"/>
          <w:szCs w:val="28"/>
        </w:rPr>
        <w:t>6.75</w:t>
      </w:r>
      <w:r>
        <w:rPr>
          <w:rFonts w:hint="eastAsia"/>
          <w:snapToGrid w:val="0"/>
          <w:kern w:val="0"/>
          <w:sz w:val="28"/>
          <w:szCs w:val="28"/>
        </w:rPr>
        <w:t>%。。主要原因：严格按照“一问责，八清理”，压缩公务接待费开支。</w:t>
      </w:r>
    </w:p>
    <w:p w14:paraId="40D4734F"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国内公务接待批次 51个，国内公务接待人次553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人；国外公务接待批次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0个，国外公务接待人次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0人。</w:t>
      </w:r>
    </w:p>
    <w:p w14:paraId="6B0B9F85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六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预算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绩效管理工作开展情况说明</w:t>
      </w:r>
    </w:p>
    <w:p w14:paraId="0F378D10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</w:t>
      </w:r>
      <w:r>
        <w:rPr>
          <w:snapToGrid w:val="0"/>
          <w:kern w:val="0"/>
          <w:sz w:val="28"/>
          <w:szCs w:val="28"/>
        </w:rPr>
        <w:t>依托河北省政府财政管理信息系统，</w:t>
      </w:r>
      <w:r>
        <w:rPr>
          <w:rFonts w:hint="eastAsia"/>
          <w:snapToGrid w:val="0"/>
          <w:kern w:val="0"/>
          <w:sz w:val="28"/>
          <w:szCs w:val="28"/>
        </w:rPr>
        <w:t>确定</w:t>
      </w:r>
      <w:r>
        <w:rPr>
          <w:snapToGrid w:val="0"/>
          <w:kern w:val="0"/>
          <w:sz w:val="28"/>
          <w:szCs w:val="28"/>
        </w:rPr>
        <w:t>部门预算项目和预算额度，清晰描述预算项目开支范围和内容，确定预算项目的绩效目标</w:t>
      </w:r>
      <w:r>
        <w:rPr>
          <w:rFonts w:hint="eastAsia"/>
          <w:snapToGrid w:val="0"/>
          <w:kern w:val="0"/>
          <w:sz w:val="28"/>
          <w:szCs w:val="28"/>
        </w:rPr>
        <w:t>。如我单位</w:t>
      </w:r>
      <w:r>
        <w:rPr>
          <w:snapToGrid w:val="0"/>
          <w:kern w:val="0"/>
          <w:sz w:val="28"/>
          <w:szCs w:val="28"/>
        </w:rPr>
        <w:t>的</w:t>
      </w:r>
      <w:r>
        <w:rPr>
          <w:rFonts w:hint="eastAsia"/>
          <w:snapToGrid w:val="0"/>
          <w:kern w:val="0"/>
          <w:sz w:val="28"/>
          <w:szCs w:val="28"/>
        </w:rPr>
        <w:t>安全生产信息员经费项目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该项目</w:t>
      </w:r>
      <w:r>
        <w:rPr>
          <w:snapToGrid w:val="0"/>
          <w:kern w:val="0"/>
          <w:sz w:val="28"/>
          <w:szCs w:val="28"/>
        </w:rPr>
        <w:t>年初预算安排</w:t>
      </w:r>
      <w:r>
        <w:rPr>
          <w:rFonts w:hint="eastAsia"/>
          <w:snapToGrid w:val="0"/>
          <w:kern w:val="0"/>
          <w:sz w:val="28"/>
          <w:szCs w:val="28"/>
        </w:rPr>
        <w:t>21.55 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截至年末</w:t>
      </w:r>
      <w:r>
        <w:rPr>
          <w:snapToGrid w:val="0"/>
          <w:kern w:val="0"/>
          <w:sz w:val="28"/>
          <w:szCs w:val="28"/>
        </w:rPr>
        <w:t>实际支出</w:t>
      </w:r>
      <w:r>
        <w:rPr>
          <w:rFonts w:hint="eastAsia"/>
          <w:snapToGrid w:val="0"/>
          <w:kern w:val="0"/>
          <w:sz w:val="28"/>
          <w:szCs w:val="28"/>
        </w:rPr>
        <w:t>21.55万元</w:t>
      </w:r>
      <w:r>
        <w:rPr>
          <w:snapToGrid w:val="0"/>
          <w:kern w:val="0"/>
          <w:sz w:val="28"/>
          <w:szCs w:val="28"/>
        </w:rPr>
        <w:t>。取得了</w:t>
      </w:r>
      <w:r>
        <w:rPr>
          <w:rFonts w:hint="eastAsia"/>
          <w:snapToGrid w:val="0"/>
          <w:kern w:val="0"/>
          <w:sz w:val="28"/>
          <w:szCs w:val="28"/>
        </w:rPr>
        <w:t>达到了令乡镇信息员的满意，稳定了信息员队伍，使乡镇的隐患排查工作及时、有效，一定程度上遏制了事故的发生的</w:t>
      </w:r>
      <w:r>
        <w:rPr>
          <w:snapToGrid w:val="0"/>
          <w:kern w:val="0"/>
          <w:sz w:val="28"/>
          <w:szCs w:val="28"/>
        </w:rPr>
        <w:t>成果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较好的</w:t>
      </w:r>
      <w:r>
        <w:rPr>
          <w:rFonts w:hint="eastAsia"/>
          <w:snapToGrid w:val="0"/>
          <w:kern w:val="0"/>
          <w:sz w:val="28"/>
          <w:szCs w:val="28"/>
        </w:rPr>
        <w:t>实现了</w:t>
      </w:r>
      <w:r>
        <w:rPr>
          <w:snapToGrid w:val="0"/>
          <w:kern w:val="0"/>
          <w:sz w:val="28"/>
          <w:szCs w:val="28"/>
        </w:rPr>
        <w:t>预算项目绩效</w:t>
      </w:r>
      <w:r>
        <w:rPr>
          <w:rFonts w:hint="eastAsia"/>
          <w:snapToGrid w:val="0"/>
          <w:kern w:val="0"/>
          <w:sz w:val="28"/>
          <w:szCs w:val="28"/>
        </w:rPr>
        <w:t>目标</w:t>
      </w:r>
      <w:r>
        <w:rPr>
          <w:snapToGrid w:val="0"/>
          <w:kern w:val="0"/>
          <w:sz w:val="28"/>
          <w:szCs w:val="28"/>
        </w:rPr>
        <w:t>。</w:t>
      </w:r>
    </w:p>
    <w:p w14:paraId="79F7FEF4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七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其他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重要事项的说明</w:t>
      </w:r>
    </w:p>
    <w:p w14:paraId="2397306B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机关运</w:t>
      </w:r>
      <w:r>
        <w:rPr>
          <w:rFonts w:hint="eastAsia"/>
          <w:snapToGrid w:val="0"/>
          <w:kern w:val="0"/>
          <w:sz w:val="28"/>
          <w:szCs w:val="28"/>
        </w:rPr>
        <w:t>行</w:t>
      </w:r>
      <w:r>
        <w:rPr>
          <w:snapToGrid w:val="0"/>
          <w:kern w:val="0"/>
          <w:sz w:val="28"/>
          <w:szCs w:val="28"/>
        </w:rPr>
        <w:t>经费</w:t>
      </w:r>
      <w:r>
        <w:rPr>
          <w:rFonts w:hint="eastAsia"/>
          <w:snapToGrid w:val="0"/>
          <w:kern w:val="0"/>
          <w:sz w:val="28"/>
          <w:szCs w:val="28"/>
        </w:rPr>
        <w:t>支出</w:t>
      </w:r>
      <w:r>
        <w:rPr>
          <w:snapToGrid w:val="0"/>
          <w:kern w:val="0"/>
          <w:sz w:val="28"/>
          <w:szCs w:val="28"/>
        </w:rPr>
        <w:t>情况说明</w:t>
      </w:r>
    </w:p>
    <w:p w14:paraId="65D9799B">
      <w:pPr>
        <w:pStyle w:val="7"/>
        <w:adjustRightInd w:val="0"/>
        <w:snapToGrid w:val="0"/>
        <w:spacing w:line="600" w:lineRule="exact"/>
        <w:ind w:left="210" w:leftChars="100" w:firstLineChars="150"/>
        <w:rPr>
          <w:rFonts w:ascii="宋体" w:hAnsi="宋体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年本部门机关运行经费支出27.33万元，比201</w:t>
      </w:r>
      <w:r>
        <w:rPr>
          <w:snapToGrid w:val="0"/>
          <w:kern w:val="0"/>
          <w:sz w:val="28"/>
          <w:szCs w:val="28"/>
        </w:rPr>
        <w:t>5</w:t>
      </w:r>
      <w:r>
        <w:rPr>
          <w:rFonts w:hint="eastAsia"/>
          <w:snapToGrid w:val="0"/>
          <w:kern w:val="0"/>
          <w:sz w:val="28"/>
          <w:szCs w:val="28"/>
        </w:rPr>
        <w:t>年增加万元，增长491.56%。主要原因是：一是劳务派遣人员增支 5.62万元，二是公车改革交通补贴增支6.93万元，三是</w:t>
      </w:r>
      <w:r>
        <w:rPr>
          <w:rFonts w:hint="eastAsia" w:ascii="宋体" w:hAnsi="宋体"/>
          <w:sz w:val="28"/>
          <w:szCs w:val="28"/>
        </w:rPr>
        <w:t>由于安全生产事故频发，省市加大了执法培训、检查力度，执法检查及公务活动很多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各种安全生产会议、培训会、现场会增加，造成各项费用都不同程度的增加，如办公费增支1.92万元、邮电费增支1.57、差旅费增支1.35万元、公务接待费增支1.3万元、公务用车运行费增支2.34万元等。</w:t>
      </w:r>
    </w:p>
    <w:p w14:paraId="67A62494">
      <w:pPr>
        <w:pStyle w:val="7"/>
        <w:adjustRightInd w:val="0"/>
        <w:snapToGrid w:val="0"/>
        <w:spacing w:line="600" w:lineRule="exact"/>
        <w:ind w:left="210" w:leftChars="10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2016年度公用经费总支出</w:t>
      </w:r>
      <w:r>
        <w:rPr>
          <w:snapToGrid w:val="0"/>
          <w:kern w:val="0"/>
          <w:sz w:val="28"/>
          <w:szCs w:val="28"/>
        </w:rPr>
        <w:t>27.33</w:t>
      </w:r>
      <w:r>
        <w:rPr>
          <w:rFonts w:hint="eastAsia"/>
          <w:snapToGrid w:val="0"/>
          <w:kern w:val="0"/>
          <w:sz w:val="28"/>
          <w:szCs w:val="28"/>
        </w:rPr>
        <w:t>万元，其中办公费</w:t>
      </w:r>
      <w:r>
        <w:rPr>
          <w:snapToGrid w:val="0"/>
          <w:kern w:val="0"/>
          <w:sz w:val="28"/>
          <w:szCs w:val="28"/>
        </w:rPr>
        <w:t>3.42</w:t>
      </w:r>
      <w:r>
        <w:rPr>
          <w:rFonts w:hint="eastAsia"/>
          <w:snapToGrid w:val="0"/>
          <w:kern w:val="0"/>
          <w:sz w:val="28"/>
          <w:szCs w:val="28"/>
        </w:rPr>
        <w:t xml:space="preserve"> 万元、印刷费</w:t>
      </w:r>
      <w:r>
        <w:rPr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类款项合计_商品和服务支出印刷费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万元、水费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万元、电费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万元、邮电费</w:t>
      </w:r>
      <w:r>
        <w:rPr>
          <w:snapToGrid w:val="0"/>
          <w:kern w:val="0"/>
          <w:sz w:val="28"/>
          <w:szCs w:val="28"/>
        </w:rPr>
        <w:t>2.41</w:t>
      </w:r>
      <w:r>
        <w:rPr>
          <w:rFonts w:hint="eastAsia"/>
          <w:snapToGrid w:val="0"/>
          <w:kern w:val="0"/>
          <w:sz w:val="28"/>
          <w:szCs w:val="28"/>
        </w:rPr>
        <w:t xml:space="preserve"> 万元、取暖费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万元、差旅费</w:t>
      </w:r>
      <w:r>
        <w:rPr>
          <w:snapToGrid w:val="0"/>
          <w:kern w:val="0"/>
          <w:sz w:val="28"/>
          <w:szCs w:val="28"/>
        </w:rPr>
        <w:t>1.34</w:t>
      </w:r>
      <w:r>
        <w:rPr>
          <w:rFonts w:hint="eastAsia"/>
          <w:snapToGrid w:val="0"/>
          <w:kern w:val="0"/>
          <w:sz w:val="28"/>
          <w:szCs w:val="28"/>
        </w:rPr>
        <w:t>万元、维修（护）费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万元、会议费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万元、培训费0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类款项合计_商品和服务支出培训费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万元、公务接待费1.31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类款项合计_商品和服务支出公务接待费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万元、工会经费</w:t>
      </w:r>
      <w:r>
        <w:rPr>
          <w:snapToGrid w:val="0"/>
          <w:kern w:val="0"/>
          <w:sz w:val="28"/>
          <w:szCs w:val="28"/>
        </w:rPr>
        <w:t>0.4</w:t>
      </w:r>
      <w:r>
        <w:rPr>
          <w:rFonts w:hint="eastAsia"/>
          <w:snapToGrid w:val="0"/>
          <w:kern w:val="0"/>
          <w:sz w:val="28"/>
          <w:szCs w:val="28"/>
        </w:rPr>
        <w:t xml:space="preserve">万元、福利费 </w:t>
      </w:r>
      <w:r>
        <w:rPr>
          <w:snapToGrid w:val="0"/>
          <w:kern w:val="0"/>
          <w:sz w:val="28"/>
          <w:szCs w:val="28"/>
        </w:rPr>
        <w:t>1.68</w:t>
      </w:r>
      <w:r>
        <w:rPr>
          <w:rFonts w:hint="eastAsia"/>
          <w:snapToGrid w:val="0"/>
          <w:kern w:val="0"/>
          <w:sz w:val="28"/>
          <w:szCs w:val="28"/>
        </w:rPr>
        <w:t>万元、公务用车运行维护费</w:t>
      </w:r>
      <w:r>
        <w:rPr>
          <w:snapToGrid w:val="0"/>
          <w:kern w:val="0"/>
          <w:sz w:val="28"/>
          <w:szCs w:val="28"/>
        </w:rPr>
        <w:t>3.84</w:t>
      </w:r>
      <w:r>
        <w:rPr>
          <w:rFonts w:hint="eastAsia"/>
          <w:snapToGrid w:val="0"/>
          <w:kern w:val="0"/>
          <w:sz w:val="28"/>
          <w:szCs w:val="28"/>
        </w:rPr>
        <w:t>万元、其他交通费用6.93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类款项合计_商品和服务支出其他交通费用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万元等。</w:t>
      </w:r>
    </w:p>
    <w:p w14:paraId="219433F0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</w:t>
      </w:r>
      <w:r>
        <w:rPr>
          <w:snapToGrid w:val="0"/>
          <w:kern w:val="0"/>
          <w:sz w:val="28"/>
          <w:szCs w:val="28"/>
        </w:rPr>
        <w:t>、政府采购情况说明</w:t>
      </w:r>
    </w:p>
    <w:p w14:paraId="49690E78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2016年政府采购预算总额为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预算数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12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万元，主要包括政府采购货物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货物_采购计划金额总计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12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>万元，工程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万元及服务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 w14:paraId="62DB6A7F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年本部门政府采购支出总额11.88万元，其中：政府采购货物支出11.88万元、政府采购工程支出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0万元、政府采购服务支出0万元。</w:t>
      </w:r>
    </w:p>
    <w:p w14:paraId="3C9BBDFA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3、</w:t>
      </w:r>
      <w:r>
        <w:rPr>
          <w:snapToGrid w:val="0"/>
          <w:kern w:val="0"/>
          <w:sz w:val="28"/>
          <w:szCs w:val="28"/>
        </w:rPr>
        <w:t>国有资产占用情况</w:t>
      </w:r>
    </w:p>
    <w:p w14:paraId="65C6E0D1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我单位2016年末固定资产总额为169.63万元，主要包括车辆 6辆价值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 xml:space="preserve">50.42万元，及其他固定资产119.21万元。 </w:t>
      </w:r>
    </w:p>
    <w:p w14:paraId="63084703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2016年资产变动情况：固定资产增加2.4万元，包括</w:t>
      </w:r>
      <w:r>
        <w:rPr>
          <w:snapToGrid w:val="0"/>
          <w:kern w:val="0"/>
          <w:sz w:val="28"/>
          <w:szCs w:val="28"/>
        </w:rPr>
        <w:t>其他固定</w:t>
      </w:r>
      <w:r>
        <w:rPr>
          <w:rFonts w:hint="eastAsia"/>
          <w:snapToGrid w:val="0"/>
          <w:kern w:val="0"/>
          <w:sz w:val="28"/>
          <w:szCs w:val="28"/>
        </w:rPr>
        <w:t>资</w:t>
      </w:r>
      <w:r>
        <w:rPr>
          <w:snapToGrid w:val="0"/>
          <w:kern w:val="0"/>
          <w:sz w:val="28"/>
          <w:szCs w:val="28"/>
        </w:rPr>
        <w:t>产</w:t>
      </w:r>
      <w:r>
        <w:rPr>
          <w:rFonts w:hint="eastAsia"/>
          <w:snapToGrid w:val="0"/>
          <w:kern w:val="0"/>
          <w:sz w:val="28"/>
          <w:szCs w:val="28"/>
        </w:rPr>
        <w:t>增加2.4万元。</w:t>
      </w:r>
    </w:p>
    <w:p w14:paraId="0F1ED715"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4、</w:t>
      </w:r>
      <w:r>
        <w:rPr>
          <w:snapToGrid w:val="0"/>
          <w:kern w:val="0"/>
          <w:sz w:val="28"/>
          <w:szCs w:val="28"/>
        </w:rPr>
        <w:t>其他需要说明的</w:t>
      </w:r>
      <w:r>
        <w:rPr>
          <w:rFonts w:hint="eastAsia"/>
          <w:snapToGrid w:val="0"/>
          <w:kern w:val="0"/>
          <w:sz w:val="28"/>
          <w:szCs w:val="28"/>
        </w:rPr>
        <w:t>情况</w:t>
      </w:r>
    </w:p>
    <w:p w14:paraId="6702B342">
      <w:pPr>
        <w:spacing w:line="500" w:lineRule="exact"/>
        <w:ind w:firstLine="560" w:firstLineChars="200"/>
        <w:jc w:val="left"/>
        <w:outlineLvl w:val="0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我部门无其他需要说明的重要事项。</w:t>
      </w:r>
    </w:p>
    <w:p w14:paraId="34EFE2DB">
      <w:pPr>
        <w:rPr>
          <w:rFonts w:ascii="宋体" w:hAnsi="宋体" w:eastAsia="宋体"/>
          <w:b/>
          <w:sz w:val="44"/>
          <w:szCs w:val="44"/>
        </w:rPr>
      </w:pPr>
    </w:p>
    <w:p w14:paraId="539AC66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第三部分      名词</w:t>
      </w:r>
      <w:r>
        <w:rPr>
          <w:b/>
          <w:sz w:val="44"/>
          <w:szCs w:val="44"/>
        </w:rPr>
        <w:t>解释</w:t>
      </w:r>
    </w:p>
    <w:p w14:paraId="1E1537A6">
      <w:pPr>
        <w:pStyle w:val="4"/>
        <w:spacing w:before="0" w:beforeAutospacing="0" w:after="0" w:afterAutospacing="0" w:line="384" w:lineRule="atLeast"/>
        <w:ind w:firstLine="540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（一）财政拨款收入：本年度从本级财政部门取得的财政拨款，包括一般公共预算财政拨款和政府性基金预算财政拨款。</w:t>
      </w:r>
    </w:p>
    <w:p w14:paraId="067D9D40">
      <w:pPr>
        <w:pStyle w:val="4"/>
        <w:spacing w:before="0" w:beforeAutospacing="0" w:after="0" w:afterAutospacing="0" w:line="384" w:lineRule="atLeast"/>
        <w:ind w:firstLine="645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（二）其他收入：指除上述“财政拨款收入”、“事业收入”、“经营收入”等以外的收入。</w:t>
      </w:r>
    </w:p>
    <w:p w14:paraId="74B4F0B4">
      <w:pPr>
        <w:pStyle w:val="4"/>
        <w:spacing w:before="0" w:beforeAutospacing="0" w:after="0" w:afterAutospacing="0" w:line="384" w:lineRule="atLeast"/>
        <w:ind w:firstLine="645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（三）年初结转和结余：指以前年度尚未完成、结转到本年仍按原规定用途继续使用的资金，或项目已完成等产生的结余资金。</w:t>
      </w:r>
    </w:p>
    <w:p w14:paraId="06943861">
      <w:pPr>
        <w:pStyle w:val="4"/>
        <w:spacing w:before="0" w:beforeAutospacing="0" w:after="0" w:afterAutospacing="0" w:line="384" w:lineRule="atLeast"/>
        <w:ind w:firstLine="645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（四）年末结转和结余：指单位按有关规定结转到下年或以后年度继续使用的资金，或项目已完成等产生的结余资金。</w:t>
      </w:r>
    </w:p>
    <w:p w14:paraId="2385B3B7">
      <w:pPr>
        <w:pStyle w:val="4"/>
        <w:spacing w:before="0" w:beforeAutospacing="0" w:after="0" w:afterAutospacing="0" w:line="384" w:lineRule="atLeast"/>
        <w:ind w:firstLine="645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（五）基本支出：填列单位为保障机构正常运转、完成日常工作任务而发生的各项支出。</w:t>
      </w:r>
    </w:p>
    <w:p w14:paraId="3D67A1FE">
      <w:pPr>
        <w:pStyle w:val="4"/>
        <w:spacing w:before="0" w:beforeAutospacing="0" w:after="0" w:afterAutospacing="0" w:line="384" w:lineRule="atLeast"/>
        <w:ind w:firstLine="645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（六）项目支出：填列单位为完成特定的行政工作任务或事业发展目标，在基本支出之外发生的各项支出</w:t>
      </w:r>
    </w:p>
    <w:p w14:paraId="02820CA8">
      <w:pPr>
        <w:pStyle w:val="4"/>
        <w:spacing w:before="0" w:beforeAutospacing="0" w:after="0" w:afterAutospacing="0" w:line="384" w:lineRule="atLeast"/>
        <w:ind w:firstLine="645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（七）其他资本性支出：填列由各级非发展与改革部门集中安排的用于购置固定资产、战备性和应急性储备、土地和无形资产，以及购建基础设施、大型修缮和财政支持企业更新改造所发生的支出。</w:t>
      </w:r>
    </w:p>
    <w:p w14:paraId="0332B4FC">
      <w:pPr>
        <w:pStyle w:val="4"/>
        <w:spacing w:before="0" w:beforeAutospacing="0" w:after="0" w:afterAutospacing="0" w:line="384" w:lineRule="atLeast"/>
        <w:ind w:firstLine="645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八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 w14:paraId="033FC176">
      <w:pPr>
        <w:pStyle w:val="4"/>
        <w:spacing w:before="0" w:beforeAutospacing="0" w:after="0" w:afterAutospacing="0" w:line="384" w:lineRule="atLeast"/>
        <w:ind w:firstLine="645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（九）其他交通费用：填列单位除公务用车运行维护费以外的其他交通费用。如飞机、船舶等的燃料费、维修费、过桥过路费、保险费、出租车费用、公务交通补贴等。</w:t>
      </w:r>
    </w:p>
    <w:p w14:paraId="1A3C916E">
      <w:pPr>
        <w:pStyle w:val="4"/>
        <w:spacing w:before="0" w:beforeAutospacing="0" w:after="0" w:afterAutospacing="0" w:line="384" w:lineRule="atLeast"/>
        <w:ind w:firstLine="645"/>
        <w:rPr>
          <w:rFonts w:cs="Helvetica"/>
          <w:color w:val="3E3E3E"/>
          <w:sz w:val="28"/>
          <w:szCs w:val="28"/>
        </w:rPr>
      </w:pPr>
      <w:r>
        <w:rPr>
          <w:rFonts w:hint="eastAsia" w:cs="Helvetica"/>
          <w:color w:val="3E3E3E"/>
          <w:sz w:val="28"/>
          <w:szCs w:val="28"/>
        </w:rPr>
        <w:t>（十） 机关运行经费：指为保障行政单位（包括参照公务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p w14:paraId="079D1F0D">
      <w:pPr>
        <w:pStyle w:val="4"/>
        <w:spacing w:before="0" w:beforeAutospacing="0" w:after="0" w:afterAutospacing="0" w:line="384" w:lineRule="atLeast"/>
        <w:ind w:firstLine="600"/>
        <w:jc w:val="center"/>
        <w:rPr>
          <w:rFonts w:cs="Helvetica"/>
          <w:color w:val="3E3E3E"/>
          <w:sz w:val="28"/>
          <w:szCs w:val="28"/>
        </w:rPr>
      </w:pPr>
    </w:p>
    <w:p w14:paraId="42294AE2">
      <w:pPr>
        <w:pStyle w:val="4"/>
        <w:spacing w:before="0" w:beforeAutospacing="0" w:after="0" w:afterAutospacing="0" w:line="384" w:lineRule="atLeast"/>
        <w:ind w:firstLine="195"/>
        <w:jc w:val="center"/>
        <w:rPr>
          <w:rFonts w:cs="Helvetica"/>
          <w:color w:val="3E3E3E"/>
          <w:sz w:val="28"/>
          <w:szCs w:val="28"/>
        </w:rPr>
      </w:pPr>
    </w:p>
    <w:p w14:paraId="5DABFECB">
      <w:pPr>
        <w:rPr>
          <w:rFonts w:ascii="宋体" w:hAnsi="宋体" w:eastAsia="宋体"/>
          <w:sz w:val="28"/>
          <w:szCs w:val="28"/>
        </w:rPr>
      </w:pPr>
    </w:p>
    <w:p w14:paraId="1E9429A7">
      <w:pPr>
        <w:pStyle w:val="7"/>
        <w:adjustRightInd w:val="0"/>
        <w:snapToGrid w:val="0"/>
        <w:spacing w:line="600" w:lineRule="exact"/>
        <w:ind w:left="105" w:leftChars="50" w:firstLine="560"/>
        <w:rPr>
          <w:rFonts w:ascii="宋体" w:hAnsi="宋体" w:eastAsia="宋体"/>
          <w:snapToGrid w:val="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1041EE"/>
    <w:rsid w:val="00114244"/>
    <w:rsid w:val="00120AAC"/>
    <w:rsid w:val="00133BDD"/>
    <w:rsid w:val="001356FB"/>
    <w:rsid w:val="00143492"/>
    <w:rsid w:val="0015089B"/>
    <w:rsid w:val="00152908"/>
    <w:rsid w:val="00161DBA"/>
    <w:rsid w:val="001C673D"/>
    <w:rsid w:val="001E68F2"/>
    <w:rsid w:val="0029619B"/>
    <w:rsid w:val="00297814"/>
    <w:rsid w:val="002A4D32"/>
    <w:rsid w:val="002F6BBB"/>
    <w:rsid w:val="003277A3"/>
    <w:rsid w:val="00372DF7"/>
    <w:rsid w:val="00386C38"/>
    <w:rsid w:val="003F0B48"/>
    <w:rsid w:val="003F3B34"/>
    <w:rsid w:val="00471A6A"/>
    <w:rsid w:val="00485204"/>
    <w:rsid w:val="00523354"/>
    <w:rsid w:val="00540910"/>
    <w:rsid w:val="00585294"/>
    <w:rsid w:val="0058572E"/>
    <w:rsid w:val="005B3169"/>
    <w:rsid w:val="0060361A"/>
    <w:rsid w:val="006563C8"/>
    <w:rsid w:val="00671481"/>
    <w:rsid w:val="006813B9"/>
    <w:rsid w:val="006956C1"/>
    <w:rsid w:val="006B564B"/>
    <w:rsid w:val="006D330B"/>
    <w:rsid w:val="006E71D0"/>
    <w:rsid w:val="00732C02"/>
    <w:rsid w:val="0077137C"/>
    <w:rsid w:val="00791B38"/>
    <w:rsid w:val="008026BF"/>
    <w:rsid w:val="0082704B"/>
    <w:rsid w:val="008423F5"/>
    <w:rsid w:val="00842CBB"/>
    <w:rsid w:val="008C2A82"/>
    <w:rsid w:val="008D50F0"/>
    <w:rsid w:val="00945D0B"/>
    <w:rsid w:val="00985214"/>
    <w:rsid w:val="009B74FB"/>
    <w:rsid w:val="00A372C2"/>
    <w:rsid w:val="00AA21A2"/>
    <w:rsid w:val="00B005DA"/>
    <w:rsid w:val="00B17297"/>
    <w:rsid w:val="00B40ED6"/>
    <w:rsid w:val="00B72DA8"/>
    <w:rsid w:val="00B96B5B"/>
    <w:rsid w:val="00BC5649"/>
    <w:rsid w:val="00C222CB"/>
    <w:rsid w:val="00C407FF"/>
    <w:rsid w:val="00C82568"/>
    <w:rsid w:val="00C82B1C"/>
    <w:rsid w:val="00CA2480"/>
    <w:rsid w:val="00CB45AA"/>
    <w:rsid w:val="00CD1137"/>
    <w:rsid w:val="00CE6877"/>
    <w:rsid w:val="00D6325B"/>
    <w:rsid w:val="00D9008B"/>
    <w:rsid w:val="00DB7E7C"/>
    <w:rsid w:val="00DC5EA2"/>
    <w:rsid w:val="00DF6F4C"/>
    <w:rsid w:val="00E55BB1"/>
    <w:rsid w:val="00E71A30"/>
    <w:rsid w:val="00EF2982"/>
    <w:rsid w:val="00F00F83"/>
    <w:rsid w:val="00F7078F"/>
    <w:rsid w:val="064A3FAD"/>
    <w:rsid w:val="0B6A15E4"/>
    <w:rsid w:val="0D6054DA"/>
    <w:rsid w:val="1AF90D88"/>
    <w:rsid w:val="1F545778"/>
    <w:rsid w:val="24932798"/>
    <w:rsid w:val="62A02981"/>
    <w:rsid w:val="67317415"/>
    <w:rsid w:val="6DB55011"/>
    <w:rsid w:val="6E5238A6"/>
    <w:rsid w:val="704802D9"/>
    <w:rsid w:val="70FA7241"/>
    <w:rsid w:val="739A1501"/>
    <w:rsid w:val="7C52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3375</Words>
  <Characters>3730</Characters>
  <Lines>29</Lines>
  <Paragraphs>8</Paragraphs>
  <TotalTime>1</TotalTime>
  <ScaleCrop>false</ScaleCrop>
  <LinksUpToDate>false</LinksUpToDate>
  <CharactersWithSpaces>3839</CharactersWithSpaces>
  <Application>WPS Office_12.1.0.21915_F1E327BC-269C-435d-A152-05C5408002CA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2024-01-08T14:02:00Z</dcterms:created>
  <dc:creator>yuanxiaowei</dc:creator>
  <cp:lastModifiedBy>Am</cp:lastModifiedBy>
  <cp:lastPrinted>2017-08-29T03:35:00Z</cp:lastPrinted>
  <dcterms:modified xsi:type="dcterms:W3CDTF">2025-09-26T01:32:12Z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eyJoZGlkIjoiYjZkOTdiNmRlNjVjYTc0MzZmZTVjZTVmMjZhMTMyMmMiLCJ1c2VySWQiOiIxMjI0Mjk2Nzk5In0=</vt:lpwstr>
  </property>
  <property fmtid="{D5CDD505-2E9C-101B-9397-08002B2CF9AE}" pid="4" name="ICV">
    <vt:lpwstr>E49BBDEDE48C4EBFBCE14EAE418F9747_13</vt:lpwstr>
  </property>
</Properties>
</file>