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EABA6C">
      <w:pPr>
        <w:ind w:firstLine="420" w:firstLineChars="200"/>
        <w:rPr>
          <w:rFonts w:ascii="Times New Roman" w:hAnsi="Times New Roman" w:eastAsiaTheme="minorEastAsia"/>
          <w:color w:val="auto"/>
          <w:szCs w:val="24"/>
          <w:highlight w:val="none"/>
        </w:rPr>
      </w:pPr>
    </w:p>
    <w:p w14:paraId="27EE0DA9">
      <w:pPr>
        <w:snapToGrid w:val="0"/>
        <w:jc w:val="left"/>
        <w:rPr>
          <w:rFonts w:ascii="Times New Roman" w:hAnsi="Times New Roman" w:eastAsiaTheme="minorEastAsia"/>
          <w:color w:val="auto"/>
          <w:kern w:val="0"/>
          <w:sz w:val="36"/>
          <w:szCs w:val="36"/>
          <w:highlight w:val="none"/>
        </w:rPr>
      </w:pPr>
    </w:p>
    <w:p w14:paraId="56AAC2AA">
      <w:pPr>
        <w:snapToGrid w:val="0"/>
        <w:jc w:val="left"/>
        <w:rPr>
          <w:rFonts w:ascii="Times New Roman" w:hAnsi="Times New Roman" w:eastAsiaTheme="minorEastAsia"/>
          <w:color w:val="auto"/>
          <w:kern w:val="0"/>
          <w:sz w:val="36"/>
          <w:szCs w:val="36"/>
          <w:highlight w:val="none"/>
        </w:rPr>
      </w:pPr>
    </w:p>
    <w:p w14:paraId="2F45BF86">
      <w:pPr>
        <w:rPr>
          <w:rFonts w:ascii="Times New Roman" w:hAnsi="Times New Roman" w:eastAsiaTheme="minorEastAsia"/>
          <w:color w:val="auto"/>
          <w:sz w:val="36"/>
          <w:szCs w:val="36"/>
          <w:highlight w:val="none"/>
        </w:rPr>
      </w:pPr>
    </w:p>
    <w:p w14:paraId="15EF5FBB">
      <w:pPr>
        <w:adjustRightInd w:val="0"/>
        <w:snapToGrid w:val="0"/>
        <w:jc w:val="center"/>
        <w:outlineLvl w:val="0"/>
        <w:rPr>
          <w:rFonts w:ascii="Times New Roman" w:hAnsi="Times New Roman" w:eastAsiaTheme="minorEastAsia"/>
          <w:b/>
          <w:bCs/>
          <w:color w:val="auto"/>
          <w:sz w:val="72"/>
          <w:szCs w:val="72"/>
          <w:highlight w:val="none"/>
        </w:rPr>
      </w:pPr>
      <w:bookmarkStart w:id="0" w:name="_Toc10493"/>
      <w:bookmarkStart w:id="1" w:name="_Toc775"/>
      <w:r>
        <w:rPr>
          <w:rFonts w:ascii="Times New Roman" w:hAnsi="Times New Roman" w:eastAsiaTheme="minorEastAsia"/>
          <w:b/>
          <w:bCs/>
          <w:color w:val="auto"/>
          <w:sz w:val="72"/>
          <w:szCs w:val="72"/>
          <w:highlight w:val="none"/>
        </w:rPr>
        <w:t>建设项目环境影响报告表</w:t>
      </w:r>
      <w:bookmarkEnd w:id="0"/>
      <w:bookmarkEnd w:id="1"/>
    </w:p>
    <w:p w14:paraId="1B98B5F3">
      <w:pPr>
        <w:adjustRightInd w:val="0"/>
        <w:snapToGrid w:val="0"/>
        <w:spacing w:before="192" w:beforeLines="80"/>
        <w:jc w:val="center"/>
        <w:rPr>
          <w:rFonts w:ascii="Times New Roman" w:hAnsi="Times New Roman" w:eastAsiaTheme="minorEastAsia"/>
          <w:b/>
          <w:bCs/>
          <w:color w:val="auto"/>
          <w:sz w:val="48"/>
          <w:szCs w:val="48"/>
          <w:highlight w:val="none"/>
        </w:rPr>
      </w:pPr>
      <w:r>
        <w:rPr>
          <w:rFonts w:ascii="Times New Roman" w:hAnsi="Times New Roman" w:eastAsiaTheme="minorEastAsia"/>
          <w:b/>
          <w:bCs/>
          <w:color w:val="auto"/>
          <w:sz w:val="48"/>
          <w:szCs w:val="48"/>
          <w:highlight w:val="none"/>
        </w:rPr>
        <w:t>（污染影响类）</w:t>
      </w:r>
    </w:p>
    <w:p w14:paraId="6AAE2DB0">
      <w:pPr>
        <w:rPr>
          <w:rFonts w:ascii="Times New Roman" w:hAnsi="Times New Roman" w:eastAsiaTheme="minorEastAsia"/>
          <w:color w:val="auto"/>
          <w:szCs w:val="24"/>
          <w:highlight w:val="none"/>
        </w:rPr>
      </w:pPr>
    </w:p>
    <w:p w14:paraId="15C5F394">
      <w:pPr>
        <w:rPr>
          <w:rFonts w:ascii="Times New Roman" w:hAnsi="Times New Roman" w:eastAsiaTheme="minorEastAsia"/>
          <w:color w:val="auto"/>
          <w:szCs w:val="24"/>
          <w:highlight w:val="none"/>
        </w:rPr>
      </w:pPr>
    </w:p>
    <w:p w14:paraId="063816D9">
      <w:pPr>
        <w:jc w:val="center"/>
        <w:rPr>
          <w:rFonts w:ascii="Times New Roman" w:hAnsi="Times New Roman" w:eastAsiaTheme="minorEastAsia"/>
          <w:color w:val="auto"/>
          <w:sz w:val="52"/>
          <w:szCs w:val="52"/>
          <w:highlight w:val="none"/>
        </w:rPr>
      </w:pPr>
    </w:p>
    <w:p w14:paraId="3B1FB879">
      <w:pPr>
        <w:ind w:firstLine="1040"/>
        <w:rPr>
          <w:rFonts w:ascii="Times New Roman" w:hAnsi="Times New Roman" w:eastAsiaTheme="minorEastAsia"/>
          <w:color w:val="auto"/>
          <w:sz w:val="44"/>
          <w:szCs w:val="44"/>
          <w:highlight w:val="none"/>
        </w:rPr>
      </w:pPr>
    </w:p>
    <w:p w14:paraId="273BCC4A">
      <w:pPr>
        <w:ind w:firstLine="1040"/>
        <w:rPr>
          <w:rFonts w:ascii="Times New Roman" w:hAnsi="Times New Roman" w:eastAsiaTheme="minorEastAsia"/>
          <w:color w:val="auto"/>
          <w:sz w:val="44"/>
          <w:szCs w:val="44"/>
          <w:highlight w:val="none"/>
        </w:rPr>
      </w:pPr>
    </w:p>
    <w:p w14:paraId="1227ECCA">
      <w:pPr>
        <w:ind w:firstLine="1040"/>
        <w:rPr>
          <w:rFonts w:ascii="Times New Roman" w:hAnsi="Times New Roman" w:eastAsiaTheme="minorEastAsia"/>
          <w:color w:val="auto"/>
          <w:sz w:val="44"/>
          <w:szCs w:val="44"/>
          <w:highlight w:val="none"/>
        </w:rPr>
      </w:pPr>
    </w:p>
    <w:p w14:paraId="753E9672">
      <w:pPr>
        <w:ind w:firstLine="1040"/>
        <w:rPr>
          <w:rFonts w:ascii="Times New Roman" w:hAnsi="Times New Roman" w:eastAsiaTheme="minorEastAsia"/>
          <w:color w:val="auto"/>
          <w:sz w:val="44"/>
          <w:szCs w:val="44"/>
          <w:highlight w:val="none"/>
        </w:rPr>
      </w:pPr>
    </w:p>
    <w:p w14:paraId="5CC265B6">
      <w:pPr>
        <w:adjustRightInd w:val="0"/>
        <w:snapToGrid w:val="0"/>
        <w:ind w:firstLine="1040"/>
        <w:rPr>
          <w:rFonts w:ascii="Times New Roman" w:hAnsi="Times New Roman" w:eastAsiaTheme="minorEastAsia"/>
          <w:color w:val="auto"/>
          <w:sz w:val="44"/>
          <w:szCs w:val="44"/>
          <w:highlight w:val="none"/>
        </w:rPr>
      </w:pPr>
    </w:p>
    <w:p w14:paraId="122CA208">
      <w:pPr>
        <w:adjustRightInd w:val="0"/>
        <w:snapToGrid w:val="0"/>
        <w:spacing w:line="360" w:lineRule="auto"/>
        <w:ind w:firstLine="720" w:firstLineChars="200"/>
        <w:rPr>
          <w:rFonts w:hint="eastAsia" w:ascii="仿宋" w:hAnsi="仿宋" w:eastAsia="仿宋" w:cs="仿宋"/>
          <w:color w:val="auto"/>
          <w:sz w:val="36"/>
          <w:szCs w:val="36"/>
          <w:highlight w:val="none"/>
          <w:u w:val="single"/>
        </w:rPr>
      </w:pPr>
      <w:r>
        <w:rPr>
          <w:rFonts w:hint="eastAsia" w:ascii="仿宋" w:hAnsi="仿宋" w:eastAsia="仿宋" w:cs="仿宋"/>
          <w:color w:val="auto"/>
          <w:sz w:val="36"/>
          <w:szCs w:val="36"/>
          <w:highlight w:val="none"/>
        </w:rPr>
        <w:t>项目名称：</w:t>
      </w:r>
      <w:r>
        <w:rPr>
          <w:rFonts w:hint="eastAsia" w:ascii="仿宋" w:hAnsi="仿宋" w:eastAsia="仿宋" w:cs="仿宋"/>
          <w:color w:val="auto"/>
          <w:sz w:val="36"/>
          <w:szCs w:val="36"/>
          <w:highlight w:val="none"/>
          <w:u w:val="single"/>
        </w:rPr>
        <w:t xml:space="preserve">河北良鋆环保科技有限公司          </w:t>
      </w:r>
    </w:p>
    <w:p w14:paraId="7DA4FC85">
      <w:pPr>
        <w:adjustRightInd w:val="0"/>
        <w:snapToGrid w:val="0"/>
        <w:spacing w:line="360" w:lineRule="auto"/>
        <w:ind w:firstLine="2700" w:firstLineChars="750"/>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u w:val="single"/>
        </w:rPr>
        <w:t xml:space="preserve">废旧铅酸蓄电池回收存储项目       </w:t>
      </w:r>
    </w:p>
    <w:p w14:paraId="23DF60FF">
      <w:pPr>
        <w:adjustRightInd w:val="0"/>
        <w:snapToGrid w:val="0"/>
        <w:spacing w:line="360" w:lineRule="auto"/>
        <w:ind w:firstLine="720" w:firstLineChars="200"/>
        <w:rPr>
          <w:rFonts w:hint="eastAsia" w:ascii="仿宋" w:hAnsi="仿宋" w:eastAsia="仿宋" w:cs="仿宋"/>
          <w:color w:val="auto"/>
          <w:sz w:val="36"/>
          <w:szCs w:val="36"/>
          <w:highlight w:val="none"/>
          <w:u w:val="single"/>
        </w:rPr>
      </w:pPr>
      <w:r>
        <w:rPr>
          <w:rFonts w:hint="eastAsia" w:ascii="仿宋" w:hAnsi="仿宋" w:eastAsia="仿宋" w:cs="仿宋"/>
          <w:color w:val="auto"/>
          <w:sz w:val="36"/>
          <w:szCs w:val="36"/>
          <w:highlight w:val="none"/>
        </w:rPr>
        <w:t>建设单位（盖章）：</w:t>
      </w:r>
      <w:r>
        <w:rPr>
          <w:rFonts w:hint="eastAsia" w:ascii="仿宋" w:hAnsi="仿宋" w:eastAsia="仿宋" w:cs="仿宋"/>
          <w:color w:val="auto"/>
          <w:sz w:val="36"/>
          <w:szCs w:val="36"/>
          <w:highlight w:val="none"/>
          <w:u w:val="single"/>
        </w:rPr>
        <w:t xml:space="preserve">河北良鋆环保科技有限公司  </w:t>
      </w:r>
    </w:p>
    <w:p w14:paraId="0D7EBB17">
      <w:pPr>
        <w:adjustRightInd w:val="0"/>
        <w:snapToGrid w:val="0"/>
        <w:spacing w:line="360" w:lineRule="auto"/>
        <w:ind w:firstLine="720" w:firstLineChars="200"/>
        <w:rPr>
          <w:rFonts w:ascii="Times New Roman" w:hAnsi="Times New Roman" w:eastAsiaTheme="minorEastAsia"/>
          <w:color w:val="auto"/>
          <w:sz w:val="36"/>
          <w:szCs w:val="36"/>
          <w:highlight w:val="none"/>
        </w:rPr>
      </w:pPr>
      <w:r>
        <w:rPr>
          <w:rFonts w:hint="eastAsia" w:ascii="仿宋" w:hAnsi="仿宋" w:eastAsia="仿宋" w:cs="仿宋"/>
          <w:color w:val="auto"/>
          <w:sz w:val="36"/>
          <w:szCs w:val="36"/>
          <w:highlight w:val="none"/>
        </w:rPr>
        <w:t>编制日期：</w:t>
      </w:r>
      <w:r>
        <w:rPr>
          <w:rFonts w:hint="eastAsia" w:ascii="仿宋" w:hAnsi="仿宋" w:eastAsia="仿宋" w:cs="仿宋"/>
          <w:color w:val="auto"/>
          <w:sz w:val="36"/>
          <w:szCs w:val="36"/>
          <w:highlight w:val="none"/>
          <w:u w:val="single"/>
        </w:rPr>
        <w:t xml:space="preserve">          202</w:t>
      </w:r>
      <w:r>
        <w:rPr>
          <w:rFonts w:hint="eastAsia" w:ascii="仿宋" w:hAnsi="仿宋" w:eastAsia="仿宋" w:cs="仿宋"/>
          <w:color w:val="auto"/>
          <w:sz w:val="36"/>
          <w:szCs w:val="36"/>
          <w:highlight w:val="none"/>
          <w:u w:val="single"/>
          <w:lang w:val="en-US" w:eastAsia="zh-CN"/>
        </w:rPr>
        <w:t>5</w:t>
      </w:r>
      <w:r>
        <w:rPr>
          <w:rFonts w:hint="eastAsia" w:ascii="仿宋" w:hAnsi="仿宋" w:eastAsia="仿宋" w:cs="仿宋"/>
          <w:color w:val="auto"/>
          <w:sz w:val="36"/>
          <w:szCs w:val="36"/>
          <w:highlight w:val="none"/>
          <w:u w:val="single"/>
        </w:rPr>
        <w:t>年</w:t>
      </w:r>
      <w:r>
        <w:rPr>
          <w:rFonts w:hint="eastAsia" w:ascii="仿宋" w:hAnsi="仿宋" w:eastAsia="仿宋" w:cs="仿宋"/>
          <w:color w:val="auto"/>
          <w:sz w:val="36"/>
          <w:szCs w:val="36"/>
          <w:highlight w:val="none"/>
          <w:u w:val="single"/>
          <w:lang w:val="en-US" w:eastAsia="zh-CN"/>
        </w:rPr>
        <w:t>6</w:t>
      </w:r>
      <w:r>
        <w:rPr>
          <w:rFonts w:hint="eastAsia" w:ascii="仿宋" w:hAnsi="仿宋" w:eastAsia="仿宋" w:cs="仿宋"/>
          <w:color w:val="auto"/>
          <w:sz w:val="36"/>
          <w:szCs w:val="36"/>
          <w:highlight w:val="none"/>
          <w:u w:val="single"/>
        </w:rPr>
        <w:t xml:space="preserve">月             </w:t>
      </w:r>
    </w:p>
    <w:p w14:paraId="247A9E08">
      <w:pPr>
        <w:adjustRightInd w:val="0"/>
        <w:snapToGrid w:val="0"/>
        <w:spacing w:line="288" w:lineRule="auto"/>
        <w:ind w:firstLine="1040"/>
        <w:rPr>
          <w:rFonts w:ascii="Times New Roman" w:hAnsi="Times New Roman" w:eastAsiaTheme="minorEastAsia"/>
          <w:color w:val="auto"/>
          <w:sz w:val="36"/>
          <w:szCs w:val="36"/>
          <w:highlight w:val="none"/>
          <w:u w:val="single"/>
        </w:rPr>
      </w:pPr>
      <w:bookmarkStart w:id="2" w:name="_Hlk57884087"/>
    </w:p>
    <w:p w14:paraId="5D8FAC4D">
      <w:pPr>
        <w:adjustRightInd w:val="0"/>
        <w:snapToGrid w:val="0"/>
        <w:spacing w:line="288" w:lineRule="auto"/>
        <w:ind w:firstLine="1040"/>
        <w:rPr>
          <w:rFonts w:ascii="Times New Roman" w:hAnsi="Times New Roman" w:eastAsiaTheme="minorEastAsia"/>
          <w:color w:val="auto"/>
          <w:sz w:val="36"/>
          <w:szCs w:val="36"/>
          <w:highlight w:val="none"/>
        </w:rPr>
      </w:pPr>
    </w:p>
    <w:p w14:paraId="18A2B72C">
      <w:pPr>
        <w:pStyle w:val="5"/>
        <w:rPr>
          <w:rFonts w:ascii="Times New Roman" w:hAnsi="Times New Roman"/>
          <w:color w:val="auto"/>
          <w:highlight w:val="none"/>
        </w:rPr>
      </w:pPr>
    </w:p>
    <w:p w14:paraId="6D1FCEBA">
      <w:pPr>
        <w:adjustRightInd w:val="0"/>
        <w:snapToGrid w:val="0"/>
        <w:spacing w:line="288" w:lineRule="auto"/>
        <w:rPr>
          <w:rFonts w:ascii="Times New Roman" w:hAnsi="Times New Roman" w:eastAsiaTheme="minorEastAsia"/>
          <w:color w:val="auto"/>
          <w:sz w:val="36"/>
          <w:szCs w:val="36"/>
          <w:highlight w:val="none"/>
        </w:rPr>
      </w:pPr>
    </w:p>
    <w:p w14:paraId="1DBBC17E">
      <w:pPr>
        <w:pStyle w:val="5"/>
        <w:rPr>
          <w:rFonts w:ascii="Times New Roman" w:hAnsi="Times New Roman"/>
          <w:color w:val="auto"/>
          <w:highlight w:val="none"/>
        </w:rPr>
      </w:pPr>
    </w:p>
    <w:bookmarkEnd w:id="2"/>
    <w:p w14:paraId="0A20C331">
      <w:pPr>
        <w:adjustRightInd w:val="0"/>
        <w:snapToGrid w:val="0"/>
        <w:spacing w:line="288" w:lineRule="auto"/>
        <w:jc w:val="center"/>
        <w:rPr>
          <w:rFonts w:ascii="Times New Roman" w:hAnsi="Times New Roman" w:eastAsiaTheme="minorEastAsia"/>
          <w:color w:val="auto"/>
          <w:sz w:val="36"/>
          <w:szCs w:val="36"/>
          <w:highlight w:val="none"/>
        </w:rPr>
        <w:sectPr>
          <w:headerReference r:id="rId3" w:type="default"/>
          <w:footerReference r:id="rId5" w:type="default"/>
          <w:headerReference r:id="rId4" w:type="even"/>
          <w:footerReference r:id="rId6" w:type="even"/>
          <w:pgSz w:w="11906" w:h="16838"/>
          <w:pgMar w:top="1417" w:right="1531" w:bottom="1417"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ascii="Times New Roman" w:hAnsi="Times New Roman" w:eastAsiaTheme="minorEastAsia"/>
          <w:color w:val="auto"/>
          <w:sz w:val="36"/>
          <w:szCs w:val="36"/>
          <w:highlight w:val="none"/>
        </w:rPr>
        <w:t>中华人民共和国生态环境部制</w:t>
      </w:r>
    </w:p>
    <w:p w14:paraId="2145D7F1">
      <w:pPr>
        <w:rPr>
          <w:rFonts w:ascii="Times New Roman" w:hAnsi="Times New Roman" w:eastAsiaTheme="minorEastAsia"/>
          <w:color w:val="auto"/>
          <w:highlight w:val="none"/>
        </w:rPr>
        <w:sectPr>
          <w:pgSz w:w="11906" w:h="16838"/>
          <w:pgMar w:top="1417" w:right="1531" w:bottom="1417"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02BB52DD">
      <w:pPr>
        <w:jc w:val="center"/>
        <w:rPr>
          <w:rFonts w:ascii="Times New Roman" w:hAnsi="Times New Roman" w:eastAsiaTheme="minorEastAsia"/>
          <w:b/>
          <w:bCs/>
          <w:color w:val="auto"/>
          <w:sz w:val="28"/>
          <w:szCs w:val="28"/>
          <w:highlight w:val="none"/>
        </w:rPr>
      </w:pPr>
      <w:r>
        <w:rPr>
          <w:rFonts w:ascii="Times New Roman" w:hAnsi="Times New Roman" w:eastAsiaTheme="minorEastAsia"/>
          <w:b/>
          <w:bCs/>
          <w:color w:val="auto"/>
          <w:sz w:val="28"/>
          <w:szCs w:val="28"/>
          <w:highlight w:val="none"/>
        </w:rPr>
        <w:t>目  录</w:t>
      </w:r>
    </w:p>
    <w:p w14:paraId="0F922C18">
      <w:pPr>
        <w:pStyle w:val="20"/>
        <w:tabs>
          <w:tab w:val="right" w:leader="dot" w:pos="8844"/>
        </w:tabs>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TOC \o "1-2" \h \u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_Toc25238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kern w:val="0"/>
          <w:sz w:val="24"/>
          <w:szCs w:val="24"/>
          <w:highlight w:val="none"/>
        </w:rPr>
        <w:t>一、建设项目基本情况</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_Toc25238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4F3E2BDF">
      <w:pPr>
        <w:pStyle w:val="20"/>
        <w:tabs>
          <w:tab w:val="right" w:leader="dot" w:pos="8844"/>
        </w:tabs>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_Toc4429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kern w:val="0"/>
          <w:sz w:val="24"/>
          <w:szCs w:val="24"/>
          <w:highlight w:val="none"/>
        </w:rPr>
        <w:t>二、建设项目工程分析</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_Toc4429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24</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0874FCF7">
      <w:pPr>
        <w:pStyle w:val="20"/>
        <w:tabs>
          <w:tab w:val="right" w:leader="dot" w:pos="8844"/>
        </w:tabs>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_Toc16012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kern w:val="0"/>
          <w:sz w:val="24"/>
          <w:szCs w:val="24"/>
          <w:highlight w:val="none"/>
        </w:rPr>
        <w:t>三、区域环境质量现状、环境保护目标及评价标准</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_Toc16012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38</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2723034D">
      <w:pPr>
        <w:pStyle w:val="20"/>
        <w:tabs>
          <w:tab w:val="right" w:leader="dot" w:pos="8844"/>
        </w:tabs>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_Toc25411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kern w:val="0"/>
          <w:sz w:val="24"/>
          <w:szCs w:val="24"/>
          <w:highlight w:val="none"/>
          <w:lang w:val="en-US" w:eastAsia="zh-CN" w:bidi="ar-SA"/>
        </w:rPr>
        <w:t>四、</w:t>
      </w:r>
      <w:r>
        <w:rPr>
          <w:rFonts w:hint="default" w:ascii="Times New Roman" w:hAnsi="Times New Roman" w:eastAsia="宋体" w:cs="Times New Roman"/>
          <w:snapToGrid w:val="0"/>
          <w:color w:val="auto"/>
          <w:kern w:val="0"/>
          <w:sz w:val="24"/>
          <w:szCs w:val="24"/>
          <w:highlight w:val="none"/>
        </w:rPr>
        <w:t>主要环境影响和保护措施</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_Toc25411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45</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443A7251">
      <w:pPr>
        <w:pStyle w:val="20"/>
        <w:tabs>
          <w:tab w:val="right" w:leader="dot" w:pos="8844"/>
        </w:tabs>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_Toc2893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kern w:val="0"/>
          <w:sz w:val="24"/>
          <w:szCs w:val="24"/>
          <w:highlight w:val="none"/>
        </w:rPr>
        <w:t>五、环境保护措施监督检查清单</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_Toc2893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67</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356D80CC">
      <w:pPr>
        <w:pStyle w:val="20"/>
        <w:tabs>
          <w:tab w:val="right" w:leader="dot" w:pos="8844"/>
        </w:tabs>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_Toc27147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kern w:val="0"/>
          <w:sz w:val="24"/>
          <w:szCs w:val="24"/>
          <w:highlight w:val="none"/>
        </w:rPr>
        <w:t>六、结论</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_Toc27147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70</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5DD2189D">
      <w:pPr>
        <w:pStyle w:val="20"/>
        <w:tabs>
          <w:tab w:val="right" w:leader="dot" w:pos="8844"/>
        </w:tabs>
        <w:spacing w:line="360" w:lineRule="auto"/>
        <w:rPr>
          <w:rFonts w:hint="default" w:ascii="Times New Roman" w:hAnsi="Times New Roman" w:eastAsia="宋体" w:cs="Times New Roman"/>
          <w:color w:val="auto"/>
          <w:sz w:val="24"/>
          <w:szCs w:val="24"/>
          <w:highlight w:val="none"/>
        </w:rPr>
      </w:pPr>
    </w:p>
    <w:p w14:paraId="343C5796">
      <w:pPr>
        <w:pStyle w:val="38"/>
        <w:tabs>
          <w:tab w:val="right" w:leader="dot" w:pos="8901"/>
        </w:tabs>
        <w:spacing w:line="360" w:lineRule="auto"/>
        <w:rPr>
          <w:rFonts w:eastAsiaTheme="minorEastAsia"/>
          <w:b/>
          <w:bCs/>
          <w:color w:val="auto"/>
          <w:kern w:val="2"/>
          <w:sz w:val="21"/>
          <w:szCs w:val="24"/>
          <w:highlight w:val="none"/>
        </w:rPr>
      </w:pPr>
      <w:r>
        <w:rPr>
          <w:rFonts w:hint="default" w:ascii="Times New Roman" w:hAnsi="Times New Roman" w:eastAsia="宋体" w:cs="Times New Roman"/>
          <w:color w:val="auto"/>
          <w:sz w:val="24"/>
          <w:szCs w:val="24"/>
          <w:highlight w:val="none"/>
        </w:rPr>
        <w:fldChar w:fldCharType="end"/>
      </w:r>
    </w:p>
    <w:p w14:paraId="00096495">
      <w:pPr>
        <w:spacing w:line="480" w:lineRule="exact"/>
        <w:rPr>
          <w:rFonts w:ascii="Times New Roman" w:hAnsi="Times New Roman" w:eastAsiaTheme="minorEastAsia"/>
          <w:color w:val="auto"/>
          <w:sz w:val="24"/>
          <w:szCs w:val="24"/>
          <w:highlight w:val="none"/>
        </w:rPr>
      </w:pPr>
    </w:p>
    <w:p w14:paraId="79312941">
      <w:pPr>
        <w:spacing w:line="480" w:lineRule="exact"/>
        <w:rPr>
          <w:rFonts w:ascii="Times New Roman" w:hAnsi="Times New Roman" w:eastAsiaTheme="minorEastAsia"/>
          <w:color w:val="auto"/>
          <w:sz w:val="24"/>
          <w:szCs w:val="24"/>
          <w:highlight w:val="none"/>
        </w:rPr>
      </w:pPr>
    </w:p>
    <w:p w14:paraId="5EBD214A">
      <w:pPr>
        <w:spacing w:line="480" w:lineRule="exact"/>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附图：</w:t>
      </w:r>
    </w:p>
    <w:p w14:paraId="5F5905DC">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附图1：项目地理位置图</w:t>
      </w:r>
    </w:p>
    <w:p w14:paraId="5EBEA9A5">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附图2：项目周边关系图</w:t>
      </w:r>
    </w:p>
    <w:p w14:paraId="05520859">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附图3：项目平面布置图</w:t>
      </w:r>
    </w:p>
    <w:p w14:paraId="63EBD921">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附图4：生态保护红线分布图</w:t>
      </w:r>
    </w:p>
    <w:p w14:paraId="4D9D088B">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附图5：保定市”四区一线”示意图</w:t>
      </w:r>
    </w:p>
    <w:p w14:paraId="7F49BC19">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附图6：保定市环境管控单元分布图</w:t>
      </w:r>
    </w:p>
    <w:p w14:paraId="41702E59">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附图</w:t>
      </w:r>
      <w:r>
        <w:rPr>
          <w:rFonts w:hint="eastAsia" w:ascii="Times New Roman" w:hAnsi="Times New Roman" w:eastAsiaTheme="minorEastAsia"/>
          <w:color w:val="auto"/>
          <w:sz w:val="24"/>
          <w:szCs w:val="24"/>
          <w:highlight w:val="none"/>
        </w:rPr>
        <w:t>7</w:t>
      </w:r>
      <w:r>
        <w:rPr>
          <w:rFonts w:ascii="Times New Roman" w:hAnsi="Times New Roman" w:eastAsiaTheme="minorEastAsia"/>
          <w:color w:val="auto"/>
          <w:sz w:val="24"/>
          <w:szCs w:val="24"/>
          <w:highlight w:val="none"/>
        </w:rPr>
        <w:t>：</w:t>
      </w:r>
      <w:r>
        <w:rPr>
          <w:rFonts w:hint="eastAsia" w:ascii="Times New Roman" w:hAnsi="Times New Roman" w:eastAsiaTheme="minorEastAsia"/>
          <w:color w:val="auto"/>
          <w:sz w:val="24"/>
          <w:szCs w:val="24"/>
          <w:highlight w:val="none"/>
        </w:rPr>
        <w:t>环境质量现状监测点位</w:t>
      </w:r>
      <w:r>
        <w:rPr>
          <w:rFonts w:ascii="Times New Roman" w:hAnsi="Times New Roman" w:eastAsiaTheme="minorEastAsia"/>
          <w:color w:val="auto"/>
          <w:sz w:val="24"/>
          <w:szCs w:val="24"/>
          <w:highlight w:val="none"/>
        </w:rPr>
        <w:t>图</w:t>
      </w:r>
    </w:p>
    <w:p w14:paraId="606E136F">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附图</w:t>
      </w:r>
      <w:r>
        <w:rPr>
          <w:rFonts w:hint="eastAsia" w:ascii="Times New Roman" w:hAnsi="Times New Roman" w:eastAsiaTheme="minorEastAsia"/>
          <w:color w:val="auto"/>
          <w:sz w:val="24"/>
          <w:szCs w:val="24"/>
          <w:highlight w:val="none"/>
        </w:rPr>
        <w:t>8</w:t>
      </w:r>
      <w:r>
        <w:rPr>
          <w:rFonts w:ascii="Times New Roman" w:hAnsi="Times New Roman" w:eastAsiaTheme="minorEastAsia"/>
          <w:color w:val="auto"/>
          <w:sz w:val="24"/>
          <w:szCs w:val="24"/>
          <w:highlight w:val="none"/>
        </w:rPr>
        <w:t>：保定市徐水区经济开发区产业布局图</w:t>
      </w:r>
    </w:p>
    <w:p w14:paraId="4122DE2E">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附图</w:t>
      </w:r>
      <w:r>
        <w:rPr>
          <w:rFonts w:hint="eastAsia" w:ascii="Times New Roman" w:hAnsi="Times New Roman" w:eastAsiaTheme="minorEastAsia"/>
          <w:color w:val="auto"/>
          <w:sz w:val="24"/>
          <w:szCs w:val="24"/>
          <w:highlight w:val="none"/>
        </w:rPr>
        <w:t>9</w:t>
      </w:r>
      <w:r>
        <w:rPr>
          <w:rFonts w:ascii="Times New Roman" w:hAnsi="Times New Roman" w:eastAsiaTheme="minorEastAsia"/>
          <w:color w:val="auto"/>
          <w:sz w:val="24"/>
          <w:szCs w:val="24"/>
          <w:highlight w:val="none"/>
        </w:rPr>
        <w:t>：保定市徐水区经济开发区用地布局图</w:t>
      </w:r>
    </w:p>
    <w:p w14:paraId="7BA6B0D1">
      <w:pPr>
        <w:spacing w:line="480" w:lineRule="exact"/>
        <w:ind w:firstLine="480" w:firstLineChars="200"/>
        <w:rPr>
          <w:rFonts w:hint="default" w:ascii="Times New Roman" w:hAnsi="Times New Roman" w:eastAsiaTheme="minorEastAsia"/>
          <w:color w:val="auto"/>
          <w:sz w:val="24"/>
          <w:szCs w:val="24"/>
          <w:highlight w:val="none"/>
          <w:lang w:val="en-US" w:eastAsia="zh-CN"/>
        </w:rPr>
      </w:pPr>
      <w:r>
        <w:rPr>
          <w:rFonts w:ascii="Times New Roman" w:hAnsi="Times New Roman" w:eastAsiaTheme="minorEastAsia"/>
          <w:color w:val="auto"/>
          <w:sz w:val="24"/>
          <w:szCs w:val="24"/>
          <w:highlight w:val="none"/>
        </w:rPr>
        <w:t>附图</w:t>
      </w:r>
      <w:r>
        <w:rPr>
          <w:rFonts w:hint="eastAsia" w:ascii="Times New Roman" w:hAnsi="Times New Roman" w:eastAsiaTheme="minorEastAsia"/>
          <w:color w:val="auto"/>
          <w:sz w:val="24"/>
          <w:szCs w:val="24"/>
          <w:highlight w:val="none"/>
          <w:lang w:val="en-US" w:eastAsia="zh-CN"/>
        </w:rPr>
        <w:t>10</w:t>
      </w:r>
      <w:r>
        <w:rPr>
          <w:rFonts w:ascii="Times New Roman" w:hAnsi="Times New Roman" w:eastAsiaTheme="minorEastAsia"/>
          <w:color w:val="auto"/>
          <w:sz w:val="24"/>
          <w:szCs w:val="24"/>
          <w:highlight w:val="none"/>
        </w:rPr>
        <w:t>：保定市徐水区经济开发区</w:t>
      </w:r>
      <w:r>
        <w:rPr>
          <w:rFonts w:hint="eastAsia" w:ascii="Times New Roman" w:hAnsi="Times New Roman" w:eastAsiaTheme="minorEastAsia"/>
          <w:color w:val="auto"/>
          <w:sz w:val="24"/>
          <w:szCs w:val="24"/>
          <w:highlight w:val="none"/>
          <w:lang w:val="en-US" w:eastAsia="zh-CN"/>
        </w:rPr>
        <w:t>声功能区划图</w:t>
      </w:r>
    </w:p>
    <w:p w14:paraId="2CAA7BAD">
      <w:pPr>
        <w:spacing w:line="480" w:lineRule="exact"/>
        <w:rPr>
          <w:rFonts w:ascii="Times New Roman" w:hAnsi="Times New Roman" w:eastAsiaTheme="minorEastAsia"/>
          <w:color w:val="auto"/>
          <w:sz w:val="24"/>
          <w:szCs w:val="24"/>
          <w:highlight w:val="none"/>
        </w:rPr>
      </w:pPr>
    </w:p>
    <w:p w14:paraId="64651FA4">
      <w:pPr>
        <w:spacing w:line="480" w:lineRule="exact"/>
        <w:rPr>
          <w:rFonts w:ascii="Times New Roman" w:hAnsi="Times New Roman" w:eastAsiaTheme="minorEastAsia"/>
          <w:color w:val="auto"/>
          <w:sz w:val="24"/>
          <w:szCs w:val="24"/>
          <w:highlight w:val="none"/>
        </w:rPr>
      </w:pPr>
    </w:p>
    <w:p w14:paraId="083A3237">
      <w:pPr>
        <w:spacing w:line="480" w:lineRule="exact"/>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附件：</w:t>
      </w:r>
    </w:p>
    <w:p w14:paraId="2AA9D346">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附件1：委托书</w:t>
      </w:r>
    </w:p>
    <w:p w14:paraId="0E016AC3">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附件2：营业执照</w:t>
      </w:r>
    </w:p>
    <w:p w14:paraId="334EC29A">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附件3：企业投资项目备案信息</w:t>
      </w:r>
    </w:p>
    <w:p w14:paraId="0837C631">
      <w:pPr>
        <w:spacing w:line="480" w:lineRule="exact"/>
        <w:ind w:firstLine="480" w:firstLineChars="200"/>
        <w:rPr>
          <w:rFonts w:eastAsiaTheme="minorEastAsia"/>
          <w:color w:val="auto"/>
          <w:highlight w:val="none"/>
        </w:rPr>
      </w:pPr>
      <w:r>
        <w:rPr>
          <w:rFonts w:ascii="Times New Roman" w:hAnsi="Times New Roman" w:eastAsiaTheme="minorEastAsia"/>
          <w:color w:val="auto"/>
          <w:sz w:val="24"/>
          <w:szCs w:val="24"/>
          <w:highlight w:val="none"/>
        </w:rPr>
        <w:t>附件4：</w:t>
      </w:r>
      <w:r>
        <w:rPr>
          <w:rFonts w:hint="eastAsia" w:ascii="Times New Roman" w:hAnsi="Times New Roman" w:eastAsiaTheme="minorEastAsia"/>
          <w:color w:val="auto"/>
          <w:sz w:val="24"/>
          <w:szCs w:val="24"/>
          <w:highlight w:val="none"/>
        </w:rPr>
        <w:t>土地证及租赁合同</w:t>
      </w:r>
    </w:p>
    <w:p w14:paraId="65646F66">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附件</w:t>
      </w:r>
      <w:r>
        <w:rPr>
          <w:rFonts w:hint="eastAsia" w:ascii="Times New Roman" w:hAnsi="Times New Roman" w:eastAsiaTheme="minorEastAsia"/>
          <w:color w:val="auto"/>
          <w:sz w:val="24"/>
          <w:szCs w:val="24"/>
          <w:highlight w:val="none"/>
        </w:rPr>
        <w:t>5</w:t>
      </w:r>
      <w:r>
        <w:rPr>
          <w:rFonts w:ascii="Times New Roman" w:hAnsi="Times New Roman" w:eastAsiaTheme="minorEastAsia"/>
          <w:color w:val="auto"/>
          <w:sz w:val="24"/>
          <w:szCs w:val="24"/>
          <w:highlight w:val="none"/>
        </w:rPr>
        <w:t>：保定市生态环境局关于转送河北徐水经济开发区（原大王店产业园区）规划环境影响跟踪评价报告书专家审查意见的函》（保环规[2019]4号）</w:t>
      </w:r>
    </w:p>
    <w:p w14:paraId="1A34EDE2">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附件</w:t>
      </w:r>
      <w:r>
        <w:rPr>
          <w:rFonts w:hint="eastAsia" w:ascii="Times New Roman" w:hAnsi="Times New Roman" w:eastAsiaTheme="minorEastAsia"/>
          <w:color w:val="auto"/>
          <w:sz w:val="24"/>
          <w:szCs w:val="24"/>
          <w:highlight w:val="none"/>
        </w:rPr>
        <w:t>6</w:t>
      </w:r>
      <w:r>
        <w:rPr>
          <w:rFonts w:ascii="Times New Roman" w:hAnsi="Times New Roman" w:eastAsiaTheme="minorEastAsia"/>
          <w:color w:val="auto"/>
          <w:sz w:val="24"/>
          <w:szCs w:val="24"/>
          <w:highlight w:val="none"/>
        </w:rPr>
        <w:t>：</w:t>
      </w:r>
      <w:r>
        <w:rPr>
          <w:rFonts w:hint="eastAsia" w:ascii="Times New Roman" w:hAnsi="Times New Roman" w:eastAsiaTheme="minorEastAsia"/>
          <w:color w:val="auto"/>
          <w:sz w:val="24"/>
          <w:szCs w:val="24"/>
          <w:highlight w:val="none"/>
        </w:rPr>
        <w:t>河北良鋆环保科技有限公司废旧铅酸蓄电池回收存储项目入驻园区证明</w:t>
      </w:r>
    </w:p>
    <w:p w14:paraId="68A8D903">
      <w:pPr>
        <w:spacing w:line="480" w:lineRule="exact"/>
        <w:ind w:firstLine="480" w:firstLineChars="200"/>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附</w:t>
      </w:r>
      <w:r>
        <w:rPr>
          <w:rFonts w:ascii="Times New Roman" w:hAnsi="Times New Roman" w:eastAsiaTheme="minorEastAsia"/>
          <w:color w:val="auto"/>
          <w:sz w:val="24"/>
          <w:szCs w:val="24"/>
          <w:highlight w:val="none"/>
        </w:rPr>
        <w:t>件</w:t>
      </w:r>
      <w:r>
        <w:rPr>
          <w:rFonts w:hint="eastAsia" w:ascii="Times New Roman" w:hAnsi="Times New Roman" w:eastAsiaTheme="minorEastAsia"/>
          <w:color w:val="auto"/>
          <w:sz w:val="24"/>
          <w:szCs w:val="24"/>
          <w:highlight w:val="none"/>
        </w:rPr>
        <w:t>7</w:t>
      </w:r>
      <w:r>
        <w:rPr>
          <w:rFonts w:ascii="Times New Roman" w:hAnsi="Times New Roman" w:eastAsiaTheme="minorEastAsia"/>
          <w:color w:val="auto"/>
          <w:sz w:val="24"/>
          <w:szCs w:val="24"/>
          <w:highlight w:val="none"/>
        </w:rPr>
        <w:t>：检测报告（H202</w:t>
      </w:r>
      <w:r>
        <w:rPr>
          <w:rFonts w:hint="eastAsia" w:ascii="Times New Roman" w:hAnsi="Times New Roman" w:eastAsiaTheme="minorEastAsia"/>
          <w:color w:val="auto"/>
          <w:sz w:val="24"/>
          <w:szCs w:val="24"/>
          <w:highlight w:val="none"/>
        </w:rPr>
        <w:t>409003</w:t>
      </w:r>
      <w:r>
        <w:rPr>
          <w:rFonts w:ascii="Times New Roman" w:hAnsi="Times New Roman" w:eastAsiaTheme="minorEastAsia"/>
          <w:color w:val="auto"/>
          <w:sz w:val="24"/>
          <w:szCs w:val="24"/>
          <w:highlight w:val="none"/>
        </w:rPr>
        <w:t>）</w:t>
      </w:r>
    </w:p>
    <w:p w14:paraId="61E0569F">
      <w:pPr>
        <w:spacing w:line="480" w:lineRule="exact"/>
        <w:ind w:firstLine="480" w:firstLineChars="200"/>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附</w:t>
      </w:r>
      <w:r>
        <w:rPr>
          <w:rFonts w:ascii="Times New Roman" w:hAnsi="Times New Roman" w:eastAsiaTheme="minorEastAsia"/>
          <w:color w:val="auto"/>
          <w:sz w:val="24"/>
          <w:szCs w:val="24"/>
          <w:highlight w:val="none"/>
        </w:rPr>
        <w:t>件</w:t>
      </w:r>
      <w:r>
        <w:rPr>
          <w:rFonts w:hint="eastAsia" w:ascii="Times New Roman" w:hAnsi="Times New Roman" w:eastAsiaTheme="minorEastAsia"/>
          <w:color w:val="auto"/>
          <w:sz w:val="24"/>
          <w:szCs w:val="24"/>
          <w:highlight w:val="none"/>
          <w:lang w:val="en-US" w:eastAsia="zh-CN"/>
        </w:rPr>
        <w:t>8</w:t>
      </w:r>
      <w:r>
        <w:rPr>
          <w:rFonts w:ascii="Times New Roman" w:hAnsi="Times New Roman" w:eastAsiaTheme="minorEastAsia"/>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河北徐水经济开发区管理委员会关于开发区新上项目办理环评审批的请示</w:t>
      </w:r>
      <w:r>
        <w:rPr>
          <w:rFonts w:hint="default" w:ascii="Times New Roman" w:hAnsi="Times New Roman" w:eastAsia="宋体" w:cs="Times New Roman"/>
          <w:color w:val="auto"/>
          <w:sz w:val="24"/>
          <w:szCs w:val="24"/>
          <w:highlight w:val="none"/>
          <w:lang w:eastAsia="zh-CN"/>
        </w:rPr>
        <w:t>》（徐经开呈〔2025）51号）</w:t>
      </w:r>
    </w:p>
    <w:p w14:paraId="4143A963">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附件</w:t>
      </w:r>
      <w:r>
        <w:rPr>
          <w:rFonts w:hint="eastAsia" w:ascii="Times New Roman" w:hAnsi="Times New Roman" w:eastAsiaTheme="minorEastAsia"/>
          <w:color w:val="auto"/>
          <w:sz w:val="24"/>
          <w:szCs w:val="24"/>
          <w:highlight w:val="none"/>
          <w:lang w:val="en-US" w:eastAsia="zh-CN"/>
        </w:rPr>
        <w:t>9</w:t>
      </w:r>
      <w:r>
        <w:rPr>
          <w:rFonts w:ascii="Times New Roman" w:hAnsi="Times New Roman" w:eastAsiaTheme="minorEastAsia"/>
          <w:color w:val="auto"/>
          <w:sz w:val="24"/>
          <w:szCs w:val="24"/>
          <w:highlight w:val="none"/>
        </w:rPr>
        <w:t>：专家评审意见及专家组名单</w:t>
      </w:r>
    </w:p>
    <w:p w14:paraId="3A66AD68">
      <w:pPr>
        <w:pStyle w:val="38"/>
        <w:tabs>
          <w:tab w:val="right" w:leader="dot" w:pos="8901"/>
        </w:tabs>
        <w:spacing w:line="360" w:lineRule="auto"/>
        <w:rPr>
          <w:rFonts w:eastAsiaTheme="minorEastAsia"/>
          <w:color w:val="auto"/>
          <w:highlight w:val="none"/>
        </w:rPr>
        <w:sectPr>
          <w:footerReference r:id="rId7" w:type="default"/>
          <w:pgSz w:w="11906" w:h="16838"/>
          <w:pgMar w:top="1440" w:right="1531" w:bottom="1440"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2697EA0F">
      <w:pPr>
        <w:widowControl/>
        <w:jc w:val="center"/>
        <w:outlineLvl w:val="0"/>
        <w:rPr>
          <w:rFonts w:ascii="Times New Roman" w:hAnsi="Times New Roman" w:eastAsiaTheme="minorEastAsia"/>
          <w:b/>
          <w:snapToGrid w:val="0"/>
          <w:color w:val="auto"/>
          <w:kern w:val="0"/>
          <w:sz w:val="30"/>
          <w:szCs w:val="30"/>
          <w:highlight w:val="none"/>
        </w:rPr>
      </w:pPr>
      <w:bookmarkStart w:id="3" w:name="_Toc25238"/>
      <w:bookmarkStart w:id="4" w:name="_Toc28547"/>
      <w:r>
        <w:rPr>
          <w:rFonts w:ascii="Times New Roman" w:hAnsi="Times New Roman" w:eastAsiaTheme="minorEastAsia"/>
          <w:b/>
          <w:snapToGrid w:val="0"/>
          <w:color w:val="auto"/>
          <w:kern w:val="0"/>
          <w:sz w:val="30"/>
          <w:szCs w:val="30"/>
          <w:highlight w:val="none"/>
        </w:rPr>
        <w:t>一、建设项目基本情况</w:t>
      </w:r>
      <w:bookmarkEnd w:id="3"/>
      <w:bookmarkEnd w:id="4"/>
    </w:p>
    <w:tbl>
      <w:tblPr>
        <w:tblStyle w:val="31"/>
        <w:tblW w:w="90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01"/>
        <w:gridCol w:w="1200"/>
        <w:gridCol w:w="1952"/>
        <w:gridCol w:w="1948"/>
        <w:gridCol w:w="3428"/>
      </w:tblGrid>
      <w:tr w14:paraId="10B3FB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01" w:type="dxa"/>
            <w:gridSpan w:val="2"/>
            <w:tcMar>
              <w:top w:w="16" w:type="dxa"/>
              <w:left w:w="16" w:type="dxa"/>
              <w:right w:w="16" w:type="dxa"/>
            </w:tcMar>
            <w:vAlign w:val="center"/>
          </w:tcPr>
          <w:p w14:paraId="0F6DAC4D">
            <w:pPr>
              <w:adjustRightInd w:val="0"/>
              <w:snapToGrid w:val="0"/>
              <w:spacing w:line="320" w:lineRule="exact"/>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建设项目名称</w:t>
            </w:r>
          </w:p>
        </w:tc>
        <w:tc>
          <w:tcPr>
            <w:tcW w:w="7328" w:type="dxa"/>
            <w:gridSpan w:val="3"/>
            <w:vAlign w:val="center"/>
          </w:tcPr>
          <w:p w14:paraId="36E510CF">
            <w:pPr>
              <w:adjustRightInd w:val="0"/>
              <w:snapToGrid w:val="0"/>
              <w:spacing w:line="320" w:lineRule="exact"/>
              <w:jc w:val="center"/>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河北良鋆环保科技有限公司废旧铅酸蓄电池回收存储项目</w:t>
            </w:r>
          </w:p>
        </w:tc>
      </w:tr>
      <w:tr w14:paraId="0BE1DC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01" w:type="dxa"/>
            <w:gridSpan w:val="2"/>
            <w:tcMar>
              <w:top w:w="16" w:type="dxa"/>
              <w:left w:w="16" w:type="dxa"/>
              <w:right w:w="16" w:type="dxa"/>
            </w:tcMar>
            <w:vAlign w:val="center"/>
          </w:tcPr>
          <w:p w14:paraId="2FDC47BC">
            <w:pPr>
              <w:adjustRightInd w:val="0"/>
              <w:snapToGrid w:val="0"/>
              <w:spacing w:line="320" w:lineRule="exact"/>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项目代码</w:t>
            </w:r>
          </w:p>
        </w:tc>
        <w:tc>
          <w:tcPr>
            <w:tcW w:w="7328" w:type="dxa"/>
            <w:gridSpan w:val="3"/>
            <w:vAlign w:val="center"/>
          </w:tcPr>
          <w:p w14:paraId="5322EB6B">
            <w:pPr>
              <w:adjustRightInd w:val="0"/>
              <w:snapToGrid w:val="0"/>
              <w:spacing w:line="320" w:lineRule="exact"/>
              <w:jc w:val="center"/>
              <w:rPr>
                <w:color w:val="auto"/>
                <w:highlight w:val="none"/>
              </w:rPr>
            </w:pPr>
            <w:r>
              <w:rPr>
                <w:rFonts w:ascii="Times New Roman" w:hAnsi="Times New Roman" w:eastAsiaTheme="minorEastAsia"/>
                <w:color w:val="auto"/>
                <w:sz w:val="24"/>
                <w:szCs w:val="24"/>
                <w:highlight w:val="none"/>
              </w:rPr>
              <w:t>240</w:t>
            </w:r>
            <w:r>
              <w:rPr>
                <w:rFonts w:hint="eastAsia" w:ascii="Times New Roman" w:hAnsi="Times New Roman" w:eastAsiaTheme="minorEastAsia"/>
                <w:color w:val="auto"/>
                <w:sz w:val="24"/>
                <w:szCs w:val="24"/>
                <w:highlight w:val="none"/>
              </w:rPr>
              <w:t>1</w:t>
            </w:r>
            <w:r>
              <w:rPr>
                <w:rFonts w:ascii="Times New Roman" w:hAnsi="Times New Roman" w:eastAsiaTheme="minorEastAsia"/>
                <w:color w:val="auto"/>
                <w:sz w:val="24"/>
                <w:szCs w:val="24"/>
                <w:highlight w:val="none"/>
              </w:rPr>
              <w:t>-130609-89-0</w:t>
            </w:r>
            <w:r>
              <w:rPr>
                <w:rFonts w:hint="eastAsia" w:ascii="Times New Roman" w:hAnsi="Times New Roman" w:eastAsiaTheme="minorEastAsia"/>
                <w:color w:val="auto"/>
                <w:sz w:val="24"/>
                <w:szCs w:val="24"/>
                <w:highlight w:val="none"/>
              </w:rPr>
              <w:t>1</w:t>
            </w:r>
            <w:r>
              <w:rPr>
                <w:rFonts w:ascii="Times New Roman" w:hAnsi="Times New Roman" w:eastAsiaTheme="minorEastAsia"/>
                <w:color w:val="auto"/>
                <w:sz w:val="24"/>
                <w:szCs w:val="24"/>
                <w:highlight w:val="none"/>
              </w:rPr>
              <w:t>-</w:t>
            </w:r>
            <w:r>
              <w:rPr>
                <w:rFonts w:hint="eastAsia" w:ascii="Times New Roman" w:hAnsi="Times New Roman" w:eastAsiaTheme="minorEastAsia"/>
                <w:color w:val="auto"/>
                <w:sz w:val="24"/>
                <w:szCs w:val="24"/>
                <w:highlight w:val="none"/>
              </w:rPr>
              <w:t>885894</w:t>
            </w:r>
          </w:p>
        </w:tc>
      </w:tr>
      <w:tr w14:paraId="5FC03F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01" w:type="dxa"/>
            <w:gridSpan w:val="2"/>
            <w:tcMar>
              <w:top w:w="16" w:type="dxa"/>
              <w:left w:w="16" w:type="dxa"/>
              <w:right w:w="16" w:type="dxa"/>
            </w:tcMar>
            <w:vAlign w:val="center"/>
          </w:tcPr>
          <w:p w14:paraId="0C3BF34B">
            <w:pPr>
              <w:adjustRightInd w:val="0"/>
              <w:snapToGrid w:val="0"/>
              <w:spacing w:line="320" w:lineRule="exact"/>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建设单位</w:t>
            </w:r>
          </w:p>
          <w:p w14:paraId="5592E413">
            <w:pPr>
              <w:adjustRightInd w:val="0"/>
              <w:snapToGrid w:val="0"/>
              <w:spacing w:line="320" w:lineRule="exact"/>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联系人</w:t>
            </w:r>
          </w:p>
        </w:tc>
        <w:tc>
          <w:tcPr>
            <w:tcW w:w="1952" w:type="dxa"/>
            <w:vAlign w:val="center"/>
          </w:tcPr>
          <w:p w14:paraId="3E642464">
            <w:pPr>
              <w:adjustRightInd w:val="0"/>
              <w:snapToGrid w:val="0"/>
              <w:spacing w:line="320" w:lineRule="exact"/>
              <w:jc w:val="center"/>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刘涛</w:t>
            </w:r>
          </w:p>
        </w:tc>
        <w:tc>
          <w:tcPr>
            <w:tcW w:w="1948" w:type="dxa"/>
            <w:vAlign w:val="center"/>
          </w:tcPr>
          <w:p w14:paraId="3E5152B8">
            <w:pPr>
              <w:adjustRightInd w:val="0"/>
              <w:snapToGrid w:val="0"/>
              <w:spacing w:line="320" w:lineRule="exact"/>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联系方式</w:t>
            </w:r>
          </w:p>
        </w:tc>
        <w:tc>
          <w:tcPr>
            <w:tcW w:w="3428" w:type="dxa"/>
            <w:vAlign w:val="center"/>
          </w:tcPr>
          <w:p w14:paraId="4031B54A">
            <w:pPr>
              <w:adjustRightInd w:val="0"/>
              <w:snapToGrid w:val="0"/>
              <w:spacing w:line="320" w:lineRule="exact"/>
              <w:jc w:val="center"/>
              <w:rPr>
                <w:rFonts w:ascii="Times New Roman" w:hAnsi="Times New Roman" w:eastAsiaTheme="minorEastAsia"/>
                <w:color w:val="auto"/>
                <w:sz w:val="24"/>
                <w:szCs w:val="24"/>
                <w:highlight w:val="none"/>
              </w:rPr>
            </w:pPr>
            <w:r>
              <w:rPr>
                <w:rFonts w:ascii="Times New Roman" w:hAnsi="Times New Roman"/>
                <w:color w:val="auto"/>
                <w:sz w:val="24"/>
                <w:szCs w:val="24"/>
                <w:highlight w:val="none"/>
              </w:rPr>
              <w:t>16630223999</w:t>
            </w:r>
          </w:p>
        </w:tc>
      </w:tr>
      <w:tr w14:paraId="2B5715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01" w:type="dxa"/>
            <w:gridSpan w:val="2"/>
            <w:tcMar>
              <w:top w:w="16" w:type="dxa"/>
              <w:left w:w="16" w:type="dxa"/>
              <w:right w:w="16" w:type="dxa"/>
            </w:tcMar>
            <w:vAlign w:val="center"/>
          </w:tcPr>
          <w:p w14:paraId="2CFD3181">
            <w:pPr>
              <w:adjustRightInd w:val="0"/>
              <w:snapToGrid w:val="0"/>
              <w:spacing w:line="320" w:lineRule="exact"/>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建设地点</w:t>
            </w:r>
          </w:p>
        </w:tc>
        <w:tc>
          <w:tcPr>
            <w:tcW w:w="7328" w:type="dxa"/>
            <w:gridSpan w:val="3"/>
            <w:vAlign w:val="center"/>
          </w:tcPr>
          <w:p w14:paraId="083EBCFF">
            <w:pPr>
              <w:adjustRightInd w:val="0"/>
              <w:snapToGrid w:val="0"/>
              <w:spacing w:line="320" w:lineRule="exact"/>
              <w:jc w:val="center"/>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lang w:val="en-US" w:eastAsia="zh-CN"/>
              </w:rPr>
              <w:t>河北省</w:t>
            </w:r>
            <w:r>
              <w:rPr>
                <w:rFonts w:ascii="Times New Roman" w:hAnsi="Times New Roman" w:eastAsiaTheme="minorEastAsia"/>
                <w:color w:val="auto"/>
                <w:sz w:val="24"/>
                <w:szCs w:val="24"/>
                <w:highlight w:val="none"/>
              </w:rPr>
              <w:t>保定市徐水区徐水经济开发区</w:t>
            </w:r>
            <w:r>
              <w:rPr>
                <w:rFonts w:hint="eastAsia" w:ascii="Times New Roman" w:hAnsi="Times New Roman" w:eastAsiaTheme="minorEastAsia"/>
                <w:color w:val="auto"/>
                <w:sz w:val="24"/>
                <w:szCs w:val="24"/>
                <w:highlight w:val="none"/>
              </w:rPr>
              <w:t>小微企业园内</w:t>
            </w:r>
          </w:p>
        </w:tc>
      </w:tr>
      <w:tr w14:paraId="66D086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01" w:type="dxa"/>
            <w:gridSpan w:val="2"/>
            <w:tcMar>
              <w:top w:w="16" w:type="dxa"/>
              <w:left w:w="16" w:type="dxa"/>
              <w:right w:w="16" w:type="dxa"/>
            </w:tcMar>
            <w:vAlign w:val="center"/>
          </w:tcPr>
          <w:p w14:paraId="473D3FC6">
            <w:pPr>
              <w:adjustRightInd w:val="0"/>
              <w:snapToGrid w:val="0"/>
              <w:spacing w:line="320" w:lineRule="exact"/>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地理坐标</w:t>
            </w:r>
          </w:p>
        </w:tc>
        <w:tc>
          <w:tcPr>
            <w:tcW w:w="7328" w:type="dxa"/>
            <w:gridSpan w:val="3"/>
            <w:vAlign w:val="center"/>
          </w:tcPr>
          <w:p w14:paraId="554A2A67">
            <w:pPr>
              <w:adjustRightInd w:val="0"/>
              <w:snapToGrid w:val="0"/>
              <w:spacing w:line="320" w:lineRule="exact"/>
              <w:jc w:val="center"/>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（东经</w:t>
            </w:r>
            <w:r>
              <w:rPr>
                <w:rFonts w:ascii="Times New Roman" w:hAnsi="Times New Roman" w:eastAsiaTheme="minorEastAsia"/>
                <w:color w:val="auto"/>
                <w:sz w:val="24"/>
                <w:szCs w:val="24"/>
                <w:highlight w:val="none"/>
                <w:u w:val="single"/>
              </w:rPr>
              <w:t xml:space="preserve"> 115 </w:t>
            </w:r>
            <w:r>
              <w:rPr>
                <w:rFonts w:ascii="Times New Roman" w:hAnsi="Times New Roman" w:eastAsiaTheme="minorEastAsia"/>
                <w:color w:val="auto"/>
                <w:sz w:val="24"/>
                <w:szCs w:val="24"/>
                <w:highlight w:val="none"/>
              </w:rPr>
              <w:t>度</w:t>
            </w:r>
            <w:r>
              <w:rPr>
                <w:rFonts w:ascii="Times New Roman" w:hAnsi="Times New Roman" w:eastAsiaTheme="minorEastAsia"/>
                <w:color w:val="auto"/>
                <w:sz w:val="24"/>
                <w:szCs w:val="24"/>
                <w:highlight w:val="none"/>
                <w:u w:val="single"/>
              </w:rPr>
              <w:t xml:space="preserve"> 2</w:t>
            </w:r>
            <w:r>
              <w:rPr>
                <w:rFonts w:hint="eastAsia" w:ascii="Times New Roman" w:hAnsi="Times New Roman" w:eastAsiaTheme="minorEastAsia"/>
                <w:color w:val="auto"/>
                <w:sz w:val="24"/>
                <w:szCs w:val="24"/>
                <w:highlight w:val="none"/>
                <w:u w:val="single"/>
              </w:rPr>
              <w:t>7</w:t>
            </w:r>
            <w:r>
              <w:rPr>
                <w:rFonts w:ascii="Times New Roman" w:hAnsi="Times New Roman" w:eastAsiaTheme="minorEastAsia"/>
                <w:color w:val="auto"/>
                <w:sz w:val="24"/>
                <w:szCs w:val="24"/>
                <w:highlight w:val="none"/>
                <w:u w:val="single"/>
              </w:rPr>
              <w:t xml:space="preserve"> </w:t>
            </w:r>
            <w:r>
              <w:rPr>
                <w:rFonts w:ascii="Times New Roman" w:hAnsi="Times New Roman" w:eastAsiaTheme="minorEastAsia"/>
                <w:color w:val="auto"/>
                <w:sz w:val="24"/>
                <w:szCs w:val="24"/>
                <w:highlight w:val="none"/>
              </w:rPr>
              <w:t>分</w:t>
            </w:r>
            <w:r>
              <w:rPr>
                <w:rFonts w:ascii="Times New Roman" w:hAnsi="Times New Roman" w:eastAsiaTheme="minorEastAsia"/>
                <w:color w:val="auto"/>
                <w:sz w:val="24"/>
                <w:szCs w:val="24"/>
                <w:highlight w:val="none"/>
                <w:u w:val="single"/>
              </w:rPr>
              <w:t xml:space="preserve"> </w:t>
            </w:r>
            <w:r>
              <w:rPr>
                <w:rFonts w:hint="eastAsia" w:ascii="Times New Roman" w:hAnsi="Times New Roman" w:eastAsiaTheme="minorEastAsia"/>
                <w:color w:val="auto"/>
                <w:sz w:val="24"/>
                <w:szCs w:val="24"/>
                <w:highlight w:val="none"/>
                <w:u w:val="single"/>
              </w:rPr>
              <w:t>58.833</w:t>
            </w:r>
            <w:r>
              <w:rPr>
                <w:rFonts w:ascii="Times New Roman" w:hAnsi="Times New Roman" w:eastAsiaTheme="minorEastAsia"/>
                <w:color w:val="auto"/>
                <w:sz w:val="24"/>
                <w:szCs w:val="24"/>
                <w:highlight w:val="none"/>
                <w:u w:val="single"/>
              </w:rPr>
              <w:t xml:space="preserve"> </w:t>
            </w:r>
            <w:r>
              <w:rPr>
                <w:rFonts w:ascii="Times New Roman" w:hAnsi="Times New Roman" w:eastAsiaTheme="minorEastAsia"/>
                <w:color w:val="auto"/>
                <w:sz w:val="24"/>
                <w:szCs w:val="24"/>
                <w:highlight w:val="none"/>
              </w:rPr>
              <w:t>秒，北纬</w:t>
            </w:r>
            <w:r>
              <w:rPr>
                <w:rFonts w:ascii="Times New Roman" w:hAnsi="Times New Roman" w:eastAsiaTheme="minorEastAsia"/>
                <w:color w:val="auto"/>
                <w:sz w:val="24"/>
                <w:szCs w:val="24"/>
                <w:highlight w:val="none"/>
                <w:u w:val="single"/>
              </w:rPr>
              <w:t xml:space="preserve"> 39 </w:t>
            </w:r>
            <w:r>
              <w:rPr>
                <w:rFonts w:ascii="Times New Roman" w:hAnsi="Times New Roman" w:eastAsiaTheme="minorEastAsia"/>
                <w:color w:val="auto"/>
                <w:sz w:val="24"/>
                <w:szCs w:val="24"/>
                <w:highlight w:val="none"/>
              </w:rPr>
              <w:t>度</w:t>
            </w:r>
            <w:r>
              <w:rPr>
                <w:rFonts w:ascii="Times New Roman" w:hAnsi="Times New Roman" w:eastAsiaTheme="minorEastAsia"/>
                <w:color w:val="auto"/>
                <w:sz w:val="24"/>
                <w:szCs w:val="24"/>
                <w:highlight w:val="none"/>
                <w:u w:val="single"/>
              </w:rPr>
              <w:t xml:space="preserve"> </w:t>
            </w:r>
            <w:r>
              <w:rPr>
                <w:rFonts w:hint="eastAsia" w:ascii="Times New Roman" w:hAnsi="Times New Roman" w:eastAsiaTheme="minorEastAsia"/>
                <w:color w:val="auto"/>
                <w:sz w:val="24"/>
                <w:szCs w:val="24"/>
                <w:highlight w:val="none"/>
                <w:u w:val="single"/>
              </w:rPr>
              <w:t>3</w:t>
            </w:r>
            <w:r>
              <w:rPr>
                <w:rFonts w:ascii="Times New Roman" w:hAnsi="Times New Roman" w:eastAsiaTheme="minorEastAsia"/>
                <w:color w:val="auto"/>
                <w:sz w:val="24"/>
                <w:szCs w:val="24"/>
                <w:highlight w:val="none"/>
                <w:u w:val="single"/>
              </w:rPr>
              <w:t xml:space="preserve"> </w:t>
            </w:r>
            <w:r>
              <w:rPr>
                <w:rFonts w:ascii="Times New Roman" w:hAnsi="Times New Roman" w:eastAsiaTheme="minorEastAsia"/>
                <w:color w:val="auto"/>
                <w:sz w:val="24"/>
                <w:szCs w:val="24"/>
                <w:highlight w:val="none"/>
              </w:rPr>
              <w:t>分</w:t>
            </w:r>
            <w:r>
              <w:rPr>
                <w:rFonts w:ascii="Times New Roman" w:hAnsi="Times New Roman" w:eastAsiaTheme="minorEastAsia"/>
                <w:color w:val="auto"/>
                <w:sz w:val="24"/>
                <w:szCs w:val="24"/>
                <w:highlight w:val="none"/>
                <w:u w:val="single"/>
              </w:rPr>
              <w:t xml:space="preserve"> </w:t>
            </w:r>
            <w:r>
              <w:rPr>
                <w:rFonts w:hint="eastAsia" w:ascii="Times New Roman" w:hAnsi="Times New Roman" w:eastAsiaTheme="minorEastAsia"/>
                <w:color w:val="auto"/>
                <w:sz w:val="24"/>
                <w:szCs w:val="24"/>
                <w:highlight w:val="none"/>
                <w:u w:val="single"/>
              </w:rPr>
              <w:t>3.310</w:t>
            </w:r>
            <w:r>
              <w:rPr>
                <w:rFonts w:ascii="Times New Roman" w:hAnsi="Times New Roman" w:eastAsiaTheme="minorEastAsia"/>
                <w:color w:val="auto"/>
                <w:sz w:val="24"/>
                <w:szCs w:val="24"/>
                <w:highlight w:val="none"/>
                <w:u w:val="single"/>
              </w:rPr>
              <w:t xml:space="preserve"> </w:t>
            </w:r>
            <w:r>
              <w:rPr>
                <w:rFonts w:ascii="Times New Roman" w:hAnsi="Times New Roman" w:eastAsiaTheme="minorEastAsia"/>
                <w:color w:val="auto"/>
                <w:sz w:val="24"/>
                <w:szCs w:val="24"/>
                <w:highlight w:val="none"/>
              </w:rPr>
              <w:t>秒）</w:t>
            </w:r>
          </w:p>
        </w:tc>
      </w:tr>
      <w:tr w14:paraId="748794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01" w:type="dxa"/>
            <w:gridSpan w:val="2"/>
            <w:tcMar>
              <w:top w:w="16" w:type="dxa"/>
              <w:left w:w="16" w:type="dxa"/>
              <w:right w:w="16" w:type="dxa"/>
            </w:tcMar>
            <w:vAlign w:val="center"/>
          </w:tcPr>
          <w:p w14:paraId="7904602C">
            <w:pPr>
              <w:adjustRightInd w:val="0"/>
              <w:snapToGrid w:val="0"/>
              <w:spacing w:line="320" w:lineRule="exact"/>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国民经济</w:t>
            </w:r>
          </w:p>
          <w:p w14:paraId="7EC6841D">
            <w:pPr>
              <w:adjustRightInd w:val="0"/>
              <w:snapToGrid w:val="0"/>
              <w:spacing w:line="320" w:lineRule="exact"/>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行业类别</w:t>
            </w:r>
          </w:p>
        </w:tc>
        <w:tc>
          <w:tcPr>
            <w:tcW w:w="1952" w:type="dxa"/>
            <w:vAlign w:val="center"/>
          </w:tcPr>
          <w:p w14:paraId="51285155">
            <w:pPr>
              <w:adjustRightInd w:val="0"/>
              <w:snapToGrid w:val="0"/>
              <w:spacing w:line="320" w:lineRule="exact"/>
              <w:jc w:val="center"/>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N7724 危险废物治理</w:t>
            </w:r>
          </w:p>
        </w:tc>
        <w:tc>
          <w:tcPr>
            <w:tcW w:w="1948" w:type="dxa"/>
            <w:vAlign w:val="center"/>
          </w:tcPr>
          <w:p w14:paraId="5EB1021F">
            <w:pPr>
              <w:adjustRightInd w:val="0"/>
              <w:snapToGrid w:val="0"/>
              <w:spacing w:line="320" w:lineRule="exact"/>
              <w:jc w:val="center"/>
              <w:rPr>
                <w:rFonts w:ascii="Times New Roman" w:hAnsi="Times New Roman" w:eastAsiaTheme="minorEastAsia"/>
                <w:b/>
                <w:bCs/>
                <w:color w:val="auto"/>
                <w:sz w:val="24"/>
                <w:szCs w:val="24"/>
                <w:highlight w:val="none"/>
              </w:rPr>
            </w:pPr>
            <w:bookmarkStart w:id="5" w:name="_Hlk49843745"/>
            <w:r>
              <w:rPr>
                <w:rFonts w:ascii="Times New Roman" w:hAnsi="Times New Roman" w:eastAsiaTheme="minorEastAsia"/>
                <w:b/>
                <w:bCs/>
                <w:color w:val="auto"/>
                <w:sz w:val="24"/>
                <w:szCs w:val="24"/>
                <w:highlight w:val="none"/>
              </w:rPr>
              <w:t>建设项目</w:t>
            </w:r>
          </w:p>
          <w:p w14:paraId="43FB0429">
            <w:pPr>
              <w:adjustRightInd w:val="0"/>
              <w:snapToGrid w:val="0"/>
              <w:spacing w:line="320" w:lineRule="exact"/>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行业类别</w:t>
            </w:r>
            <w:bookmarkEnd w:id="5"/>
          </w:p>
        </w:tc>
        <w:tc>
          <w:tcPr>
            <w:tcW w:w="3428" w:type="dxa"/>
            <w:vAlign w:val="center"/>
          </w:tcPr>
          <w:p w14:paraId="288E9203">
            <w:pPr>
              <w:adjustRightInd w:val="0"/>
              <w:snapToGrid w:val="0"/>
              <w:spacing w:line="320" w:lineRule="exact"/>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32"/>
                <w:highlight w:val="none"/>
              </w:rPr>
              <w:t>四十七、生态保护和环境治理业－101.危险废物（不含医疗废物）利用及处置-其他</w:t>
            </w:r>
          </w:p>
        </w:tc>
      </w:tr>
      <w:tr w14:paraId="516CDF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55" w:hRule="atLeast"/>
          <w:jc w:val="center"/>
        </w:trPr>
        <w:tc>
          <w:tcPr>
            <w:tcW w:w="1701" w:type="dxa"/>
            <w:gridSpan w:val="2"/>
            <w:tcMar>
              <w:top w:w="16" w:type="dxa"/>
              <w:left w:w="16" w:type="dxa"/>
              <w:right w:w="16" w:type="dxa"/>
            </w:tcMar>
            <w:vAlign w:val="center"/>
          </w:tcPr>
          <w:p w14:paraId="3A0CD7A1">
            <w:pPr>
              <w:adjustRightInd w:val="0"/>
              <w:snapToGrid w:val="0"/>
              <w:spacing w:line="320" w:lineRule="exact"/>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建设性质</w:t>
            </w:r>
          </w:p>
        </w:tc>
        <w:tc>
          <w:tcPr>
            <w:tcW w:w="1952" w:type="dxa"/>
            <w:vAlign w:val="center"/>
          </w:tcPr>
          <w:p w14:paraId="7FDBDB86">
            <w:pPr>
              <w:adjustRightInd w:val="0"/>
              <w:snapToGrid w:val="0"/>
              <w:spacing w:line="320" w:lineRule="exact"/>
              <w:jc w:val="left"/>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w:t>
            </w:r>
            <w:r>
              <w:rPr>
                <w:rFonts w:ascii="Times New Roman" w:hAnsi="Times New Roman" w:eastAsiaTheme="minorEastAsia"/>
                <w:color w:val="auto"/>
                <w:sz w:val="24"/>
                <w:szCs w:val="24"/>
                <w:highlight w:val="none"/>
              </w:rPr>
              <w:t>新建（迁建）</w:t>
            </w:r>
          </w:p>
          <w:p w14:paraId="625F3413">
            <w:pPr>
              <w:adjustRightInd w:val="0"/>
              <w:snapToGrid w:val="0"/>
              <w:spacing w:line="320" w:lineRule="exact"/>
              <w:jc w:val="left"/>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w:t>
            </w:r>
            <w:r>
              <w:rPr>
                <w:rFonts w:ascii="Times New Roman" w:hAnsi="Times New Roman" w:eastAsiaTheme="minorEastAsia"/>
                <w:color w:val="auto"/>
                <w:sz w:val="24"/>
                <w:szCs w:val="24"/>
                <w:highlight w:val="none"/>
              </w:rPr>
              <w:t>改建</w:t>
            </w:r>
          </w:p>
          <w:p w14:paraId="146A571B">
            <w:pPr>
              <w:adjustRightInd w:val="0"/>
              <w:snapToGrid w:val="0"/>
              <w:spacing w:line="320" w:lineRule="exact"/>
              <w:jc w:val="left"/>
              <w:rPr>
                <w:rFonts w:ascii="Times New Roman" w:hAnsi="Times New Roman" w:eastAsiaTheme="minorEastAsia"/>
                <w:color w:val="auto"/>
                <w:sz w:val="24"/>
                <w:szCs w:val="24"/>
                <w:highlight w:val="none"/>
              </w:rPr>
            </w:pPr>
            <w:r>
              <w:rPr>
                <w:rFonts w:hint="eastAsia" w:ascii="Times New Roman" w:hAnsi="Times New Roman"/>
                <w:color w:val="auto"/>
                <w:sz w:val="24"/>
                <w:szCs w:val="24"/>
                <w:highlight w:val="none"/>
              </w:rPr>
              <w:t>□</w:t>
            </w:r>
            <w:r>
              <w:rPr>
                <w:rFonts w:ascii="Times New Roman" w:hAnsi="Times New Roman" w:eastAsiaTheme="minorEastAsia"/>
                <w:color w:val="auto"/>
                <w:sz w:val="24"/>
                <w:szCs w:val="24"/>
                <w:highlight w:val="none"/>
              </w:rPr>
              <w:t>扩建</w:t>
            </w:r>
          </w:p>
          <w:p w14:paraId="74680614">
            <w:pPr>
              <w:adjustRightInd w:val="0"/>
              <w:snapToGrid w:val="0"/>
              <w:spacing w:line="320" w:lineRule="exact"/>
              <w:jc w:val="left"/>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w:t>
            </w:r>
            <w:r>
              <w:rPr>
                <w:rFonts w:ascii="Times New Roman" w:hAnsi="Times New Roman" w:eastAsiaTheme="minorEastAsia"/>
                <w:color w:val="auto"/>
                <w:sz w:val="24"/>
                <w:szCs w:val="24"/>
                <w:highlight w:val="none"/>
              </w:rPr>
              <w:t>技术改造</w:t>
            </w:r>
          </w:p>
        </w:tc>
        <w:tc>
          <w:tcPr>
            <w:tcW w:w="1948" w:type="dxa"/>
            <w:vAlign w:val="center"/>
          </w:tcPr>
          <w:p w14:paraId="18030984">
            <w:pPr>
              <w:adjustRightInd w:val="0"/>
              <w:snapToGrid w:val="0"/>
              <w:spacing w:line="320" w:lineRule="exact"/>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建设项目</w:t>
            </w:r>
          </w:p>
          <w:p w14:paraId="0279179C">
            <w:pPr>
              <w:adjustRightInd w:val="0"/>
              <w:snapToGrid w:val="0"/>
              <w:spacing w:line="320" w:lineRule="exact"/>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申报情形</w:t>
            </w:r>
          </w:p>
        </w:tc>
        <w:tc>
          <w:tcPr>
            <w:tcW w:w="3428" w:type="dxa"/>
            <w:vAlign w:val="center"/>
          </w:tcPr>
          <w:p w14:paraId="4B70CD75">
            <w:pPr>
              <w:adjustRightInd w:val="0"/>
              <w:snapToGrid w:val="0"/>
              <w:spacing w:line="320" w:lineRule="exact"/>
              <w:jc w:val="left"/>
              <w:rPr>
                <w:rFonts w:ascii="Times New Roman" w:hAnsi="Times New Roman" w:eastAsiaTheme="minorEastAsia"/>
                <w:color w:val="auto"/>
                <w:sz w:val="24"/>
                <w:szCs w:val="24"/>
                <w:highlight w:val="none"/>
              </w:rPr>
            </w:pPr>
            <w:r>
              <w:rPr>
                <w:rFonts w:ascii="Times New Roman" w:hAnsi="Times New Roman" w:eastAsia="MS Mincho"/>
                <w:color w:val="auto"/>
                <w:sz w:val="24"/>
                <w:szCs w:val="24"/>
                <w:highlight w:val="none"/>
              </w:rPr>
              <w:t>☑</w:t>
            </w:r>
            <w:r>
              <w:rPr>
                <w:rFonts w:ascii="Times New Roman" w:hAnsi="Times New Roman" w:eastAsiaTheme="minorEastAsia"/>
                <w:color w:val="auto"/>
                <w:sz w:val="24"/>
                <w:szCs w:val="24"/>
                <w:highlight w:val="none"/>
              </w:rPr>
              <w:t>首次申报项目</w:t>
            </w:r>
          </w:p>
          <w:p w14:paraId="1C10BDB2">
            <w:pPr>
              <w:adjustRightInd w:val="0"/>
              <w:snapToGrid w:val="0"/>
              <w:spacing w:line="320" w:lineRule="exact"/>
              <w:jc w:val="left"/>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w:t>
            </w:r>
            <w:r>
              <w:rPr>
                <w:rFonts w:ascii="Times New Roman" w:hAnsi="Times New Roman" w:eastAsiaTheme="minorEastAsia"/>
                <w:color w:val="auto"/>
                <w:sz w:val="24"/>
                <w:szCs w:val="24"/>
                <w:highlight w:val="none"/>
              </w:rPr>
              <w:t>不予批准后再次申报项目</w:t>
            </w:r>
          </w:p>
          <w:p w14:paraId="630460A2">
            <w:pPr>
              <w:adjustRightInd w:val="0"/>
              <w:snapToGrid w:val="0"/>
              <w:spacing w:line="320" w:lineRule="exact"/>
              <w:jc w:val="left"/>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w:t>
            </w:r>
            <w:r>
              <w:rPr>
                <w:rFonts w:ascii="Times New Roman" w:hAnsi="Times New Roman" w:eastAsiaTheme="minorEastAsia"/>
                <w:color w:val="auto"/>
                <w:sz w:val="24"/>
                <w:szCs w:val="24"/>
                <w:highlight w:val="none"/>
              </w:rPr>
              <w:t>超五年重新审核项目</w:t>
            </w:r>
          </w:p>
          <w:p w14:paraId="782935AB">
            <w:pPr>
              <w:adjustRightInd w:val="0"/>
              <w:snapToGrid w:val="0"/>
              <w:spacing w:line="320" w:lineRule="exact"/>
              <w:jc w:val="left"/>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w:t>
            </w:r>
            <w:r>
              <w:rPr>
                <w:rFonts w:ascii="Times New Roman" w:hAnsi="Times New Roman" w:eastAsiaTheme="minorEastAsia"/>
                <w:color w:val="auto"/>
                <w:sz w:val="24"/>
                <w:szCs w:val="24"/>
                <w:highlight w:val="none"/>
              </w:rPr>
              <w:t>重大变动重新报批项目</w:t>
            </w:r>
          </w:p>
        </w:tc>
      </w:tr>
      <w:tr w14:paraId="4BDF82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9" w:hRule="atLeast"/>
          <w:jc w:val="center"/>
        </w:trPr>
        <w:tc>
          <w:tcPr>
            <w:tcW w:w="1701" w:type="dxa"/>
            <w:gridSpan w:val="2"/>
            <w:tcMar>
              <w:top w:w="16" w:type="dxa"/>
              <w:left w:w="16" w:type="dxa"/>
              <w:right w:w="16" w:type="dxa"/>
            </w:tcMar>
            <w:vAlign w:val="center"/>
          </w:tcPr>
          <w:p w14:paraId="6FF9A5BD">
            <w:pPr>
              <w:adjustRightInd w:val="0"/>
              <w:snapToGrid w:val="0"/>
              <w:spacing w:line="320" w:lineRule="exact"/>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pacing w:val="-11"/>
                <w:sz w:val="24"/>
                <w:szCs w:val="24"/>
                <w:highlight w:val="none"/>
              </w:rPr>
              <w:t>项目审批（核准/备案）部门（选填）</w:t>
            </w:r>
          </w:p>
        </w:tc>
        <w:tc>
          <w:tcPr>
            <w:tcW w:w="1952" w:type="dxa"/>
            <w:vAlign w:val="center"/>
          </w:tcPr>
          <w:p w14:paraId="09E089EF">
            <w:pPr>
              <w:adjustRightInd w:val="0"/>
              <w:snapToGrid w:val="0"/>
              <w:spacing w:line="320" w:lineRule="exact"/>
              <w:jc w:val="center"/>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保定市徐水区</w:t>
            </w:r>
            <w:r>
              <w:rPr>
                <w:rFonts w:hint="eastAsia" w:ascii="Times New Roman" w:hAnsi="Times New Roman" w:eastAsiaTheme="minorEastAsia"/>
                <w:color w:val="auto"/>
                <w:sz w:val="24"/>
                <w:szCs w:val="24"/>
                <w:highlight w:val="none"/>
              </w:rPr>
              <w:t>发展和改革</w:t>
            </w:r>
            <w:r>
              <w:rPr>
                <w:rFonts w:ascii="Times New Roman" w:hAnsi="Times New Roman" w:eastAsiaTheme="minorEastAsia"/>
                <w:color w:val="auto"/>
                <w:sz w:val="24"/>
                <w:szCs w:val="24"/>
                <w:highlight w:val="none"/>
              </w:rPr>
              <w:t>局</w:t>
            </w:r>
          </w:p>
        </w:tc>
        <w:tc>
          <w:tcPr>
            <w:tcW w:w="1948" w:type="dxa"/>
            <w:vAlign w:val="center"/>
          </w:tcPr>
          <w:p w14:paraId="535BE578">
            <w:pPr>
              <w:adjustRightInd w:val="0"/>
              <w:snapToGrid w:val="0"/>
              <w:spacing w:line="320" w:lineRule="exact"/>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项目审批（核准/备案）文号（选填）</w:t>
            </w:r>
          </w:p>
        </w:tc>
        <w:tc>
          <w:tcPr>
            <w:tcW w:w="3428" w:type="dxa"/>
            <w:vAlign w:val="center"/>
          </w:tcPr>
          <w:p w14:paraId="2E34912F">
            <w:pPr>
              <w:adjustRightInd w:val="0"/>
              <w:snapToGrid w:val="0"/>
              <w:spacing w:line="320" w:lineRule="exact"/>
              <w:jc w:val="center"/>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徐</w:t>
            </w:r>
            <w:r>
              <w:rPr>
                <w:rFonts w:hint="eastAsia" w:ascii="Times New Roman" w:hAnsi="Times New Roman" w:eastAsiaTheme="minorEastAsia"/>
                <w:color w:val="auto"/>
                <w:sz w:val="24"/>
                <w:szCs w:val="24"/>
                <w:highlight w:val="none"/>
              </w:rPr>
              <w:t>水发改</w:t>
            </w:r>
            <w:r>
              <w:rPr>
                <w:rFonts w:ascii="Times New Roman" w:hAnsi="Times New Roman" w:eastAsiaTheme="minorEastAsia"/>
                <w:color w:val="auto"/>
                <w:sz w:val="24"/>
                <w:szCs w:val="24"/>
                <w:highlight w:val="none"/>
              </w:rPr>
              <w:t>备字〔2024〕</w:t>
            </w:r>
            <w:r>
              <w:rPr>
                <w:rFonts w:hint="eastAsia" w:ascii="Times New Roman" w:hAnsi="Times New Roman" w:eastAsiaTheme="minorEastAsia"/>
                <w:color w:val="auto"/>
                <w:sz w:val="24"/>
                <w:szCs w:val="24"/>
                <w:highlight w:val="none"/>
              </w:rPr>
              <w:t>78</w:t>
            </w:r>
            <w:r>
              <w:rPr>
                <w:rFonts w:ascii="Times New Roman" w:hAnsi="Times New Roman" w:eastAsiaTheme="minorEastAsia"/>
                <w:color w:val="auto"/>
                <w:sz w:val="24"/>
                <w:szCs w:val="24"/>
                <w:highlight w:val="none"/>
              </w:rPr>
              <w:t>号</w:t>
            </w:r>
          </w:p>
        </w:tc>
      </w:tr>
      <w:tr w14:paraId="2B3C9E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01" w:type="dxa"/>
            <w:gridSpan w:val="2"/>
            <w:tcMar>
              <w:top w:w="16" w:type="dxa"/>
              <w:left w:w="16" w:type="dxa"/>
              <w:right w:w="16" w:type="dxa"/>
            </w:tcMar>
            <w:vAlign w:val="center"/>
          </w:tcPr>
          <w:p w14:paraId="2008C482">
            <w:pPr>
              <w:adjustRightInd w:val="0"/>
              <w:snapToGrid w:val="0"/>
              <w:spacing w:line="320" w:lineRule="exact"/>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总投资</w:t>
            </w:r>
          </w:p>
          <w:p w14:paraId="32DFD394">
            <w:pPr>
              <w:adjustRightInd w:val="0"/>
              <w:snapToGrid w:val="0"/>
              <w:spacing w:line="320" w:lineRule="exact"/>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（万元）</w:t>
            </w:r>
          </w:p>
        </w:tc>
        <w:tc>
          <w:tcPr>
            <w:tcW w:w="1952" w:type="dxa"/>
            <w:vAlign w:val="center"/>
          </w:tcPr>
          <w:p w14:paraId="06549EF9">
            <w:pPr>
              <w:adjustRightInd w:val="0"/>
              <w:snapToGrid w:val="0"/>
              <w:spacing w:line="320" w:lineRule="exact"/>
              <w:jc w:val="center"/>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500</w:t>
            </w:r>
          </w:p>
        </w:tc>
        <w:tc>
          <w:tcPr>
            <w:tcW w:w="1948" w:type="dxa"/>
            <w:tcMar>
              <w:top w:w="16" w:type="dxa"/>
              <w:left w:w="16" w:type="dxa"/>
              <w:right w:w="16" w:type="dxa"/>
            </w:tcMar>
            <w:vAlign w:val="center"/>
          </w:tcPr>
          <w:p w14:paraId="59ADDF57">
            <w:pPr>
              <w:adjustRightInd w:val="0"/>
              <w:snapToGrid w:val="0"/>
              <w:spacing w:line="320" w:lineRule="exact"/>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环保投资</w:t>
            </w:r>
          </w:p>
          <w:p w14:paraId="7E08432E">
            <w:pPr>
              <w:adjustRightInd w:val="0"/>
              <w:snapToGrid w:val="0"/>
              <w:spacing w:line="320" w:lineRule="exact"/>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（万元）</w:t>
            </w:r>
          </w:p>
        </w:tc>
        <w:tc>
          <w:tcPr>
            <w:tcW w:w="3428" w:type="dxa"/>
            <w:vAlign w:val="center"/>
          </w:tcPr>
          <w:p w14:paraId="405960DA">
            <w:pPr>
              <w:adjustRightInd w:val="0"/>
              <w:snapToGrid w:val="0"/>
              <w:spacing w:line="320" w:lineRule="exact"/>
              <w:jc w:val="center"/>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lang w:val="en-US" w:eastAsia="zh-CN"/>
              </w:rPr>
              <w:t>1</w:t>
            </w:r>
            <w:r>
              <w:rPr>
                <w:rFonts w:ascii="Times New Roman" w:hAnsi="Times New Roman" w:eastAsiaTheme="minorEastAsia"/>
                <w:color w:val="auto"/>
                <w:sz w:val="24"/>
                <w:szCs w:val="24"/>
                <w:highlight w:val="none"/>
              </w:rPr>
              <w:t>5</w:t>
            </w:r>
          </w:p>
        </w:tc>
      </w:tr>
      <w:tr w14:paraId="163D2B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9" w:hRule="atLeast"/>
          <w:jc w:val="center"/>
        </w:trPr>
        <w:tc>
          <w:tcPr>
            <w:tcW w:w="1701" w:type="dxa"/>
            <w:gridSpan w:val="2"/>
            <w:tcMar>
              <w:top w:w="16" w:type="dxa"/>
              <w:left w:w="16" w:type="dxa"/>
              <w:right w:w="16" w:type="dxa"/>
            </w:tcMar>
            <w:vAlign w:val="center"/>
          </w:tcPr>
          <w:p w14:paraId="0D5C2385">
            <w:pPr>
              <w:adjustRightInd w:val="0"/>
              <w:snapToGrid w:val="0"/>
              <w:spacing w:line="320" w:lineRule="exact"/>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环保投资</w:t>
            </w:r>
          </w:p>
          <w:p w14:paraId="5ECBE41C">
            <w:pPr>
              <w:adjustRightInd w:val="0"/>
              <w:snapToGrid w:val="0"/>
              <w:spacing w:line="320" w:lineRule="exact"/>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占比（%）</w:t>
            </w:r>
          </w:p>
        </w:tc>
        <w:tc>
          <w:tcPr>
            <w:tcW w:w="1952" w:type="dxa"/>
            <w:vAlign w:val="center"/>
          </w:tcPr>
          <w:p w14:paraId="1D5A688F">
            <w:pPr>
              <w:adjustRightInd w:val="0"/>
              <w:snapToGrid w:val="0"/>
              <w:spacing w:line="320" w:lineRule="exact"/>
              <w:jc w:val="center"/>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lang w:val="en-US" w:eastAsia="zh-CN"/>
              </w:rPr>
              <w:t>3</w:t>
            </w:r>
          </w:p>
        </w:tc>
        <w:tc>
          <w:tcPr>
            <w:tcW w:w="1948" w:type="dxa"/>
            <w:tcMar>
              <w:top w:w="16" w:type="dxa"/>
              <w:left w:w="16" w:type="dxa"/>
              <w:right w:w="16" w:type="dxa"/>
            </w:tcMar>
            <w:vAlign w:val="center"/>
          </w:tcPr>
          <w:p w14:paraId="2BD0458D">
            <w:pPr>
              <w:adjustRightInd w:val="0"/>
              <w:snapToGrid w:val="0"/>
              <w:spacing w:line="320" w:lineRule="exact"/>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施工工期</w:t>
            </w:r>
          </w:p>
        </w:tc>
        <w:tc>
          <w:tcPr>
            <w:tcW w:w="3428" w:type="dxa"/>
            <w:vAlign w:val="center"/>
          </w:tcPr>
          <w:p w14:paraId="38D90285">
            <w:pPr>
              <w:adjustRightInd w:val="0"/>
              <w:snapToGrid w:val="0"/>
              <w:spacing w:line="320" w:lineRule="exact"/>
              <w:jc w:val="center"/>
              <w:rPr>
                <w:rFonts w:ascii="Times New Roman" w:hAnsi="Times New Roman" w:eastAsiaTheme="minorEastAsia"/>
                <w:color w:val="auto"/>
                <w:szCs w:val="24"/>
                <w:highlight w:val="none"/>
              </w:rPr>
            </w:pPr>
            <w:r>
              <w:rPr>
                <w:rFonts w:ascii="Times New Roman" w:hAnsi="Times New Roman" w:eastAsiaTheme="minorEastAsia"/>
                <w:color w:val="auto"/>
                <w:sz w:val="24"/>
                <w:szCs w:val="24"/>
                <w:highlight w:val="none"/>
              </w:rPr>
              <w:t>2个月</w:t>
            </w:r>
          </w:p>
        </w:tc>
      </w:tr>
      <w:tr w14:paraId="6079B9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58" w:hRule="atLeast"/>
          <w:jc w:val="center"/>
        </w:trPr>
        <w:tc>
          <w:tcPr>
            <w:tcW w:w="1701" w:type="dxa"/>
            <w:gridSpan w:val="2"/>
            <w:tcMar>
              <w:top w:w="16" w:type="dxa"/>
              <w:left w:w="16" w:type="dxa"/>
              <w:right w:w="16" w:type="dxa"/>
            </w:tcMar>
            <w:vAlign w:val="center"/>
          </w:tcPr>
          <w:p w14:paraId="161D48A9">
            <w:pPr>
              <w:adjustRightInd w:val="0"/>
              <w:snapToGrid w:val="0"/>
              <w:spacing w:line="320" w:lineRule="exact"/>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是否开工建设</w:t>
            </w:r>
          </w:p>
        </w:tc>
        <w:tc>
          <w:tcPr>
            <w:tcW w:w="1952" w:type="dxa"/>
            <w:vAlign w:val="center"/>
          </w:tcPr>
          <w:p w14:paraId="5632EFCD">
            <w:pPr>
              <w:adjustRightInd w:val="0"/>
              <w:snapToGrid w:val="0"/>
              <w:spacing w:line="320" w:lineRule="exact"/>
              <w:jc w:val="left"/>
              <w:rPr>
                <w:rFonts w:ascii="Times New Roman" w:hAnsi="Times New Roman" w:eastAsiaTheme="minorEastAsia"/>
                <w:color w:val="auto"/>
                <w:sz w:val="24"/>
                <w:szCs w:val="24"/>
                <w:highlight w:val="none"/>
              </w:rPr>
            </w:pPr>
            <w:r>
              <w:rPr>
                <w:rFonts w:ascii="Times New Roman" w:hAnsi="Times New Roman" w:eastAsia="MS Mincho"/>
                <w:color w:val="auto"/>
                <w:sz w:val="24"/>
                <w:szCs w:val="24"/>
                <w:highlight w:val="none"/>
              </w:rPr>
              <w:t>☑</w:t>
            </w:r>
            <w:r>
              <w:rPr>
                <w:rFonts w:ascii="Times New Roman" w:hAnsi="Times New Roman" w:eastAsiaTheme="minorEastAsia"/>
                <w:color w:val="auto"/>
                <w:sz w:val="24"/>
                <w:szCs w:val="24"/>
                <w:highlight w:val="none"/>
              </w:rPr>
              <w:t>否</w:t>
            </w:r>
          </w:p>
          <w:p w14:paraId="503EAAC0">
            <w:pPr>
              <w:adjustRightInd w:val="0"/>
              <w:snapToGrid w:val="0"/>
              <w:spacing w:line="320" w:lineRule="exact"/>
              <w:jc w:val="left"/>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w:t>
            </w:r>
            <w:r>
              <w:rPr>
                <w:rFonts w:ascii="Times New Roman" w:hAnsi="Times New Roman" w:eastAsiaTheme="minorEastAsia"/>
                <w:color w:val="auto"/>
                <w:sz w:val="24"/>
                <w:szCs w:val="24"/>
                <w:highlight w:val="none"/>
              </w:rPr>
              <w:t>是</w:t>
            </w:r>
          </w:p>
        </w:tc>
        <w:tc>
          <w:tcPr>
            <w:tcW w:w="1948" w:type="dxa"/>
            <w:tcMar>
              <w:top w:w="16" w:type="dxa"/>
              <w:left w:w="16" w:type="dxa"/>
              <w:right w:w="16" w:type="dxa"/>
            </w:tcMar>
            <w:vAlign w:val="center"/>
          </w:tcPr>
          <w:p w14:paraId="0DE2268A">
            <w:pPr>
              <w:adjustRightInd w:val="0"/>
              <w:snapToGrid w:val="0"/>
              <w:spacing w:line="320" w:lineRule="exact"/>
              <w:jc w:val="center"/>
              <w:rPr>
                <w:rFonts w:ascii="Times New Roman" w:hAnsi="Times New Roman" w:eastAsiaTheme="minorEastAsia"/>
                <w:b/>
                <w:bCs/>
                <w:color w:val="auto"/>
                <w:spacing w:val="-6"/>
                <w:sz w:val="24"/>
                <w:szCs w:val="24"/>
                <w:highlight w:val="none"/>
              </w:rPr>
            </w:pPr>
            <w:r>
              <w:rPr>
                <w:rFonts w:ascii="Times New Roman" w:hAnsi="Times New Roman" w:eastAsiaTheme="minorEastAsia"/>
                <w:b/>
                <w:bCs/>
                <w:color w:val="auto"/>
                <w:spacing w:val="-6"/>
                <w:sz w:val="24"/>
                <w:szCs w:val="24"/>
                <w:highlight w:val="none"/>
              </w:rPr>
              <w:t>用地（用海）</w:t>
            </w:r>
          </w:p>
          <w:p w14:paraId="07E17E7C">
            <w:pPr>
              <w:adjustRightInd w:val="0"/>
              <w:snapToGrid w:val="0"/>
              <w:spacing w:line="320" w:lineRule="exact"/>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pacing w:val="-6"/>
                <w:sz w:val="24"/>
                <w:szCs w:val="24"/>
                <w:highlight w:val="none"/>
              </w:rPr>
              <w:t>面积（m</w:t>
            </w:r>
            <w:r>
              <w:rPr>
                <w:rFonts w:ascii="Times New Roman" w:hAnsi="Times New Roman" w:eastAsiaTheme="minorEastAsia"/>
                <w:b/>
                <w:bCs/>
                <w:color w:val="auto"/>
                <w:spacing w:val="-6"/>
                <w:sz w:val="24"/>
                <w:szCs w:val="24"/>
                <w:highlight w:val="none"/>
                <w:vertAlign w:val="superscript"/>
              </w:rPr>
              <w:t>2</w:t>
            </w:r>
            <w:r>
              <w:rPr>
                <w:rFonts w:ascii="Times New Roman" w:hAnsi="Times New Roman" w:eastAsiaTheme="minorEastAsia"/>
                <w:b/>
                <w:bCs/>
                <w:color w:val="auto"/>
                <w:spacing w:val="-6"/>
                <w:sz w:val="24"/>
                <w:szCs w:val="24"/>
                <w:highlight w:val="none"/>
              </w:rPr>
              <w:t>）</w:t>
            </w:r>
          </w:p>
        </w:tc>
        <w:tc>
          <w:tcPr>
            <w:tcW w:w="3428" w:type="dxa"/>
            <w:vAlign w:val="center"/>
          </w:tcPr>
          <w:p w14:paraId="08BC4074">
            <w:pPr>
              <w:adjustRightInd w:val="0"/>
              <w:snapToGrid w:val="0"/>
              <w:spacing w:line="320" w:lineRule="exact"/>
              <w:jc w:val="center"/>
              <w:rPr>
                <w:rFonts w:hint="default" w:ascii="Times New Roman" w:hAnsi="Times New Roman" w:eastAsiaTheme="minorEastAsia"/>
                <w:color w:val="auto"/>
                <w:sz w:val="24"/>
                <w:szCs w:val="24"/>
                <w:highlight w:val="none"/>
                <w:lang w:val="en-US" w:eastAsia="zh-CN"/>
              </w:rPr>
            </w:pPr>
            <w:r>
              <w:rPr>
                <w:rFonts w:hint="eastAsia" w:ascii="Times New Roman" w:hAnsi="Times New Roman" w:eastAsiaTheme="minorEastAsia"/>
                <w:color w:val="auto"/>
                <w:sz w:val="24"/>
                <w:szCs w:val="24"/>
                <w:highlight w:val="none"/>
                <w:lang w:val="en-US" w:eastAsia="zh-CN"/>
              </w:rPr>
              <w:t>1200.00</w:t>
            </w:r>
          </w:p>
        </w:tc>
      </w:tr>
      <w:tr w14:paraId="181E86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1701" w:type="dxa"/>
            <w:gridSpan w:val="2"/>
            <w:vAlign w:val="center"/>
          </w:tcPr>
          <w:p w14:paraId="52357F25">
            <w:pPr>
              <w:autoSpaceDE w:val="0"/>
              <w:autoSpaceDN w:val="0"/>
              <w:adjustRightInd w:val="0"/>
              <w:snapToGrid w:val="0"/>
              <w:spacing w:line="320" w:lineRule="exact"/>
              <w:jc w:val="center"/>
              <w:rPr>
                <w:rFonts w:ascii="Times New Roman" w:hAnsi="Times New Roman" w:eastAsiaTheme="minorEastAsia"/>
                <w:b/>
                <w:bCs/>
                <w:color w:val="auto"/>
                <w:kern w:val="0"/>
                <w:sz w:val="24"/>
                <w:szCs w:val="24"/>
                <w:highlight w:val="none"/>
              </w:rPr>
            </w:pPr>
            <w:r>
              <w:rPr>
                <w:rFonts w:ascii="Times New Roman" w:hAnsi="Times New Roman" w:eastAsiaTheme="minorEastAsia"/>
                <w:b/>
                <w:bCs/>
                <w:color w:val="auto"/>
                <w:kern w:val="0"/>
                <w:sz w:val="24"/>
                <w:szCs w:val="24"/>
                <w:highlight w:val="none"/>
              </w:rPr>
              <w:t>专项评价设置情况</w:t>
            </w:r>
          </w:p>
        </w:tc>
        <w:tc>
          <w:tcPr>
            <w:tcW w:w="7328" w:type="dxa"/>
            <w:gridSpan w:val="3"/>
            <w:vAlign w:val="center"/>
          </w:tcPr>
          <w:p w14:paraId="7CC7A324">
            <w:pPr>
              <w:autoSpaceDE w:val="0"/>
              <w:autoSpaceDN w:val="0"/>
              <w:adjustRightInd w:val="0"/>
              <w:snapToGrid w:val="0"/>
              <w:spacing w:line="320" w:lineRule="exact"/>
              <w:jc w:val="center"/>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无</w:t>
            </w:r>
          </w:p>
        </w:tc>
      </w:tr>
      <w:tr w14:paraId="5C1B24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1" w:type="dxa"/>
            <w:gridSpan w:val="2"/>
            <w:vAlign w:val="center"/>
          </w:tcPr>
          <w:p w14:paraId="50A0C0C9">
            <w:pPr>
              <w:autoSpaceDE w:val="0"/>
              <w:autoSpaceDN w:val="0"/>
              <w:adjustRightInd w:val="0"/>
              <w:snapToGrid w:val="0"/>
              <w:jc w:val="center"/>
              <w:rPr>
                <w:rFonts w:ascii="Times New Roman" w:hAnsi="Times New Roman" w:eastAsiaTheme="minorEastAsia"/>
                <w:b/>
                <w:bCs/>
                <w:color w:val="auto"/>
                <w:kern w:val="0"/>
                <w:sz w:val="24"/>
                <w:szCs w:val="24"/>
                <w:highlight w:val="none"/>
              </w:rPr>
            </w:pPr>
            <w:r>
              <w:rPr>
                <w:rFonts w:ascii="Times New Roman" w:hAnsi="Times New Roman" w:eastAsiaTheme="minorEastAsia"/>
                <w:b/>
                <w:bCs/>
                <w:color w:val="auto"/>
                <w:sz w:val="24"/>
                <w:szCs w:val="24"/>
                <w:highlight w:val="none"/>
              </w:rPr>
              <w:t>规划情况</w:t>
            </w:r>
          </w:p>
        </w:tc>
        <w:tc>
          <w:tcPr>
            <w:tcW w:w="7328" w:type="dxa"/>
            <w:gridSpan w:val="3"/>
            <w:vAlign w:val="center"/>
          </w:tcPr>
          <w:p w14:paraId="14FAFB31">
            <w:pPr>
              <w:autoSpaceDE w:val="0"/>
              <w:autoSpaceDN w:val="0"/>
              <w:adjustRightInd w:val="0"/>
              <w:snapToGrid w:val="0"/>
              <w:spacing w:line="36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规划名称：《“保定·中国电谷”大王店产业园区控制性详细规划》（2009</w:t>
            </w:r>
            <w:r>
              <w:rPr>
                <w:rFonts w:ascii="Times New Roman" w:hAnsi="Times New Roman" w:eastAsiaTheme="minorEastAsia"/>
                <w:color w:val="auto"/>
                <w:sz w:val="24"/>
                <w:highlight w:val="none"/>
              </w:rPr>
              <w:t>～</w:t>
            </w:r>
            <w:r>
              <w:rPr>
                <w:rFonts w:ascii="Times New Roman" w:hAnsi="Times New Roman"/>
                <w:color w:val="auto"/>
                <w:sz w:val="24"/>
                <w:highlight w:val="none"/>
              </w:rPr>
              <w:t>2020年）（河北徐水经济开发区原名为“保定·中国电谷”大王店产业园区，2012年河北省人民政府以</w:t>
            </w:r>
            <w:r>
              <w:rPr>
                <w:rFonts w:ascii="Times New Roman" w:hAnsi="Times New Roman"/>
                <w:color w:val="auto"/>
                <w:spacing w:val="-1"/>
                <w:sz w:val="24"/>
                <w:highlight w:val="none"/>
              </w:rPr>
              <w:t>冀政函[2012]96号将河北徐水经济开发区纳入省级经济开发区（园区）管理序列，大王店产业园区被正式命名为“河北徐水经济开发区”</w:t>
            </w:r>
            <w:r>
              <w:rPr>
                <w:rFonts w:ascii="Times New Roman" w:hAnsi="Times New Roman"/>
                <w:color w:val="auto"/>
                <w:sz w:val="24"/>
                <w:highlight w:val="none"/>
              </w:rPr>
              <w:t>）</w:t>
            </w:r>
          </w:p>
          <w:p w14:paraId="39DBD763">
            <w:pPr>
              <w:autoSpaceDE w:val="0"/>
              <w:autoSpaceDN w:val="0"/>
              <w:adjustRightInd w:val="0"/>
              <w:snapToGrid w:val="0"/>
              <w:spacing w:line="360" w:lineRule="exact"/>
              <w:ind w:firstLine="480" w:firstLineChars="200"/>
              <w:rPr>
                <w:rFonts w:ascii="Times New Roman" w:hAnsi="Times New Roman" w:eastAsiaTheme="minorEastAsia"/>
                <w:color w:val="auto"/>
                <w:spacing w:val="-1"/>
                <w:sz w:val="24"/>
                <w:highlight w:val="none"/>
              </w:rPr>
            </w:pPr>
            <w:r>
              <w:rPr>
                <w:rFonts w:ascii="Times New Roman" w:hAnsi="Times New Roman"/>
                <w:color w:val="auto"/>
                <w:sz w:val="24"/>
                <w:highlight w:val="none"/>
              </w:rPr>
              <w:t>审批机关：</w:t>
            </w:r>
            <w:r>
              <w:rPr>
                <w:rFonts w:ascii="Times New Roman" w:hAnsi="Times New Roman"/>
                <w:color w:val="auto"/>
                <w:spacing w:val="-1"/>
                <w:sz w:val="24"/>
                <w:highlight w:val="none"/>
              </w:rPr>
              <w:t>河北省人民政府</w:t>
            </w:r>
          </w:p>
          <w:p w14:paraId="16A79794">
            <w:pPr>
              <w:autoSpaceDE w:val="0"/>
              <w:autoSpaceDN w:val="0"/>
              <w:adjustRightInd w:val="0"/>
              <w:snapToGrid w:val="0"/>
              <w:spacing w:line="360" w:lineRule="exact"/>
              <w:ind w:firstLine="480" w:firstLineChars="200"/>
              <w:rPr>
                <w:rFonts w:ascii="Times New Roman" w:hAnsi="Times New Roman" w:eastAsiaTheme="minorEastAsia"/>
                <w:color w:val="auto"/>
                <w:kern w:val="0"/>
                <w:sz w:val="24"/>
                <w:szCs w:val="24"/>
                <w:highlight w:val="none"/>
              </w:rPr>
            </w:pPr>
            <w:r>
              <w:rPr>
                <w:rFonts w:ascii="Times New Roman" w:hAnsi="Times New Roman"/>
                <w:color w:val="auto"/>
                <w:sz w:val="24"/>
                <w:highlight w:val="none"/>
              </w:rPr>
              <w:t>审批文件名称及文号：</w:t>
            </w:r>
            <w:r>
              <w:rPr>
                <w:rFonts w:ascii="Times New Roman" w:hAnsi="Times New Roman"/>
                <w:color w:val="auto"/>
                <w:spacing w:val="-1"/>
                <w:sz w:val="24"/>
                <w:highlight w:val="none"/>
              </w:rPr>
              <w:t>冀政函[2012]96号</w:t>
            </w:r>
          </w:p>
        </w:tc>
      </w:tr>
      <w:tr w14:paraId="7155EB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7" w:hRule="atLeast"/>
          <w:jc w:val="center"/>
        </w:trPr>
        <w:tc>
          <w:tcPr>
            <w:tcW w:w="1701" w:type="dxa"/>
            <w:gridSpan w:val="2"/>
            <w:vAlign w:val="center"/>
          </w:tcPr>
          <w:p w14:paraId="7DC09469">
            <w:pPr>
              <w:adjustRightInd w:val="0"/>
              <w:snapToGrid w:val="0"/>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规划环境影</w:t>
            </w:r>
          </w:p>
          <w:p w14:paraId="2E0D2D2E">
            <w:pPr>
              <w:adjustRightInd w:val="0"/>
              <w:snapToGrid w:val="0"/>
              <w:jc w:val="center"/>
              <w:rPr>
                <w:rFonts w:ascii="Times New Roman" w:hAnsi="Times New Roman" w:eastAsiaTheme="minorEastAsia"/>
                <w:color w:val="auto"/>
                <w:sz w:val="24"/>
                <w:szCs w:val="24"/>
                <w:highlight w:val="none"/>
              </w:rPr>
            </w:pPr>
            <w:r>
              <w:rPr>
                <w:rFonts w:ascii="Times New Roman" w:hAnsi="Times New Roman" w:eastAsiaTheme="minorEastAsia"/>
                <w:b/>
                <w:bCs/>
                <w:color w:val="auto"/>
                <w:sz w:val="24"/>
                <w:szCs w:val="24"/>
                <w:highlight w:val="none"/>
              </w:rPr>
              <w:t>响评价情况</w:t>
            </w:r>
          </w:p>
        </w:tc>
        <w:tc>
          <w:tcPr>
            <w:tcW w:w="7328" w:type="dxa"/>
            <w:gridSpan w:val="3"/>
            <w:vAlign w:val="center"/>
          </w:tcPr>
          <w:p w14:paraId="53B7B513">
            <w:pPr>
              <w:autoSpaceDE w:val="0"/>
              <w:autoSpaceDN w:val="0"/>
              <w:adjustRightInd w:val="0"/>
              <w:snapToGrid w:val="0"/>
              <w:spacing w:line="36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文件名称：《“保定·中国电谷”大王店产业园区规划环境影响报告书》《河北徐水经济开发区（原大王店产业园内）规划环境影响跟踪评价报告书》</w:t>
            </w:r>
          </w:p>
          <w:p w14:paraId="5669DAE7">
            <w:pPr>
              <w:autoSpaceDE w:val="0"/>
              <w:autoSpaceDN w:val="0"/>
              <w:adjustRightInd w:val="0"/>
              <w:snapToGrid w:val="0"/>
              <w:spacing w:line="360" w:lineRule="exact"/>
              <w:ind w:firstLine="480" w:firstLineChars="200"/>
              <w:rPr>
                <w:rFonts w:ascii="Times New Roman" w:hAnsi="Times New Roman" w:eastAsiaTheme="minorEastAsia"/>
                <w:color w:val="auto"/>
                <w:sz w:val="24"/>
                <w:highlight w:val="none"/>
              </w:rPr>
            </w:pPr>
            <w:r>
              <w:rPr>
                <w:rFonts w:ascii="Times New Roman" w:hAnsi="Times New Roman"/>
                <w:color w:val="auto"/>
                <w:sz w:val="24"/>
                <w:highlight w:val="none"/>
              </w:rPr>
              <w:t>召集审查机关：保定市生态环境局（原保定市环境保护局）</w:t>
            </w:r>
          </w:p>
          <w:p w14:paraId="48503A13">
            <w:pPr>
              <w:autoSpaceDE w:val="0"/>
              <w:autoSpaceDN w:val="0"/>
              <w:adjustRightInd w:val="0"/>
              <w:snapToGrid w:val="0"/>
              <w:spacing w:line="360" w:lineRule="exact"/>
              <w:ind w:firstLine="480" w:firstLineChars="200"/>
              <w:rPr>
                <w:rFonts w:ascii="Times New Roman" w:hAnsi="Times New Roman" w:eastAsiaTheme="minorEastAsia"/>
                <w:color w:val="auto"/>
                <w:sz w:val="24"/>
                <w:szCs w:val="24"/>
                <w:highlight w:val="none"/>
              </w:rPr>
            </w:pPr>
            <w:r>
              <w:rPr>
                <w:rFonts w:ascii="Times New Roman" w:hAnsi="Times New Roman"/>
                <w:color w:val="auto"/>
                <w:sz w:val="24"/>
                <w:highlight w:val="none"/>
              </w:rPr>
              <w:t>审查文件名称及文号：《保定市环境保护局关于保定·中国电谷大王店产业园区规划环境影响报告书的审查意见》《保定市生态环境局关于转送河北徐水经济开发区（原大王店产业园内）规划环境影响跟踪评价报告书专家审查见的函》（保环规[2019]4号）</w:t>
            </w:r>
          </w:p>
        </w:tc>
      </w:tr>
      <w:tr w14:paraId="791668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3" w:hRule="atLeast"/>
          <w:jc w:val="center"/>
        </w:trPr>
        <w:tc>
          <w:tcPr>
            <w:tcW w:w="501" w:type="dxa"/>
            <w:vAlign w:val="center"/>
          </w:tcPr>
          <w:p w14:paraId="2C380A66">
            <w:pPr>
              <w:autoSpaceDE w:val="0"/>
              <w:autoSpaceDN w:val="0"/>
              <w:adjustRightInd w:val="0"/>
              <w:snapToGrid w:val="0"/>
              <w:jc w:val="center"/>
              <w:rPr>
                <w:rFonts w:ascii="Times New Roman" w:hAnsi="Times New Roman" w:eastAsiaTheme="minorEastAsia"/>
                <w:b/>
                <w:bCs/>
                <w:color w:val="auto"/>
                <w:kern w:val="0"/>
                <w:sz w:val="24"/>
                <w:szCs w:val="24"/>
                <w:highlight w:val="none"/>
              </w:rPr>
            </w:pPr>
            <w:r>
              <w:rPr>
                <w:rFonts w:ascii="Times New Roman" w:hAnsi="Times New Roman" w:eastAsiaTheme="minorEastAsia"/>
                <w:b/>
                <w:bCs/>
                <w:color w:val="auto"/>
                <w:kern w:val="0"/>
                <w:sz w:val="24"/>
                <w:szCs w:val="24"/>
                <w:highlight w:val="none"/>
              </w:rPr>
              <w:t>规划及规划环境影响评价符合性分析</w:t>
            </w:r>
          </w:p>
          <w:p w14:paraId="4C4D7C04">
            <w:pPr>
              <w:pStyle w:val="5"/>
              <w:rPr>
                <w:rFonts w:ascii="Times New Roman" w:hAnsi="Times New Roman"/>
                <w:color w:val="auto"/>
                <w:highlight w:val="none"/>
              </w:rPr>
            </w:pPr>
          </w:p>
          <w:p w14:paraId="521FA799">
            <w:pPr>
              <w:pStyle w:val="5"/>
              <w:rPr>
                <w:rFonts w:ascii="Times New Roman" w:hAnsi="Times New Roman"/>
                <w:color w:val="auto"/>
                <w:highlight w:val="none"/>
              </w:rPr>
            </w:pPr>
          </w:p>
          <w:p w14:paraId="2E8D5B40">
            <w:pPr>
              <w:pStyle w:val="5"/>
              <w:rPr>
                <w:rFonts w:ascii="Times New Roman" w:hAnsi="Times New Roman"/>
                <w:color w:val="auto"/>
                <w:highlight w:val="none"/>
              </w:rPr>
            </w:pPr>
          </w:p>
        </w:tc>
        <w:tc>
          <w:tcPr>
            <w:tcW w:w="8528" w:type="dxa"/>
            <w:gridSpan w:val="4"/>
            <w:vAlign w:val="center"/>
          </w:tcPr>
          <w:p w14:paraId="29FA98D3">
            <w:pPr>
              <w:spacing w:line="480" w:lineRule="exact"/>
              <w:ind w:firstLine="480" w:firstLineChars="200"/>
              <w:rPr>
                <w:rFonts w:ascii="Times New Roman" w:hAnsi="Times New Roman" w:eastAsiaTheme="minorEastAsia"/>
                <w:bCs/>
                <w:color w:val="auto"/>
                <w:sz w:val="24"/>
                <w:szCs w:val="24"/>
                <w:highlight w:val="none"/>
              </w:rPr>
            </w:pPr>
            <w:r>
              <w:rPr>
                <w:rFonts w:ascii="Times New Roman" w:hAnsi="Times New Roman" w:eastAsiaTheme="minorEastAsia"/>
                <w:bCs/>
                <w:color w:val="auto"/>
                <w:sz w:val="24"/>
                <w:szCs w:val="24"/>
                <w:highlight w:val="none"/>
              </w:rPr>
              <w:t>1、与规划的符合性分析</w:t>
            </w:r>
          </w:p>
          <w:p w14:paraId="212A112A">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本项目与《徐水经济开发区（原大王店产业园区）控制性详细规划设计》符合性分析详见下表：</w:t>
            </w:r>
          </w:p>
          <w:p w14:paraId="166C6EDB">
            <w:pPr>
              <w:spacing w:line="480" w:lineRule="exact"/>
              <w:jc w:val="center"/>
              <w:rPr>
                <w:rFonts w:ascii="Times New Roman" w:hAnsi="Times New Roman" w:eastAsiaTheme="minorEastAsia"/>
                <w:color w:val="auto"/>
                <w:sz w:val="24"/>
                <w:szCs w:val="24"/>
                <w:highlight w:val="none"/>
              </w:rPr>
            </w:pPr>
            <w:r>
              <w:rPr>
                <w:rFonts w:ascii="Times New Roman" w:hAnsi="Times New Roman" w:eastAsiaTheme="minorEastAsia"/>
                <w:bCs/>
                <w:color w:val="auto"/>
                <w:sz w:val="24"/>
                <w:szCs w:val="24"/>
                <w:highlight w:val="none"/>
              </w:rPr>
              <w:t>表1-1  与徐水经济开发区规划符合性对比分析表</w:t>
            </w:r>
          </w:p>
          <w:tbl>
            <w:tblPr>
              <w:tblStyle w:val="31"/>
              <w:tblW w:w="8315"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349"/>
              <w:gridCol w:w="3536"/>
              <w:gridCol w:w="862"/>
            </w:tblGrid>
            <w:tr w14:paraId="475C90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auto"/>
                  <w:vAlign w:val="center"/>
                </w:tcPr>
                <w:p w14:paraId="431C6892">
                  <w:pPr>
                    <w:autoSpaceDE w:val="0"/>
                    <w:autoSpaceDN w:val="0"/>
                    <w:adjustRightInd w:val="0"/>
                    <w:snapToGrid w:val="0"/>
                    <w:jc w:val="center"/>
                    <w:rPr>
                      <w:rFonts w:ascii="Times New Roman" w:hAnsi="Times New Roman" w:eastAsiaTheme="minorEastAsia"/>
                      <w:bCs/>
                      <w:color w:val="auto"/>
                      <w:kern w:val="0"/>
                      <w:szCs w:val="21"/>
                      <w:highlight w:val="none"/>
                    </w:rPr>
                  </w:pPr>
                  <w:r>
                    <w:rPr>
                      <w:rFonts w:ascii="Times New Roman" w:hAnsi="Times New Roman" w:eastAsiaTheme="minorEastAsia"/>
                      <w:bCs/>
                      <w:color w:val="auto"/>
                      <w:kern w:val="0"/>
                      <w:szCs w:val="21"/>
                      <w:highlight w:val="none"/>
                    </w:rPr>
                    <w:t>序号</w:t>
                  </w:r>
                </w:p>
              </w:tc>
              <w:tc>
                <w:tcPr>
                  <w:tcW w:w="3349" w:type="dxa"/>
                  <w:shd w:val="clear" w:color="auto" w:fill="auto"/>
                  <w:vAlign w:val="center"/>
                </w:tcPr>
                <w:p w14:paraId="48CD7005">
                  <w:pPr>
                    <w:autoSpaceDE w:val="0"/>
                    <w:autoSpaceDN w:val="0"/>
                    <w:adjustRightInd w:val="0"/>
                    <w:snapToGrid w:val="0"/>
                    <w:jc w:val="center"/>
                    <w:rPr>
                      <w:rFonts w:ascii="Times New Roman" w:hAnsi="Times New Roman" w:eastAsiaTheme="minorEastAsia"/>
                      <w:bCs/>
                      <w:color w:val="auto"/>
                      <w:kern w:val="0"/>
                      <w:szCs w:val="21"/>
                      <w:highlight w:val="none"/>
                    </w:rPr>
                  </w:pPr>
                  <w:r>
                    <w:rPr>
                      <w:rFonts w:ascii="Times New Roman" w:hAnsi="Times New Roman" w:eastAsiaTheme="minorEastAsia"/>
                      <w:bCs/>
                      <w:color w:val="auto"/>
                      <w:kern w:val="0"/>
                      <w:szCs w:val="21"/>
                      <w:highlight w:val="none"/>
                    </w:rPr>
                    <w:t>规划内容</w:t>
                  </w:r>
                </w:p>
              </w:tc>
              <w:tc>
                <w:tcPr>
                  <w:tcW w:w="3536" w:type="dxa"/>
                  <w:shd w:val="clear" w:color="auto" w:fill="auto"/>
                  <w:vAlign w:val="center"/>
                </w:tcPr>
                <w:p w14:paraId="609889ED">
                  <w:pPr>
                    <w:autoSpaceDE w:val="0"/>
                    <w:autoSpaceDN w:val="0"/>
                    <w:adjustRightInd w:val="0"/>
                    <w:snapToGrid w:val="0"/>
                    <w:jc w:val="center"/>
                    <w:rPr>
                      <w:rFonts w:ascii="Times New Roman" w:hAnsi="Times New Roman" w:eastAsiaTheme="minorEastAsia"/>
                      <w:bCs/>
                      <w:color w:val="auto"/>
                      <w:kern w:val="0"/>
                      <w:szCs w:val="21"/>
                      <w:highlight w:val="none"/>
                    </w:rPr>
                  </w:pPr>
                  <w:r>
                    <w:rPr>
                      <w:rFonts w:ascii="Times New Roman" w:hAnsi="Times New Roman" w:eastAsiaTheme="minorEastAsia"/>
                      <w:bCs/>
                      <w:color w:val="auto"/>
                      <w:kern w:val="0"/>
                      <w:szCs w:val="21"/>
                      <w:highlight w:val="none"/>
                    </w:rPr>
                    <w:t>本项目</w:t>
                  </w:r>
                </w:p>
              </w:tc>
              <w:tc>
                <w:tcPr>
                  <w:tcW w:w="862" w:type="dxa"/>
                  <w:shd w:val="clear" w:color="auto" w:fill="auto"/>
                  <w:vAlign w:val="center"/>
                </w:tcPr>
                <w:p w14:paraId="20AF19F6">
                  <w:pPr>
                    <w:autoSpaceDE w:val="0"/>
                    <w:autoSpaceDN w:val="0"/>
                    <w:adjustRightInd w:val="0"/>
                    <w:snapToGrid w:val="0"/>
                    <w:jc w:val="center"/>
                    <w:rPr>
                      <w:rFonts w:ascii="Times New Roman" w:hAnsi="Times New Roman" w:eastAsiaTheme="minorEastAsia"/>
                      <w:bCs/>
                      <w:color w:val="auto"/>
                      <w:kern w:val="0"/>
                      <w:szCs w:val="21"/>
                      <w:highlight w:val="none"/>
                    </w:rPr>
                  </w:pPr>
                  <w:r>
                    <w:rPr>
                      <w:rFonts w:ascii="Times New Roman" w:hAnsi="Times New Roman" w:eastAsiaTheme="minorEastAsia"/>
                      <w:bCs/>
                      <w:color w:val="auto"/>
                      <w:kern w:val="0"/>
                      <w:szCs w:val="21"/>
                      <w:highlight w:val="none"/>
                    </w:rPr>
                    <w:t>符合性</w:t>
                  </w:r>
                </w:p>
              </w:tc>
            </w:tr>
            <w:tr w14:paraId="340CA9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auto"/>
                  <w:vAlign w:val="center"/>
                </w:tcPr>
                <w:p w14:paraId="510116E1">
                  <w:pPr>
                    <w:autoSpaceDE w:val="0"/>
                    <w:autoSpaceDN w:val="0"/>
                    <w:adjustRightInd w:val="0"/>
                    <w:snapToGrid w:val="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1</w:t>
                  </w:r>
                </w:p>
              </w:tc>
              <w:tc>
                <w:tcPr>
                  <w:tcW w:w="3349" w:type="dxa"/>
                  <w:shd w:val="clear" w:color="auto" w:fill="auto"/>
                  <w:vAlign w:val="center"/>
                </w:tcPr>
                <w:p w14:paraId="30DF056E">
                  <w:pPr>
                    <w:autoSpaceDE w:val="0"/>
                    <w:autoSpaceDN w:val="0"/>
                    <w:adjustRightInd w:val="0"/>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规划范围：河北徐水经济开发区（原大王店产业园区）规划实施范围为西至乐凯大街，西北至高压走廊，北至徐大公路，东至瑞祥大街，南至纬一路，实施面积为20.25km</w:t>
                  </w:r>
                  <w:r>
                    <w:rPr>
                      <w:rFonts w:ascii="Times New Roman" w:hAnsi="Times New Roman" w:eastAsiaTheme="minorEastAsia"/>
                      <w:color w:val="auto"/>
                      <w:kern w:val="0"/>
                      <w:szCs w:val="21"/>
                      <w:highlight w:val="none"/>
                      <w:vertAlign w:val="superscript"/>
                    </w:rPr>
                    <w:t>2</w:t>
                  </w:r>
                  <w:r>
                    <w:rPr>
                      <w:rFonts w:ascii="Times New Roman" w:hAnsi="Times New Roman" w:eastAsiaTheme="minorEastAsia"/>
                      <w:color w:val="auto"/>
                      <w:kern w:val="0"/>
                      <w:szCs w:val="21"/>
                      <w:highlight w:val="none"/>
                    </w:rPr>
                    <w:t>，实施范围较规划范围有所缩减，主要缩减区域为西北高压走廊西侧区域，即大王店镇区、大仕庄、小仕庄、骆庄等村庄。</w:t>
                  </w:r>
                </w:p>
              </w:tc>
              <w:tc>
                <w:tcPr>
                  <w:tcW w:w="3536" w:type="dxa"/>
                  <w:shd w:val="clear" w:color="auto" w:fill="auto"/>
                  <w:vAlign w:val="center"/>
                </w:tcPr>
                <w:p w14:paraId="3EA18109">
                  <w:pPr>
                    <w:autoSpaceDE w:val="0"/>
                    <w:autoSpaceDN w:val="0"/>
                    <w:adjustRightInd w:val="0"/>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本项目位于徐水经济开发区</w:t>
                  </w:r>
                  <w:r>
                    <w:rPr>
                      <w:rFonts w:hint="eastAsia" w:ascii="Times New Roman" w:hAnsi="Times New Roman" w:eastAsiaTheme="minorEastAsia"/>
                      <w:color w:val="auto"/>
                      <w:kern w:val="0"/>
                      <w:szCs w:val="21"/>
                      <w:highlight w:val="none"/>
                    </w:rPr>
                    <w:t>小微企业园，</w:t>
                  </w:r>
                  <w:r>
                    <w:rPr>
                      <w:rFonts w:hint="eastAsia" w:ascii="Times New Roman" w:hAnsi="Times New Roman" w:eastAsiaTheme="minorEastAsia"/>
                      <w:color w:val="auto"/>
                      <w:kern w:val="0"/>
                      <w:szCs w:val="21"/>
                      <w:highlight w:val="none"/>
                      <w:lang w:val="en-US" w:eastAsia="zh-CN"/>
                    </w:rPr>
                    <w:t>租赁</w:t>
                  </w:r>
                  <w:r>
                    <w:rPr>
                      <w:rFonts w:hint="eastAsia" w:ascii="Times New Roman" w:hAnsi="Times New Roman" w:eastAsiaTheme="minorEastAsia"/>
                      <w:color w:val="auto"/>
                      <w:kern w:val="0"/>
                      <w:szCs w:val="21"/>
                      <w:highlight w:val="none"/>
                    </w:rPr>
                    <w:t>河北天福重工阀门有限公司</w:t>
                  </w:r>
                  <w:r>
                    <w:rPr>
                      <w:rFonts w:hint="eastAsia" w:ascii="Times New Roman" w:hAnsi="Times New Roman" w:eastAsiaTheme="minorEastAsia"/>
                      <w:color w:val="auto"/>
                      <w:kern w:val="0"/>
                      <w:szCs w:val="21"/>
                      <w:highlight w:val="none"/>
                      <w:lang w:val="en-US" w:eastAsia="zh-CN"/>
                    </w:rPr>
                    <w:t>现有车间进行建设</w:t>
                  </w:r>
                  <w:r>
                    <w:rPr>
                      <w:rFonts w:hint="eastAsia" w:ascii="Times New Roman" w:hAnsi="Times New Roman" w:eastAsiaTheme="minorEastAsia"/>
                      <w:color w:val="auto"/>
                      <w:kern w:val="0"/>
                      <w:szCs w:val="21"/>
                      <w:highlight w:val="none"/>
                    </w:rPr>
                    <w:t>。</w:t>
                  </w:r>
                </w:p>
              </w:tc>
              <w:tc>
                <w:tcPr>
                  <w:tcW w:w="862" w:type="dxa"/>
                  <w:shd w:val="clear" w:color="auto" w:fill="auto"/>
                  <w:vAlign w:val="center"/>
                </w:tcPr>
                <w:p w14:paraId="04553BCA">
                  <w:pPr>
                    <w:autoSpaceDE w:val="0"/>
                    <w:autoSpaceDN w:val="0"/>
                    <w:adjustRightInd w:val="0"/>
                    <w:snapToGrid w:val="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09ADC9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7" w:hRule="atLeast"/>
              </w:trPr>
              <w:tc>
                <w:tcPr>
                  <w:tcW w:w="568" w:type="dxa"/>
                  <w:shd w:val="clear" w:color="auto" w:fill="auto"/>
                  <w:vAlign w:val="center"/>
                </w:tcPr>
                <w:p w14:paraId="63278560">
                  <w:pPr>
                    <w:autoSpaceDE w:val="0"/>
                    <w:autoSpaceDN w:val="0"/>
                    <w:adjustRightInd w:val="0"/>
                    <w:snapToGrid w:val="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2</w:t>
                  </w:r>
                </w:p>
              </w:tc>
              <w:tc>
                <w:tcPr>
                  <w:tcW w:w="3349" w:type="dxa"/>
                  <w:shd w:val="clear" w:color="auto" w:fill="auto"/>
                  <w:vAlign w:val="center"/>
                </w:tcPr>
                <w:p w14:paraId="58476047">
                  <w:pPr>
                    <w:autoSpaceDE w:val="0"/>
                    <w:autoSpaceDN w:val="0"/>
                    <w:adjustRightInd w:val="0"/>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开发区产业定位为：重点发展汽车及零部件制造、新型储能设备、现代电子信息、新材料等高端产业，着力打造高新技术制造业和战略性新兴产业基地。</w:t>
                  </w:r>
                </w:p>
              </w:tc>
              <w:tc>
                <w:tcPr>
                  <w:tcW w:w="3536" w:type="dxa"/>
                  <w:shd w:val="clear" w:color="auto" w:fill="auto"/>
                  <w:vAlign w:val="center"/>
                </w:tcPr>
                <w:p w14:paraId="2E27CA47">
                  <w:pPr>
                    <w:pStyle w:val="11"/>
                    <w:rPr>
                      <w:rFonts w:hint="eastAsia" w:ascii="Times New Roman" w:hAnsi="Times New Roman" w:eastAsiaTheme="minorEastAsia"/>
                      <w:color w:val="auto"/>
                      <w:kern w:val="0"/>
                      <w:szCs w:val="21"/>
                      <w:highlight w:val="none"/>
                      <w:lang w:eastAsia="zh-CN"/>
                    </w:rPr>
                  </w:pPr>
                  <w:r>
                    <w:rPr>
                      <w:rFonts w:ascii="Times New Roman" w:hAnsi="Times New Roman" w:eastAsiaTheme="minorEastAsia"/>
                      <w:color w:val="auto"/>
                      <w:kern w:val="0"/>
                      <w:sz w:val="21"/>
                      <w:szCs w:val="21"/>
                      <w:highlight w:val="none"/>
                    </w:rPr>
                    <w:t>本项目</w:t>
                  </w:r>
                  <w:r>
                    <w:rPr>
                      <w:rFonts w:hint="eastAsia"/>
                      <w:color w:val="auto"/>
                      <w:sz w:val="21"/>
                      <w:szCs w:val="21"/>
                      <w:highlight w:val="none"/>
                      <w:lang w:val="en-US" w:eastAsia="zh-CN"/>
                    </w:rPr>
                    <w:t>属于环保基础设施建设，服务于开发区及周边企业</w:t>
                  </w:r>
                  <w:r>
                    <w:rPr>
                      <w:rFonts w:hint="eastAsia" w:ascii="Times New Roman" w:hAnsi="Times New Roman" w:eastAsiaTheme="minorEastAsia"/>
                      <w:color w:val="auto"/>
                      <w:kern w:val="0"/>
                      <w:sz w:val="21"/>
                      <w:szCs w:val="21"/>
                      <w:highlight w:val="none"/>
                    </w:rPr>
                    <w:t>，徐水经济开发区管理委员会出具了入园证明，同意本公司入驻园区</w:t>
                  </w:r>
                  <w:r>
                    <w:rPr>
                      <w:rFonts w:hint="eastAsia" w:ascii="Times New Roman" w:hAnsi="Times New Roman" w:eastAsiaTheme="minorEastAsia"/>
                      <w:color w:val="auto"/>
                      <w:kern w:val="0"/>
                      <w:sz w:val="21"/>
                      <w:szCs w:val="21"/>
                      <w:highlight w:val="none"/>
                      <w:lang w:eastAsia="zh-CN"/>
                    </w:rPr>
                    <w:t>。</w:t>
                  </w:r>
                </w:p>
              </w:tc>
              <w:tc>
                <w:tcPr>
                  <w:tcW w:w="862" w:type="dxa"/>
                  <w:shd w:val="clear" w:color="auto" w:fill="auto"/>
                  <w:vAlign w:val="center"/>
                </w:tcPr>
                <w:p w14:paraId="7E5501AA">
                  <w:pPr>
                    <w:autoSpaceDE w:val="0"/>
                    <w:autoSpaceDN w:val="0"/>
                    <w:adjustRightInd w:val="0"/>
                    <w:snapToGrid w:val="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7E09DC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568" w:type="dxa"/>
                  <w:shd w:val="clear" w:color="auto" w:fill="auto"/>
                  <w:vAlign w:val="center"/>
                </w:tcPr>
                <w:p w14:paraId="2F744B7B">
                  <w:pPr>
                    <w:autoSpaceDE w:val="0"/>
                    <w:autoSpaceDN w:val="0"/>
                    <w:adjustRightInd w:val="0"/>
                    <w:snapToGrid w:val="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3</w:t>
                  </w:r>
                </w:p>
              </w:tc>
              <w:tc>
                <w:tcPr>
                  <w:tcW w:w="3349" w:type="dxa"/>
                  <w:shd w:val="clear" w:color="auto" w:fill="auto"/>
                  <w:vAlign w:val="center"/>
                </w:tcPr>
                <w:p w14:paraId="0415DDFA">
                  <w:pPr>
                    <w:autoSpaceDE w:val="0"/>
                    <w:autoSpaceDN w:val="0"/>
                    <w:adjustRightInd w:val="0"/>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szCs w:val="21"/>
                      <w:highlight w:val="none"/>
                    </w:rPr>
                    <w:t>给水：开发区用水由河北徐水经济开发区地表水厂供给，地表水厂位于开发区内纬二路北侧，总占地面积为46710.77m</w:t>
                  </w:r>
                  <w:r>
                    <w:rPr>
                      <w:rFonts w:ascii="Times New Roman" w:hAnsi="Times New Roman" w:eastAsiaTheme="minorEastAsia"/>
                      <w:color w:val="auto"/>
                      <w:szCs w:val="21"/>
                      <w:highlight w:val="none"/>
                      <w:vertAlign w:val="superscript"/>
                    </w:rPr>
                    <w:t>2</w:t>
                  </w:r>
                  <w:r>
                    <w:rPr>
                      <w:rFonts w:ascii="Times New Roman" w:hAnsi="Times New Roman" w:eastAsiaTheme="minorEastAsia"/>
                      <w:color w:val="auto"/>
                      <w:szCs w:val="21"/>
                      <w:highlight w:val="none"/>
                    </w:rPr>
                    <w:t>，地表水厂以南水北调水为水源，供水规模为5万m</w:t>
                  </w:r>
                  <w:r>
                    <w:rPr>
                      <w:rFonts w:ascii="Times New Roman" w:hAnsi="Times New Roman" w:eastAsiaTheme="minorEastAsia"/>
                      <w:color w:val="auto"/>
                      <w:szCs w:val="21"/>
                      <w:highlight w:val="none"/>
                      <w:vertAlign w:val="superscript"/>
                    </w:rPr>
                    <w:t>3</w:t>
                  </w:r>
                  <w:r>
                    <w:rPr>
                      <w:rFonts w:ascii="Times New Roman" w:hAnsi="Times New Roman" w:eastAsiaTheme="minorEastAsia"/>
                      <w:color w:val="auto"/>
                      <w:szCs w:val="21"/>
                      <w:highlight w:val="none"/>
                    </w:rPr>
                    <w:t>/d。</w:t>
                  </w:r>
                </w:p>
              </w:tc>
              <w:tc>
                <w:tcPr>
                  <w:tcW w:w="3536" w:type="dxa"/>
                  <w:shd w:val="clear" w:color="auto" w:fill="auto"/>
                  <w:vAlign w:val="center"/>
                </w:tcPr>
                <w:p w14:paraId="7E5089C8">
                  <w:pPr>
                    <w:autoSpaceDE w:val="0"/>
                    <w:autoSpaceDN w:val="0"/>
                    <w:adjustRightInd w:val="0"/>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szCs w:val="21"/>
                      <w:highlight w:val="none"/>
                    </w:rPr>
                    <w:t>本项目供水由河北徐水经济开发区现有供水</w:t>
                  </w:r>
                  <w:r>
                    <w:rPr>
                      <w:rFonts w:hint="eastAsia" w:ascii="Times New Roman" w:hAnsi="Times New Roman" w:eastAsiaTheme="minorEastAsia"/>
                      <w:color w:val="auto"/>
                      <w:szCs w:val="21"/>
                      <w:highlight w:val="none"/>
                    </w:rPr>
                    <w:t>管网</w:t>
                  </w:r>
                  <w:r>
                    <w:rPr>
                      <w:rFonts w:ascii="Times New Roman" w:hAnsi="Times New Roman" w:eastAsiaTheme="minorEastAsia"/>
                      <w:color w:val="auto"/>
                      <w:szCs w:val="21"/>
                      <w:highlight w:val="none"/>
                    </w:rPr>
                    <w:t>供给，能够满足项目用水需求。</w:t>
                  </w:r>
                </w:p>
              </w:tc>
              <w:tc>
                <w:tcPr>
                  <w:tcW w:w="862" w:type="dxa"/>
                  <w:shd w:val="clear" w:color="auto" w:fill="auto"/>
                  <w:vAlign w:val="center"/>
                </w:tcPr>
                <w:p w14:paraId="6D219288">
                  <w:pPr>
                    <w:autoSpaceDE w:val="0"/>
                    <w:autoSpaceDN w:val="0"/>
                    <w:adjustRightInd w:val="0"/>
                    <w:snapToGrid w:val="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bl>
          <w:p w14:paraId="0C27B613">
            <w:pPr>
              <w:spacing w:line="480" w:lineRule="exact"/>
              <w:jc w:val="center"/>
              <w:rPr>
                <w:rFonts w:ascii="Times New Roman" w:hAnsi="Times New Roman" w:eastAsiaTheme="minorEastAsia"/>
                <w:bCs/>
                <w:color w:val="auto"/>
                <w:sz w:val="24"/>
                <w:szCs w:val="24"/>
                <w:highlight w:val="none"/>
              </w:rPr>
            </w:pPr>
          </w:p>
          <w:p w14:paraId="241E1641">
            <w:pPr>
              <w:spacing w:line="480" w:lineRule="exact"/>
              <w:jc w:val="center"/>
              <w:rPr>
                <w:rFonts w:ascii="Times New Roman" w:hAnsi="Times New Roman" w:eastAsiaTheme="minorEastAsia"/>
                <w:color w:val="auto"/>
                <w:sz w:val="24"/>
                <w:szCs w:val="24"/>
                <w:highlight w:val="none"/>
              </w:rPr>
            </w:pPr>
            <w:r>
              <w:rPr>
                <w:rFonts w:hint="eastAsia" w:ascii="Times New Roman" w:hAnsi="Times New Roman" w:eastAsiaTheme="minorEastAsia"/>
                <w:bCs/>
                <w:color w:val="auto"/>
                <w:sz w:val="24"/>
                <w:szCs w:val="24"/>
                <w:highlight w:val="none"/>
              </w:rPr>
              <w:t>续</w:t>
            </w:r>
            <w:r>
              <w:rPr>
                <w:rFonts w:ascii="Times New Roman" w:hAnsi="Times New Roman" w:eastAsiaTheme="minorEastAsia"/>
                <w:bCs/>
                <w:color w:val="auto"/>
                <w:sz w:val="24"/>
                <w:szCs w:val="24"/>
                <w:highlight w:val="none"/>
              </w:rPr>
              <w:t>表1-1  与徐水经济开发区规划符合性对比分析表</w:t>
            </w:r>
          </w:p>
          <w:tbl>
            <w:tblPr>
              <w:tblStyle w:val="31"/>
              <w:tblW w:w="8315"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8"/>
              <w:gridCol w:w="4399"/>
              <w:gridCol w:w="2486"/>
              <w:gridCol w:w="862"/>
            </w:tblGrid>
            <w:tr w14:paraId="5902CF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auto"/>
                  <w:vAlign w:val="center"/>
                </w:tcPr>
                <w:p w14:paraId="1FBAB5F2">
                  <w:pPr>
                    <w:autoSpaceDE w:val="0"/>
                    <w:autoSpaceDN w:val="0"/>
                    <w:adjustRightInd w:val="0"/>
                    <w:snapToGrid w:val="0"/>
                    <w:jc w:val="center"/>
                    <w:rPr>
                      <w:rFonts w:ascii="Times New Roman" w:hAnsi="Times New Roman" w:eastAsiaTheme="minorEastAsia"/>
                      <w:bCs/>
                      <w:color w:val="auto"/>
                      <w:kern w:val="0"/>
                      <w:szCs w:val="21"/>
                      <w:highlight w:val="none"/>
                    </w:rPr>
                  </w:pPr>
                  <w:r>
                    <w:rPr>
                      <w:rFonts w:ascii="Times New Roman" w:hAnsi="Times New Roman" w:eastAsiaTheme="minorEastAsia"/>
                      <w:bCs/>
                      <w:color w:val="auto"/>
                      <w:kern w:val="0"/>
                      <w:szCs w:val="21"/>
                      <w:highlight w:val="none"/>
                    </w:rPr>
                    <w:t>序号</w:t>
                  </w:r>
                </w:p>
              </w:tc>
              <w:tc>
                <w:tcPr>
                  <w:tcW w:w="4399" w:type="dxa"/>
                  <w:shd w:val="clear" w:color="auto" w:fill="auto"/>
                  <w:vAlign w:val="center"/>
                </w:tcPr>
                <w:p w14:paraId="43D0657B">
                  <w:pPr>
                    <w:autoSpaceDE w:val="0"/>
                    <w:autoSpaceDN w:val="0"/>
                    <w:adjustRightInd w:val="0"/>
                    <w:snapToGrid w:val="0"/>
                    <w:jc w:val="center"/>
                    <w:rPr>
                      <w:rFonts w:ascii="Times New Roman" w:hAnsi="Times New Roman" w:eastAsiaTheme="minorEastAsia"/>
                      <w:bCs/>
                      <w:color w:val="auto"/>
                      <w:kern w:val="0"/>
                      <w:szCs w:val="21"/>
                      <w:highlight w:val="none"/>
                    </w:rPr>
                  </w:pPr>
                  <w:r>
                    <w:rPr>
                      <w:rFonts w:ascii="Times New Roman" w:hAnsi="Times New Roman" w:eastAsiaTheme="minorEastAsia"/>
                      <w:bCs/>
                      <w:color w:val="auto"/>
                      <w:kern w:val="0"/>
                      <w:szCs w:val="21"/>
                      <w:highlight w:val="none"/>
                    </w:rPr>
                    <w:t>规划内容</w:t>
                  </w:r>
                </w:p>
              </w:tc>
              <w:tc>
                <w:tcPr>
                  <w:tcW w:w="2486" w:type="dxa"/>
                  <w:shd w:val="clear" w:color="auto" w:fill="auto"/>
                  <w:vAlign w:val="center"/>
                </w:tcPr>
                <w:p w14:paraId="1E104BFB">
                  <w:pPr>
                    <w:autoSpaceDE w:val="0"/>
                    <w:autoSpaceDN w:val="0"/>
                    <w:adjustRightInd w:val="0"/>
                    <w:snapToGrid w:val="0"/>
                    <w:jc w:val="center"/>
                    <w:rPr>
                      <w:rFonts w:ascii="Times New Roman" w:hAnsi="Times New Roman" w:eastAsiaTheme="minorEastAsia"/>
                      <w:bCs/>
                      <w:color w:val="auto"/>
                      <w:kern w:val="0"/>
                      <w:szCs w:val="21"/>
                      <w:highlight w:val="none"/>
                    </w:rPr>
                  </w:pPr>
                  <w:r>
                    <w:rPr>
                      <w:rFonts w:ascii="Times New Roman" w:hAnsi="Times New Roman" w:eastAsiaTheme="minorEastAsia"/>
                      <w:bCs/>
                      <w:color w:val="auto"/>
                      <w:kern w:val="0"/>
                      <w:szCs w:val="21"/>
                      <w:highlight w:val="none"/>
                    </w:rPr>
                    <w:t>本项目</w:t>
                  </w:r>
                </w:p>
              </w:tc>
              <w:tc>
                <w:tcPr>
                  <w:tcW w:w="862" w:type="dxa"/>
                  <w:shd w:val="clear" w:color="auto" w:fill="auto"/>
                  <w:vAlign w:val="center"/>
                </w:tcPr>
                <w:p w14:paraId="3C4A3E7F">
                  <w:pPr>
                    <w:autoSpaceDE w:val="0"/>
                    <w:autoSpaceDN w:val="0"/>
                    <w:adjustRightInd w:val="0"/>
                    <w:snapToGrid w:val="0"/>
                    <w:jc w:val="center"/>
                    <w:rPr>
                      <w:rFonts w:ascii="Times New Roman" w:hAnsi="Times New Roman" w:eastAsiaTheme="minorEastAsia"/>
                      <w:bCs/>
                      <w:color w:val="auto"/>
                      <w:kern w:val="0"/>
                      <w:szCs w:val="21"/>
                      <w:highlight w:val="none"/>
                    </w:rPr>
                  </w:pPr>
                  <w:r>
                    <w:rPr>
                      <w:rFonts w:ascii="Times New Roman" w:hAnsi="Times New Roman" w:eastAsiaTheme="minorEastAsia"/>
                      <w:bCs/>
                      <w:color w:val="auto"/>
                      <w:kern w:val="0"/>
                      <w:szCs w:val="21"/>
                      <w:highlight w:val="none"/>
                    </w:rPr>
                    <w:t>符合性</w:t>
                  </w:r>
                </w:p>
              </w:tc>
            </w:tr>
            <w:tr w14:paraId="6853BE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auto"/>
                  <w:vAlign w:val="center"/>
                </w:tcPr>
                <w:p w14:paraId="69E5049F">
                  <w:pPr>
                    <w:autoSpaceDE w:val="0"/>
                    <w:autoSpaceDN w:val="0"/>
                    <w:adjustRightInd w:val="0"/>
                    <w:snapToGrid w:val="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4</w:t>
                  </w:r>
                </w:p>
              </w:tc>
              <w:tc>
                <w:tcPr>
                  <w:tcW w:w="4399" w:type="dxa"/>
                  <w:shd w:val="clear" w:color="auto" w:fill="auto"/>
                  <w:vAlign w:val="center"/>
                </w:tcPr>
                <w:p w14:paraId="7D4F50F2">
                  <w:pPr>
                    <w:autoSpaceDE w:val="0"/>
                    <w:autoSpaceDN w:val="0"/>
                    <w:adjustRightInd w:val="0"/>
                    <w:snapToGrid w:val="0"/>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排水：开发区污水排入徐水区大王店污水处理厂进一步处理，污水处理厂位于徐水区大王店镇东南崔官营村北，总占地4.779公顷，其中近期污水处理工程占地2.124公顷，预留远期用地2.655公顷，近期污水处理厂设计处理能力为1.5万m</w:t>
                  </w:r>
                  <w:r>
                    <w:rPr>
                      <w:rFonts w:ascii="Times New Roman" w:hAnsi="Times New Roman" w:eastAsiaTheme="minorEastAsia"/>
                      <w:color w:val="auto"/>
                      <w:szCs w:val="21"/>
                      <w:highlight w:val="none"/>
                      <w:vertAlign w:val="superscript"/>
                    </w:rPr>
                    <w:t>3</w:t>
                  </w:r>
                  <w:r>
                    <w:rPr>
                      <w:rFonts w:ascii="Times New Roman" w:hAnsi="Times New Roman" w:eastAsiaTheme="minorEastAsia"/>
                      <w:color w:val="auto"/>
                      <w:szCs w:val="21"/>
                      <w:highlight w:val="none"/>
                    </w:rPr>
                    <w:t>/d，远期处理规模扩至5万m</w:t>
                  </w:r>
                  <w:r>
                    <w:rPr>
                      <w:rFonts w:ascii="Times New Roman" w:hAnsi="Times New Roman" w:eastAsiaTheme="minorEastAsia"/>
                      <w:color w:val="auto"/>
                      <w:szCs w:val="21"/>
                      <w:highlight w:val="none"/>
                      <w:vertAlign w:val="superscript"/>
                    </w:rPr>
                    <w:t>3</w:t>
                  </w:r>
                  <w:r>
                    <w:rPr>
                      <w:rFonts w:ascii="Times New Roman" w:hAnsi="Times New Roman" w:eastAsiaTheme="minorEastAsia"/>
                      <w:color w:val="auto"/>
                      <w:szCs w:val="21"/>
                      <w:highlight w:val="none"/>
                    </w:rPr>
                    <w:t>/d。现状已建成2条污水处理线，处理能力为1.5万m</w:t>
                  </w:r>
                  <w:r>
                    <w:rPr>
                      <w:rFonts w:ascii="Times New Roman" w:hAnsi="Times New Roman" w:eastAsiaTheme="minorEastAsia"/>
                      <w:color w:val="auto"/>
                      <w:szCs w:val="21"/>
                      <w:highlight w:val="none"/>
                      <w:vertAlign w:val="superscript"/>
                    </w:rPr>
                    <w:t>3</w:t>
                  </w:r>
                  <w:r>
                    <w:rPr>
                      <w:rFonts w:ascii="Times New Roman" w:hAnsi="Times New Roman" w:eastAsiaTheme="minorEastAsia"/>
                      <w:color w:val="auto"/>
                      <w:szCs w:val="21"/>
                      <w:highlight w:val="none"/>
                    </w:rPr>
                    <w:t>/d，建设配套管网总长19.8km。</w:t>
                  </w:r>
                </w:p>
              </w:tc>
              <w:tc>
                <w:tcPr>
                  <w:tcW w:w="2486" w:type="dxa"/>
                  <w:shd w:val="clear" w:color="auto" w:fill="auto"/>
                  <w:vAlign w:val="center"/>
                </w:tcPr>
                <w:p w14:paraId="55AF25EB">
                  <w:pPr>
                    <w:autoSpaceDE w:val="0"/>
                    <w:autoSpaceDN w:val="0"/>
                    <w:adjustRightInd w:val="0"/>
                    <w:snapToGrid w:val="0"/>
                    <w:rPr>
                      <w:rFonts w:ascii="Times New Roman" w:hAnsi="Times New Roman" w:eastAsiaTheme="minorEastAsia"/>
                      <w:color w:val="auto"/>
                      <w:szCs w:val="21"/>
                      <w:highlight w:val="none"/>
                    </w:rPr>
                  </w:pPr>
                  <w:r>
                    <w:rPr>
                      <w:rFonts w:ascii="Times New Roman" w:hAnsi="Times New Roman" w:eastAsiaTheme="minorEastAsia"/>
                      <w:color w:val="auto"/>
                      <w:spacing w:val="-6"/>
                      <w:szCs w:val="21"/>
                      <w:highlight w:val="none"/>
                    </w:rPr>
                    <w:t>本项目劳动定员</w:t>
                  </w:r>
                  <w:r>
                    <w:rPr>
                      <w:rFonts w:hint="eastAsia" w:ascii="Times New Roman" w:hAnsi="Times New Roman" w:eastAsiaTheme="minorEastAsia"/>
                      <w:color w:val="auto"/>
                      <w:spacing w:val="-6"/>
                      <w:szCs w:val="21"/>
                      <w:highlight w:val="none"/>
                    </w:rPr>
                    <w:t>6人</w:t>
                  </w:r>
                  <w:r>
                    <w:rPr>
                      <w:rFonts w:ascii="Times New Roman" w:hAnsi="Times New Roman" w:eastAsiaTheme="minorEastAsia"/>
                      <w:color w:val="auto"/>
                      <w:spacing w:val="-6"/>
                      <w:szCs w:val="21"/>
                      <w:highlight w:val="none"/>
                    </w:rPr>
                    <w:t>，生活污水依托</w:t>
                  </w:r>
                  <w:r>
                    <w:rPr>
                      <w:rFonts w:hint="eastAsia" w:ascii="Times New Roman" w:hAnsi="Times New Roman" w:eastAsiaTheme="minorEastAsia"/>
                      <w:color w:val="auto"/>
                      <w:kern w:val="0"/>
                      <w:szCs w:val="21"/>
                      <w:highlight w:val="none"/>
                    </w:rPr>
                    <w:t>河北天福重工阀门有限公司</w:t>
                  </w:r>
                  <w:r>
                    <w:rPr>
                      <w:rFonts w:ascii="Times New Roman" w:hAnsi="Times New Roman" w:eastAsiaTheme="minorEastAsia"/>
                      <w:color w:val="auto"/>
                      <w:spacing w:val="-6"/>
                      <w:szCs w:val="21"/>
                      <w:highlight w:val="none"/>
                    </w:rPr>
                    <w:t>现有排水系统排至徐水区大王店污水处理厂进一步处理；本项目生产废水</w:t>
                  </w:r>
                  <w:r>
                    <w:rPr>
                      <w:rFonts w:hint="eastAsia" w:ascii="Times New Roman" w:hAnsi="Times New Roman" w:eastAsiaTheme="minorEastAsia"/>
                      <w:color w:val="auto"/>
                      <w:spacing w:val="-6"/>
                      <w:szCs w:val="21"/>
                      <w:highlight w:val="none"/>
                      <w:lang w:val="en-US" w:eastAsia="zh-CN"/>
                    </w:rPr>
                    <w:t>为脱硫塔定期更换废水，定期交有资质单位处置，不</w:t>
                  </w:r>
                  <w:r>
                    <w:rPr>
                      <w:rFonts w:ascii="Times New Roman" w:hAnsi="Times New Roman" w:eastAsiaTheme="minorEastAsia"/>
                      <w:color w:val="auto"/>
                      <w:spacing w:val="-6"/>
                      <w:szCs w:val="21"/>
                      <w:highlight w:val="none"/>
                    </w:rPr>
                    <w:t>外排。</w:t>
                  </w:r>
                </w:p>
              </w:tc>
              <w:tc>
                <w:tcPr>
                  <w:tcW w:w="862" w:type="dxa"/>
                  <w:shd w:val="clear" w:color="auto" w:fill="auto"/>
                  <w:vAlign w:val="center"/>
                </w:tcPr>
                <w:p w14:paraId="3A9CF5EC">
                  <w:pPr>
                    <w:autoSpaceDE w:val="0"/>
                    <w:autoSpaceDN w:val="0"/>
                    <w:adjustRightInd w:val="0"/>
                    <w:snapToGrid w:val="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2B9ADD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auto"/>
                  <w:vAlign w:val="center"/>
                </w:tcPr>
                <w:p w14:paraId="6B054ADF">
                  <w:pPr>
                    <w:autoSpaceDE w:val="0"/>
                    <w:autoSpaceDN w:val="0"/>
                    <w:adjustRightInd w:val="0"/>
                    <w:snapToGrid w:val="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5</w:t>
                  </w:r>
                </w:p>
              </w:tc>
              <w:tc>
                <w:tcPr>
                  <w:tcW w:w="4399" w:type="dxa"/>
                  <w:shd w:val="clear" w:color="auto" w:fill="auto"/>
                  <w:vAlign w:val="center"/>
                </w:tcPr>
                <w:p w14:paraId="5DE69545">
                  <w:pPr>
                    <w:autoSpaceDE w:val="0"/>
                    <w:autoSpaceDN w:val="0"/>
                    <w:adjustRightInd w:val="0"/>
                    <w:snapToGrid w:val="0"/>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供热：开发区用热由保定科林供热有限公司提供，公司位于徐水区大王店镇东南部，总占地面积约13.15万m</w:t>
                  </w:r>
                  <w:r>
                    <w:rPr>
                      <w:rFonts w:ascii="Times New Roman" w:hAnsi="Times New Roman" w:eastAsiaTheme="minorEastAsia"/>
                      <w:color w:val="auto"/>
                      <w:szCs w:val="21"/>
                      <w:highlight w:val="none"/>
                      <w:vertAlign w:val="superscript"/>
                    </w:rPr>
                    <w:t>2</w:t>
                  </w:r>
                  <w:r>
                    <w:rPr>
                      <w:rFonts w:ascii="Times New Roman" w:hAnsi="Times New Roman" w:eastAsiaTheme="minorEastAsia"/>
                      <w:color w:val="auto"/>
                      <w:szCs w:val="21"/>
                      <w:highlight w:val="none"/>
                    </w:rPr>
                    <w:t>。保定科林供热有限公司已建项目蒸汽总供应能力为455t/h。2018年开发区用热约275t/h，尚有180t/h的余量。原规划园区近期建设大型集中供热锅炉1座，远期采用保北热源供热。实际保北热源未建设，开发区引进集中供热企业，先行建设集中供热设施。</w:t>
                  </w:r>
                </w:p>
              </w:tc>
              <w:tc>
                <w:tcPr>
                  <w:tcW w:w="2486" w:type="dxa"/>
                  <w:shd w:val="clear" w:color="auto" w:fill="auto"/>
                  <w:vAlign w:val="center"/>
                </w:tcPr>
                <w:p w14:paraId="03E149B1">
                  <w:pPr>
                    <w:autoSpaceDE w:val="0"/>
                    <w:autoSpaceDN w:val="0"/>
                    <w:adjustRightInd w:val="0"/>
                    <w:snapToGrid w:val="0"/>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本项目生产过程不用热，生活取暖采用空调。</w:t>
                  </w:r>
                </w:p>
              </w:tc>
              <w:tc>
                <w:tcPr>
                  <w:tcW w:w="862" w:type="dxa"/>
                  <w:shd w:val="clear" w:color="auto" w:fill="auto"/>
                  <w:vAlign w:val="center"/>
                </w:tcPr>
                <w:p w14:paraId="389C6FED">
                  <w:pPr>
                    <w:autoSpaceDE w:val="0"/>
                    <w:autoSpaceDN w:val="0"/>
                    <w:adjustRightInd w:val="0"/>
                    <w:snapToGrid w:val="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5F5777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auto"/>
                  <w:vAlign w:val="center"/>
                </w:tcPr>
                <w:p w14:paraId="4C7FB138">
                  <w:pPr>
                    <w:autoSpaceDE w:val="0"/>
                    <w:autoSpaceDN w:val="0"/>
                    <w:adjustRightInd w:val="0"/>
                    <w:snapToGrid w:val="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6</w:t>
                  </w:r>
                </w:p>
              </w:tc>
              <w:tc>
                <w:tcPr>
                  <w:tcW w:w="4399" w:type="dxa"/>
                  <w:shd w:val="clear" w:color="auto" w:fill="auto"/>
                  <w:vAlign w:val="center"/>
                </w:tcPr>
                <w:p w14:paraId="36B19923">
                  <w:pPr>
                    <w:autoSpaceDE w:val="0"/>
                    <w:autoSpaceDN w:val="0"/>
                    <w:adjustRightInd w:val="0"/>
                    <w:snapToGrid w:val="0"/>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供电：开发区及周边共有110kV变电站2座，主变4台，总容量176MVA；35kV变电3座，主变3台，总容量43.3MVA；开发区共有10kV线路94.31km。10kV公用变压器161台，容量为16680kVA，10kV专用变压器79台，容量为40155kVA。开发区电力综合管沟已建成19.3公里。</w:t>
                  </w:r>
                </w:p>
              </w:tc>
              <w:tc>
                <w:tcPr>
                  <w:tcW w:w="2486" w:type="dxa"/>
                  <w:shd w:val="clear" w:color="auto" w:fill="auto"/>
                  <w:vAlign w:val="center"/>
                </w:tcPr>
                <w:p w14:paraId="51888767">
                  <w:pPr>
                    <w:autoSpaceDE w:val="0"/>
                    <w:autoSpaceDN w:val="0"/>
                    <w:adjustRightInd w:val="0"/>
                    <w:snapToGrid w:val="0"/>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本项目用电量为</w:t>
                  </w:r>
                  <w:r>
                    <w:rPr>
                      <w:rFonts w:hint="eastAsia" w:ascii="Times New Roman" w:hAnsi="Times New Roman" w:eastAsiaTheme="minorEastAsia"/>
                      <w:color w:val="auto"/>
                      <w:szCs w:val="21"/>
                      <w:highlight w:val="none"/>
                      <w:lang w:val="en-US" w:eastAsia="zh-CN"/>
                    </w:rPr>
                    <w:t>1</w:t>
                  </w:r>
                  <w:r>
                    <w:rPr>
                      <w:rFonts w:ascii="Times New Roman" w:hAnsi="Times New Roman" w:eastAsiaTheme="minorEastAsia"/>
                      <w:color w:val="auto"/>
                      <w:szCs w:val="21"/>
                      <w:highlight w:val="none"/>
                    </w:rPr>
                    <w:t>万kW·h/a，依托徐水经济开发区供电系统供给。</w:t>
                  </w:r>
                </w:p>
              </w:tc>
              <w:tc>
                <w:tcPr>
                  <w:tcW w:w="862" w:type="dxa"/>
                  <w:shd w:val="clear" w:color="auto" w:fill="auto"/>
                  <w:vAlign w:val="center"/>
                </w:tcPr>
                <w:p w14:paraId="0C73A28C">
                  <w:pPr>
                    <w:autoSpaceDE w:val="0"/>
                    <w:autoSpaceDN w:val="0"/>
                    <w:adjustRightInd w:val="0"/>
                    <w:snapToGrid w:val="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bl>
          <w:p w14:paraId="00B59EC4">
            <w:pPr>
              <w:spacing w:line="480" w:lineRule="exact"/>
              <w:ind w:firstLine="480" w:firstLineChars="200"/>
              <w:rPr>
                <w:rFonts w:ascii="Times New Roman" w:hAnsi="Times New Roman" w:eastAsiaTheme="minorEastAsia"/>
                <w:bCs/>
                <w:color w:val="auto"/>
                <w:sz w:val="24"/>
                <w:szCs w:val="24"/>
                <w:highlight w:val="none"/>
              </w:rPr>
            </w:pPr>
            <w:r>
              <w:rPr>
                <w:rFonts w:ascii="Times New Roman" w:hAnsi="Times New Roman" w:eastAsiaTheme="minorEastAsia"/>
                <w:bCs/>
                <w:color w:val="auto"/>
                <w:sz w:val="24"/>
                <w:szCs w:val="24"/>
                <w:highlight w:val="none"/>
              </w:rPr>
              <w:t>2、与规划环境影响评价结论及审查意见的符合性分析</w:t>
            </w:r>
          </w:p>
          <w:p w14:paraId="161E8A2D">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（1）行业准入</w:t>
            </w:r>
          </w:p>
          <w:p w14:paraId="33A9C21D">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根据河北徐水经济开发区（原大王店产业园区）规划环评及跟踪评价：徐水经济开发区位于徐水区中心城区西侧，开发区西至乐凯大街，北至徐大公路，东至瑞祥大街，南至纬一路，实施面积20.25平方公里。重点发展汽车及零部件制造、新型储能设备、现代电子信息、新材料等高端产业，着力打造高新技术制造业和战略性新兴产业基地。</w:t>
            </w:r>
            <w:r>
              <w:rPr>
                <w:rFonts w:ascii="Times New Roman" w:hAnsi="Times New Roman" w:eastAsiaTheme="minorEastAsia"/>
                <w:color w:val="auto"/>
                <w:spacing w:val="-1"/>
                <w:sz w:val="24"/>
                <w:szCs w:val="24"/>
                <w:highlight w:val="none"/>
              </w:rPr>
              <w:t>开发区行业准入清单见表</w:t>
            </w:r>
            <w:r>
              <w:rPr>
                <w:rFonts w:ascii="Times New Roman" w:hAnsi="Times New Roman" w:eastAsiaTheme="minorEastAsia"/>
                <w:color w:val="auto"/>
                <w:sz w:val="24"/>
                <w:szCs w:val="24"/>
                <w:highlight w:val="none"/>
              </w:rPr>
              <w:t>1-2。</w:t>
            </w:r>
          </w:p>
          <w:p w14:paraId="55DC6F4A">
            <w:pPr>
              <w:spacing w:line="480" w:lineRule="exact"/>
              <w:jc w:val="center"/>
              <w:rPr>
                <w:rFonts w:ascii="Times New Roman" w:hAnsi="Times New Roman" w:eastAsiaTheme="minorEastAsia"/>
                <w:color w:val="auto"/>
                <w:sz w:val="24"/>
                <w:szCs w:val="24"/>
                <w:highlight w:val="none"/>
              </w:rPr>
            </w:pPr>
            <w:r>
              <w:rPr>
                <w:rFonts w:ascii="Times New Roman" w:hAnsi="Times New Roman" w:eastAsiaTheme="minorEastAsia"/>
                <w:bCs/>
                <w:color w:val="auto"/>
                <w:sz w:val="24"/>
                <w:szCs w:val="24"/>
                <w:highlight w:val="none"/>
              </w:rPr>
              <w:t>表1-2  开发区行业准入清单</w:t>
            </w:r>
          </w:p>
          <w:tbl>
            <w:tblPr>
              <w:tblStyle w:val="3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0"/>
              <w:gridCol w:w="3784"/>
              <w:gridCol w:w="2858"/>
            </w:tblGrid>
            <w:tr w14:paraId="62CAB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30" w:type="dxa"/>
                  <w:tcBorders>
                    <w:left w:val="nil"/>
                  </w:tcBorders>
                  <w:vAlign w:val="center"/>
                </w:tcPr>
                <w:p w14:paraId="257F2BB0">
                  <w:pPr>
                    <w:spacing w:line="280" w:lineRule="exact"/>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分类</w:t>
                  </w:r>
                </w:p>
              </w:tc>
              <w:tc>
                <w:tcPr>
                  <w:tcW w:w="3784" w:type="dxa"/>
                  <w:vAlign w:val="center"/>
                </w:tcPr>
                <w:p w14:paraId="57027EA7">
                  <w:pPr>
                    <w:spacing w:line="280" w:lineRule="exact"/>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内容</w:t>
                  </w:r>
                </w:p>
              </w:tc>
              <w:tc>
                <w:tcPr>
                  <w:tcW w:w="2858" w:type="dxa"/>
                  <w:tcBorders>
                    <w:right w:val="nil"/>
                  </w:tcBorders>
                  <w:vAlign w:val="center"/>
                </w:tcPr>
                <w:p w14:paraId="7B39D48C">
                  <w:pPr>
                    <w:spacing w:line="280" w:lineRule="exact"/>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依据</w:t>
                  </w:r>
                </w:p>
              </w:tc>
            </w:tr>
            <w:tr w14:paraId="6B060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2" w:hRule="atLeast"/>
                <w:jc w:val="center"/>
              </w:trPr>
              <w:tc>
                <w:tcPr>
                  <w:tcW w:w="1630" w:type="dxa"/>
                  <w:tcBorders>
                    <w:left w:val="nil"/>
                  </w:tcBorders>
                  <w:vAlign w:val="center"/>
                </w:tcPr>
                <w:p w14:paraId="6D88581C">
                  <w:pPr>
                    <w:spacing w:line="280" w:lineRule="exac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禁入行业</w:t>
                  </w:r>
                </w:p>
              </w:tc>
              <w:tc>
                <w:tcPr>
                  <w:tcW w:w="3784" w:type="dxa"/>
                  <w:vAlign w:val="center"/>
                </w:tcPr>
                <w:p w14:paraId="5C783EAF">
                  <w:pPr>
                    <w:spacing w:line="280" w:lineRule="exact"/>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1、皮革、毛皮、羽毛及其制品和制鞋业</w:t>
                  </w:r>
                </w:p>
                <w:p w14:paraId="51204488">
                  <w:pPr>
                    <w:spacing w:line="280" w:lineRule="exact"/>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2、造纸和纸制品业</w:t>
                  </w:r>
                </w:p>
                <w:p w14:paraId="5406F53C">
                  <w:pPr>
                    <w:spacing w:line="280" w:lineRule="exact"/>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3、化学原料和化学制品制造业</w:t>
                  </w:r>
                </w:p>
                <w:p w14:paraId="37E4E60E">
                  <w:pPr>
                    <w:spacing w:line="280" w:lineRule="exact"/>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4、医药制造业</w:t>
                  </w:r>
                </w:p>
                <w:p w14:paraId="228D5A98">
                  <w:pPr>
                    <w:spacing w:line="280" w:lineRule="exact"/>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5、金属冶炼</w:t>
                  </w:r>
                </w:p>
              </w:tc>
              <w:tc>
                <w:tcPr>
                  <w:tcW w:w="2858" w:type="dxa"/>
                  <w:tcBorders>
                    <w:right w:val="nil"/>
                  </w:tcBorders>
                  <w:vAlign w:val="center"/>
                </w:tcPr>
                <w:p w14:paraId="190E192D">
                  <w:pPr>
                    <w:spacing w:line="280" w:lineRule="exact"/>
                    <w:jc w:val="center"/>
                    <w:rPr>
                      <w:rFonts w:ascii="Times New Roman" w:hAnsi="Times New Roman" w:eastAsiaTheme="minorEastAsia"/>
                      <w:color w:val="auto"/>
                      <w:szCs w:val="21"/>
                      <w:highlight w:val="none"/>
                    </w:rPr>
                  </w:pPr>
                  <w:r>
                    <w:rPr>
                      <w:rFonts w:ascii="Times New Roman" w:hAnsi="Times New Roman" w:eastAsiaTheme="minorEastAsia"/>
                      <w:color w:val="auto"/>
                      <w:spacing w:val="-1"/>
                      <w:szCs w:val="21"/>
                      <w:highlight w:val="none"/>
                    </w:rPr>
                    <w:t>高能耗、水耗的行业；</w:t>
                  </w:r>
                  <w:r>
                    <w:rPr>
                      <w:rFonts w:ascii="Times New Roman" w:hAnsi="Times New Roman" w:eastAsiaTheme="minorEastAsia"/>
                      <w:color w:val="auto"/>
                      <w:spacing w:val="-102"/>
                      <w:szCs w:val="21"/>
                      <w:highlight w:val="none"/>
                    </w:rPr>
                    <w:t xml:space="preserve"> </w:t>
                  </w:r>
                  <w:r>
                    <w:rPr>
                      <w:rFonts w:ascii="Times New Roman" w:hAnsi="Times New Roman" w:eastAsiaTheme="minorEastAsia"/>
                      <w:color w:val="auto"/>
                      <w:szCs w:val="21"/>
                      <w:highlight w:val="none"/>
                    </w:rPr>
                    <w:t>与主导行业关联不密</w:t>
                  </w:r>
                  <w:r>
                    <w:rPr>
                      <w:rFonts w:ascii="Times New Roman" w:hAnsi="Times New Roman" w:eastAsiaTheme="minorEastAsia"/>
                      <w:color w:val="auto"/>
                      <w:spacing w:val="-10"/>
                      <w:szCs w:val="21"/>
                      <w:highlight w:val="none"/>
                    </w:rPr>
                    <w:t>切、不利于完善开发区</w:t>
                  </w:r>
                  <w:r>
                    <w:rPr>
                      <w:rFonts w:ascii="Times New Roman" w:hAnsi="Times New Roman" w:eastAsiaTheme="minorEastAsia"/>
                      <w:color w:val="auto"/>
                      <w:szCs w:val="21"/>
                      <w:highlight w:val="none"/>
                    </w:rPr>
                    <w:t>产业链的行业</w:t>
                  </w:r>
                </w:p>
              </w:tc>
            </w:tr>
          </w:tbl>
          <w:p w14:paraId="68E690F5">
            <w:pPr>
              <w:spacing w:line="480" w:lineRule="exact"/>
              <w:jc w:val="center"/>
              <w:rPr>
                <w:rFonts w:ascii="Times New Roman" w:hAnsi="Times New Roman" w:eastAsiaTheme="minorEastAsia"/>
                <w:bCs/>
                <w:color w:val="auto"/>
                <w:sz w:val="24"/>
                <w:szCs w:val="24"/>
                <w:highlight w:val="none"/>
              </w:rPr>
            </w:pPr>
          </w:p>
          <w:p w14:paraId="0E08845D">
            <w:pPr>
              <w:spacing w:line="480" w:lineRule="exact"/>
              <w:jc w:val="center"/>
              <w:rPr>
                <w:rFonts w:ascii="Times New Roman" w:hAnsi="Times New Roman" w:eastAsiaTheme="minorEastAsia"/>
                <w:color w:val="auto"/>
                <w:sz w:val="24"/>
                <w:szCs w:val="24"/>
                <w:highlight w:val="none"/>
              </w:rPr>
            </w:pPr>
            <w:r>
              <w:rPr>
                <w:rFonts w:hint="eastAsia" w:ascii="Times New Roman" w:hAnsi="Times New Roman" w:eastAsiaTheme="minorEastAsia"/>
                <w:bCs/>
                <w:color w:val="auto"/>
                <w:sz w:val="24"/>
                <w:szCs w:val="24"/>
                <w:highlight w:val="none"/>
              </w:rPr>
              <w:t>续</w:t>
            </w:r>
            <w:r>
              <w:rPr>
                <w:rFonts w:ascii="Times New Roman" w:hAnsi="Times New Roman" w:eastAsiaTheme="minorEastAsia"/>
                <w:bCs/>
                <w:color w:val="auto"/>
                <w:sz w:val="24"/>
                <w:szCs w:val="24"/>
                <w:highlight w:val="none"/>
              </w:rPr>
              <w:t>表1-2  开发区行业准入清单</w:t>
            </w:r>
          </w:p>
          <w:tbl>
            <w:tblPr>
              <w:tblStyle w:val="3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0"/>
              <w:gridCol w:w="3784"/>
              <w:gridCol w:w="2858"/>
            </w:tblGrid>
            <w:tr w14:paraId="40748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30" w:type="dxa"/>
                  <w:tcBorders>
                    <w:left w:val="nil"/>
                  </w:tcBorders>
                  <w:vAlign w:val="center"/>
                </w:tcPr>
                <w:p w14:paraId="68300E6C">
                  <w:pPr>
                    <w:spacing w:line="280" w:lineRule="exact"/>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分类</w:t>
                  </w:r>
                </w:p>
              </w:tc>
              <w:tc>
                <w:tcPr>
                  <w:tcW w:w="3784" w:type="dxa"/>
                  <w:vAlign w:val="center"/>
                </w:tcPr>
                <w:p w14:paraId="370F6332">
                  <w:pPr>
                    <w:spacing w:line="280" w:lineRule="exact"/>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内容</w:t>
                  </w:r>
                </w:p>
              </w:tc>
              <w:tc>
                <w:tcPr>
                  <w:tcW w:w="2858" w:type="dxa"/>
                  <w:tcBorders>
                    <w:right w:val="nil"/>
                  </w:tcBorders>
                  <w:vAlign w:val="center"/>
                </w:tcPr>
                <w:p w14:paraId="38B48F10">
                  <w:pPr>
                    <w:spacing w:line="280" w:lineRule="exact"/>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依据</w:t>
                  </w:r>
                </w:p>
              </w:tc>
            </w:tr>
            <w:tr w14:paraId="0B57B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1" w:hRule="atLeast"/>
                <w:jc w:val="center"/>
              </w:trPr>
              <w:tc>
                <w:tcPr>
                  <w:tcW w:w="1630" w:type="dxa"/>
                  <w:tcBorders>
                    <w:left w:val="nil"/>
                  </w:tcBorders>
                  <w:vAlign w:val="center"/>
                </w:tcPr>
                <w:p w14:paraId="6AB4FEF9">
                  <w:pPr>
                    <w:spacing w:line="280" w:lineRule="exac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有条件准入</w:t>
                  </w:r>
                </w:p>
              </w:tc>
              <w:tc>
                <w:tcPr>
                  <w:tcW w:w="3784" w:type="dxa"/>
                  <w:vAlign w:val="center"/>
                </w:tcPr>
                <w:p w14:paraId="506C90CA">
                  <w:pPr>
                    <w:spacing w:line="280" w:lineRule="exact"/>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1、开发区主导产业的下游产业</w:t>
                  </w:r>
                </w:p>
                <w:p w14:paraId="1CAAF709">
                  <w:pPr>
                    <w:spacing w:line="280" w:lineRule="exact"/>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2、有利于开发区实现循环经济理念和持续发展的产业</w:t>
                  </w:r>
                </w:p>
                <w:p w14:paraId="0610127C">
                  <w:pPr>
                    <w:spacing w:line="280" w:lineRule="exact"/>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3、高品质、高附加值、低污染的产业</w:t>
                  </w:r>
                </w:p>
              </w:tc>
              <w:tc>
                <w:tcPr>
                  <w:tcW w:w="2858" w:type="dxa"/>
                  <w:tcBorders>
                    <w:right w:val="nil"/>
                  </w:tcBorders>
                  <w:vAlign w:val="center"/>
                </w:tcPr>
                <w:p w14:paraId="1B64AB58">
                  <w:pPr>
                    <w:spacing w:line="280" w:lineRule="exact"/>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有利于完善开发区产</w:t>
                  </w:r>
                  <w:r>
                    <w:rPr>
                      <w:rFonts w:ascii="Times New Roman" w:hAnsi="Times New Roman" w:eastAsiaTheme="minorEastAsia"/>
                      <w:color w:val="auto"/>
                      <w:spacing w:val="-11"/>
                      <w:szCs w:val="21"/>
                      <w:highlight w:val="none"/>
                    </w:rPr>
                    <w:t>业链的，或与开发区主</w:t>
                  </w:r>
                  <w:r>
                    <w:rPr>
                      <w:rFonts w:ascii="Times New Roman" w:hAnsi="Times New Roman" w:eastAsiaTheme="minorEastAsia"/>
                      <w:color w:val="auto"/>
                      <w:spacing w:val="-10"/>
                      <w:szCs w:val="21"/>
                      <w:highlight w:val="none"/>
                    </w:rPr>
                    <w:t>导产业关联性不强，但</w:t>
                  </w:r>
                </w:p>
                <w:p w14:paraId="1339F094">
                  <w:pPr>
                    <w:spacing w:line="280" w:lineRule="exact"/>
                    <w:jc w:val="left"/>
                    <w:rPr>
                      <w:rFonts w:ascii="Times New Roman" w:hAnsi="Times New Roman" w:eastAsiaTheme="minorEastAsia"/>
                      <w:color w:val="auto"/>
                      <w:szCs w:val="21"/>
                      <w:highlight w:val="none"/>
                    </w:rPr>
                  </w:pPr>
                  <w:r>
                    <w:rPr>
                      <w:rFonts w:ascii="Times New Roman" w:hAnsi="Times New Roman" w:eastAsiaTheme="minorEastAsia"/>
                      <w:color w:val="auto"/>
                      <w:spacing w:val="-1"/>
                      <w:szCs w:val="21"/>
                      <w:highlight w:val="none"/>
                    </w:rPr>
                    <w:t>有助于开发区经济发</w:t>
                  </w:r>
                  <w:r>
                    <w:rPr>
                      <w:rFonts w:ascii="Times New Roman" w:hAnsi="Times New Roman" w:eastAsiaTheme="minorEastAsia"/>
                      <w:color w:val="auto"/>
                      <w:szCs w:val="21"/>
                      <w:highlight w:val="none"/>
                    </w:rPr>
                    <w:t>展的行业</w:t>
                  </w:r>
                </w:p>
              </w:tc>
            </w:tr>
            <w:tr w14:paraId="35565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30" w:type="dxa"/>
                  <w:tcBorders>
                    <w:left w:val="nil"/>
                  </w:tcBorders>
                  <w:vAlign w:val="center"/>
                </w:tcPr>
                <w:p w14:paraId="1DA9D3EF">
                  <w:pPr>
                    <w:spacing w:line="280" w:lineRule="exac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允许行业</w:t>
                  </w:r>
                </w:p>
              </w:tc>
              <w:tc>
                <w:tcPr>
                  <w:tcW w:w="3784" w:type="dxa"/>
                  <w:vAlign w:val="center"/>
                </w:tcPr>
                <w:p w14:paraId="11CE839A">
                  <w:pPr>
                    <w:spacing w:line="280" w:lineRule="exact"/>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1、汽车及零部件制造</w:t>
                  </w:r>
                </w:p>
                <w:p w14:paraId="5EFF8B98">
                  <w:pPr>
                    <w:spacing w:line="280" w:lineRule="exact"/>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2、新型储能设备</w:t>
                  </w:r>
                </w:p>
                <w:p w14:paraId="6700AE9D">
                  <w:pPr>
                    <w:spacing w:line="280" w:lineRule="exact"/>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3、现代电子信息</w:t>
                  </w:r>
                </w:p>
                <w:p w14:paraId="5B50F0F7">
                  <w:pPr>
                    <w:spacing w:line="280" w:lineRule="exact"/>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4、新材料制造</w:t>
                  </w:r>
                </w:p>
                <w:p w14:paraId="2B22E4ED">
                  <w:pPr>
                    <w:spacing w:line="280" w:lineRule="exact"/>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5、高新技术制造业及战略性新兴产业</w:t>
                  </w:r>
                </w:p>
              </w:tc>
              <w:tc>
                <w:tcPr>
                  <w:tcW w:w="2858" w:type="dxa"/>
                  <w:tcBorders>
                    <w:right w:val="nil"/>
                  </w:tcBorders>
                  <w:vAlign w:val="center"/>
                </w:tcPr>
                <w:p w14:paraId="043773D3">
                  <w:pPr>
                    <w:spacing w:line="280" w:lineRule="exact"/>
                    <w:jc w:val="left"/>
                    <w:rPr>
                      <w:rFonts w:ascii="Times New Roman" w:hAnsi="Times New Roman" w:eastAsiaTheme="minorEastAsia"/>
                      <w:color w:val="auto"/>
                      <w:szCs w:val="21"/>
                      <w:highlight w:val="none"/>
                    </w:rPr>
                  </w:pPr>
                  <w:r>
                    <w:rPr>
                      <w:rFonts w:ascii="Times New Roman" w:hAnsi="Times New Roman" w:eastAsiaTheme="minorEastAsia"/>
                      <w:color w:val="auto"/>
                      <w:spacing w:val="-10"/>
                      <w:szCs w:val="21"/>
                      <w:highlight w:val="none"/>
                    </w:rPr>
                    <w:t>开发区主导产业、有利</w:t>
                  </w:r>
                  <w:r>
                    <w:rPr>
                      <w:rFonts w:ascii="Times New Roman" w:hAnsi="Times New Roman" w:eastAsiaTheme="minorEastAsia"/>
                      <w:color w:val="auto"/>
                      <w:szCs w:val="21"/>
                      <w:highlight w:val="none"/>
                    </w:rPr>
                    <w:t>于开发区经济发展</w:t>
                  </w:r>
                </w:p>
              </w:tc>
            </w:tr>
          </w:tbl>
          <w:p w14:paraId="2A97A954">
            <w:pPr>
              <w:spacing w:line="500" w:lineRule="exact"/>
              <w:ind w:firstLine="480" w:firstLineChars="200"/>
              <w:rPr>
                <w:rFonts w:ascii="Times New Roman" w:hAnsi="Times New Roman" w:eastAsiaTheme="minorEastAsia"/>
                <w:color w:val="auto"/>
                <w:spacing w:val="-1"/>
                <w:sz w:val="24"/>
                <w:szCs w:val="24"/>
                <w:highlight w:val="none"/>
              </w:rPr>
            </w:pPr>
            <w:r>
              <w:rPr>
                <w:rFonts w:ascii="Times New Roman" w:hAnsi="Times New Roman" w:eastAsiaTheme="minorEastAsia"/>
                <w:color w:val="auto"/>
                <w:kern w:val="0"/>
                <w:sz w:val="24"/>
                <w:szCs w:val="24"/>
                <w:highlight w:val="none"/>
              </w:rPr>
              <w:t>本项目为危险废物治理</w:t>
            </w:r>
            <w:r>
              <w:rPr>
                <w:rFonts w:hint="eastAsia" w:ascii="Times New Roman" w:hAnsi="Times New Roman" w:eastAsiaTheme="minorEastAsia"/>
                <w:color w:val="auto"/>
                <w:kern w:val="0"/>
                <w:sz w:val="24"/>
                <w:szCs w:val="24"/>
                <w:highlight w:val="none"/>
              </w:rPr>
              <w:t>项目</w:t>
            </w:r>
            <w:r>
              <w:rPr>
                <w:rFonts w:ascii="Times New Roman" w:hAnsi="Times New Roman" w:eastAsiaTheme="minorEastAsia"/>
                <w:color w:val="auto"/>
                <w:kern w:val="0"/>
                <w:sz w:val="24"/>
                <w:szCs w:val="24"/>
                <w:highlight w:val="none"/>
              </w:rPr>
              <w:t>，项目实施后有利于提高当地废铅</w:t>
            </w:r>
            <w:r>
              <w:rPr>
                <w:rFonts w:hint="eastAsia" w:ascii="Times New Roman" w:hAnsi="Times New Roman" w:eastAsiaTheme="minorEastAsia"/>
                <w:color w:val="auto"/>
                <w:kern w:val="0"/>
                <w:sz w:val="24"/>
                <w:szCs w:val="24"/>
                <w:highlight w:val="none"/>
              </w:rPr>
              <w:t>酸</w:t>
            </w:r>
            <w:r>
              <w:rPr>
                <w:rFonts w:ascii="Times New Roman" w:hAnsi="Times New Roman" w:eastAsiaTheme="minorEastAsia"/>
                <w:color w:val="auto"/>
                <w:kern w:val="0"/>
                <w:sz w:val="24"/>
                <w:szCs w:val="24"/>
                <w:highlight w:val="none"/>
              </w:rPr>
              <w:t>蓄电池规范收集率、利用率，降低废铅</w:t>
            </w:r>
            <w:r>
              <w:rPr>
                <w:rFonts w:hint="eastAsia" w:ascii="Times New Roman" w:hAnsi="Times New Roman" w:eastAsiaTheme="minorEastAsia"/>
                <w:color w:val="auto"/>
                <w:kern w:val="0"/>
                <w:sz w:val="24"/>
                <w:szCs w:val="24"/>
                <w:highlight w:val="none"/>
              </w:rPr>
              <w:t>酸</w:t>
            </w:r>
            <w:r>
              <w:rPr>
                <w:rFonts w:ascii="Times New Roman" w:hAnsi="Times New Roman" w:eastAsiaTheme="minorEastAsia"/>
                <w:color w:val="auto"/>
                <w:kern w:val="0"/>
                <w:sz w:val="24"/>
                <w:szCs w:val="24"/>
                <w:highlight w:val="none"/>
              </w:rPr>
              <w:t>蓄电池污染环境的风险，符合循环经济的理念</w:t>
            </w:r>
            <w:r>
              <w:rPr>
                <w:rFonts w:ascii="Times New Roman" w:hAnsi="Times New Roman" w:eastAsiaTheme="minorEastAsia"/>
                <w:color w:val="auto"/>
                <w:spacing w:val="-1"/>
                <w:sz w:val="24"/>
                <w:szCs w:val="24"/>
                <w:highlight w:val="none"/>
              </w:rPr>
              <w:t>，为</w:t>
            </w:r>
            <w:r>
              <w:rPr>
                <w:rFonts w:hint="eastAsia" w:ascii="Times New Roman" w:hAnsi="Times New Roman" w:eastAsiaTheme="minorEastAsia"/>
                <w:color w:val="auto"/>
                <w:spacing w:val="-1"/>
                <w:sz w:val="24"/>
                <w:szCs w:val="24"/>
                <w:highlight w:val="none"/>
              </w:rPr>
              <w:t>“</w:t>
            </w:r>
            <w:r>
              <w:rPr>
                <w:rFonts w:ascii="Times New Roman" w:hAnsi="Times New Roman" w:eastAsiaTheme="minorEastAsia"/>
                <w:color w:val="auto"/>
                <w:sz w:val="24"/>
                <w:szCs w:val="24"/>
                <w:highlight w:val="none"/>
              </w:rPr>
              <w:t>有利于开发区实现循环经济理念和持续发展的产业</w:t>
            </w:r>
            <w:r>
              <w:rPr>
                <w:rFonts w:hint="eastAsia" w:ascii="Times New Roman" w:hAnsi="Times New Roman" w:eastAsiaTheme="minorEastAsia"/>
                <w:color w:val="auto"/>
                <w:spacing w:val="-1"/>
                <w:sz w:val="24"/>
                <w:szCs w:val="24"/>
                <w:highlight w:val="none"/>
              </w:rPr>
              <w:t>”</w:t>
            </w:r>
            <w:r>
              <w:rPr>
                <w:rFonts w:ascii="Times New Roman" w:hAnsi="Times New Roman" w:eastAsiaTheme="minorEastAsia"/>
                <w:color w:val="auto"/>
                <w:spacing w:val="-1"/>
                <w:sz w:val="24"/>
                <w:szCs w:val="24"/>
                <w:highlight w:val="none"/>
              </w:rPr>
              <w:t>，属于有条件准入行业，</w:t>
            </w:r>
            <w:r>
              <w:rPr>
                <w:rFonts w:hint="eastAsia" w:ascii="Times New Roman" w:hAnsi="Times New Roman" w:eastAsiaTheme="minorEastAsia"/>
                <w:color w:val="auto"/>
                <w:kern w:val="0"/>
                <w:sz w:val="24"/>
                <w:szCs w:val="24"/>
                <w:highlight w:val="none"/>
              </w:rPr>
              <w:t>徐水经济开发区管理委员会出具了入园证明</w:t>
            </w:r>
            <w:r>
              <w:rPr>
                <w:rFonts w:hint="eastAsia" w:ascii="Times New Roman" w:hAnsi="Times New Roman" w:eastAsiaTheme="minorEastAsia"/>
                <w:color w:val="auto"/>
                <w:kern w:val="0"/>
                <w:sz w:val="24"/>
                <w:szCs w:val="24"/>
                <w:highlight w:val="none"/>
                <w:lang w:eastAsia="zh-CN"/>
              </w:rPr>
              <w:t>（</w:t>
            </w:r>
            <w:r>
              <w:rPr>
                <w:rFonts w:hint="eastAsia" w:ascii="Times New Roman" w:hAnsi="Times New Roman" w:eastAsiaTheme="minorEastAsia"/>
                <w:color w:val="auto"/>
                <w:kern w:val="0"/>
                <w:sz w:val="24"/>
                <w:szCs w:val="24"/>
                <w:highlight w:val="none"/>
                <w:lang w:val="en-US" w:eastAsia="zh-CN"/>
              </w:rPr>
              <w:t>见附件</w:t>
            </w:r>
            <w:r>
              <w:rPr>
                <w:rFonts w:hint="eastAsia" w:ascii="Times New Roman" w:hAnsi="Times New Roman" w:eastAsiaTheme="minorEastAsia"/>
                <w:color w:val="auto"/>
                <w:kern w:val="0"/>
                <w:sz w:val="24"/>
                <w:szCs w:val="24"/>
                <w:highlight w:val="none"/>
                <w:lang w:eastAsia="zh-CN"/>
              </w:rPr>
              <w:t>）</w:t>
            </w:r>
            <w:r>
              <w:rPr>
                <w:rFonts w:hint="eastAsia" w:ascii="Times New Roman" w:hAnsi="Times New Roman" w:eastAsiaTheme="minorEastAsia"/>
                <w:color w:val="auto"/>
                <w:kern w:val="0"/>
                <w:sz w:val="24"/>
                <w:szCs w:val="24"/>
                <w:highlight w:val="none"/>
              </w:rPr>
              <w:t>，同意本公司入驻园区开展生产经营</w:t>
            </w:r>
            <w:r>
              <w:rPr>
                <w:rFonts w:ascii="Times New Roman" w:hAnsi="Times New Roman" w:eastAsiaTheme="minorEastAsia"/>
                <w:color w:val="auto"/>
                <w:spacing w:val="-1"/>
                <w:sz w:val="24"/>
                <w:szCs w:val="24"/>
                <w:highlight w:val="none"/>
              </w:rPr>
              <w:t>。</w:t>
            </w:r>
          </w:p>
          <w:p w14:paraId="59D00081">
            <w:pPr>
              <w:spacing w:line="500" w:lineRule="exact"/>
              <w:ind w:firstLine="476" w:firstLineChars="200"/>
              <w:rPr>
                <w:rFonts w:ascii="Times New Roman" w:hAnsi="Times New Roman" w:eastAsiaTheme="minorEastAsia"/>
                <w:color w:val="auto"/>
                <w:spacing w:val="-1"/>
                <w:sz w:val="24"/>
                <w:szCs w:val="24"/>
                <w:highlight w:val="none"/>
              </w:rPr>
            </w:pPr>
            <w:r>
              <w:rPr>
                <w:rFonts w:ascii="Times New Roman" w:hAnsi="Times New Roman" w:eastAsiaTheme="minorEastAsia"/>
                <w:color w:val="auto"/>
                <w:spacing w:val="-1"/>
                <w:sz w:val="24"/>
                <w:szCs w:val="24"/>
                <w:highlight w:val="none"/>
              </w:rPr>
              <w:t>（2）园区准入负面清单</w:t>
            </w:r>
          </w:p>
          <w:p w14:paraId="03ADAA53">
            <w:pPr>
              <w:spacing w:line="500" w:lineRule="exact"/>
              <w:jc w:val="center"/>
              <w:rPr>
                <w:rFonts w:ascii="Times New Roman" w:hAnsi="Times New Roman" w:eastAsiaTheme="minorEastAsia"/>
                <w:color w:val="auto"/>
                <w:spacing w:val="-1"/>
                <w:sz w:val="24"/>
                <w:szCs w:val="24"/>
                <w:highlight w:val="none"/>
              </w:rPr>
            </w:pPr>
            <w:r>
              <w:rPr>
                <w:rFonts w:ascii="Times New Roman" w:hAnsi="Times New Roman" w:eastAsiaTheme="minorEastAsia"/>
                <w:color w:val="auto"/>
                <w:spacing w:val="-1"/>
                <w:sz w:val="24"/>
                <w:szCs w:val="24"/>
                <w:highlight w:val="none"/>
              </w:rPr>
              <w:t>表1-3  开发区环境准入负面清单</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9"/>
              <w:gridCol w:w="992"/>
              <w:gridCol w:w="6821"/>
            </w:tblGrid>
            <w:tr w14:paraId="62BB0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51" w:type="dxa"/>
                  <w:gridSpan w:val="2"/>
                  <w:tcBorders>
                    <w:left w:val="nil"/>
                  </w:tcBorders>
                  <w:vAlign w:val="center"/>
                </w:tcPr>
                <w:p w14:paraId="33C69E48">
                  <w:pPr>
                    <w:spacing w:line="300" w:lineRule="exact"/>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控制类别</w:t>
                  </w:r>
                </w:p>
              </w:tc>
              <w:tc>
                <w:tcPr>
                  <w:tcW w:w="6821" w:type="dxa"/>
                  <w:tcBorders>
                    <w:right w:val="nil"/>
                  </w:tcBorders>
                  <w:vAlign w:val="center"/>
                </w:tcPr>
                <w:p w14:paraId="01462FD2">
                  <w:pPr>
                    <w:spacing w:line="300" w:lineRule="exact"/>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界定范围和划定标准说明</w:t>
                  </w:r>
                </w:p>
              </w:tc>
            </w:tr>
            <w:tr w14:paraId="79CBA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0" w:hRule="atLeast"/>
              </w:trPr>
              <w:tc>
                <w:tcPr>
                  <w:tcW w:w="459" w:type="dxa"/>
                  <w:vMerge w:val="restart"/>
                  <w:tcBorders>
                    <w:left w:val="nil"/>
                  </w:tcBorders>
                  <w:vAlign w:val="center"/>
                </w:tcPr>
                <w:p w14:paraId="37655C41">
                  <w:pPr>
                    <w:spacing w:line="300" w:lineRule="exact"/>
                    <w:jc w:val="center"/>
                    <w:rPr>
                      <w:rFonts w:ascii="Times New Roman" w:hAnsi="Times New Roman" w:eastAsiaTheme="minorEastAsia"/>
                      <w:color w:val="auto"/>
                      <w:szCs w:val="24"/>
                      <w:highlight w:val="none"/>
                    </w:rPr>
                  </w:pPr>
                  <w:r>
                    <w:rPr>
                      <w:rFonts w:ascii="Times New Roman" w:hAnsi="Times New Roman" w:eastAsiaTheme="minorEastAsia"/>
                      <w:color w:val="auto"/>
                      <w:szCs w:val="24"/>
                      <w:highlight w:val="none"/>
                    </w:rPr>
                    <w:t>禁止限制</w:t>
                  </w:r>
                </w:p>
              </w:tc>
              <w:tc>
                <w:tcPr>
                  <w:tcW w:w="992" w:type="dxa"/>
                  <w:vAlign w:val="center"/>
                </w:tcPr>
                <w:p w14:paraId="3A96B2DB">
                  <w:pPr>
                    <w:autoSpaceDE w:val="0"/>
                    <w:autoSpaceDN w:val="0"/>
                    <w:adjustRightIn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禁止发展产业（宏观）</w:t>
                  </w:r>
                </w:p>
              </w:tc>
              <w:tc>
                <w:tcPr>
                  <w:tcW w:w="6821" w:type="dxa"/>
                  <w:tcBorders>
                    <w:right w:val="nil"/>
                  </w:tcBorders>
                  <w:vAlign w:val="center"/>
                </w:tcPr>
                <w:p w14:paraId="234C0498">
                  <w:pPr>
                    <w:autoSpaceDE w:val="0"/>
                    <w:autoSpaceDN w:val="0"/>
                    <w:adjustRightIn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对于能源、资源消耗大，环境污染严重，可能对区域环境、其他产业造成恶劣影响的产业必须严格限制；</w:t>
                  </w:r>
                </w:p>
                <w:p w14:paraId="29401137">
                  <w:pPr>
                    <w:autoSpaceDE w:val="0"/>
                    <w:autoSpaceDN w:val="0"/>
                    <w:adjustRightIn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《产业结构调整指导目录（20</w:t>
                  </w:r>
                  <w:r>
                    <w:rPr>
                      <w:rFonts w:hint="eastAsia" w:ascii="Times New Roman" w:hAnsi="Times New Roman"/>
                      <w:color w:val="auto"/>
                      <w:kern w:val="0"/>
                      <w:szCs w:val="21"/>
                      <w:highlight w:val="none"/>
                      <w:lang w:val="en-US" w:eastAsia="zh-CN"/>
                    </w:rPr>
                    <w:t>24</w:t>
                  </w:r>
                  <w:r>
                    <w:rPr>
                      <w:rFonts w:ascii="Times New Roman" w:hAnsi="Times New Roman"/>
                      <w:color w:val="auto"/>
                      <w:kern w:val="0"/>
                      <w:szCs w:val="21"/>
                      <w:highlight w:val="none"/>
                    </w:rPr>
                    <w:t>年本）》中限制、淘汰类项目；</w:t>
                  </w:r>
                </w:p>
                <w:p w14:paraId="77A99A94">
                  <w:pPr>
                    <w:autoSpaceDE w:val="0"/>
                    <w:autoSpaceDN w:val="0"/>
                    <w:adjustRightIn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《关于抑制部分行业产能过剩和重复建设引导产业健康发展的若干意见》中规定的产能过剩行业；</w:t>
                  </w:r>
                </w:p>
                <w:p w14:paraId="747FF7CC">
                  <w:pPr>
                    <w:autoSpaceDE w:val="0"/>
                    <w:autoSpaceDN w:val="0"/>
                    <w:adjustRightInd w:val="0"/>
                    <w:spacing w:line="300" w:lineRule="exact"/>
                    <w:jc w:val="left"/>
                    <w:rPr>
                      <w:rFonts w:ascii="Times New Roman" w:hAnsi="Times New Roman"/>
                      <w:color w:val="auto"/>
                      <w:spacing w:val="-10"/>
                      <w:kern w:val="0"/>
                      <w:szCs w:val="21"/>
                      <w:highlight w:val="none"/>
                    </w:rPr>
                  </w:pPr>
                  <w:r>
                    <w:rPr>
                      <w:rFonts w:ascii="Times New Roman" w:hAnsi="Times New Roman"/>
                      <w:color w:val="auto"/>
                      <w:spacing w:val="-10"/>
                      <w:kern w:val="0"/>
                      <w:szCs w:val="21"/>
                      <w:highlight w:val="none"/>
                    </w:rPr>
                    <w:t>《河北省新增限制和淘汰类产业目录（2015年版）》中规定淘汰类建设项目；</w:t>
                  </w:r>
                </w:p>
              </w:tc>
            </w:tr>
            <w:tr w14:paraId="44C34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459" w:type="dxa"/>
                  <w:vMerge w:val="continue"/>
                  <w:tcBorders>
                    <w:left w:val="nil"/>
                  </w:tcBorders>
                  <w:vAlign w:val="center"/>
                </w:tcPr>
                <w:p w14:paraId="4E332A99">
                  <w:pPr>
                    <w:spacing w:line="300" w:lineRule="exact"/>
                    <w:jc w:val="center"/>
                    <w:rPr>
                      <w:rFonts w:ascii="Times New Roman" w:hAnsi="Times New Roman" w:eastAsiaTheme="minorEastAsia"/>
                      <w:color w:val="auto"/>
                      <w:szCs w:val="24"/>
                      <w:highlight w:val="none"/>
                    </w:rPr>
                  </w:pPr>
                </w:p>
              </w:tc>
              <w:tc>
                <w:tcPr>
                  <w:tcW w:w="992" w:type="dxa"/>
                  <w:vAlign w:val="center"/>
                </w:tcPr>
                <w:p w14:paraId="5F25072F">
                  <w:pPr>
                    <w:autoSpaceDE w:val="0"/>
                    <w:autoSpaceDN w:val="0"/>
                    <w:adjustRightIn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限制发展产业（宏观）</w:t>
                  </w:r>
                </w:p>
              </w:tc>
              <w:tc>
                <w:tcPr>
                  <w:tcW w:w="6821" w:type="dxa"/>
                  <w:tcBorders>
                    <w:right w:val="nil"/>
                  </w:tcBorders>
                  <w:vAlign w:val="center"/>
                </w:tcPr>
                <w:p w14:paraId="0024102C">
                  <w:pPr>
                    <w:autoSpaceDE w:val="0"/>
                    <w:autoSpaceDN w:val="0"/>
                    <w:adjustRightIn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对于能源、资源消耗和环境污染较严重，但有可行的办法并经努力后可以减轻，并且确实对区域经济发展和劳动就业具有较大意义的产业；</w:t>
                  </w:r>
                </w:p>
                <w:p w14:paraId="39127821">
                  <w:pPr>
                    <w:spacing w:line="300" w:lineRule="exact"/>
                    <w:rPr>
                      <w:rFonts w:ascii="Times New Roman" w:hAnsi="Times New Roman"/>
                      <w:color w:val="auto"/>
                      <w:kern w:val="0"/>
                      <w:szCs w:val="21"/>
                      <w:highlight w:val="none"/>
                    </w:rPr>
                  </w:pPr>
                  <w:r>
                    <w:rPr>
                      <w:rFonts w:ascii="Times New Roman" w:hAnsi="Times New Roman"/>
                      <w:color w:val="auto"/>
                      <w:kern w:val="0"/>
                      <w:szCs w:val="21"/>
                      <w:highlight w:val="none"/>
                    </w:rPr>
                    <w:t>清洁生产水平达不到国内先进水平的项目；</w:t>
                  </w:r>
                </w:p>
              </w:tc>
            </w:tr>
            <w:tr w14:paraId="31C7E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 w:hRule="atLeast"/>
              </w:trPr>
              <w:tc>
                <w:tcPr>
                  <w:tcW w:w="459" w:type="dxa"/>
                  <w:vMerge w:val="continue"/>
                  <w:tcBorders>
                    <w:left w:val="nil"/>
                  </w:tcBorders>
                  <w:vAlign w:val="center"/>
                </w:tcPr>
                <w:p w14:paraId="5D60E387">
                  <w:pPr>
                    <w:spacing w:line="300" w:lineRule="exact"/>
                    <w:jc w:val="center"/>
                    <w:rPr>
                      <w:rFonts w:ascii="Times New Roman" w:hAnsi="Times New Roman" w:eastAsiaTheme="minorEastAsia"/>
                      <w:color w:val="auto"/>
                      <w:szCs w:val="24"/>
                      <w:highlight w:val="none"/>
                    </w:rPr>
                  </w:pPr>
                </w:p>
              </w:tc>
              <w:tc>
                <w:tcPr>
                  <w:tcW w:w="992" w:type="dxa"/>
                  <w:vMerge w:val="restart"/>
                  <w:vAlign w:val="center"/>
                </w:tcPr>
                <w:p w14:paraId="695E857C">
                  <w:pPr>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负面清单</w:t>
                  </w:r>
                </w:p>
              </w:tc>
              <w:tc>
                <w:tcPr>
                  <w:tcW w:w="6821" w:type="dxa"/>
                  <w:tcBorders>
                    <w:right w:val="nil"/>
                  </w:tcBorders>
                  <w:vAlign w:val="center"/>
                </w:tcPr>
                <w:p w14:paraId="6742F191">
                  <w:pPr>
                    <w:spacing w:line="300" w:lineRule="exact"/>
                    <w:rPr>
                      <w:rFonts w:ascii="Times New Roman" w:hAnsi="Times New Roman"/>
                      <w:color w:val="auto"/>
                      <w:kern w:val="0"/>
                      <w:szCs w:val="21"/>
                      <w:highlight w:val="none"/>
                    </w:rPr>
                  </w:pPr>
                  <w:r>
                    <w:rPr>
                      <w:rFonts w:ascii="Times New Roman" w:hAnsi="Times New Roman"/>
                      <w:color w:val="auto"/>
                      <w:kern w:val="0"/>
                      <w:szCs w:val="21"/>
                      <w:highlight w:val="none"/>
                    </w:rPr>
                    <w:t>与开发区的产业定位、产业布局不相符的拟入区项目</w:t>
                  </w:r>
                </w:p>
              </w:tc>
            </w:tr>
            <w:tr w14:paraId="6AB94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59" w:type="dxa"/>
                  <w:vMerge w:val="continue"/>
                  <w:tcBorders>
                    <w:left w:val="nil"/>
                  </w:tcBorders>
                  <w:vAlign w:val="center"/>
                </w:tcPr>
                <w:p w14:paraId="254B0244">
                  <w:pPr>
                    <w:spacing w:line="300" w:lineRule="exact"/>
                    <w:jc w:val="center"/>
                    <w:rPr>
                      <w:rFonts w:ascii="Times New Roman" w:hAnsi="Times New Roman" w:eastAsiaTheme="minorEastAsia"/>
                      <w:color w:val="auto"/>
                      <w:szCs w:val="24"/>
                      <w:highlight w:val="none"/>
                    </w:rPr>
                  </w:pPr>
                </w:p>
              </w:tc>
              <w:tc>
                <w:tcPr>
                  <w:tcW w:w="992" w:type="dxa"/>
                  <w:vMerge w:val="continue"/>
                  <w:vAlign w:val="center"/>
                </w:tcPr>
                <w:p w14:paraId="159DCA76">
                  <w:pPr>
                    <w:spacing w:line="300" w:lineRule="exact"/>
                    <w:jc w:val="center"/>
                    <w:rPr>
                      <w:rFonts w:ascii="Times New Roman" w:hAnsi="Times New Roman"/>
                      <w:color w:val="auto"/>
                      <w:kern w:val="0"/>
                      <w:szCs w:val="21"/>
                      <w:highlight w:val="none"/>
                    </w:rPr>
                  </w:pPr>
                </w:p>
              </w:tc>
              <w:tc>
                <w:tcPr>
                  <w:tcW w:w="6821" w:type="dxa"/>
                  <w:tcBorders>
                    <w:right w:val="nil"/>
                  </w:tcBorders>
                  <w:vAlign w:val="center"/>
                </w:tcPr>
                <w:p w14:paraId="6509583C">
                  <w:pPr>
                    <w:autoSpaceDE w:val="0"/>
                    <w:autoSpaceDN w:val="0"/>
                    <w:adjustRightIn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《产业结构调整指导目录（20</w:t>
                  </w:r>
                  <w:r>
                    <w:rPr>
                      <w:rFonts w:hint="eastAsia" w:ascii="Times New Roman" w:hAnsi="Times New Roman"/>
                      <w:color w:val="auto"/>
                      <w:kern w:val="0"/>
                      <w:szCs w:val="21"/>
                      <w:highlight w:val="none"/>
                      <w:lang w:val="en-US" w:eastAsia="zh-CN"/>
                    </w:rPr>
                    <w:t>24</w:t>
                  </w:r>
                  <w:r>
                    <w:rPr>
                      <w:rFonts w:ascii="Times New Roman" w:hAnsi="Times New Roman"/>
                      <w:color w:val="auto"/>
                      <w:kern w:val="0"/>
                      <w:szCs w:val="21"/>
                      <w:highlight w:val="none"/>
                    </w:rPr>
                    <w:t>年本）》中淘汰类项目</w:t>
                  </w:r>
                </w:p>
              </w:tc>
            </w:tr>
          </w:tbl>
          <w:p w14:paraId="1CF324AA">
            <w:pPr>
              <w:spacing w:line="50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经与表1-3中环境准入负面清单对比</w:t>
            </w:r>
            <w:r>
              <w:rPr>
                <w:rFonts w:hint="eastAsia" w:ascii="Times New Roman" w:hAnsi="Times New Roman" w:eastAsiaTheme="minorEastAsia"/>
                <w:color w:val="auto"/>
                <w:sz w:val="24"/>
                <w:szCs w:val="24"/>
                <w:highlight w:val="none"/>
                <w:lang w:eastAsia="zh-CN"/>
              </w:rPr>
              <w:t>，</w:t>
            </w:r>
            <w:r>
              <w:rPr>
                <w:rFonts w:hint="eastAsia" w:ascii="Times New Roman" w:hAnsi="Times New Roman" w:eastAsiaTheme="minorEastAsia"/>
                <w:color w:val="auto"/>
                <w:sz w:val="24"/>
                <w:szCs w:val="24"/>
                <w:highlight w:val="none"/>
                <w:lang w:val="en-US" w:eastAsia="zh-CN"/>
              </w:rPr>
              <w:t>本项目不属于</w:t>
            </w:r>
            <w:r>
              <w:rPr>
                <w:rFonts w:ascii="Times New Roman" w:hAnsi="Times New Roman" w:eastAsiaTheme="minorEastAsia"/>
                <w:color w:val="auto"/>
                <w:sz w:val="24"/>
                <w:szCs w:val="24"/>
                <w:highlight w:val="none"/>
              </w:rPr>
              <w:t>《产业结构调整指导目录（20</w:t>
            </w:r>
            <w:r>
              <w:rPr>
                <w:rFonts w:hint="eastAsia" w:ascii="Times New Roman" w:hAnsi="Times New Roman" w:eastAsiaTheme="minorEastAsia"/>
                <w:color w:val="auto"/>
                <w:sz w:val="24"/>
                <w:szCs w:val="24"/>
                <w:highlight w:val="none"/>
                <w:lang w:val="en-US" w:eastAsia="zh-CN"/>
              </w:rPr>
              <w:t>24</w:t>
            </w:r>
            <w:r>
              <w:rPr>
                <w:rFonts w:ascii="Times New Roman" w:hAnsi="Times New Roman" w:eastAsiaTheme="minorEastAsia"/>
                <w:color w:val="auto"/>
                <w:sz w:val="24"/>
                <w:szCs w:val="24"/>
                <w:highlight w:val="none"/>
              </w:rPr>
              <w:t>年本）》中限制、淘汰类项目</w:t>
            </w:r>
            <w:r>
              <w:rPr>
                <w:rFonts w:hint="eastAsia" w:ascii="Times New Roman" w:hAnsi="Times New Roman" w:eastAsiaTheme="minorEastAsia"/>
                <w:color w:val="auto"/>
                <w:sz w:val="24"/>
                <w:szCs w:val="24"/>
                <w:highlight w:val="none"/>
                <w:lang w:eastAsia="zh-CN"/>
              </w:rPr>
              <w:t>，</w:t>
            </w:r>
            <w:r>
              <w:rPr>
                <w:rFonts w:hint="eastAsia" w:ascii="Times New Roman" w:hAnsi="Times New Roman" w:eastAsiaTheme="minorEastAsia"/>
                <w:color w:val="auto"/>
                <w:sz w:val="24"/>
                <w:szCs w:val="24"/>
                <w:highlight w:val="none"/>
                <w:lang w:val="en-US" w:eastAsia="zh-CN"/>
              </w:rPr>
              <w:t>不属于</w:t>
            </w:r>
            <w:r>
              <w:rPr>
                <w:rFonts w:ascii="Times New Roman" w:hAnsi="Times New Roman" w:eastAsiaTheme="minorEastAsia"/>
                <w:color w:val="auto"/>
                <w:sz w:val="24"/>
                <w:szCs w:val="24"/>
                <w:highlight w:val="none"/>
              </w:rPr>
              <w:t>《关于抑制部分行业产能过剩和重复建设引导产业健康发展的若干意见》中规定的产能过剩行业，</w:t>
            </w:r>
            <w:r>
              <w:rPr>
                <w:rFonts w:hint="eastAsia" w:ascii="Times New Roman" w:hAnsi="Times New Roman" w:eastAsiaTheme="minorEastAsia"/>
                <w:color w:val="auto"/>
                <w:sz w:val="24"/>
                <w:szCs w:val="24"/>
                <w:highlight w:val="none"/>
                <w:lang w:val="en-US" w:eastAsia="zh-CN"/>
              </w:rPr>
              <w:t>不属于能源、资源消耗和环境污染严重的产业，</w:t>
            </w:r>
            <w:r>
              <w:rPr>
                <w:rFonts w:hint="eastAsia" w:ascii="Times New Roman" w:hAnsi="Times New Roman" w:eastAsiaTheme="minorEastAsia"/>
                <w:color w:val="auto"/>
                <w:kern w:val="0"/>
                <w:sz w:val="24"/>
                <w:szCs w:val="24"/>
                <w:highlight w:val="none"/>
              </w:rPr>
              <w:t>徐水经济开发区管理委员会同意本公司入驻园区开展生产经营</w:t>
            </w:r>
            <w:r>
              <w:rPr>
                <w:rFonts w:hint="eastAsia" w:ascii="Times New Roman" w:hAnsi="Times New Roman" w:eastAsiaTheme="minorEastAsia"/>
                <w:color w:val="auto"/>
                <w:sz w:val="24"/>
                <w:szCs w:val="24"/>
                <w:highlight w:val="none"/>
                <w:lang w:val="en-US" w:eastAsia="zh-CN"/>
              </w:rPr>
              <w:t>。综上，本</w:t>
            </w:r>
            <w:r>
              <w:rPr>
                <w:rFonts w:ascii="Times New Roman" w:hAnsi="Times New Roman" w:eastAsiaTheme="minorEastAsia"/>
                <w:color w:val="auto"/>
                <w:sz w:val="24"/>
                <w:szCs w:val="24"/>
                <w:highlight w:val="none"/>
              </w:rPr>
              <w:t>项目不属于徐水经济开发区环境准入负面清单项目。</w:t>
            </w:r>
          </w:p>
          <w:p w14:paraId="1384E13B">
            <w:pPr>
              <w:spacing w:line="50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（3）与《徐水经济开发区（原大王店产业园区）规划环境影响跟踪评价报告书》结论及审查意见符合性分析详见下表：</w:t>
            </w:r>
          </w:p>
          <w:p w14:paraId="1D6EFDD1">
            <w:pPr>
              <w:spacing w:line="500" w:lineRule="exact"/>
              <w:jc w:val="center"/>
              <w:rPr>
                <w:rFonts w:ascii="Times New Roman" w:hAnsi="Times New Roman" w:eastAsiaTheme="minorEastAsia"/>
                <w:bCs/>
                <w:color w:val="auto"/>
                <w:sz w:val="24"/>
                <w:szCs w:val="24"/>
                <w:highlight w:val="none"/>
              </w:rPr>
            </w:pPr>
            <w:r>
              <w:rPr>
                <w:rFonts w:ascii="Times New Roman" w:hAnsi="Times New Roman" w:eastAsiaTheme="minorEastAsia"/>
                <w:bCs/>
                <w:color w:val="auto"/>
                <w:sz w:val="24"/>
                <w:szCs w:val="24"/>
                <w:highlight w:val="none"/>
              </w:rPr>
              <w:t>表1-4  与规划环境影响评价结论及审查意见的符合性分析</w:t>
            </w:r>
          </w:p>
          <w:tbl>
            <w:tblPr>
              <w:tblStyle w:val="31"/>
              <w:tblW w:w="8297"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2"/>
              <w:gridCol w:w="3655"/>
              <w:gridCol w:w="3287"/>
              <w:gridCol w:w="923"/>
            </w:tblGrid>
            <w:tr w14:paraId="7D25F4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dxa"/>
                  <w:shd w:val="clear" w:color="auto" w:fill="auto"/>
                  <w:vAlign w:val="center"/>
                </w:tcPr>
                <w:p w14:paraId="53CE795E">
                  <w:pPr>
                    <w:autoSpaceDE w:val="0"/>
                    <w:autoSpaceDN w:val="0"/>
                    <w:adjustRightInd w:val="0"/>
                    <w:snapToGrid w:val="0"/>
                    <w:spacing w:line="280" w:lineRule="exact"/>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序号</w:t>
                  </w:r>
                </w:p>
              </w:tc>
              <w:tc>
                <w:tcPr>
                  <w:tcW w:w="3655" w:type="dxa"/>
                  <w:shd w:val="clear" w:color="auto" w:fill="auto"/>
                  <w:vAlign w:val="center"/>
                </w:tcPr>
                <w:p w14:paraId="7C049FA1">
                  <w:pPr>
                    <w:autoSpaceDE w:val="0"/>
                    <w:autoSpaceDN w:val="0"/>
                    <w:adjustRightInd w:val="0"/>
                    <w:snapToGrid w:val="0"/>
                    <w:spacing w:line="280" w:lineRule="exact"/>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规划及审查意见要求</w:t>
                  </w:r>
                </w:p>
              </w:tc>
              <w:tc>
                <w:tcPr>
                  <w:tcW w:w="3287" w:type="dxa"/>
                  <w:shd w:val="clear" w:color="auto" w:fill="auto"/>
                  <w:vAlign w:val="center"/>
                </w:tcPr>
                <w:p w14:paraId="03B6AEBB">
                  <w:pPr>
                    <w:autoSpaceDE w:val="0"/>
                    <w:autoSpaceDN w:val="0"/>
                    <w:adjustRightInd w:val="0"/>
                    <w:snapToGrid w:val="0"/>
                    <w:spacing w:line="280" w:lineRule="exact"/>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本项目</w:t>
                  </w:r>
                </w:p>
              </w:tc>
              <w:tc>
                <w:tcPr>
                  <w:tcW w:w="923" w:type="dxa"/>
                  <w:shd w:val="clear" w:color="auto" w:fill="auto"/>
                  <w:vAlign w:val="center"/>
                </w:tcPr>
                <w:p w14:paraId="621EDE00">
                  <w:pPr>
                    <w:autoSpaceDE w:val="0"/>
                    <w:autoSpaceDN w:val="0"/>
                    <w:adjustRightInd w:val="0"/>
                    <w:snapToGrid w:val="0"/>
                    <w:spacing w:line="280" w:lineRule="exact"/>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符合性分析</w:t>
                  </w:r>
                </w:p>
              </w:tc>
            </w:tr>
            <w:tr w14:paraId="39B2C8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7" w:hRule="atLeast"/>
              </w:trPr>
              <w:tc>
                <w:tcPr>
                  <w:tcW w:w="432" w:type="dxa"/>
                  <w:shd w:val="clear" w:color="auto" w:fill="auto"/>
                  <w:vAlign w:val="center"/>
                </w:tcPr>
                <w:p w14:paraId="526B307D">
                  <w:pPr>
                    <w:autoSpaceDE w:val="0"/>
                    <w:autoSpaceDN w:val="0"/>
                    <w:adjustRightInd w:val="0"/>
                    <w:snapToGrid w:val="0"/>
                    <w:spacing w:line="280" w:lineRule="exac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1</w:t>
                  </w:r>
                </w:p>
              </w:tc>
              <w:tc>
                <w:tcPr>
                  <w:tcW w:w="3655" w:type="dxa"/>
                  <w:shd w:val="clear" w:color="auto" w:fill="auto"/>
                  <w:vAlign w:val="center"/>
                </w:tcPr>
                <w:p w14:paraId="425F4A6F">
                  <w:pPr>
                    <w:autoSpaceDE w:val="0"/>
                    <w:autoSpaceDN w:val="0"/>
                    <w:adjustRightInd w:val="0"/>
                    <w:snapToGrid w:val="0"/>
                    <w:spacing w:line="280" w:lineRule="exact"/>
                    <w:rPr>
                      <w:rFonts w:ascii="Times New Roman" w:hAnsi="Times New Roman" w:eastAsiaTheme="minorEastAsia"/>
                      <w:color w:val="auto"/>
                      <w:szCs w:val="21"/>
                      <w:highlight w:val="none"/>
                    </w:rPr>
                  </w:pPr>
                  <w:r>
                    <w:rPr>
                      <w:rFonts w:ascii="Times New Roman" w:hAnsi="Times New Roman" w:eastAsiaTheme="minorEastAsia"/>
                      <w:color w:val="auto"/>
                      <w:spacing w:val="-6"/>
                      <w:szCs w:val="21"/>
                      <w:highlight w:val="none"/>
                    </w:rPr>
                    <w:t>严格招商项目：优化产业结构，建议开发区进一步引进汽车及零部件制造、新型储能、现代电子信息、新材料等高科技技术产业，加强有利于形成产业链的项目入区，加大补链项目招商力度。</w:t>
                  </w:r>
                </w:p>
              </w:tc>
              <w:tc>
                <w:tcPr>
                  <w:tcW w:w="3287" w:type="dxa"/>
                  <w:shd w:val="clear" w:color="auto" w:fill="auto"/>
                  <w:vAlign w:val="center"/>
                </w:tcPr>
                <w:p w14:paraId="7767B52F">
                  <w:pPr>
                    <w:autoSpaceDE w:val="0"/>
                    <w:autoSpaceDN w:val="0"/>
                    <w:adjustRightInd w:val="0"/>
                    <w:snapToGrid w:val="0"/>
                    <w:spacing w:line="280" w:lineRule="exac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本项目为危险废物治理</w:t>
                  </w:r>
                  <w:r>
                    <w:rPr>
                      <w:rFonts w:hint="eastAsia" w:ascii="Times New Roman" w:hAnsi="Times New Roman" w:eastAsiaTheme="minorEastAsia"/>
                      <w:color w:val="auto"/>
                      <w:szCs w:val="21"/>
                      <w:highlight w:val="none"/>
                    </w:rPr>
                    <w:t>项目</w:t>
                  </w:r>
                  <w:r>
                    <w:rPr>
                      <w:rFonts w:ascii="Times New Roman" w:hAnsi="Times New Roman" w:eastAsiaTheme="minorEastAsia"/>
                      <w:color w:val="auto"/>
                      <w:szCs w:val="21"/>
                      <w:highlight w:val="none"/>
                    </w:rPr>
                    <w:t>，项目实施后有利于提高当地废铅</w:t>
                  </w:r>
                  <w:r>
                    <w:rPr>
                      <w:rFonts w:hint="eastAsia" w:ascii="Times New Roman" w:hAnsi="Times New Roman" w:eastAsiaTheme="minorEastAsia"/>
                      <w:color w:val="auto"/>
                      <w:szCs w:val="21"/>
                      <w:highlight w:val="none"/>
                    </w:rPr>
                    <w:t>酸</w:t>
                  </w:r>
                  <w:r>
                    <w:rPr>
                      <w:rFonts w:ascii="Times New Roman" w:hAnsi="Times New Roman" w:eastAsiaTheme="minorEastAsia"/>
                      <w:color w:val="auto"/>
                      <w:szCs w:val="21"/>
                      <w:highlight w:val="none"/>
                    </w:rPr>
                    <w:t>蓄电池规范收集率、利用率，降低废铅</w:t>
                  </w:r>
                  <w:r>
                    <w:rPr>
                      <w:rFonts w:hint="eastAsia" w:ascii="Times New Roman" w:hAnsi="Times New Roman" w:eastAsiaTheme="minorEastAsia"/>
                      <w:color w:val="auto"/>
                      <w:szCs w:val="21"/>
                      <w:highlight w:val="none"/>
                    </w:rPr>
                    <w:t>酸</w:t>
                  </w:r>
                  <w:r>
                    <w:rPr>
                      <w:rFonts w:ascii="Times New Roman" w:hAnsi="Times New Roman" w:eastAsiaTheme="minorEastAsia"/>
                      <w:color w:val="auto"/>
                      <w:szCs w:val="21"/>
                      <w:highlight w:val="none"/>
                    </w:rPr>
                    <w:t>蓄电池污染环境的风险，符合循环经济的理念，</w:t>
                  </w:r>
                  <w:r>
                    <w:rPr>
                      <w:rFonts w:hint="eastAsia" w:ascii="Times New Roman" w:hAnsi="Times New Roman" w:eastAsiaTheme="minorEastAsia"/>
                      <w:color w:val="auto"/>
                      <w:szCs w:val="21"/>
                      <w:highlight w:val="none"/>
                    </w:rPr>
                    <w:t>徐水经济开发区管理委员会出具了入园证明，同意本公司入驻园区开展生产经营，</w:t>
                  </w:r>
                  <w:r>
                    <w:rPr>
                      <w:rFonts w:ascii="Times New Roman" w:hAnsi="Times New Roman" w:eastAsiaTheme="minorEastAsia"/>
                      <w:color w:val="auto"/>
                      <w:szCs w:val="21"/>
                      <w:highlight w:val="none"/>
                    </w:rPr>
                    <w:t>符合园区产业定位。</w:t>
                  </w:r>
                </w:p>
              </w:tc>
              <w:tc>
                <w:tcPr>
                  <w:tcW w:w="923" w:type="dxa"/>
                  <w:shd w:val="clear" w:color="auto" w:fill="auto"/>
                  <w:vAlign w:val="center"/>
                </w:tcPr>
                <w:p w14:paraId="49F2BE1F">
                  <w:pPr>
                    <w:autoSpaceDE w:val="0"/>
                    <w:autoSpaceDN w:val="0"/>
                    <w:adjustRightInd w:val="0"/>
                    <w:snapToGrid w:val="0"/>
                    <w:spacing w:line="280" w:lineRule="exac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符合</w:t>
                  </w:r>
                </w:p>
              </w:tc>
            </w:tr>
            <w:tr w14:paraId="384600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dxa"/>
                  <w:shd w:val="clear" w:color="auto" w:fill="auto"/>
                  <w:vAlign w:val="center"/>
                </w:tcPr>
                <w:p w14:paraId="3718FA1D">
                  <w:pPr>
                    <w:autoSpaceDE w:val="0"/>
                    <w:autoSpaceDN w:val="0"/>
                    <w:adjustRightInd w:val="0"/>
                    <w:snapToGrid w:val="0"/>
                    <w:spacing w:line="280" w:lineRule="exac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2</w:t>
                  </w:r>
                </w:p>
              </w:tc>
              <w:tc>
                <w:tcPr>
                  <w:tcW w:w="3655" w:type="dxa"/>
                  <w:shd w:val="clear" w:color="auto" w:fill="auto"/>
                  <w:vAlign w:val="center"/>
                </w:tcPr>
                <w:p w14:paraId="6D15753E">
                  <w:pPr>
                    <w:autoSpaceDE w:val="0"/>
                    <w:autoSpaceDN w:val="0"/>
                    <w:adjustRightInd w:val="0"/>
                    <w:snapToGrid w:val="0"/>
                    <w:spacing w:line="280" w:lineRule="exac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环境空气质量改善：为减轻开发区建设过程中对环境空气质量的影响，应按照《河北省大气污染防治条例》的要求加强开发区内企业有组织废气排放污染控制和无组织扬尘污染防治。</w:t>
                  </w:r>
                </w:p>
              </w:tc>
              <w:tc>
                <w:tcPr>
                  <w:tcW w:w="3287" w:type="dxa"/>
                  <w:shd w:val="clear" w:color="auto" w:fill="auto"/>
                  <w:vAlign w:val="center"/>
                </w:tcPr>
                <w:p w14:paraId="58F1FCB1">
                  <w:pPr>
                    <w:autoSpaceDE w:val="0"/>
                    <w:autoSpaceDN w:val="0"/>
                    <w:adjustRightInd w:val="0"/>
                    <w:snapToGrid w:val="0"/>
                    <w:spacing w:line="280" w:lineRule="exac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本项目对破损铅蓄电池泄露电解液产生的硫酸雾废气进行收集</w:t>
                  </w:r>
                  <w:r>
                    <w:rPr>
                      <w:rFonts w:hint="eastAsia" w:ascii="Times New Roman" w:hAnsi="Times New Roman" w:eastAsiaTheme="minorEastAsia"/>
                      <w:color w:val="auto"/>
                      <w:szCs w:val="21"/>
                      <w:highlight w:val="none"/>
                    </w:rPr>
                    <w:t>，经脱硫塔</w:t>
                  </w:r>
                  <w:r>
                    <w:rPr>
                      <w:rFonts w:ascii="Times New Roman" w:hAnsi="Times New Roman" w:eastAsiaTheme="minorEastAsia"/>
                      <w:color w:val="auto"/>
                      <w:szCs w:val="21"/>
                      <w:highlight w:val="none"/>
                    </w:rPr>
                    <w:t>治理</w:t>
                  </w:r>
                  <w:r>
                    <w:rPr>
                      <w:rFonts w:hint="eastAsia" w:ascii="Times New Roman" w:hAnsi="Times New Roman" w:eastAsiaTheme="minorEastAsia"/>
                      <w:color w:val="auto"/>
                      <w:szCs w:val="21"/>
                      <w:highlight w:val="none"/>
                    </w:rPr>
                    <w:t>后</w:t>
                  </w:r>
                  <w:r>
                    <w:rPr>
                      <w:rFonts w:ascii="Times New Roman" w:hAnsi="Times New Roman" w:eastAsiaTheme="minorEastAsia"/>
                      <w:color w:val="auto"/>
                      <w:szCs w:val="21"/>
                      <w:highlight w:val="none"/>
                    </w:rPr>
                    <w:t>，由1根</w:t>
                  </w:r>
                  <w:r>
                    <w:rPr>
                      <w:rFonts w:hint="eastAsia" w:ascii="Times New Roman" w:hAnsi="Times New Roman" w:eastAsiaTheme="minorEastAsia"/>
                      <w:color w:val="auto"/>
                      <w:szCs w:val="21"/>
                      <w:highlight w:val="none"/>
                    </w:rPr>
                    <w:t>15</w:t>
                  </w:r>
                  <w:r>
                    <w:rPr>
                      <w:rFonts w:ascii="Times New Roman" w:hAnsi="Times New Roman" w:eastAsiaTheme="minorEastAsia"/>
                      <w:color w:val="auto"/>
                      <w:szCs w:val="21"/>
                      <w:highlight w:val="none"/>
                    </w:rPr>
                    <w:t>m高排气筒（DA00</w:t>
                  </w:r>
                  <w:r>
                    <w:rPr>
                      <w:rFonts w:hint="eastAsia" w:ascii="Times New Roman" w:hAnsi="Times New Roman" w:eastAsiaTheme="minorEastAsia"/>
                      <w:color w:val="auto"/>
                      <w:szCs w:val="21"/>
                      <w:highlight w:val="none"/>
                    </w:rPr>
                    <w:t>1</w:t>
                  </w:r>
                  <w:r>
                    <w:rPr>
                      <w:rFonts w:ascii="Times New Roman" w:hAnsi="Times New Roman" w:eastAsiaTheme="minorEastAsia"/>
                      <w:color w:val="auto"/>
                      <w:szCs w:val="21"/>
                      <w:highlight w:val="none"/>
                    </w:rPr>
                    <w:t>）</w:t>
                  </w:r>
                  <w:r>
                    <w:rPr>
                      <w:rFonts w:hint="eastAsia" w:ascii="Times New Roman" w:hAnsi="Times New Roman" w:eastAsiaTheme="minorEastAsia"/>
                      <w:color w:val="auto"/>
                      <w:szCs w:val="21"/>
                      <w:highlight w:val="none"/>
                    </w:rPr>
                    <w:t>达标</w:t>
                  </w:r>
                  <w:r>
                    <w:rPr>
                      <w:rFonts w:ascii="Times New Roman" w:hAnsi="Times New Roman" w:eastAsiaTheme="minorEastAsia"/>
                      <w:color w:val="auto"/>
                      <w:szCs w:val="21"/>
                      <w:highlight w:val="none"/>
                    </w:rPr>
                    <w:t>排放</w:t>
                  </w:r>
                  <w:r>
                    <w:rPr>
                      <w:rFonts w:hint="eastAsia" w:ascii="Times New Roman" w:hAnsi="Times New Roman" w:eastAsiaTheme="minorEastAsia"/>
                      <w:color w:val="auto"/>
                      <w:szCs w:val="21"/>
                      <w:highlight w:val="none"/>
                    </w:rPr>
                    <w:t>。</w:t>
                  </w:r>
                </w:p>
              </w:tc>
              <w:tc>
                <w:tcPr>
                  <w:tcW w:w="923" w:type="dxa"/>
                  <w:shd w:val="clear" w:color="auto" w:fill="auto"/>
                  <w:vAlign w:val="center"/>
                </w:tcPr>
                <w:p w14:paraId="5A2EBBF3">
                  <w:pPr>
                    <w:autoSpaceDE w:val="0"/>
                    <w:autoSpaceDN w:val="0"/>
                    <w:adjustRightInd w:val="0"/>
                    <w:snapToGrid w:val="0"/>
                    <w:spacing w:line="280" w:lineRule="exac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符合</w:t>
                  </w:r>
                </w:p>
              </w:tc>
            </w:tr>
            <w:tr w14:paraId="50C735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4" w:hRule="atLeast"/>
              </w:trPr>
              <w:tc>
                <w:tcPr>
                  <w:tcW w:w="432" w:type="dxa"/>
                  <w:shd w:val="clear" w:color="auto" w:fill="auto"/>
                  <w:vAlign w:val="center"/>
                </w:tcPr>
                <w:p w14:paraId="0A44B764">
                  <w:pPr>
                    <w:autoSpaceDE w:val="0"/>
                    <w:autoSpaceDN w:val="0"/>
                    <w:adjustRightInd w:val="0"/>
                    <w:snapToGrid w:val="0"/>
                    <w:spacing w:line="280" w:lineRule="exac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3</w:t>
                  </w:r>
                </w:p>
              </w:tc>
              <w:tc>
                <w:tcPr>
                  <w:tcW w:w="3655" w:type="dxa"/>
                  <w:shd w:val="clear" w:color="auto" w:fill="auto"/>
                  <w:vAlign w:val="center"/>
                </w:tcPr>
                <w:p w14:paraId="7F3BFAE0">
                  <w:pPr>
                    <w:autoSpaceDE w:val="0"/>
                    <w:autoSpaceDN w:val="0"/>
                    <w:adjustRightInd w:val="0"/>
                    <w:snapToGrid w:val="0"/>
                    <w:spacing w:line="280" w:lineRule="exact"/>
                    <w:rPr>
                      <w:rFonts w:ascii="Times New Roman" w:hAnsi="Times New Roman" w:eastAsiaTheme="minorEastAsia"/>
                      <w:color w:val="auto"/>
                      <w:szCs w:val="24"/>
                      <w:highlight w:val="none"/>
                    </w:rPr>
                  </w:pPr>
                  <w:r>
                    <w:rPr>
                      <w:rFonts w:ascii="Times New Roman" w:hAnsi="Times New Roman" w:eastAsiaTheme="minorEastAsia"/>
                      <w:color w:val="auto"/>
                      <w:szCs w:val="24"/>
                      <w:highlight w:val="none"/>
                    </w:rPr>
                    <w:t>按跟踪评价报告书规定的方式，落实各项污染防治和生态保护措施，使区内企业排放污染物稳定达标，积极推进区域污染物削减，逐步改善区域环境质量。应进一步加强园区基础设施建设，实现开发区雨污分流，完善区内企业防渗措施，防止对周边环境造成污染。</w:t>
                  </w:r>
                </w:p>
              </w:tc>
              <w:tc>
                <w:tcPr>
                  <w:tcW w:w="3287" w:type="dxa"/>
                  <w:shd w:val="clear" w:color="auto" w:fill="auto"/>
                  <w:vAlign w:val="center"/>
                </w:tcPr>
                <w:p w14:paraId="63EB0414">
                  <w:pPr>
                    <w:autoSpaceDE w:val="0"/>
                    <w:autoSpaceDN w:val="0"/>
                    <w:adjustRightInd w:val="0"/>
                    <w:snapToGrid w:val="0"/>
                    <w:spacing w:line="280" w:lineRule="exac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本项目废气、噪声和固体废物均采取合理防治措施，运营期各项污染物均能达标排放，满足国家和地方相关排放标要准求。</w:t>
                  </w:r>
                </w:p>
              </w:tc>
              <w:tc>
                <w:tcPr>
                  <w:tcW w:w="923" w:type="dxa"/>
                  <w:shd w:val="clear" w:color="auto" w:fill="auto"/>
                  <w:vAlign w:val="center"/>
                </w:tcPr>
                <w:p w14:paraId="1A1FA864">
                  <w:pPr>
                    <w:autoSpaceDE w:val="0"/>
                    <w:autoSpaceDN w:val="0"/>
                    <w:adjustRightInd w:val="0"/>
                    <w:snapToGrid w:val="0"/>
                    <w:spacing w:line="280" w:lineRule="exac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符合</w:t>
                  </w:r>
                </w:p>
              </w:tc>
            </w:tr>
            <w:tr w14:paraId="591B12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dxa"/>
                  <w:shd w:val="clear" w:color="auto" w:fill="auto"/>
                  <w:vAlign w:val="center"/>
                </w:tcPr>
                <w:p w14:paraId="033CF680">
                  <w:pPr>
                    <w:autoSpaceDE w:val="0"/>
                    <w:autoSpaceDN w:val="0"/>
                    <w:adjustRightInd w:val="0"/>
                    <w:snapToGrid w:val="0"/>
                    <w:spacing w:line="280" w:lineRule="exac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4</w:t>
                  </w:r>
                </w:p>
              </w:tc>
              <w:tc>
                <w:tcPr>
                  <w:tcW w:w="3655" w:type="dxa"/>
                  <w:shd w:val="clear" w:color="auto" w:fill="auto"/>
                  <w:vAlign w:val="center"/>
                </w:tcPr>
                <w:p w14:paraId="71A5F957">
                  <w:pPr>
                    <w:autoSpaceDE w:val="0"/>
                    <w:autoSpaceDN w:val="0"/>
                    <w:adjustRightInd w:val="0"/>
                    <w:snapToGrid w:val="0"/>
                    <w:spacing w:line="280" w:lineRule="exac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严格落实”三线一单”管控要求，按照环境准入负面清单生态保护红线管理要求控制入园进区建设项目的类别、性质，科学布局。各级环评审批部门应将入园进区建设项目与该跟踪评价报告书及审查小组的审查意见的符合性作为环评审批的重点审查内容。</w:t>
                  </w:r>
                </w:p>
              </w:tc>
              <w:tc>
                <w:tcPr>
                  <w:tcW w:w="3287" w:type="dxa"/>
                  <w:shd w:val="clear" w:color="auto" w:fill="auto"/>
                  <w:vAlign w:val="center"/>
                </w:tcPr>
                <w:p w14:paraId="691EEC5F">
                  <w:pPr>
                    <w:autoSpaceDE w:val="0"/>
                    <w:autoSpaceDN w:val="0"/>
                    <w:adjustRightInd w:val="0"/>
                    <w:snapToGrid w:val="0"/>
                    <w:spacing w:line="280" w:lineRule="exac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根据保定市环境管控单元分布图，项目建设符合</w:t>
                  </w:r>
                  <w:r>
                    <w:rPr>
                      <w:rFonts w:hint="eastAsia" w:ascii="Times New Roman" w:hAnsi="Times New Roman" w:eastAsiaTheme="minorEastAsia"/>
                      <w:color w:val="auto"/>
                      <w:szCs w:val="21"/>
                      <w:highlight w:val="none"/>
                      <w:lang w:eastAsia="zh-CN"/>
                    </w:rPr>
                    <w:t>“</w:t>
                  </w:r>
                  <w:r>
                    <w:rPr>
                      <w:rFonts w:ascii="Times New Roman" w:hAnsi="Times New Roman" w:eastAsiaTheme="minorEastAsia"/>
                      <w:color w:val="auto"/>
                      <w:szCs w:val="21"/>
                      <w:highlight w:val="none"/>
                    </w:rPr>
                    <w:t>三线一单</w:t>
                  </w:r>
                  <w:r>
                    <w:rPr>
                      <w:rFonts w:hint="eastAsia" w:ascii="Times New Roman" w:hAnsi="Times New Roman" w:eastAsiaTheme="minorEastAsia"/>
                      <w:color w:val="auto"/>
                      <w:szCs w:val="21"/>
                      <w:highlight w:val="none"/>
                      <w:lang w:eastAsia="zh-CN"/>
                    </w:rPr>
                    <w:t>”</w:t>
                  </w:r>
                  <w:r>
                    <w:rPr>
                      <w:rFonts w:ascii="Times New Roman" w:hAnsi="Times New Roman" w:eastAsiaTheme="minorEastAsia"/>
                      <w:color w:val="auto"/>
                      <w:szCs w:val="21"/>
                      <w:highlight w:val="none"/>
                    </w:rPr>
                    <w:t>管控要求；</w:t>
                  </w:r>
                  <w:r>
                    <w:rPr>
                      <w:rFonts w:ascii="Times New Roman" w:hAnsi="Times New Roman" w:eastAsiaTheme="minorEastAsia"/>
                      <w:color w:val="auto"/>
                      <w:kern w:val="0"/>
                      <w:szCs w:val="21"/>
                      <w:highlight w:val="none"/>
                    </w:rPr>
                    <w:t>本项目</w:t>
                  </w:r>
                  <w:r>
                    <w:rPr>
                      <w:rFonts w:hint="eastAsia"/>
                      <w:color w:val="auto"/>
                      <w:highlight w:val="none"/>
                      <w:lang w:val="en-US" w:eastAsia="zh-CN"/>
                    </w:rPr>
                    <w:t>属于环保基础设施，服务于开发区及周边企业</w:t>
                  </w:r>
                  <w:r>
                    <w:rPr>
                      <w:rFonts w:ascii="Times New Roman" w:hAnsi="Times New Roman" w:eastAsiaTheme="minorEastAsia"/>
                      <w:color w:val="auto"/>
                      <w:szCs w:val="21"/>
                      <w:highlight w:val="none"/>
                    </w:rPr>
                    <w:t>。</w:t>
                  </w:r>
                </w:p>
              </w:tc>
              <w:tc>
                <w:tcPr>
                  <w:tcW w:w="923" w:type="dxa"/>
                  <w:shd w:val="clear" w:color="auto" w:fill="auto"/>
                  <w:vAlign w:val="center"/>
                </w:tcPr>
                <w:p w14:paraId="6DF4154C">
                  <w:pPr>
                    <w:autoSpaceDE w:val="0"/>
                    <w:autoSpaceDN w:val="0"/>
                    <w:adjustRightInd w:val="0"/>
                    <w:snapToGrid w:val="0"/>
                    <w:spacing w:line="280" w:lineRule="exac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符合</w:t>
                  </w:r>
                </w:p>
              </w:tc>
            </w:tr>
            <w:tr w14:paraId="5202B7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dxa"/>
                  <w:shd w:val="clear" w:color="auto" w:fill="auto"/>
                  <w:vAlign w:val="center"/>
                </w:tcPr>
                <w:p w14:paraId="72C24590">
                  <w:pPr>
                    <w:autoSpaceDE w:val="0"/>
                    <w:autoSpaceDN w:val="0"/>
                    <w:adjustRightInd w:val="0"/>
                    <w:snapToGrid w:val="0"/>
                    <w:spacing w:line="280" w:lineRule="exac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5</w:t>
                  </w:r>
                </w:p>
              </w:tc>
              <w:tc>
                <w:tcPr>
                  <w:tcW w:w="3655" w:type="dxa"/>
                  <w:shd w:val="clear" w:color="auto" w:fill="auto"/>
                  <w:vAlign w:val="center"/>
                </w:tcPr>
                <w:p w14:paraId="234A32F2">
                  <w:pPr>
                    <w:autoSpaceDE w:val="0"/>
                    <w:autoSpaceDN w:val="0"/>
                    <w:adjustRightInd w:val="0"/>
                    <w:snapToGrid w:val="0"/>
                    <w:spacing w:line="280" w:lineRule="exac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严格落实环评报告书中提出的环境管理、环境监测制度、清洁生产管理等有关措施。</w:t>
                  </w:r>
                </w:p>
              </w:tc>
              <w:tc>
                <w:tcPr>
                  <w:tcW w:w="3287" w:type="dxa"/>
                  <w:shd w:val="clear" w:color="auto" w:fill="auto"/>
                  <w:vAlign w:val="center"/>
                </w:tcPr>
                <w:p w14:paraId="431559E8">
                  <w:pPr>
                    <w:autoSpaceDE w:val="0"/>
                    <w:autoSpaceDN w:val="0"/>
                    <w:adjustRightInd w:val="0"/>
                    <w:snapToGrid w:val="0"/>
                    <w:spacing w:line="280" w:lineRule="exact"/>
                    <w:rPr>
                      <w:rFonts w:ascii="Times New Roman" w:hAnsi="Times New Roman" w:eastAsiaTheme="minorEastAsia"/>
                      <w:color w:val="auto"/>
                      <w:szCs w:val="21"/>
                      <w:highlight w:val="none"/>
                    </w:rPr>
                  </w:pPr>
                  <w:r>
                    <w:rPr>
                      <w:rFonts w:ascii="Times New Roman" w:hAnsi="Times New Roman" w:eastAsiaTheme="minorEastAsia"/>
                      <w:color w:val="auto"/>
                      <w:spacing w:val="-6"/>
                      <w:szCs w:val="21"/>
                      <w:highlight w:val="none"/>
                    </w:rPr>
                    <w:t>本项目严格落实各项环境管理要求，根据相关规定，制定环境监测制度，按照自行监测计划定期检测项目污染物排放情况。</w:t>
                  </w:r>
                </w:p>
              </w:tc>
              <w:tc>
                <w:tcPr>
                  <w:tcW w:w="923" w:type="dxa"/>
                  <w:shd w:val="clear" w:color="auto" w:fill="auto"/>
                  <w:vAlign w:val="center"/>
                </w:tcPr>
                <w:p w14:paraId="53148E90">
                  <w:pPr>
                    <w:autoSpaceDE w:val="0"/>
                    <w:autoSpaceDN w:val="0"/>
                    <w:adjustRightInd w:val="0"/>
                    <w:snapToGrid w:val="0"/>
                    <w:spacing w:line="280" w:lineRule="exac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符合</w:t>
                  </w:r>
                </w:p>
              </w:tc>
            </w:tr>
          </w:tbl>
          <w:p w14:paraId="1FE9E200">
            <w:pPr>
              <w:pStyle w:val="5"/>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河北徐水经济开发区管理委员会关于开发区新上项目办理环评审批的请示</w:t>
            </w:r>
            <w:r>
              <w:rPr>
                <w:rFonts w:hint="default" w:ascii="Times New Roman" w:hAnsi="Times New Roman" w:eastAsia="宋体" w:cs="Times New Roman"/>
                <w:color w:val="auto"/>
                <w:sz w:val="24"/>
                <w:szCs w:val="24"/>
                <w:highlight w:val="none"/>
                <w:lang w:eastAsia="zh-CN"/>
              </w:rPr>
              <w:t>》（徐经开呈〔2025）51号</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见附件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目前，新版《河北徐水经开区控制性详细规划(2021-2035年)环境影响报告书》已经正式提报河北省生态环境厅，进入最终审核阶段。</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项目完全符合新旧两版开发区规划环评各项要求。</w:t>
            </w:r>
          </w:p>
          <w:p w14:paraId="60EDA46B">
            <w:pPr>
              <w:pStyle w:val="5"/>
              <w:spacing w:line="360" w:lineRule="auto"/>
              <w:ind w:firstLine="480"/>
              <w:rPr>
                <w:rFonts w:ascii="Times New Roman" w:hAnsi="Times New Roman"/>
                <w:color w:val="auto"/>
                <w:highlight w:val="none"/>
              </w:rPr>
            </w:pPr>
            <w:r>
              <w:rPr>
                <w:rFonts w:hint="default" w:ascii="Times New Roman" w:hAnsi="Times New Roman" w:eastAsia="宋体" w:cs="Times New Roman"/>
                <w:color w:val="auto"/>
                <w:sz w:val="24"/>
                <w:szCs w:val="24"/>
                <w:highlight w:val="none"/>
              </w:rPr>
              <w:t>综上，本项目符合河北徐水经济开发区规划及规划环境影响评价结论及审查意见的要求。</w:t>
            </w:r>
          </w:p>
        </w:tc>
      </w:tr>
      <w:tr w14:paraId="63F22F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54" w:hRule="atLeast"/>
          <w:jc w:val="center"/>
        </w:trPr>
        <w:tc>
          <w:tcPr>
            <w:tcW w:w="501" w:type="dxa"/>
            <w:vAlign w:val="center"/>
          </w:tcPr>
          <w:p w14:paraId="07B5649D">
            <w:pPr>
              <w:autoSpaceDE w:val="0"/>
              <w:autoSpaceDN w:val="0"/>
              <w:adjustRightInd w:val="0"/>
              <w:snapToGrid w:val="0"/>
              <w:jc w:val="center"/>
              <w:rPr>
                <w:rFonts w:ascii="Times New Roman" w:hAnsi="Times New Roman"/>
                <w:color w:val="auto"/>
                <w:highlight w:val="none"/>
              </w:rPr>
            </w:pPr>
            <w:r>
              <w:rPr>
                <w:rFonts w:ascii="Times New Roman" w:hAnsi="Times New Roman" w:eastAsiaTheme="minorEastAsia"/>
                <w:b/>
                <w:bCs/>
                <w:color w:val="auto"/>
                <w:kern w:val="0"/>
                <w:sz w:val="24"/>
                <w:szCs w:val="24"/>
                <w:highlight w:val="none"/>
              </w:rPr>
              <w:t>其他符合性分析</w:t>
            </w:r>
          </w:p>
        </w:tc>
        <w:tc>
          <w:tcPr>
            <w:tcW w:w="8528" w:type="dxa"/>
            <w:gridSpan w:val="4"/>
            <w:vAlign w:val="center"/>
          </w:tcPr>
          <w:p w14:paraId="53F92799">
            <w:pPr>
              <w:autoSpaceDE w:val="0"/>
              <w:autoSpaceDN w:val="0"/>
              <w:adjustRightInd w:val="0"/>
              <w:snapToGrid w:val="0"/>
              <w:spacing w:line="480" w:lineRule="exact"/>
              <w:ind w:firstLine="480" w:firstLineChars="200"/>
              <w:rPr>
                <w:rFonts w:ascii="Times New Roman" w:hAnsi="Times New Roman" w:eastAsiaTheme="minorEastAsia"/>
                <w:bCs/>
                <w:color w:val="auto"/>
                <w:sz w:val="24"/>
                <w:szCs w:val="24"/>
                <w:highlight w:val="none"/>
              </w:rPr>
            </w:pPr>
            <w:r>
              <w:rPr>
                <w:rFonts w:ascii="Times New Roman" w:hAnsi="Times New Roman" w:eastAsiaTheme="minorEastAsia"/>
                <w:bCs/>
                <w:color w:val="auto"/>
                <w:sz w:val="24"/>
                <w:szCs w:val="24"/>
                <w:highlight w:val="none"/>
              </w:rPr>
              <w:t>1、产业政策符合性分析</w:t>
            </w:r>
          </w:p>
          <w:p w14:paraId="3D1EB0FA">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本项目属于N7724 危险废物治理，不属于《产业结构调整指导目录（2024年本）》中鼓励类、限制类和淘汰类，为允许类项目；未列入《市场准入负面清单（202</w:t>
            </w:r>
            <w:r>
              <w:rPr>
                <w:rFonts w:hint="eastAsia" w:ascii="Times New Roman" w:hAnsi="Times New Roman" w:eastAsiaTheme="minorEastAsia"/>
                <w:color w:val="auto"/>
                <w:sz w:val="24"/>
                <w:szCs w:val="24"/>
                <w:highlight w:val="none"/>
                <w:lang w:val="en-US" w:eastAsia="zh-CN"/>
              </w:rPr>
              <w:t>5</w:t>
            </w:r>
            <w:r>
              <w:rPr>
                <w:rFonts w:ascii="Times New Roman" w:hAnsi="Times New Roman" w:eastAsiaTheme="minorEastAsia"/>
                <w:color w:val="auto"/>
                <w:sz w:val="24"/>
                <w:szCs w:val="24"/>
                <w:highlight w:val="none"/>
              </w:rPr>
              <w:t>年版）》。2024年</w:t>
            </w:r>
            <w:r>
              <w:rPr>
                <w:rFonts w:hint="eastAsia" w:ascii="Times New Roman" w:hAnsi="Times New Roman" w:eastAsiaTheme="minorEastAsia"/>
                <w:color w:val="auto"/>
                <w:sz w:val="24"/>
                <w:szCs w:val="24"/>
                <w:highlight w:val="none"/>
                <w:lang w:val="en-US" w:eastAsia="zh-CN"/>
              </w:rPr>
              <w:t>11</w:t>
            </w:r>
            <w:r>
              <w:rPr>
                <w:rFonts w:ascii="Times New Roman" w:hAnsi="Times New Roman" w:eastAsiaTheme="minorEastAsia"/>
                <w:color w:val="auto"/>
                <w:sz w:val="24"/>
                <w:szCs w:val="24"/>
                <w:highlight w:val="none"/>
              </w:rPr>
              <w:t>月</w:t>
            </w:r>
            <w:r>
              <w:rPr>
                <w:rFonts w:hint="eastAsia" w:ascii="Times New Roman" w:hAnsi="Times New Roman" w:eastAsiaTheme="minorEastAsia"/>
                <w:color w:val="auto"/>
                <w:sz w:val="24"/>
                <w:szCs w:val="24"/>
                <w:highlight w:val="none"/>
                <w:lang w:val="en-US" w:eastAsia="zh-CN"/>
              </w:rPr>
              <w:t>15</w:t>
            </w:r>
            <w:r>
              <w:rPr>
                <w:rFonts w:ascii="Times New Roman" w:hAnsi="Times New Roman" w:eastAsiaTheme="minorEastAsia"/>
                <w:color w:val="auto"/>
                <w:sz w:val="24"/>
                <w:szCs w:val="24"/>
                <w:highlight w:val="none"/>
              </w:rPr>
              <w:t>日，保定市徐水区</w:t>
            </w:r>
            <w:r>
              <w:rPr>
                <w:rFonts w:hint="eastAsia" w:ascii="Times New Roman" w:hAnsi="Times New Roman" w:eastAsiaTheme="minorEastAsia"/>
                <w:color w:val="auto"/>
                <w:sz w:val="24"/>
                <w:szCs w:val="24"/>
                <w:highlight w:val="none"/>
              </w:rPr>
              <w:t>发展和改革</w:t>
            </w:r>
            <w:r>
              <w:rPr>
                <w:rFonts w:ascii="Times New Roman" w:hAnsi="Times New Roman" w:eastAsiaTheme="minorEastAsia"/>
                <w:color w:val="auto"/>
                <w:sz w:val="24"/>
                <w:szCs w:val="24"/>
                <w:highlight w:val="none"/>
              </w:rPr>
              <w:t>局已为本项目出具企业投资项目备案信息（见附件），备案编号：徐</w:t>
            </w:r>
            <w:r>
              <w:rPr>
                <w:rFonts w:hint="eastAsia" w:ascii="Times New Roman" w:hAnsi="Times New Roman" w:eastAsiaTheme="minorEastAsia"/>
                <w:color w:val="auto"/>
                <w:sz w:val="24"/>
                <w:szCs w:val="24"/>
                <w:highlight w:val="none"/>
              </w:rPr>
              <w:t>水发改</w:t>
            </w:r>
            <w:r>
              <w:rPr>
                <w:rFonts w:ascii="Times New Roman" w:hAnsi="Times New Roman" w:eastAsiaTheme="minorEastAsia"/>
                <w:color w:val="auto"/>
                <w:sz w:val="24"/>
                <w:szCs w:val="24"/>
                <w:highlight w:val="none"/>
              </w:rPr>
              <w:t>备字〔2024〕</w:t>
            </w:r>
            <w:r>
              <w:rPr>
                <w:rFonts w:hint="eastAsia" w:ascii="Times New Roman" w:hAnsi="Times New Roman" w:eastAsiaTheme="minorEastAsia"/>
                <w:color w:val="auto"/>
                <w:sz w:val="24"/>
                <w:szCs w:val="24"/>
                <w:highlight w:val="none"/>
              </w:rPr>
              <w:t>78</w:t>
            </w:r>
            <w:r>
              <w:rPr>
                <w:rFonts w:ascii="Times New Roman" w:hAnsi="Times New Roman" w:eastAsiaTheme="minorEastAsia"/>
                <w:color w:val="auto"/>
                <w:sz w:val="24"/>
                <w:szCs w:val="24"/>
                <w:highlight w:val="none"/>
              </w:rPr>
              <w:t>号。</w:t>
            </w:r>
          </w:p>
          <w:p w14:paraId="41494E0D">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因此，本项目符合国家和地方产业政策。</w:t>
            </w:r>
          </w:p>
          <w:p w14:paraId="4E87FF51">
            <w:pPr>
              <w:adjustRightInd w:val="0"/>
              <w:spacing w:line="480" w:lineRule="exact"/>
              <w:ind w:firstLine="480" w:firstLineChars="200"/>
              <w:rPr>
                <w:rFonts w:ascii="Times New Roman" w:hAnsi="Times New Roman" w:eastAsiaTheme="minorEastAsia"/>
                <w:bCs/>
                <w:color w:val="auto"/>
                <w:sz w:val="24"/>
                <w:szCs w:val="24"/>
                <w:highlight w:val="none"/>
              </w:rPr>
            </w:pPr>
            <w:r>
              <w:rPr>
                <w:rFonts w:ascii="Times New Roman" w:hAnsi="Times New Roman" w:eastAsiaTheme="minorEastAsia"/>
                <w:bCs/>
                <w:color w:val="auto"/>
                <w:sz w:val="24"/>
                <w:szCs w:val="24"/>
                <w:highlight w:val="none"/>
              </w:rPr>
              <w:t>2、“三线一单”符合性分析</w:t>
            </w:r>
          </w:p>
          <w:p w14:paraId="1F239DBD">
            <w:pPr>
              <w:adjustRightInd w:val="0"/>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本项目位于河北徐水经济开发区，经对照《</w:t>
            </w:r>
            <w:r>
              <w:rPr>
                <w:rFonts w:hint="eastAsia" w:ascii="Times New Roman" w:hAnsi="Times New Roman" w:eastAsiaTheme="minorEastAsia"/>
                <w:color w:val="auto"/>
                <w:sz w:val="24"/>
                <w:szCs w:val="24"/>
                <w:highlight w:val="none"/>
              </w:rPr>
              <w:t>保定市生态环境分区管控成果</w:t>
            </w:r>
            <w:r>
              <w:rPr>
                <w:rFonts w:ascii="Times New Roman" w:hAnsi="Times New Roman" w:eastAsiaTheme="minorEastAsia"/>
                <w:color w:val="auto"/>
                <w:sz w:val="24"/>
                <w:szCs w:val="24"/>
                <w:highlight w:val="none"/>
              </w:rPr>
              <w:t>2023更新方案》可知，项目位于重点管控单元（ZH13060920033）。本项目与保定市</w:t>
            </w:r>
            <w:r>
              <w:rPr>
                <w:rFonts w:hint="eastAsia" w:ascii="Times New Roman" w:hAnsi="Times New Roman" w:eastAsiaTheme="minorEastAsia"/>
                <w:color w:val="auto"/>
                <w:sz w:val="24"/>
                <w:szCs w:val="24"/>
                <w:highlight w:val="none"/>
                <w:lang w:eastAsia="zh-CN"/>
              </w:rPr>
              <w:t>“</w:t>
            </w:r>
            <w:r>
              <w:rPr>
                <w:rFonts w:ascii="Times New Roman" w:hAnsi="Times New Roman" w:eastAsiaTheme="minorEastAsia"/>
                <w:color w:val="auto"/>
                <w:sz w:val="24"/>
                <w:szCs w:val="24"/>
                <w:highlight w:val="none"/>
              </w:rPr>
              <w:t>三线一单</w:t>
            </w:r>
            <w:r>
              <w:rPr>
                <w:rFonts w:hint="eastAsia" w:ascii="Times New Roman" w:hAnsi="Times New Roman" w:eastAsiaTheme="minorEastAsia"/>
                <w:color w:val="auto"/>
                <w:sz w:val="24"/>
                <w:szCs w:val="24"/>
                <w:highlight w:val="none"/>
                <w:lang w:eastAsia="zh-CN"/>
              </w:rPr>
              <w:t>”</w:t>
            </w:r>
            <w:r>
              <w:rPr>
                <w:rFonts w:ascii="Times New Roman" w:hAnsi="Times New Roman" w:eastAsiaTheme="minorEastAsia"/>
                <w:color w:val="auto"/>
                <w:sz w:val="24"/>
                <w:szCs w:val="24"/>
                <w:highlight w:val="none"/>
              </w:rPr>
              <w:t>生态环境分区管控的符合性分析见下表。</w:t>
            </w:r>
          </w:p>
          <w:p w14:paraId="44901603">
            <w:pPr>
              <w:tabs>
                <w:tab w:val="left" w:pos="0"/>
              </w:tabs>
              <w:spacing w:line="480" w:lineRule="exact"/>
              <w:ind w:firstLine="480" w:firstLineChars="200"/>
              <w:jc w:val="center"/>
              <w:rPr>
                <w:rFonts w:ascii="Times New Roman" w:hAnsi="Times New Roman" w:eastAsiaTheme="minorEastAsia"/>
                <w:bCs/>
                <w:color w:val="auto"/>
                <w:sz w:val="24"/>
                <w:szCs w:val="24"/>
                <w:highlight w:val="none"/>
              </w:rPr>
            </w:pPr>
            <w:r>
              <w:rPr>
                <w:rFonts w:ascii="Times New Roman" w:hAnsi="Times New Roman" w:eastAsiaTheme="minorEastAsia"/>
                <w:bCs/>
                <w:color w:val="auto"/>
                <w:sz w:val="24"/>
                <w:szCs w:val="24"/>
                <w:highlight w:val="none"/>
                <w:lang w:val="zh-CN"/>
              </w:rPr>
              <w:t>表</w:t>
            </w:r>
            <w:r>
              <w:rPr>
                <w:rFonts w:ascii="Times New Roman" w:hAnsi="Times New Roman" w:eastAsiaTheme="minorEastAsia"/>
                <w:bCs/>
                <w:color w:val="auto"/>
                <w:sz w:val="24"/>
                <w:szCs w:val="24"/>
                <w:highlight w:val="none"/>
              </w:rPr>
              <w:t>1-5  与保定市</w:t>
            </w:r>
            <w:r>
              <w:rPr>
                <w:rFonts w:hint="eastAsia" w:ascii="Times New Roman" w:hAnsi="Times New Roman" w:eastAsiaTheme="minorEastAsia"/>
                <w:color w:val="auto"/>
                <w:sz w:val="24"/>
                <w:szCs w:val="24"/>
                <w:highlight w:val="none"/>
                <w:lang w:eastAsia="zh-CN"/>
              </w:rPr>
              <w:t>“</w:t>
            </w:r>
            <w:r>
              <w:rPr>
                <w:rFonts w:ascii="Times New Roman" w:hAnsi="Times New Roman" w:eastAsiaTheme="minorEastAsia"/>
                <w:color w:val="auto"/>
                <w:sz w:val="24"/>
                <w:szCs w:val="24"/>
                <w:highlight w:val="none"/>
              </w:rPr>
              <w:t>三线一单</w:t>
            </w:r>
            <w:r>
              <w:rPr>
                <w:rFonts w:hint="eastAsia" w:ascii="Times New Roman" w:hAnsi="Times New Roman" w:eastAsiaTheme="minorEastAsia"/>
                <w:color w:val="auto"/>
                <w:sz w:val="24"/>
                <w:szCs w:val="24"/>
                <w:highlight w:val="none"/>
                <w:lang w:eastAsia="zh-CN"/>
              </w:rPr>
              <w:t>”</w:t>
            </w:r>
            <w:r>
              <w:rPr>
                <w:rFonts w:ascii="Times New Roman" w:hAnsi="Times New Roman" w:eastAsiaTheme="minorEastAsia"/>
                <w:bCs/>
                <w:color w:val="auto"/>
                <w:sz w:val="24"/>
                <w:szCs w:val="24"/>
                <w:highlight w:val="none"/>
              </w:rPr>
              <w:t>生态环境分区管控符合性分析</w:t>
            </w:r>
          </w:p>
          <w:tbl>
            <w:tblPr>
              <w:tblStyle w:val="31"/>
              <w:tblW w:w="838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6"/>
              <w:gridCol w:w="379"/>
              <w:gridCol w:w="1010"/>
              <w:gridCol w:w="3940"/>
              <w:gridCol w:w="1885"/>
              <w:gridCol w:w="595"/>
            </w:tblGrid>
            <w:tr w14:paraId="772426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dxa"/>
                  <w:gridSpan w:val="2"/>
                  <w:shd w:val="clear" w:color="auto" w:fill="auto"/>
                  <w:vAlign w:val="center"/>
                </w:tcPr>
                <w:p w14:paraId="0BB61736">
                  <w:pPr>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项目</w:t>
                  </w:r>
                </w:p>
              </w:tc>
              <w:tc>
                <w:tcPr>
                  <w:tcW w:w="4950" w:type="dxa"/>
                  <w:gridSpan w:val="2"/>
                  <w:shd w:val="clear" w:color="auto" w:fill="auto"/>
                  <w:vAlign w:val="center"/>
                </w:tcPr>
                <w:p w14:paraId="6189884B">
                  <w:pPr>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管控要求</w:t>
                  </w:r>
                </w:p>
              </w:tc>
              <w:tc>
                <w:tcPr>
                  <w:tcW w:w="1885" w:type="dxa"/>
                  <w:shd w:val="clear" w:color="auto" w:fill="auto"/>
                  <w:vAlign w:val="center"/>
                </w:tcPr>
                <w:p w14:paraId="621310DB">
                  <w:pPr>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本项目情况</w:t>
                  </w:r>
                </w:p>
              </w:tc>
              <w:tc>
                <w:tcPr>
                  <w:tcW w:w="595" w:type="dxa"/>
                  <w:shd w:val="clear" w:color="auto" w:fill="auto"/>
                  <w:vAlign w:val="center"/>
                </w:tcPr>
                <w:p w14:paraId="6063556A">
                  <w:pPr>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符合性</w:t>
                  </w:r>
                </w:p>
              </w:tc>
            </w:tr>
            <w:tr w14:paraId="2163A7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85" w:type="dxa"/>
                  <w:gridSpan w:val="6"/>
                  <w:shd w:val="clear" w:color="auto" w:fill="auto"/>
                  <w:vAlign w:val="center"/>
                </w:tcPr>
                <w:p w14:paraId="21E373C8">
                  <w:pPr>
                    <w:adjustRightInd w:val="0"/>
                    <w:snapToGrid w:val="0"/>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一、保定市生态环境总体准入清单</w:t>
                  </w:r>
                </w:p>
              </w:tc>
            </w:tr>
            <w:tr w14:paraId="469C71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dxa"/>
                  <w:gridSpan w:val="2"/>
                  <w:vMerge w:val="restart"/>
                  <w:shd w:val="clear" w:color="auto" w:fill="auto"/>
                  <w:vAlign w:val="center"/>
                </w:tcPr>
                <w:p w14:paraId="167D0126">
                  <w:pPr>
                    <w:ind w:left="-31" w:leftChars="-15" w:right="-31" w:rightChars="-15"/>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生态环境保护红线生态空间管控总体要求</w:t>
                  </w:r>
                </w:p>
              </w:tc>
              <w:tc>
                <w:tcPr>
                  <w:tcW w:w="1010" w:type="dxa"/>
                  <w:shd w:val="clear" w:color="auto" w:fill="auto"/>
                  <w:vAlign w:val="center"/>
                </w:tcPr>
                <w:p w14:paraId="36C2D9AE">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禁止建设开发活动</w:t>
                  </w:r>
                </w:p>
              </w:tc>
              <w:tc>
                <w:tcPr>
                  <w:tcW w:w="3940" w:type="dxa"/>
                  <w:shd w:val="clear" w:color="auto" w:fill="auto"/>
                  <w:vAlign w:val="center"/>
                </w:tcPr>
                <w:p w14:paraId="5C652C51">
                  <w:pPr>
                    <w:snapToGrid w:val="0"/>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生态保护红线内，自然保护地核心保护区原则上禁止人为活动。</w:t>
                  </w:r>
                </w:p>
              </w:tc>
              <w:tc>
                <w:tcPr>
                  <w:tcW w:w="1885" w:type="dxa"/>
                  <w:vMerge w:val="restart"/>
                  <w:shd w:val="clear" w:color="auto" w:fill="auto"/>
                  <w:vAlign w:val="center"/>
                </w:tcPr>
                <w:p w14:paraId="5B5498EE">
                  <w:pPr>
                    <w:adjustRightInd w:val="0"/>
                    <w:snapToGrid w:val="0"/>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对照保定市生态保护红线图，本项目占地不涉及生态保护红线（见附图）。</w:t>
                  </w:r>
                </w:p>
              </w:tc>
              <w:tc>
                <w:tcPr>
                  <w:tcW w:w="595" w:type="dxa"/>
                  <w:vMerge w:val="restart"/>
                  <w:shd w:val="clear" w:color="auto" w:fill="auto"/>
                  <w:vAlign w:val="center"/>
                </w:tcPr>
                <w:p w14:paraId="15E9B1F3">
                  <w:pPr>
                    <w:adjustRightInd w:val="0"/>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符合</w:t>
                  </w:r>
                </w:p>
              </w:tc>
            </w:tr>
            <w:tr w14:paraId="77F224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dxa"/>
                  <w:gridSpan w:val="2"/>
                  <w:vMerge w:val="continue"/>
                  <w:shd w:val="clear" w:color="auto" w:fill="auto"/>
                  <w:vAlign w:val="center"/>
                </w:tcPr>
                <w:p w14:paraId="3FCE7AFF">
                  <w:pPr>
                    <w:ind w:left="-31" w:leftChars="-15" w:right="-31" w:rightChars="-15"/>
                    <w:jc w:val="center"/>
                    <w:rPr>
                      <w:rFonts w:ascii="Times New Roman" w:hAnsi="Times New Roman" w:eastAsiaTheme="minorEastAsia"/>
                      <w:color w:val="auto"/>
                      <w:szCs w:val="21"/>
                      <w:highlight w:val="none"/>
                    </w:rPr>
                  </w:pPr>
                </w:p>
              </w:tc>
              <w:tc>
                <w:tcPr>
                  <w:tcW w:w="1010" w:type="dxa"/>
                  <w:shd w:val="clear" w:color="auto" w:fill="auto"/>
                  <w:vAlign w:val="center"/>
                </w:tcPr>
                <w:p w14:paraId="7C95E540">
                  <w:pPr>
                    <w:ind w:left="-31" w:leftChars="-15" w:right="-31" w:rightChars="-15"/>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允许建设开发活动</w:t>
                  </w:r>
                </w:p>
              </w:tc>
              <w:tc>
                <w:tcPr>
                  <w:tcW w:w="3940" w:type="dxa"/>
                  <w:shd w:val="clear" w:color="auto" w:fill="auto"/>
                  <w:vAlign w:val="center"/>
                </w:tcPr>
                <w:p w14:paraId="7C067079">
                  <w:pPr>
                    <w:widowControl/>
                    <w:ind w:left="-31" w:leftChars="-15" w:right="-31" w:rightChars="-15"/>
                    <w:textAlignment w:val="cente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rPr>
                    <w:t>生态保护红线是国土空间规划中的重要管控边界，生态保护红线内自然保护地核心保护区外，禁止开发性、生产性建设活动，在符合法律法规的前提下，仅允许以下对生态功能不造成破坏的有限人为活动</w:t>
                  </w:r>
                  <w:r>
                    <w:rPr>
                      <w:rFonts w:hint="eastAsia" w:ascii="Times New Roman" w:hAnsi="Times New Roman"/>
                      <w:color w:val="auto"/>
                      <w:szCs w:val="21"/>
                      <w:highlight w:val="none"/>
                      <w:lang w:eastAsia="zh-CN"/>
                    </w:rPr>
                    <w:t>。</w:t>
                  </w:r>
                </w:p>
              </w:tc>
              <w:tc>
                <w:tcPr>
                  <w:tcW w:w="1885" w:type="dxa"/>
                  <w:vMerge w:val="continue"/>
                  <w:shd w:val="clear" w:color="auto" w:fill="auto"/>
                  <w:vAlign w:val="center"/>
                </w:tcPr>
                <w:p w14:paraId="4C56B3A3">
                  <w:pPr>
                    <w:adjustRightInd w:val="0"/>
                    <w:snapToGrid w:val="0"/>
                    <w:jc w:val="center"/>
                    <w:rPr>
                      <w:rFonts w:ascii="Times New Roman" w:hAnsi="Times New Roman" w:eastAsiaTheme="minorEastAsia"/>
                      <w:color w:val="auto"/>
                      <w:szCs w:val="21"/>
                      <w:highlight w:val="none"/>
                    </w:rPr>
                  </w:pPr>
                </w:p>
              </w:tc>
              <w:tc>
                <w:tcPr>
                  <w:tcW w:w="595" w:type="dxa"/>
                  <w:vMerge w:val="continue"/>
                  <w:shd w:val="clear" w:color="auto" w:fill="auto"/>
                  <w:vAlign w:val="center"/>
                </w:tcPr>
                <w:p w14:paraId="6965802F">
                  <w:pPr>
                    <w:adjustRightInd w:val="0"/>
                    <w:snapToGrid w:val="0"/>
                    <w:jc w:val="center"/>
                    <w:rPr>
                      <w:rFonts w:ascii="Times New Roman" w:hAnsi="Times New Roman" w:eastAsiaTheme="minorEastAsia"/>
                      <w:color w:val="auto"/>
                      <w:szCs w:val="21"/>
                      <w:highlight w:val="none"/>
                    </w:rPr>
                  </w:pPr>
                </w:p>
              </w:tc>
            </w:tr>
            <w:tr w14:paraId="739BBD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dxa"/>
                  <w:gridSpan w:val="2"/>
                  <w:vMerge w:val="continue"/>
                  <w:shd w:val="clear" w:color="auto" w:fill="auto"/>
                  <w:vAlign w:val="center"/>
                </w:tcPr>
                <w:p w14:paraId="78560851">
                  <w:pPr>
                    <w:ind w:left="-31" w:leftChars="-15" w:right="-31" w:rightChars="-15"/>
                    <w:jc w:val="center"/>
                    <w:rPr>
                      <w:rFonts w:ascii="Times New Roman" w:hAnsi="Times New Roman" w:eastAsiaTheme="minorEastAsia"/>
                      <w:color w:val="auto"/>
                      <w:szCs w:val="21"/>
                      <w:highlight w:val="none"/>
                    </w:rPr>
                  </w:pPr>
                </w:p>
              </w:tc>
              <w:tc>
                <w:tcPr>
                  <w:tcW w:w="1010" w:type="dxa"/>
                  <w:shd w:val="clear" w:color="auto" w:fill="auto"/>
                  <w:vAlign w:val="center"/>
                </w:tcPr>
                <w:p w14:paraId="012EEA5C">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退出活动</w:t>
                  </w:r>
                </w:p>
              </w:tc>
              <w:tc>
                <w:tcPr>
                  <w:tcW w:w="3940" w:type="dxa"/>
                  <w:shd w:val="clear" w:color="auto" w:fill="auto"/>
                  <w:vAlign w:val="center"/>
                </w:tcPr>
                <w:p w14:paraId="4AD2FD9D">
                  <w:pPr>
                    <w:snapToGrid w:val="0"/>
                    <w:rPr>
                      <w:rFonts w:ascii="Times New Roman" w:hAnsi="Times New Roman" w:eastAsiaTheme="minorEastAsia"/>
                      <w:color w:val="auto"/>
                      <w:szCs w:val="21"/>
                      <w:highlight w:val="none"/>
                    </w:rPr>
                  </w:pPr>
                  <w:r>
                    <w:rPr>
                      <w:rFonts w:ascii="Times New Roman" w:hAnsi="Times New Roman"/>
                      <w:color w:val="auto"/>
                      <w:highlight w:val="none"/>
                    </w:rPr>
                    <w:t>对于生态保护红线内不符合相关管理规定的人为活动，需按照尊重历史、实事求是的原则，结合自然资源禀赋和经济社会发展实际，细化退出安排。</w:t>
                  </w:r>
                </w:p>
              </w:tc>
              <w:tc>
                <w:tcPr>
                  <w:tcW w:w="1885" w:type="dxa"/>
                  <w:vMerge w:val="continue"/>
                  <w:shd w:val="clear" w:color="auto" w:fill="auto"/>
                  <w:vAlign w:val="center"/>
                </w:tcPr>
                <w:p w14:paraId="2B30949F">
                  <w:pPr>
                    <w:adjustRightInd w:val="0"/>
                    <w:snapToGrid w:val="0"/>
                    <w:jc w:val="center"/>
                    <w:rPr>
                      <w:rFonts w:ascii="Times New Roman" w:hAnsi="Times New Roman" w:eastAsiaTheme="minorEastAsia"/>
                      <w:color w:val="auto"/>
                      <w:szCs w:val="21"/>
                      <w:highlight w:val="none"/>
                    </w:rPr>
                  </w:pPr>
                </w:p>
              </w:tc>
              <w:tc>
                <w:tcPr>
                  <w:tcW w:w="595" w:type="dxa"/>
                  <w:vMerge w:val="continue"/>
                  <w:shd w:val="clear" w:color="auto" w:fill="auto"/>
                  <w:vAlign w:val="center"/>
                </w:tcPr>
                <w:p w14:paraId="17B2C196">
                  <w:pPr>
                    <w:adjustRightInd w:val="0"/>
                    <w:snapToGrid w:val="0"/>
                    <w:jc w:val="center"/>
                    <w:rPr>
                      <w:rFonts w:ascii="Times New Roman" w:hAnsi="Times New Roman" w:eastAsiaTheme="minorEastAsia"/>
                      <w:color w:val="auto"/>
                      <w:szCs w:val="21"/>
                      <w:highlight w:val="none"/>
                    </w:rPr>
                  </w:pPr>
                </w:p>
              </w:tc>
            </w:tr>
            <w:tr w14:paraId="73EE34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dxa"/>
                  <w:shd w:val="clear" w:color="auto" w:fill="auto"/>
                  <w:vAlign w:val="center"/>
                </w:tcPr>
                <w:p w14:paraId="78A6265E">
                  <w:pPr>
                    <w:ind w:left="-31" w:leftChars="-15" w:right="-31" w:rightChars="-15"/>
                    <w:jc w:val="center"/>
                    <w:rPr>
                      <w:rFonts w:ascii="Times New Roman" w:hAnsi="Times New Roman" w:eastAsiaTheme="minorEastAsia"/>
                      <w:color w:val="auto"/>
                      <w:szCs w:val="21"/>
                      <w:highlight w:val="none"/>
                    </w:rPr>
                  </w:pPr>
                  <w:bookmarkStart w:id="6" w:name="_Toc110528333"/>
                  <w:bookmarkStart w:id="7" w:name="_Toc73520006"/>
                  <w:r>
                    <w:rPr>
                      <w:rFonts w:ascii="Times New Roman" w:hAnsi="Times New Roman" w:eastAsiaTheme="minorEastAsia"/>
                      <w:color w:val="auto"/>
                      <w:szCs w:val="21"/>
                      <w:highlight w:val="none"/>
                    </w:rPr>
                    <w:t>产业准入及布局总体管控要求</w:t>
                  </w:r>
                  <w:bookmarkEnd w:id="6"/>
                  <w:bookmarkEnd w:id="7"/>
                </w:p>
              </w:tc>
              <w:tc>
                <w:tcPr>
                  <w:tcW w:w="379" w:type="dxa"/>
                  <w:shd w:val="clear" w:color="auto" w:fill="auto"/>
                  <w:vAlign w:val="center"/>
                </w:tcPr>
                <w:p w14:paraId="409AA5D8">
                  <w:pPr>
                    <w:ind w:left="-31" w:leftChars="-15" w:right="-31" w:rightChars="-15"/>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空间布局约束</w:t>
                  </w:r>
                </w:p>
              </w:tc>
              <w:tc>
                <w:tcPr>
                  <w:tcW w:w="1010" w:type="dxa"/>
                  <w:shd w:val="clear" w:color="auto" w:fill="auto"/>
                  <w:vAlign w:val="center"/>
                </w:tcPr>
                <w:p w14:paraId="03EBEC97">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准入总体要求</w:t>
                  </w:r>
                </w:p>
              </w:tc>
              <w:tc>
                <w:tcPr>
                  <w:tcW w:w="3940" w:type="dxa"/>
                  <w:shd w:val="clear" w:color="auto" w:fill="auto"/>
                  <w:vAlign w:val="center"/>
                </w:tcPr>
                <w:p w14:paraId="0B691659">
                  <w:pPr>
                    <w:adjustRightInd w:val="0"/>
                    <w:snapToGrid w:val="0"/>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1.新建、扩建产业项目符合《产业结构调整指导目录》、《市场准入负面清单》、《河北省禁止投资的产业目录》、《产业发展与转移指导目录》、《禁止用地项目目录》、《限制用地项目目录》、《河北省京冀交界地区新增产业的禁止和限制目录》</w:t>
                  </w:r>
                  <w:r>
                    <w:rPr>
                      <w:rFonts w:hint="eastAsia" w:ascii="Times New Roman" w:hAnsi="Times New Roman"/>
                      <w:color w:val="auto"/>
                      <w:highlight w:val="none"/>
                    </w:rPr>
                    <w:t>、</w:t>
                  </w:r>
                  <w:r>
                    <w:rPr>
                      <w:rFonts w:hint="eastAsia" w:ascii="Times New Roman" w:hAnsi="Times New Roman"/>
                      <w:color w:val="auto"/>
                      <w:szCs w:val="21"/>
                      <w:highlight w:val="none"/>
                    </w:rPr>
                    <w:t>《廊坊市广阳区、永清县、固安县和涿州市新增产业的禁止和限制目录》</w:t>
                  </w:r>
                  <w:r>
                    <w:rPr>
                      <w:rFonts w:ascii="Times New Roman" w:hAnsi="Times New Roman"/>
                      <w:color w:val="auto"/>
                      <w:highlight w:val="none"/>
                    </w:rPr>
                    <w:t>等准入文件要求。</w:t>
                  </w:r>
                </w:p>
                <w:p w14:paraId="1D992BDB">
                  <w:pPr>
                    <w:adjustRightInd w:val="0"/>
                    <w:snapToGrid w:val="0"/>
                    <w:ind w:left="-31" w:leftChars="-15" w:right="-31" w:rightChars="-15"/>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2.严格控制在生态脆弱或环境敏感地区建设《环境保护综合名录》中</w:t>
                  </w:r>
                  <w:r>
                    <w:rPr>
                      <w:rFonts w:hint="eastAsia" w:ascii="Times New Roman" w:hAnsi="Times New Roman" w:eastAsiaTheme="minorEastAsia"/>
                      <w:color w:val="auto"/>
                      <w:szCs w:val="21"/>
                      <w:highlight w:val="none"/>
                      <w:lang w:eastAsia="zh-CN"/>
                    </w:rPr>
                    <w:t>“</w:t>
                  </w:r>
                  <w:r>
                    <w:rPr>
                      <w:rFonts w:ascii="Times New Roman" w:hAnsi="Times New Roman" w:eastAsiaTheme="minorEastAsia"/>
                      <w:color w:val="auto"/>
                      <w:szCs w:val="21"/>
                      <w:highlight w:val="none"/>
                    </w:rPr>
                    <w:t>高污染、高环境风险</w:t>
                  </w:r>
                  <w:r>
                    <w:rPr>
                      <w:rFonts w:hint="eastAsia" w:ascii="Times New Roman" w:hAnsi="Times New Roman" w:eastAsiaTheme="minorEastAsia"/>
                      <w:color w:val="auto"/>
                      <w:szCs w:val="21"/>
                      <w:highlight w:val="none"/>
                      <w:lang w:eastAsia="zh-CN"/>
                    </w:rPr>
                    <w:t>”</w:t>
                  </w:r>
                  <w:r>
                    <w:rPr>
                      <w:rFonts w:ascii="Times New Roman" w:hAnsi="Times New Roman" w:eastAsiaTheme="minorEastAsia"/>
                      <w:color w:val="auto"/>
                      <w:szCs w:val="21"/>
                      <w:highlight w:val="none"/>
                    </w:rPr>
                    <w:t>行业项目。</w:t>
                  </w:r>
                </w:p>
              </w:tc>
              <w:tc>
                <w:tcPr>
                  <w:tcW w:w="1885" w:type="dxa"/>
                  <w:shd w:val="clear" w:color="auto" w:fill="auto"/>
                  <w:vAlign w:val="center"/>
                </w:tcPr>
                <w:p w14:paraId="2513A8A7">
                  <w:pPr>
                    <w:adjustRightInd w:val="0"/>
                    <w:snapToGrid w:val="0"/>
                    <w:rPr>
                      <w:rFonts w:ascii="Times New Roman" w:hAnsi="Times New Roman" w:eastAsiaTheme="minorEastAsia"/>
                      <w:color w:val="auto"/>
                      <w:szCs w:val="24"/>
                      <w:highlight w:val="none"/>
                    </w:rPr>
                  </w:pPr>
                  <w:r>
                    <w:rPr>
                      <w:rFonts w:ascii="Times New Roman" w:hAnsi="Times New Roman" w:eastAsiaTheme="minorEastAsia"/>
                      <w:color w:val="auto"/>
                      <w:szCs w:val="21"/>
                      <w:highlight w:val="none"/>
                    </w:rPr>
                    <w:t>本项目属于N7724危险废物治理，不属于禁止类项目，符合产业政策要求（详见”产业政策符合性分析”章节），保定市徐水区发展和改革局已为本项目出具企业投资项目备案信息（备案编号：徐水发改备字[2024]78号）。</w:t>
                  </w:r>
                </w:p>
              </w:tc>
              <w:tc>
                <w:tcPr>
                  <w:tcW w:w="595" w:type="dxa"/>
                  <w:shd w:val="clear" w:color="auto" w:fill="auto"/>
                  <w:vAlign w:val="center"/>
                </w:tcPr>
                <w:p w14:paraId="120890F9">
                  <w:pPr>
                    <w:adjustRightInd w:val="0"/>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符合</w:t>
                  </w:r>
                </w:p>
              </w:tc>
            </w:tr>
          </w:tbl>
          <w:p w14:paraId="7B0B3D3B">
            <w:pPr>
              <w:tabs>
                <w:tab w:val="left" w:pos="0"/>
              </w:tabs>
              <w:spacing w:line="480" w:lineRule="exact"/>
              <w:ind w:firstLine="480" w:firstLineChars="200"/>
              <w:jc w:val="center"/>
              <w:rPr>
                <w:rFonts w:ascii="Times New Roman" w:hAnsi="Times New Roman" w:eastAsiaTheme="minorEastAsia"/>
                <w:bCs/>
                <w:color w:val="auto"/>
                <w:sz w:val="24"/>
                <w:szCs w:val="24"/>
                <w:highlight w:val="none"/>
              </w:rPr>
            </w:pPr>
            <w:r>
              <w:rPr>
                <w:rFonts w:ascii="Times New Roman" w:hAnsi="Times New Roman" w:eastAsiaTheme="minorEastAsia"/>
                <w:bCs/>
                <w:color w:val="auto"/>
                <w:sz w:val="24"/>
                <w:szCs w:val="24"/>
                <w:highlight w:val="none"/>
                <w:lang w:val="zh-CN"/>
              </w:rPr>
              <w:t>续表</w:t>
            </w:r>
            <w:r>
              <w:rPr>
                <w:rFonts w:ascii="Times New Roman" w:hAnsi="Times New Roman" w:eastAsiaTheme="minorEastAsia"/>
                <w:bCs/>
                <w:color w:val="auto"/>
                <w:sz w:val="24"/>
                <w:szCs w:val="24"/>
                <w:highlight w:val="none"/>
              </w:rPr>
              <w:t>1-5  与保定市</w:t>
            </w:r>
            <w:r>
              <w:rPr>
                <w:rFonts w:hint="eastAsia" w:ascii="Times New Roman" w:hAnsi="Times New Roman" w:eastAsiaTheme="minorEastAsia"/>
                <w:bCs/>
                <w:color w:val="auto"/>
                <w:sz w:val="24"/>
                <w:szCs w:val="24"/>
                <w:highlight w:val="none"/>
                <w:lang w:eastAsia="zh-CN"/>
              </w:rPr>
              <w:t>“</w:t>
            </w:r>
            <w:r>
              <w:rPr>
                <w:rFonts w:ascii="Times New Roman" w:hAnsi="Times New Roman" w:eastAsiaTheme="minorEastAsia"/>
                <w:bCs/>
                <w:color w:val="auto"/>
                <w:sz w:val="24"/>
                <w:szCs w:val="24"/>
                <w:highlight w:val="none"/>
              </w:rPr>
              <w:t>三线一单</w:t>
            </w:r>
            <w:r>
              <w:rPr>
                <w:rFonts w:hint="eastAsia" w:ascii="Times New Roman" w:hAnsi="Times New Roman" w:eastAsiaTheme="minorEastAsia"/>
                <w:bCs/>
                <w:color w:val="auto"/>
                <w:sz w:val="24"/>
                <w:szCs w:val="24"/>
                <w:highlight w:val="none"/>
                <w:lang w:eastAsia="zh-CN"/>
              </w:rPr>
              <w:t>”</w:t>
            </w:r>
            <w:r>
              <w:rPr>
                <w:rFonts w:ascii="Times New Roman" w:hAnsi="Times New Roman" w:eastAsiaTheme="minorEastAsia"/>
                <w:bCs/>
                <w:color w:val="auto"/>
                <w:sz w:val="24"/>
                <w:szCs w:val="24"/>
                <w:highlight w:val="none"/>
              </w:rPr>
              <w:t>生态环境分区管控符合性分析</w:t>
            </w:r>
          </w:p>
          <w:tbl>
            <w:tblPr>
              <w:tblStyle w:val="31"/>
              <w:tblW w:w="838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6"/>
              <w:gridCol w:w="661"/>
              <w:gridCol w:w="728"/>
              <w:gridCol w:w="3337"/>
              <w:gridCol w:w="2304"/>
              <w:gridCol w:w="779"/>
            </w:tblGrid>
            <w:tr w14:paraId="4F612F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dxa"/>
                  <w:gridSpan w:val="2"/>
                  <w:shd w:val="clear" w:color="auto" w:fill="auto"/>
                  <w:vAlign w:val="center"/>
                </w:tcPr>
                <w:p w14:paraId="5A430EDF">
                  <w:pPr>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项目</w:t>
                  </w:r>
                </w:p>
              </w:tc>
              <w:tc>
                <w:tcPr>
                  <w:tcW w:w="4065" w:type="dxa"/>
                  <w:gridSpan w:val="2"/>
                  <w:shd w:val="clear" w:color="auto" w:fill="auto"/>
                  <w:vAlign w:val="center"/>
                </w:tcPr>
                <w:p w14:paraId="17A410E8">
                  <w:pPr>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管控要求</w:t>
                  </w:r>
                </w:p>
              </w:tc>
              <w:tc>
                <w:tcPr>
                  <w:tcW w:w="2304" w:type="dxa"/>
                  <w:shd w:val="clear" w:color="auto" w:fill="auto"/>
                  <w:vAlign w:val="center"/>
                </w:tcPr>
                <w:p w14:paraId="176E9456">
                  <w:pPr>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本项目情况</w:t>
                  </w:r>
                </w:p>
              </w:tc>
              <w:tc>
                <w:tcPr>
                  <w:tcW w:w="779" w:type="dxa"/>
                  <w:shd w:val="clear" w:color="auto" w:fill="auto"/>
                  <w:vAlign w:val="center"/>
                </w:tcPr>
                <w:p w14:paraId="4A794E92">
                  <w:pPr>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符合性</w:t>
                  </w:r>
                </w:p>
              </w:tc>
            </w:tr>
            <w:tr w14:paraId="5AA222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dxa"/>
                  <w:vMerge w:val="restart"/>
                  <w:shd w:val="clear" w:color="auto" w:fill="auto"/>
                  <w:vAlign w:val="center"/>
                </w:tcPr>
                <w:p w14:paraId="5A5286A6">
                  <w:pPr>
                    <w:ind w:left="-31" w:leftChars="-15" w:right="-31" w:rightChars="-15"/>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产业准入及布局总体管控要求</w:t>
                  </w:r>
                </w:p>
              </w:tc>
              <w:tc>
                <w:tcPr>
                  <w:tcW w:w="661" w:type="dxa"/>
                  <w:vMerge w:val="restart"/>
                  <w:shd w:val="clear" w:color="auto" w:fill="auto"/>
                  <w:vAlign w:val="center"/>
                </w:tcPr>
                <w:p w14:paraId="7DD3C970">
                  <w:pPr>
                    <w:ind w:left="-31" w:leftChars="-15" w:right="-31" w:rightChars="-15"/>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空间布局约束</w:t>
                  </w:r>
                </w:p>
              </w:tc>
              <w:tc>
                <w:tcPr>
                  <w:tcW w:w="728" w:type="dxa"/>
                  <w:shd w:val="clear" w:color="auto" w:fill="auto"/>
                  <w:vAlign w:val="center"/>
                </w:tcPr>
                <w:p w14:paraId="0625B5E9">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禁止布局要求</w:t>
                  </w:r>
                </w:p>
              </w:tc>
              <w:tc>
                <w:tcPr>
                  <w:tcW w:w="3337" w:type="dxa"/>
                  <w:shd w:val="clear" w:color="auto" w:fill="auto"/>
                  <w:vAlign w:val="center"/>
                </w:tcPr>
                <w:p w14:paraId="7DEA8620">
                  <w:pPr>
                    <w:adjustRightInd w:val="0"/>
                    <w:snapToGrid w:val="0"/>
                    <w:ind w:right="-31" w:rightChars="-15"/>
                    <w:rPr>
                      <w:rFonts w:ascii="Times New Roman" w:hAnsi="Times New Roman"/>
                      <w:color w:val="auto"/>
                      <w:highlight w:val="none"/>
                    </w:rPr>
                  </w:pPr>
                  <w:r>
                    <w:rPr>
                      <w:rFonts w:hint="eastAsia" w:ascii="Times New Roman" w:hAnsi="Times New Roman"/>
                      <w:color w:val="auto"/>
                      <w:highlight w:val="none"/>
                      <w:lang w:val="en-US" w:eastAsia="zh-CN"/>
                    </w:rPr>
                    <w:t>3</w:t>
                  </w:r>
                  <w:r>
                    <w:rPr>
                      <w:rFonts w:ascii="Times New Roman" w:hAnsi="Times New Roman"/>
                      <w:color w:val="auto"/>
                      <w:highlight w:val="none"/>
                    </w:rPr>
                    <w:t>.</w:t>
                  </w:r>
                  <w:r>
                    <w:rPr>
                      <w:rFonts w:hint="eastAsia" w:ascii="Times New Roman" w:hAnsi="Times New Roman"/>
                      <w:color w:val="auto"/>
                      <w:highlight w:val="none"/>
                    </w:rPr>
                    <w:t>严禁新增钢铁产能</w:t>
                  </w:r>
                  <w:r>
                    <w:rPr>
                      <w:rFonts w:ascii="Times New Roman" w:hAnsi="Times New Roman"/>
                      <w:color w:val="auto"/>
                      <w:highlight w:val="none"/>
                    </w:rPr>
                    <w:t>。</w:t>
                  </w:r>
                </w:p>
                <w:p w14:paraId="44CD2509">
                  <w:pPr>
                    <w:adjustRightInd w:val="0"/>
                    <w:snapToGrid w:val="0"/>
                    <w:ind w:right="-31" w:rightChars="-15"/>
                    <w:rPr>
                      <w:rFonts w:ascii="Times New Roman" w:hAnsi="Times New Roman" w:eastAsiaTheme="minorEastAsia"/>
                      <w:color w:val="auto"/>
                      <w:szCs w:val="21"/>
                      <w:highlight w:val="none"/>
                    </w:rPr>
                  </w:pPr>
                  <w:r>
                    <w:rPr>
                      <w:rFonts w:ascii="Times New Roman" w:hAnsi="Times New Roman"/>
                      <w:color w:val="auto"/>
                      <w:highlight w:val="none"/>
                    </w:rPr>
                    <w:t>5.</w:t>
                  </w:r>
                  <w:r>
                    <w:rPr>
                      <w:rFonts w:hint="eastAsia" w:ascii="Times New Roman" w:hAnsi="Times New Roman"/>
                      <w:color w:val="auto"/>
                      <w:highlight w:val="none"/>
                    </w:rPr>
                    <w:t>全市范围禁止生产和销售厚度小于0</w:t>
                  </w:r>
                  <w:r>
                    <w:rPr>
                      <w:rFonts w:ascii="Times New Roman" w:hAnsi="Times New Roman"/>
                      <w:color w:val="auto"/>
                      <w:highlight w:val="none"/>
                    </w:rPr>
                    <w:t>.025</w:t>
                  </w:r>
                  <w:r>
                    <w:rPr>
                      <w:rFonts w:hint="eastAsia" w:ascii="Times New Roman" w:hAnsi="Times New Roman"/>
                      <w:color w:val="auto"/>
                      <w:highlight w:val="none"/>
                    </w:rPr>
                    <w:t>毫米的超薄塑料购物袋、厚度小于0</w:t>
                  </w:r>
                  <w:r>
                    <w:rPr>
                      <w:rFonts w:ascii="Times New Roman" w:hAnsi="Times New Roman"/>
                      <w:color w:val="auto"/>
                      <w:highlight w:val="none"/>
                    </w:rPr>
                    <w:t>.01</w:t>
                  </w:r>
                  <w:r>
                    <w:rPr>
                      <w:rFonts w:hint="eastAsia" w:ascii="Times New Roman" w:hAnsi="Times New Roman"/>
                      <w:color w:val="auto"/>
                      <w:highlight w:val="none"/>
                    </w:rPr>
                    <w:t>毫米的聚乙烯农用地膜，禁止以医疗废物为原料制造塑料制品。禁止生产和销售一次性发泡塑料餐具、一次性塑料棉签；禁止生产、销售含有塑料微珠的日化产品。</w:t>
                  </w:r>
                </w:p>
              </w:tc>
              <w:tc>
                <w:tcPr>
                  <w:tcW w:w="2304" w:type="dxa"/>
                  <w:shd w:val="clear" w:color="auto" w:fill="auto"/>
                  <w:vAlign w:val="center"/>
                </w:tcPr>
                <w:p w14:paraId="5F6C85DD">
                  <w:pPr>
                    <w:adjustRightInd w:val="0"/>
                    <w:snapToGrid w:val="0"/>
                    <w:rPr>
                      <w:rFonts w:ascii="Times New Roman" w:hAnsi="Times New Roman" w:eastAsiaTheme="minorEastAsia"/>
                      <w:color w:val="auto"/>
                      <w:szCs w:val="21"/>
                      <w:highlight w:val="none"/>
                    </w:rPr>
                  </w:pPr>
                  <w:r>
                    <w:rPr>
                      <w:rFonts w:ascii="Times New Roman" w:hAnsi="Times New Roman" w:eastAsiaTheme="minorEastAsia"/>
                      <w:color w:val="auto"/>
                      <w:szCs w:val="24"/>
                      <w:highlight w:val="none"/>
                    </w:rPr>
                    <w:t>本项目</w:t>
                  </w:r>
                  <w:r>
                    <w:rPr>
                      <w:rFonts w:hint="eastAsia" w:ascii="Times New Roman" w:hAnsi="Times New Roman" w:eastAsiaTheme="minorEastAsia"/>
                      <w:color w:val="auto"/>
                      <w:szCs w:val="24"/>
                      <w:highlight w:val="none"/>
                    </w:rPr>
                    <w:t>不</w:t>
                  </w:r>
                  <w:r>
                    <w:rPr>
                      <w:rFonts w:hint="eastAsia" w:ascii="Times New Roman" w:hAnsi="Times New Roman" w:eastAsiaTheme="minorEastAsia"/>
                      <w:color w:val="auto"/>
                      <w:szCs w:val="24"/>
                      <w:highlight w:val="none"/>
                      <w:lang w:val="en-US" w:eastAsia="zh-CN"/>
                    </w:rPr>
                    <w:t>属于禁止布局的项目</w:t>
                  </w:r>
                  <w:r>
                    <w:rPr>
                      <w:rFonts w:ascii="Times New Roman" w:hAnsi="Times New Roman" w:eastAsiaTheme="minorEastAsia"/>
                      <w:color w:val="auto"/>
                      <w:szCs w:val="24"/>
                      <w:highlight w:val="none"/>
                    </w:rPr>
                    <w:t>。</w:t>
                  </w:r>
                </w:p>
              </w:tc>
              <w:tc>
                <w:tcPr>
                  <w:tcW w:w="779" w:type="dxa"/>
                  <w:shd w:val="clear" w:color="auto" w:fill="auto"/>
                  <w:vAlign w:val="center"/>
                </w:tcPr>
                <w:p w14:paraId="3D94B418">
                  <w:pPr>
                    <w:adjustRightInd w:val="0"/>
                    <w:snapToGrid w:val="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符合</w:t>
                  </w:r>
                </w:p>
              </w:tc>
            </w:tr>
            <w:tr w14:paraId="0A16DC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dxa"/>
                  <w:vMerge w:val="continue"/>
                  <w:shd w:val="clear" w:color="auto" w:fill="auto"/>
                  <w:vAlign w:val="center"/>
                </w:tcPr>
                <w:p w14:paraId="4525F5F2">
                  <w:pPr>
                    <w:ind w:left="-31" w:leftChars="-15" w:right="-31" w:rightChars="-15"/>
                    <w:jc w:val="center"/>
                    <w:rPr>
                      <w:rFonts w:ascii="Times New Roman" w:hAnsi="Times New Roman" w:eastAsiaTheme="minorEastAsia"/>
                      <w:color w:val="auto"/>
                      <w:szCs w:val="21"/>
                      <w:highlight w:val="none"/>
                    </w:rPr>
                  </w:pPr>
                </w:p>
              </w:tc>
              <w:tc>
                <w:tcPr>
                  <w:tcW w:w="661" w:type="dxa"/>
                  <w:vMerge w:val="continue"/>
                  <w:shd w:val="clear" w:color="auto" w:fill="auto"/>
                  <w:vAlign w:val="center"/>
                </w:tcPr>
                <w:p w14:paraId="79B41306">
                  <w:pPr>
                    <w:ind w:left="-31" w:leftChars="-15" w:right="-31" w:rightChars="-15"/>
                    <w:jc w:val="center"/>
                    <w:rPr>
                      <w:rFonts w:ascii="Times New Roman" w:hAnsi="Times New Roman" w:eastAsiaTheme="minorEastAsia"/>
                      <w:color w:val="auto"/>
                      <w:szCs w:val="21"/>
                      <w:highlight w:val="none"/>
                    </w:rPr>
                  </w:pPr>
                </w:p>
              </w:tc>
              <w:tc>
                <w:tcPr>
                  <w:tcW w:w="728" w:type="dxa"/>
                  <w:shd w:val="clear" w:color="auto" w:fill="auto"/>
                  <w:vAlign w:val="center"/>
                </w:tcPr>
                <w:p w14:paraId="1EFFA3C1">
                  <w:pPr>
                    <w:adjustRightInd w:val="0"/>
                    <w:snapToGrid w:val="0"/>
                    <w:ind w:left="-31" w:leftChars="-15" w:right="-31" w:rightChars="-15"/>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限制布局要求</w:t>
                  </w:r>
                </w:p>
              </w:tc>
              <w:tc>
                <w:tcPr>
                  <w:tcW w:w="3337" w:type="dxa"/>
                  <w:shd w:val="clear" w:color="auto" w:fill="auto"/>
                  <w:vAlign w:val="center"/>
                </w:tcPr>
                <w:p w14:paraId="0952F95F">
                  <w:pPr>
                    <w:adjustRightInd w:val="0"/>
                    <w:snapToGrid w:val="0"/>
                    <w:ind w:right="-31" w:rightChars="-15"/>
                    <w:rPr>
                      <w:rFonts w:ascii="Times New Roman" w:hAnsi="Times New Roman" w:eastAsiaTheme="minorEastAsia"/>
                      <w:color w:val="auto"/>
                      <w:spacing w:val="-8"/>
                      <w:szCs w:val="24"/>
                      <w:highlight w:val="none"/>
                    </w:rPr>
                  </w:pPr>
                  <w:r>
                    <w:rPr>
                      <w:rFonts w:hint="eastAsia" w:ascii="Times New Roman" w:hAnsi="Times New Roman" w:eastAsiaTheme="minorEastAsia"/>
                      <w:color w:val="auto"/>
                      <w:spacing w:val="-8"/>
                      <w:szCs w:val="24"/>
                      <w:highlight w:val="none"/>
                      <w:lang w:val="en-US" w:eastAsia="zh-CN"/>
                    </w:rPr>
                    <w:t>4</w:t>
                  </w:r>
                  <w:r>
                    <w:rPr>
                      <w:rFonts w:ascii="Times New Roman" w:hAnsi="Times New Roman" w:eastAsiaTheme="minorEastAsia"/>
                      <w:color w:val="auto"/>
                      <w:spacing w:val="-8"/>
                      <w:szCs w:val="24"/>
                      <w:highlight w:val="none"/>
                    </w:rPr>
                    <w:t>.</w:t>
                  </w:r>
                  <w:r>
                    <w:rPr>
                      <w:rFonts w:ascii="Times New Roman" w:hAnsi="Times New Roman"/>
                      <w:color w:val="auto"/>
                      <w:highlight w:val="none"/>
                    </w:rPr>
                    <w:t>新(改、扩)建项目能耗达到《河北省主要产品能耗限额和设备能效限定值》准入值要求，鼓励达到先进值。新(改、扩)建项目严格执行产能置换、煤炭替代和污染物倍量削减替代制度，当地有相关园区规划的，原则上要进入园区并配套建设高效环保治理设施，符合园区规划环评、建设项目环评要求</w:t>
                  </w:r>
                  <w:r>
                    <w:rPr>
                      <w:rFonts w:ascii="Times New Roman" w:hAnsi="Times New Roman" w:eastAsiaTheme="minorEastAsia"/>
                      <w:color w:val="auto"/>
                      <w:spacing w:val="-8"/>
                      <w:szCs w:val="24"/>
                      <w:highlight w:val="none"/>
                    </w:rPr>
                    <w:t>。</w:t>
                  </w:r>
                </w:p>
                <w:p w14:paraId="4F286EA3">
                  <w:pPr>
                    <w:rPr>
                      <w:rFonts w:ascii="Times New Roman" w:hAnsi="Times New Roman" w:eastAsiaTheme="minorEastAsia"/>
                      <w:color w:val="auto"/>
                      <w:spacing w:val="-8"/>
                      <w:szCs w:val="24"/>
                      <w:highlight w:val="none"/>
                    </w:rPr>
                  </w:pPr>
                  <w:r>
                    <w:rPr>
                      <w:rFonts w:ascii="Times New Roman" w:hAnsi="Times New Roman" w:eastAsiaTheme="minorEastAsia"/>
                      <w:color w:val="auto"/>
                      <w:spacing w:val="-8"/>
                      <w:szCs w:val="24"/>
                      <w:highlight w:val="none"/>
                    </w:rPr>
                    <w:t>5.</w:t>
                  </w:r>
                  <w:r>
                    <w:rPr>
                      <w:rFonts w:hint="eastAsia" w:ascii="Times New Roman" w:hAnsi="Times New Roman"/>
                      <w:color w:val="auto"/>
                      <w:highlight w:val="none"/>
                    </w:rPr>
                    <w:t>严格控制新增煤电装机规模。严格控制高污染、高耗水行业新增产能，产能等量替代，水污染物倍量替代</w:t>
                  </w:r>
                  <w:r>
                    <w:rPr>
                      <w:rFonts w:ascii="Times New Roman" w:hAnsi="Times New Roman" w:eastAsiaTheme="minorEastAsia"/>
                      <w:color w:val="auto"/>
                      <w:spacing w:val="-8"/>
                      <w:szCs w:val="24"/>
                      <w:highlight w:val="none"/>
                    </w:rPr>
                    <w:t>。</w:t>
                  </w:r>
                </w:p>
              </w:tc>
              <w:tc>
                <w:tcPr>
                  <w:tcW w:w="2304" w:type="dxa"/>
                  <w:shd w:val="clear" w:color="auto" w:fill="auto"/>
                  <w:vAlign w:val="center"/>
                </w:tcPr>
                <w:p w14:paraId="494920A9">
                  <w:pPr>
                    <w:adjustRightInd w:val="0"/>
                    <w:snapToGrid w:val="0"/>
                    <w:rPr>
                      <w:rFonts w:ascii="Times New Roman" w:hAnsi="Times New Roman" w:eastAsiaTheme="minorEastAsia"/>
                      <w:color w:val="auto"/>
                      <w:szCs w:val="21"/>
                      <w:highlight w:val="none"/>
                    </w:rPr>
                  </w:pPr>
                  <w:r>
                    <w:rPr>
                      <w:rFonts w:ascii="Times New Roman" w:hAnsi="Times New Roman" w:eastAsiaTheme="minorEastAsia"/>
                      <w:color w:val="auto"/>
                      <w:szCs w:val="24"/>
                      <w:highlight w:val="none"/>
                    </w:rPr>
                    <w:t>本项目属于</w:t>
                  </w:r>
                  <w:r>
                    <w:rPr>
                      <w:rFonts w:ascii="Times New Roman" w:hAnsi="Times New Roman" w:eastAsiaTheme="minorEastAsia"/>
                      <w:color w:val="auto"/>
                      <w:szCs w:val="21"/>
                      <w:highlight w:val="none"/>
                    </w:rPr>
                    <w:t>N7724危险废物治理</w:t>
                  </w:r>
                  <w:r>
                    <w:rPr>
                      <w:rFonts w:ascii="Times New Roman" w:hAnsi="Times New Roman" w:eastAsiaTheme="minorEastAsia"/>
                      <w:color w:val="auto"/>
                      <w:szCs w:val="24"/>
                      <w:highlight w:val="none"/>
                    </w:rPr>
                    <w:t>，不属于限制类项目。</w:t>
                  </w:r>
                  <w:r>
                    <w:rPr>
                      <w:rFonts w:ascii="Times New Roman" w:hAnsi="Times New Roman" w:eastAsiaTheme="minorEastAsia"/>
                      <w:color w:val="auto"/>
                      <w:szCs w:val="21"/>
                      <w:highlight w:val="none"/>
                    </w:rPr>
                    <w:t>本项目位于</w:t>
                  </w:r>
                  <w:r>
                    <w:rPr>
                      <w:rFonts w:hint="eastAsia" w:ascii="Times New Roman" w:hAnsi="Times New Roman" w:eastAsiaTheme="minorEastAsia"/>
                      <w:color w:val="auto"/>
                      <w:szCs w:val="21"/>
                      <w:highlight w:val="none"/>
                      <w:lang w:val="en-US" w:eastAsia="zh-CN"/>
                    </w:rPr>
                    <w:t>河北</w:t>
                  </w:r>
                  <w:r>
                    <w:rPr>
                      <w:rFonts w:ascii="Times New Roman" w:hAnsi="Times New Roman" w:eastAsiaTheme="minorEastAsia"/>
                      <w:color w:val="auto"/>
                      <w:kern w:val="0"/>
                      <w:szCs w:val="21"/>
                      <w:highlight w:val="none"/>
                    </w:rPr>
                    <w:t>徐水经济开发区内，</w:t>
                  </w:r>
                  <w:r>
                    <w:rPr>
                      <w:rFonts w:ascii="Times New Roman" w:hAnsi="Times New Roman" w:eastAsiaTheme="minorEastAsia"/>
                      <w:color w:val="auto"/>
                      <w:szCs w:val="21"/>
                      <w:highlight w:val="none"/>
                    </w:rPr>
                    <w:t>对破损铅蓄电池泄露电解液产生的硫酸雾进行收集</w:t>
                  </w:r>
                  <w:r>
                    <w:rPr>
                      <w:rFonts w:hint="eastAsia" w:ascii="Times New Roman" w:hAnsi="Times New Roman" w:eastAsiaTheme="minorEastAsia"/>
                      <w:color w:val="auto"/>
                      <w:szCs w:val="21"/>
                      <w:highlight w:val="none"/>
                    </w:rPr>
                    <w:t>，经脱硫塔</w:t>
                  </w:r>
                  <w:r>
                    <w:rPr>
                      <w:rFonts w:ascii="Times New Roman" w:hAnsi="Times New Roman" w:eastAsiaTheme="minorEastAsia"/>
                      <w:color w:val="auto"/>
                      <w:szCs w:val="21"/>
                      <w:highlight w:val="none"/>
                    </w:rPr>
                    <w:t>治理</w:t>
                  </w:r>
                  <w:r>
                    <w:rPr>
                      <w:rFonts w:hint="eastAsia" w:ascii="Times New Roman" w:hAnsi="Times New Roman" w:eastAsiaTheme="minorEastAsia"/>
                      <w:color w:val="auto"/>
                      <w:szCs w:val="21"/>
                      <w:highlight w:val="none"/>
                    </w:rPr>
                    <w:t>后</w:t>
                  </w:r>
                  <w:r>
                    <w:rPr>
                      <w:rFonts w:ascii="Times New Roman" w:hAnsi="Times New Roman" w:eastAsiaTheme="minorEastAsia"/>
                      <w:color w:val="auto"/>
                      <w:szCs w:val="21"/>
                      <w:highlight w:val="none"/>
                    </w:rPr>
                    <w:t>，由1根</w:t>
                  </w:r>
                  <w:r>
                    <w:rPr>
                      <w:rFonts w:hint="eastAsia" w:ascii="Times New Roman" w:hAnsi="Times New Roman" w:eastAsiaTheme="minorEastAsia"/>
                      <w:color w:val="auto"/>
                      <w:szCs w:val="21"/>
                      <w:highlight w:val="none"/>
                    </w:rPr>
                    <w:t>15</w:t>
                  </w:r>
                  <w:r>
                    <w:rPr>
                      <w:rFonts w:ascii="Times New Roman" w:hAnsi="Times New Roman" w:eastAsiaTheme="minorEastAsia"/>
                      <w:color w:val="auto"/>
                      <w:szCs w:val="21"/>
                      <w:highlight w:val="none"/>
                    </w:rPr>
                    <w:t>m高排气筒（DA00</w:t>
                  </w:r>
                  <w:r>
                    <w:rPr>
                      <w:rFonts w:hint="eastAsia" w:ascii="Times New Roman" w:hAnsi="Times New Roman" w:eastAsiaTheme="minorEastAsia"/>
                      <w:color w:val="auto"/>
                      <w:szCs w:val="21"/>
                      <w:highlight w:val="none"/>
                    </w:rPr>
                    <w:t>1</w:t>
                  </w:r>
                  <w:r>
                    <w:rPr>
                      <w:rFonts w:ascii="Times New Roman" w:hAnsi="Times New Roman" w:eastAsiaTheme="minorEastAsia"/>
                      <w:color w:val="auto"/>
                      <w:szCs w:val="21"/>
                      <w:highlight w:val="none"/>
                    </w:rPr>
                    <w:t>）</w:t>
                  </w:r>
                  <w:r>
                    <w:rPr>
                      <w:rFonts w:hint="eastAsia" w:ascii="Times New Roman" w:hAnsi="Times New Roman" w:eastAsiaTheme="minorEastAsia"/>
                      <w:color w:val="auto"/>
                      <w:szCs w:val="21"/>
                      <w:highlight w:val="none"/>
                    </w:rPr>
                    <w:t>达标</w:t>
                  </w:r>
                  <w:r>
                    <w:rPr>
                      <w:rFonts w:ascii="Times New Roman" w:hAnsi="Times New Roman" w:eastAsiaTheme="minorEastAsia"/>
                      <w:color w:val="auto"/>
                      <w:szCs w:val="21"/>
                      <w:highlight w:val="none"/>
                    </w:rPr>
                    <w:t>排放</w:t>
                  </w:r>
                  <w:r>
                    <w:rPr>
                      <w:rFonts w:hint="eastAsia" w:ascii="Times New Roman" w:hAnsi="Times New Roman" w:eastAsiaTheme="minorEastAsia"/>
                      <w:color w:val="auto"/>
                      <w:szCs w:val="21"/>
                      <w:highlight w:val="none"/>
                    </w:rPr>
                    <w:t>。</w:t>
                  </w:r>
                </w:p>
              </w:tc>
              <w:tc>
                <w:tcPr>
                  <w:tcW w:w="779" w:type="dxa"/>
                  <w:shd w:val="clear" w:color="auto" w:fill="auto"/>
                  <w:vAlign w:val="center"/>
                </w:tcPr>
                <w:p w14:paraId="36F909AA">
                  <w:pPr>
                    <w:adjustRightInd w:val="0"/>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符合</w:t>
                  </w:r>
                </w:p>
              </w:tc>
            </w:tr>
            <w:tr w14:paraId="75164B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dxa"/>
                  <w:vMerge w:val="continue"/>
                  <w:shd w:val="clear" w:color="auto" w:fill="auto"/>
                  <w:vAlign w:val="center"/>
                </w:tcPr>
                <w:p w14:paraId="2D0625A7">
                  <w:pPr>
                    <w:ind w:left="-31" w:leftChars="-15" w:right="-31" w:rightChars="-15"/>
                    <w:jc w:val="center"/>
                    <w:rPr>
                      <w:rFonts w:ascii="Times New Roman" w:hAnsi="Times New Roman" w:eastAsiaTheme="minorEastAsia"/>
                      <w:color w:val="auto"/>
                      <w:szCs w:val="21"/>
                      <w:highlight w:val="none"/>
                    </w:rPr>
                  </w:pPr>
                </w:p>
              </w:tc>
              <w:tc>
                <w:tcPr>
                  <w:tcW w:w="661" w:type="dxa"/>
                  <w:vMerge w:val="continue"/>
                  <w:shd w:val="clear" w:color="auto" w:fill="auto"/>
                  <w:vAlign w:val="center"/>
                </w:tcPr>
                <w:p w14:paraId="1F22EFBD">
                  <w:pPr>
                    <w:ind w:left="-31" w:leftChars="-15" w:right="-31" w:rightChars="-15"/>
                    <w:jc w:val="center"/>
                    <w:rPr>
                      <w:rFonts w:ascii="Times New Roman" w:hAnsi="Times New Roman" w:eastAsiaTheme="minorEastAsia"/>
                      <w:color w:val="auto"/>
                      <w:szCs w:val="21"/>
                      <w:highlight w:val="none"/>
                    </w:rPr>
                  </w:pPr>
                </w:p>
              </w:tc>
              <w:tc>
                <w:tcPr>
                  <w:tcW w:w="728" w:type="dxa"/>
                  <w:shd w:val="clear" w:color="auto" w:fill="auto"/>
                  <w:vAlign w:val="center"/>
                </w:tcPr>
                <w:p w14:paraId="7B8F8403">
                  <w:pPr>
                    <w:adjustRightInd w:val="0"/>
                    <w:snapToGrid w:val="0"/>
                    <w:ind w:left="-31" w:leftChars="-15" w:right="-31" w:rightChars="-15"/>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项目入园进区要求</w:t>
                  </w:r>
                </w:p>
              </w:tc>
              <w:tc>
                <w:tcPr>
                  <w:tcW w:w="3337" w:type="dxa"/>
                  <w:shd w:val="clear" w:color="auto" w:fill="auto"/>
                  <w:vAlign w:val="center"/>
                </w:tcPr>
                <w:p w14:paraId="495343D7">
                  <w:pPr>
                    <w:adjustRightInd w:val="0"/>
                    <w:snapToGrid w:val="0"/>
                    <w:ind w:left="-31" w:leftChars="-15" w:right="-31" w:rightChars="-15"/>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1.新建企业原则上均应建在工业集聚区。推进现有企业向依法合规设立、环保设施齐全、符合规划环评要求、向满足法律法规规定的工业集聚区集中，明确涉水工业企业入园时间表；确因不具备入园条件需原地保留的涉水工业企业，明确保留条件，其中直排环境企业应达到排入水体功能区标准。</w:t>
                  </w:r>
                </w:p>
              </w:tc>
              <w:tc>
                <w:tcPr>
                  <w:tcW w:w="2304" w:type="dxa"/>
                  <w:shd w:val="clear" w:color="auto" w:fill="auto"/>
                  <w:vAlign w:val="center"/>
                </w:tcPr>
                <w:p w14:paraId="7FFB3FB5">
                  <w:pPr>
                    <w:adjustRightInd w:val="0"/>
                    <w:snapToGrid w:val="0"/>
                    <w:rPr>
                      <w:rFonts w:ascii="Times New Roman" w:hAnsi="Times New Roman" w:eastAsiaTheme="minorEastAsia"/>
                      <w:color w:val="auto"/>
                      <w:szCs w:val="21"/>
                      <w:highlight w:val="none"/>
                    </w:rPr>
                  </w:pPr>
                  <w:r>
                    <w:rPr>
                      <w:rFonts w:ascii="Times New Roman" w:hAnsi="Times New Roman" w:eastAsiaTheme="minorEastAsia"/>
                      <w:color w:val="auto"/>
                      <w:kern w:val="0"/>
                      <w:szCs w:val="21"/>
                      <w:highlight w:val="none"/>
                    </w:rPr>
                    <w:t>本项目位于保定市徐水区徐水经济开发区</w:t>
                  </w:r>
                  <w:r>
                    <w:rPr>
                      <w:rFonts w:hint="eastAsia" w:ascii="Times New Roman" w:hAnsi="Times New Roman" w:eastAsiaTheme="minorEastAsia"/>
                      <w:color w:val="auto"/>
                      <w:kern w:val="0"/>
                      <w:szCs w:val="21"/>
                      <w:highlight w:val="none"/>
                    </w:rPr>
                    <w:t>小微企业园，</w:t>
                  </w:r>
                  <w:r>
                    <w:rPr>
                      <w:rFonts w:hint="eastAsia" w:ascii="Times New Roman" w:hAnsi="Times New Roman" w:eastAsiaTheme="minorEastAsia"/>
                      <w:color w:val="auto"/>
                      <w:kern w:val="0"/>
                      <w:szCs w:val="21"/>
                      <w:highlight w:val="none"/>
                      <w:lang w:val="en-US" w:eastAsia="zh-CN"/>
                    </w:rPr>
                    <w:t>租赁</w:t>
                  </w:r>
                  <w:r>
                    <w:rPr>
                      <w:rFonts w:hint="eastAsia" w:ascii="Times New Roman" w:hAnsi="Times New Roman" w:eastAsiaTheme="minorEastAsia"/>
                      <w:color w:val="auto"/>
                      <w:kern w:val="0"/>
                      <w:szCs w:val="21"/>
                      <w:highlight w:val="none"/>
                    </w:rPr>
                    <w:t>河北天福重工阀门有限公司</w:t>
                  </w:r>
                  <w:r>
                    <w:rPr>
                      <w:rFonts w:hint="eastAsia" w:ascii="Times New Roman" w:hAnsi="Times New Roman" w:eastAsiaTheme="minorEastAsia"/>
                      <w:color w:val="auto"/>
                      <w:kern w:val="0"/>
                      <w:szCs w:val="21"/>
                      <w:highlight w:val="none"/>
                      <w:lang w:val="en-US" w:eastAsia="zh-CN"/>
                    </w:rPr>
                    <w:t>现有车间进行建设</w:t>
                  </w:r>
                  <w:r>
                    <w:rPr>
                      <w:rFonts w:ascii="Times New Roman" w:hAnsi="Times New Roman" w:eastAsiaTheme="minorEastAsia"/>
                      <w:color w:val="auto"/>
                      <w:kern w:val="0"/>
                      <w:szCs w:val="21"/>
                      <w:highlight w:val="none"/>
                    </w:rPr>
                    <w:t>。</w:t>
                  </w:r>
                </w:p>
              </w:tc>
              <w:tc>
                <w:tcPr>
                  <w:tcW w:w="779" w:type="dxa"/>
                  <w:shd w:val="clear" w:color="auto" w:fill="auto"/>
                  <w:vAlign w:val="center"/>
                </w:tcPr>
                <w:p w14:paraId="41A6DAB9">
                  <w:pPr>
                    <w:adjustRightInd w:val="0"/>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符合</w:t>
                  </w:r>
                </w:p>
              </w:tc>
            </w:tr>
            <w:tr w14:paraId="299043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dxa"/>
                  <w:shd w:val="clear" w:color="auto" w:fill="auto"/>
                  <w:vAlign w:val="center"/>
                </w:tcPr>
                <w:p w14:paraId="4B228E8F">
                  <w:pPr>
                    <w:ind w:left="-31" w:leftChars="-15" w:right="-31" w:rightChars="-15"/>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水环境总体管控</w:t>
                  </w:r>
                </w:p>
              </w:tc>
              <w:tc>
                <w:tcPr>
                  <w:tcW w:w="661" w:type="dxa"/>
                  <w:shd w:val="clear" w:color="auto" w:fill="auto"/>
                  <w:vAlign w:val="center"/>
                </w:tcPr>
                <w:p w14:paraId="030A3EB4">
                  <w:pPr>
                    <w:ind w:left="-31" w:leftChars="-15" w:right="-31" w:rightChars="-15"/>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环境质量目标</w:t>
                  </w:r>
                </w:p>
              </w:tc>
              <w:tc>
                <w:tcPr>
                  <w:tcW w:w="4065" w:type="dxa"/>
                  <w:gridSpan w:val="2"/>
                  <w:shd w:val="clear" w:color="auto" w:fill="auto"/>
                  <w:vAlign w:val="center"/>
                </w:tcPr>
                <w:p w14:paraId="3B0D763C">
                  <w:pPr>
                    <w:adjustRightInd w:val="0"/>
                    <w:snapToGrid w:val="0"/>
                    <w:ind w:left="-31" w:leftChars="-15" w:right="-31" w:rightChars="-15"/>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2025年，国省控断面地表水达到或好于Ⅲ类水体比例达100%，地表水劣Ⅴ类水体实现动态清零。</w:t>
                  </w:r>
                </w:p>
              </w:tc>
              <w:tc>
                <w:tcPr>
                  <w:tcW w:w="2304" w:type="dxa"/>
                  <w:shd w:val="clear" w:color="auto" w:fill="auto"/>
                  <w:vAlign w:val="center"/>
                </w:tcPr>
                <w:p w14:paraId="032F0044">
                  <w:pPr>
                    <w:adjustRightInd w:val="0"/>
                    <w:snapToGrid w:val="0"/>
                    <w:rPr>
                      <w:rFonts w:hint="default" w:ascii="Times New Roman" w:hAnsi="Times New Roman" w:eastAsiaTheme="minorEastAsia"/>
                      <w:color w:val="auto"/>
                      <w:szCs w:val="21"/>
                      <w:highlight w:val="none"/>
                      <w:lang w:val="en-US" w:eastAsia="zh-CN"/>
                    </w:rPr>
                  </w:pPr>
                  <w:r>
                    <w:rPr>
                      <w:rFonts w:ascii="Times New Roman" w:hAnsi="Times New Roman" w:eastAsiaTheme="minorEastAsia"/>
                      <w:color w:val="auto"/>
                      <w:szCs w:val="21"/>
                      <w:highlight w:val="none"/>
                    </w:rPr>
                    <w:t>本项目劳动定员</w:t>
                  </w:r>
                  <w:r>
                    <w:rPr>
                      <w:rFonts w:hint="eastAsia" w:ascii="Times New Roman" w:hAnsi="Times New Roman" w:eastAsiaTheme="minorEastAsia"/>
                      <w:color w:val="auto"/>
                      <w:szCs w:val="21"/>
                      <w:highlight w:val="none"/>
                    </w:rPr>
                    <w:t>6人</w:t>
                  </w:r>
                  <w:r>
                    <w:rPr>
                      <w:rFonts w:ascii="Times New Roman" w:hAnsi="Times New Roman" w:eastAsiaTheme="minorEastAsia"/>
                      <w:color w:val="auto"/>
                      <w:szCs w:val="21"/>
                      <w:highlight w:val="none"/>
                    </w:rPr>
                    <w:t>，</w:t>
                  </w:r>
                  <w:r>
                    <w:rPr>
                      <w:rFonts w:ascii="Times New Roman" w:hAnsi="Times New Roman" w:eastAsiaTheme="minorEastAsia"/>
                      <w:color w:val="auto"/>
                      <w:spacing w:val="-6"/>
                      <w:szCs w:val="21"/>
                      <w:highlight w:val="none"/>
                    </w:rPr>
                    <w:t>生活污水依托</w:t>
                  </w:r>
                  <w:r>
                    <w:rPr>
                      <w:rFonts w:hint="eastAsia" w:ascii="Times New Roman" w:hAnsi="Times New Roman" w:eastAsiaTheme="minorEastAsia"/>
                      <w:color w:val="auto"/>
                      <w:kern w:val="0"/>
                      <w:szCs w:val="21"/>
                      <w:highlight w:val="none"/>
                    </w:rPr>
                    <w:t>河北天福重工阀门有限公司</w:t>
                  </w:r>
                  <w:r>
                    <w:rPr>
                      <w:rFonts w:ascii="Times New Roman" w:hAnsi="Times New Roman" w:eastAsiaTheme="minorEastAsia"/>
                      <w:color w:val="auto"/>
                      <w:spacing w:val="-6"/>
                      <w:szCs w:val="21"/>
                      <w:highlight w:val="none"/>
                    </w:rPr>
                    <w:t>现有排水系统排至徐水区大王店污水处理厂进一步处理</w:t>
                  </w:r>
                  <w:r>
                    <w:rPr>
                      <w:rFonts w:hint="eastAsia" w:ascii="Times New Roman" w:hAnsi="Times New Roman" w:eastAsiaTheme="minorEastAsia"/>
                      <w:color w:val="auto"/>
                      <w:spacing w:val="-6"/>
                      <w:szCs w:val="21"/>
                      <w:highlight w:val="none"/>
                      <w:lang w:eastAsia="zh-CN"/>
                    </w:rPr>
                    <w:t>；</w:t>
                  </w:r>
                  <w:r>
                    <w:rPr>
                      <w:rFonts w:ascii="Times New Roman" w:hAnsi="Times New Roman" w:eastAsiaTheme="minorEastAsia"/>
                      <w:color w:val="auto"/>
                      <w:spacing w:val="-6"/>
                      <w:szCs w:val="21"/>
                      <w:highlight w:val="none"/>
                    </w:rPr>
                    <w:t>本项目生产废水</w:t>
                  </w:r>
                  <w:r>
                    <w:rPr>
                      <w:rFonts w:hint="eastAsia" w:ascii="Times New Roman" w:hAnsi="Times New Roman" w:eastAsiaTheme="minorEastAsia"/>
                      <w:color w:val="auto"/>
                      <w:spacing w:val="-6"/>
                      <w:szCs w:val="21"/>
                      <w:highlight w:val="none"/>
                      <w:lang w:val="en-US" w:eastAsia="zh-CN"/>
                    </w:rPr>
                    <w:t>为脱硫塔定期更换废水，定期交有资质单位处置，不</w:t>
                  </w:r>
                  <w:r>
                    <w:rPr>
                      <w:rFonts w:ascii="Times New Roman" w:hAnsi="Times New Roman" w:eastAsiaTheme="minorEastAsia"/>
                      <w:color w:val="auto"/>
                      <w:spacing w:val="-6"/>
                      <w:szCs w:val="21"/>
                      <w:highlight w:val="none"/>
                    </w:rPr>
                    <w:t>外排。</w:t>
                  </w:r>
                </w:p>
              </w:tc>
              <w:tc>
                <w:tcPr>
                  <w:tcW w:w="779" w:type="dxa"/>
                  <w:shd w:val="clear" w:color="auto" w:fill="auto"/>
                  <w:vAlign w:val="center"/>
                </w:tcPr>
                <w:p w14:paraId="34DF3837">
                  <w:pPr>
                    <w:adjustRightInd w:val="0"/>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符合</w:t>
                  </w:r>
                </w:p>
              </w:tc>
            </w:tr>
          </w:tbl>
          <w:p w14:paraId="1AF58996">
            <w:pPr>
              <w:tabs>
                <w:tab w:val="left" w:pos="0"/>
              </w:tabs>
              <w:spacing w:line="480" w:lineRule="exact"/>
              <w:ind w:firstLine="480" w:firstLineChars="200"/>
              <w:jc w:val="center"/>
              <w:rPr>
                <w:rFonts w:ascii="Times New Roman" w:hAnsi="Times New Roman" w:eastAsiaTheme="minorEastAsia"/>
                <w:bCs/>
                <w:color w:val="auto"/>
                <w:sz w:val="24"/>
                <w:szCs w:val="24"/>
                <w:highlight w:val="none"/>
                <w:lang w:val="zh-CN"/>
              </w:rPr>
            </w:pPr>
          </w:p>
          <w:p w14:paraId="38EFEBAB">
            <w:pPr>
              <w:tabs>
                <w:tab w:val="left" w:pos="0"/>
              </w:tabs>
              <w:spacing w:line="480" w:lineRule="exact"/>
              <w:ind w:firstLine="480" w:firstLineChars="200"/>
              <w:jc w:val="center"/>
              <w:rPr>
                <w:rFonts w:ascii="Times New Roman" w:hAnsi="Times New Roman" w:eastAsiaTheme="minorEastAsia"/>
                <w:bCs/>
                <w:color w:val="auto"/>
                <w:sz w:val="24"/>
                <w:szCs w:val="24"/>
                <w:highlight w:val="none"/>
                <w:lang w:val="zh-CN"/>
              </w:rPr>
            </w:pPr>
          </w:p>
          <w:p w14:paraId="12BAEA20">
            <w:pPr>
              <w:tabs>
                <w:tab w:val="left" w:pos="0"/>
              </w:tabs>
              <w:spacing w:line="480" w:lineRule="exact"/>
              <w:ind w:firstLine="480" w:firstLineChars="200"/>
              <w:jc w:val="center"/>
              <w:rPr>
                <w:rFonts w:ascii="Times New Roman" w:hAnsi="Times New Roman" w:eastAsiaTheme="minorEastAsia"/>
                <w:bCs/>
                <w:color w:val="auto"/>
                <w:sz w:val="24"/>
                <w:szCs w:val="24"/>
                <w:highlight w:val="none"/>
                <w:lang w:val="zh-CN"/>
              </w:rPr>
            </w:pPr>
          </w:p>
          <w:p w14:paraId="006B496D">
            <w:pPr>
              <w:tabs>
                <w:tab w:val="left" w:pos="0"/>
              </w:tabs>
              <w:spacing w:line="480" w:lineRule="exact"/>
              <w:ind w:firstLine="480" w:firstLineChars="200"/>
              <w:jc w:val="center"/>
              <w:rPr>
                <w:rFonts w:ascii="Times New Roman" w:hAnsi="Times New Roman" w:eastAsiaTheme="minorEastAsia"/>
                <w:bCs/>
                <w:color w:val="auto"/>
                <w:sz w:val="24"/>
                <w:szCs w:val="24"/>
                <w:highlight w:val="none"/>
                <w:lang w:val="zh-CN"/>
              </w:rPr>
            </w:pPr>
          </w:p>
          <w:p w14:paraId="42D58D28">
            <w:pPr>
              <w:tabs>
                <w:tab w:val="left" w:pos="0"/>
              </w:tabs>
              <w:spacing w:line="480" w:lineRule="exact"/>
              <w:ind w:firstLine="480" w:firstLineChars="200"/>
              <w:jc w:val="center"/>
              <w:rPr>
                <w:rFonts w:ascii="Times New Roman" w:hAnsi="Times New Roman" w:eastAsiaTheme="minorEastAsia"/>
                <w:bCs/>
                <w:color w:val="auto"/>
                <w:sz w:val="24"/>
                <w:szCs w:val="24"/>
                <w:highlight w:val="none"/>
              </w:rPr>
            </w:pPr>
            <w:r>
              <w:rPr>
                <w:rFonts w:ascii="Times New Roman" w:hAnsi="Times New Roman" w:eastAsiaTheme="minorEastAsia"/>
                <w:bCs/>
                <w:color w:val="auto"/>
                <w:sz w:val="24"/>
                <w:szCs w:val="24"/>
                <w:highlight w:val="none"/>
                <w:lang w:val="zh-CN"/>
              </w:rPr>
              <w:t>续表</w:t>
            </w:r>
            <w:r>
              <w:rPr>
                <w:rFonts w:ascii="Times New Roman" w:hAnsi="Times New Roman" w:eastAsiaTheme="minorEastAsia"/>
                <w:bCs/>
                <w:color w:val="auto"/>
                <w:sz w:val="24"/>
                <w:szCs w:val="24"/>
                <w:highlight w:val="none"/>
              </w:rPr>
              <w:t>1-5  与保定市</w:t>
            </w:r>
            <w:r>
              <w:rPr>
                <w:rFonts w:hint="eastAsia" w:ascii="Times New Roman" w:hAnsi="Times New Roman" w:eastAsiaTheme="minorEastAsia"/>
                <w:bCs/>
                <w:color w:val="auto"/>
                <w:sz w:val="24"/>
                <w:szCs w:val="24"/>
                <w:highlight w:val="none"/>
                <w:lang w:eastAsia="zh-CN"/>
              </w:rPr>
              <w:t>“</w:t>
            </w:r>
            <w:r>
              <w:rPr>
                <w:rFonts w:ascii="Times New Roman" w:hAnsi="Times New Roman" w:eastAsiaTheme="minorEastAsia"/>
                <w:bCs/>
                <w:color w:val="auto"/>
                <w:sz w:val="24"/>
                <w:szCs w:val="24"/>
                <w:highlight w:val="none"/>
              </w:rPr>
              <w:t>三线一单</w:t>
            </w:r>
            <w:r>
              <w:rPr>
                <w:rFonts w:hint="eastAsia" w:ascii="Times New Roman" w:hAnsi="Times New Roman" w:eastAsiaTheme="minorEastAsia"/>
                <w:bCs/>
                <w:color w:val="auto"/>
                <w:sz w:val="24"/>
                <w:szCs w:val="24"/>
                <w:highlight w:val="none"/>
                <w:lang w:eastAsia="zh-CN"/>
              </w:rPr>
              <w:t>”</w:t>
            </w:r>
            <w:r>
              <w:rPr>
                <w:rFonts w:ascii="Times New Roman" w:hAnsi="Times New Roman" w:eastAsiaTheme="minorEastAsia"/>
                <w:bCs/>
                <w:color w:val="auto"/>
                <w:sz w:val="24"/>
                <w:szCs w:val="24"/>
                <w:highlight w:val="none"/>
              </w:rPr>
              <w:t>生态环境分区管控符合性分析</w:t>
            </w:r>
          </w:p>
          <w:tbl>
            <w:tblPr>
              <w:tblStyle w:val="31"/>
              <w:tblW w:w="838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6"/>
              <w:gridCol w:w="661"/>
              <w:gridCol w:w="4065"/>
              <w:gridCol w:w="2304"/>
              <w:gridCol w:w="779"/>
            </w:tblGrid>
            <w:tr w14:paraId="2A3AE9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dxa"/>
                  <w:gridSpan w:val="2"/>
                  <w:shd w:val="clear" w:color="auto" w:fill="auto"/>
                  <w:vAlign w:val="center"/>
                </w:tcPr>
                <w:p w14:paraId="1FCFB9BC">
                  <w:pPr>
                    <w:adjustRightInd w:val="0"/>
                    <w:snapToGrid w:val="0"/>
                    <w:spacing w:line="300" w:lineRule="exact"/>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项目</w:t>
                  </w:r>
                </w:p>
              </w:tc>
              <w:tc>
                <w:tcPr>
                  <w:tcW w:w="4065" w:type="dxa"/>
                  <w:shd w:val="clear" w:color="auto" w:fill="auto"/>
                  <w:vAlign w:val="center"/>
                </w:tcPr>
                <w:p w14:paraId="2FD1E355">
                  <w:pPr>
                    <w:adjustRightInd w:val="0"/>
                    <w:snapToGrid w:val="0"/>
                    <w:spacing w:line="300" w:lineRule="exact"/>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管控要求</w:t>
                  </w:r>
                </w:p>
              </w:tc>
              <w:tc>
                <w:tcPr>
                  <w:tcW w:w="2304" w:type="dxa"/>
                  <w:shd w:val="clear" w:color="auto" w:fill="auto"/>
                  <w:vAlign w:val="center"/>
                </w:tcPr>
                <w:p w14:paraId="3D3DFD08">
                  <w:pPr>
                    <w:adjustRightInd w:val="0"/>
                    <w:snapToGrid w:val="0"/>
                    <w:spacing w:line="300" w:lineRule="exact"/>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本项目情况</w:t>
                  </w:r>
                </w:p>
              </w:tc>
              <w:tc>
                <w:tcPr>
                  <w:tcW w:w="779" w:type="dxa"/>
                  <w:shd w:val="clear" w:color="auto" w:fill="auto"/>
                  <w:vAlign w:val="center"/>
                </w:tcPr>
                <w:p w14:paraId="72669E8C">
                  <w:pPr>
                    <w:adjustRightInd w:val="0"/>
                    <w:snapToGrid w:val="0"/>
                    <w:spacing w:line="300" w:lineRule="exact"/>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符合性</w:t>
                  </w:r>
                </w:p>
              </w:tc>
            </w:tr>
            <w:tr w14:paraId="4530F7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dxa"/>
                  <w:vMerge w:val="restart"/>
                  <w:shd w:val="clear" w:color="auto" w:fill="auto"/>
                  <w:vAlign w:val="center"/>
                </w:tcPr>
                <w:p w14:paraId="124CA33C">
                  <w:pPr>
                    <w:spacing w:line="300" w:lineRule="exact"/>
                    <w:ind w:left="-31" w:leftChars="-15" w:right="-31" w:rightChars="-15"/>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大气环境总体管控</w:t>
                  </w:r>
                </w:p>
              </w:tc>
              <w:tc>
                <w:tcPr>
                  <w:tcW w:w="661" w:type="dxa"/>
                  <w:shd w:val="clear" w:color="auto" w:fill="auto"/>
                  <w:vAlign w:val="center"/>
                </w:tcPr>
                <w:p w14:paraId="185F6CCC">
                  <w:pPr>
                    <w:spacing w:line="300" w:lineRule="exact"/>
                    <w:ind w:left="-31" w:leftChars="-15" w:right="-31" w:rightChars="-15"/>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环境质量目标</w:t>
                  </w:r>
                </w:p>
              </w:tc>
              <w:tc>
                <w:tcPr>
                  <w:tcW w:w="4065" w:type="dxa"/>
                  <w:shd w:val="clear" w:color="auto" w:fill="auto"/>
                  <w:vAlign w:val="center"/>
                </w:tcPr>
                <w:p w14:paraId="09F97A82">
                  <w:pPr>
                    <w:adjustRightInd w:val="0"/>
                    <w:snapToGrid w:val="0"/>
                    <w:spacing w:line="300" w:lineRule="exact"/>
                    <w:ind w:left="-31" w:leftChars="-15" w:right="-31" w:rightChars="-15"/>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2025年，PM</w:t>
                  </w:r>
                  <w:r>
                    <w:rPr>
                      <w:rFonts w:ascii="Times New Roman" w:hAnsi="Times New Roman" w:eastAsiaTheme="minorEastAsia"/>
                      <w:color w:val="auto"/>
                      <w:szCs w:val="21"/>
                      <w:highlight w:val="none"/>
                      <w:vertAlign w:val="subscript"/>
                    </w:rPr>
                    <w:t>2.5</w:t>
                  </w:r>
                  <w:r>
                    <w:rPr>
                      <w:rFonts w:ascii="Times New Roman" w:hAnsi="Times New Roman" w:eastAsiaTheme="minorEastAsia"/>
                      <w:color w:val="auto"/>
                      <w:szCs w:val="21"/>
                      <w:highlight w:val="none"/>
                    </w:rPr>
                    <w:t>年均</w:t>
                  </w:r>
                  <w:r>
                    <w:rPr>
                      <w:rFonts w:ascii="Times New Roman" w:hAnsi="Times New Roman"/>
                      <w:color w:val="auto"/>
                      <w:kern w:val="0"/>
                      <w:szCs w:val="21"/>
                      <w:highlight w:val="none"/>
                    </w:rPr>
                    <w:t>浓度</w:t>
                  </w:r>
                  <w:r>
                    <w:rPr>
                      <w:rFonts w:hint="eastAsia" w:ascii="Times New Roman" w:hAnsi="Times New Roman"/>
                      <w:color w:val="auto"/>
                      <w:kern w:val="0"/>
                      <w:szCs w:val="21"/>
                      <w:highlight w:val="none"/>
                    </w:rPr>
                    <w:t>达到省要求</w:t>
                  </w:r>
                  <w:r>
                    <w:rPr>
                      <w:rFonts w:ascii="Times New Roman" w:hAnsi="Times New Roman"/>
                      <w:color w:val="auto"/>
                      <w:kern w:val="0"/>
                      <w:szCs w:val="21"/>
                      <w:highlight w:val="none"/>
                    </w:rPr>
                    <w:t>，空气质量优良天数比例达到</w:t>
                  </w:r>
                  <w:r>
                    <w:rPr>
                      <w:rFonts w:hint="eastAsia" w:ascii="Times New Roman" w:hAnsi="Times New Roman"/>
                      <w:color w:val="auto"/>
                      <w:kern w:val="0"/>
                      <w:szCs w:val="21"/>
                      <w:highlight w:val="none"/>
                    </w:rPr>
                    <w:t>省要求</w:t>
                  </w:r>
                  <w:r>
                    <w:rPr>
                      <w:rFonts w:ascii="Times New Roman" w:hAnsi="Times New Roman"/>
                      <w:color w:val="auto"/>
                      <w:kern w:val="0"/>
                      <w:szCs w:val="21"/>
                      <w:highlight w:val="none"/>
                    </w:rPr>
                    <w:t>。</w:t>
                  </w:r>
                </w:p>
              </w:tc>
              <w:tc>
                <w:tcPr>
                  <w:tcW w:w="2304" w:type="dxa"/>
                  <w:shd w:val="clear" w:color="auto" w:fill="auto"/>
                  <w:vAlign w:val="center"/>
                </w:tcPr>
                <w:p w14:paraId="6AFE779F">
                  <w:pPr>
                    <w:adjustRightInd w:val="0"/>
                    <w:snapToGrid w:val="0"/>
                    <w:spacing w:line="300" w:lineRule="exac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本项目</w:t>
                  </w:r>
                  <w:r>
                    <w:rPr>
                      <w:rFonts w:hint="eastAsia" w:ascii="Times New Roman" w:hAnsi="Times New Roman" w:eastAsiaTheme="minorEastAsia"/>
                      <w:color w:val="auto"/>
                      <w:szCs w:val="21"/>
                      <w:highlight w:val="none"/>
                    </w:rPr>
                    <w:t>不涉及</w:t>
                  </w:r>
                  <w:r>
                    <w:rPr>
                      <w:rFonts w:ascii="Times New Roman" w:hAnsi="Times New Roman" w:eastAsiaTheme="minorEastAsia"/>
                      <w:color w:val="auto"/>
                      <w:szCs w:val="21"/>
                      <w:highlight w:val="none"/>
                    </w:rPr>
                    <w:t>PM</w:t>
                  </w:r>
                  <w:r>
                    <w:rPr>
                      <w:rFonts w:ascii="Times New Roman" w:hAnsi="Times New Roman" w:eastAsiaTheme="minorEastAsia"/>
                      <w:color w:val="auto"/>
                      <w:szCs w:val="21"/>
                      <w:highlight w:val="none"/>
                      <w:vertAlign w:val="subscript"/>
                    </w:rPr>
                    <w:t>2.5</w:t>
                  </w:r>
                  <w:r>
                    <w:rPr>
                      <w:rFonts w:hint="eastAsia" w:ascii="Times New Roman" w:hAnsi="Times New Roman" w:eastAsiaTheme="minorEastAsia"/>
                      <w:color w:val="auto"/>
                      <w:szCs w:val="21"/>
                      <w:highlight w:val="none"/>
                    </w:rPr>
                    <w:t>的排放</w:t>
                  </w:r>
                  <w:r>
                    <w:rPr>
                      <w:rFonts w:ascii="Times New Roman" w:hAnsi="Times New Roman" w:eastAsiaTheme="minorEastAsia"/>
                      <w:color w:val="auto"/>
                      <w:szCs w:val="21"/>
                      <w:highlight w:val="none"/>
                    </w:rPr>
                    <w:t>。</w:t>
                  </w:r>
                </w:p>
              </w:tc>
              <w:tc>
                <w:tcPr>
                  <w:tcW w:w="779" w:type="dxa"/>
                  <w:shd w:val="clear" w:color="auto" w:fill="auto"/>
                  <w:vAlign w:val="center"/>
                </w:tcPr>
                <w:p w14:paraId="200BB1FA">
                  <w:pPr>
                    <w:adjustRightInd w:val="0"/>
                    <w:snapToGrid w:val="0"/>
                    <w:spacing w:line="300" w:lineRule="exac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符合</w:t>
                  </w:r>
                </w:p>
              </w:tc>
            </w:tr>
            <w:tr w14:paraId="622FBB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dxa"/>
                  <w:vMerge w:val="continue"/>
                  <w:shd w:val="clear" w:color="auto" w:fill="auto"/>
                  <w:vAlign w:val="center"/>
                </w:tcPr>
                <w:p w14:paraId="303C2691">
                  <w:pPr>
                    <w:spacing w:line="300" w:lineRule="exact"/>
                    <w:ind w:left="-31" w:leftChars="-15" w:right="-31" w:rightChars="-15"/>
                    <w:jc w:val="center"/>
                    <w:rPr>
                      <w:rFonts w:ascii="Times New Roman" w:hAnsi="Times New Roman" w:eastAsiaTheme="minorEastAsia"/>
                      <w:color w:val="auto"/>
                      <w:szCs w:val="21"/>
                      <w:highlight w:val="none"/>
                    </w:rPr>
                  </w:pPr>
                </w:p>
              </w:tc>
              <w:tc>
                <w:tcPr>
                  <w:tcW w:w="661" w:type="dxa"/>
                  <w:shd w:val="clear" w:color="auto" w:fill="auto"/>
                  <w:vAlign w:val="center"/>
                </w:tcPr>
                <w:p w14:paraId="07623CFD">
                  <w:pPr>
                    <w:spacing w:line="300" w:lineRule="exact"/>
                    <w:ind w:left="-31" w:leftChars="-15" w:right="-31" w:rightChars="-15"/>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lang w:val="zh-CN"/>
                    </w:rPr>
                    <w:t>空间布局约束</w:t>
                  </w:r>
                </w:p>
              </w:tc>
              <w:tc>
                <w:tcPr>
                  <w:tcW w:w="4065" w:type="dxa"/>
                  <w:shd w:val="clear" w:color="auto" w:fill="auto"/>
                  <w:vAlign w:val="center"/>
                </w:tcPr>
                <w:p w14:paraId="76748B5D">
                  <w:pPr>
                    <w:adjustRightInd w:val="0"/>
                    <w:snapToGrid w:val="0"/>
                    <w:spacing w:line="300" w:lineRule="exact"/>
                    <w:ind w:left="-31" w:leftChars="-15" w:right="-31" w:rightChars="-15"/>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1.严格限制石化、化工、包装印刷、工业涂装等高VOCs排放建设项目，新建、改建涉VOCs的石油炼制、石油化工、有机化工、制药、煤化工等工业企业要进入工业园区。</w:t>
                  </w:r>
                </w:p>
              </w:tc>
              <w:tc>
                <w:tcPr>
                  <w:tcW w:w="2304" w:type="dxa"/>
                  <w:shd w:val="clear" w:color="auto" w:fill="auto"/>
                  <w:vAlign w:val="center"/>
                </w:tcPr>
                <w:p w14:paraId="5FD7CA86">
                  <w:pPr>
                    <w:adjustRightInd w:val="0"/>
                    <w:snapToGrid w:val="0"/>
                    <w:spacing w:line="300" w:lineRule="exact"/>
                    <w:rPr>
                      <w:rFonts w:ascii="Times New Roman" w:hAnsi="Times New Roman" w:eastAsiaTheme="minorEastAsia"/>
                      <w:color w:val="auto"/>
                      <w:szCs w:val="21"/>
                      <w:highlight w:val="none"/>
                    </w:rPr>
                  </w:pPr>
                  <w:r>
                    <w:rPr>
                      <w:rFonts w:ascii="Times New Roman" w:hAnsi="Times New Roman" w:eastAsiaTheme="minorEastAsia"/>
                      <w:color w:val="auto"/>
                      <w:kern w:val="0"/>
                      <w:szCs w:val="21"/>
                      <w:highlight w:val="none"/>
                    </w:rPr>
                    <w:t>本项目</w:t>
                  </w:r>
                  <w:r>
                    <w:rPr>
                      <w:rFonts w:ascii="Times New Roman" w:hAnsi="Times New Roman" w:eastAsiaTheme="minorEastAsia"/>
                      <w:color w:val="auto"/>
                      <w:szCs w:val="24"/>
                      <w:highlight w:val="none"/>
                    </w:rPr>
                    <w:t>属于</w:t>
                  </w:r>
                  <w:r>
                    <w:rPr>
                      <w:rFonts w:ascii="Times New Roman" w:hAnsi="Times New Roman" w:eastAsiaTheme="minorEastAsia"/>
                      <w:color w:val="auto"/>
                      <w:szCs w:val="21"/>
                      <w:highlight w:val="none"/>
                    </w:rPr>
                    <w:t>N7724 危险废物治理</w:t>
                  </w:r>
                  <w:r>
                    <w:rPr>
                      <w:rFonts w:ascii="Times New Roman" w:hAnsi="Times New Roman" w:eastAsiaTheme="minorEastAsia"/>
                      <w:color w:val="auto"/>
                      <w:kern w:val="0"/>
                      <w:szCs w:val="21"/>
                      <w:highlight w:val="none"/>
                    </w:rPr>
                    <w:t>，不属于限制类行业。</w:t>
                  </w:r>
                </w:p>
              </w:tc>
              <w:tc>
                <w:tcPr>
                  <w:tcW w:w="779" w:type="dxa"/>
                  <w:shd w:val="clear" w:color="auto" w:fill="auto"/>
                  <w:vAlign w:val="center"/>
                </w:tcPr>
                <w:p w14:paraId="1CEC7F47">
                  <w:pPr>
                    <w:adjustRightInd w:val="0"/>
                    <w:snapToGrid w:val="0"/>
                    <w:spacing w:line="300" w:lineRule="exac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符合</w:t>
                  </w:r>
                </w:p>
              </w:tc>
            </w:tr>
            <w:tr w14:paraId="6FA6D5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dxa"/>
                  <w:vMerge w:val="continue"/>
                  <w:shd w:val="clear" w:color="auto" w:fill="auto"/>
                  <w:vAlign w:val="center"/>
                </w:tcPr>
                <w:p w14:paraId="57000975">
                  <w:pPr>
                    <w:spacing w:line="300" w:lineRule="exact"/>
                    <w:ind w:left="-31" w:leftChars="-15" w:right="-31" w:rightChars="-15"/>
                    <w:jc w:val="center"/>
                    <w:rPr>
                      <w:rFonts w:ascii="Times New Roman" w:hAnsi="Times New Roman" w:eastAsiaTheme="minorEastAsia"/>
                      <w:color w:val="auto"/>
                      <w:szCs w:val="21"/>
                      <w:highlight w:val="none"/>
                    </w:rPr>
                  </w:pPr>
                </w:p>
              </w:tc>
              <w:tc>
                <w:tcPr>
                  <w:tcW w:w="661" w:type="dxa"/>
                  <w:shd w:val="clear" w:color="auto" w:fill="auto"/>
                  <w:vAlign w:val="center"/>
                </w:tcPr>
                <w:p w14:paraId="1F3B8648">
                  <w:pPr>
                    <w:spacing w:line="300" w:lineRule="exact"/>
                    <w:ind w:left="-31" w:leftChars="-15" w:right="-31" w:rightChars="-15"/>
                    <w:jc w:val="center"/>
                    <w:rPr>
                      <w:rFonts w:ascii="Times New Roman" w:hAnsi="Times New Roman" w:eastAsiaTheme="minorEastAsia"/>
                      <w:color w:val="auto"/>
                      <w:szCs w:val="21"/>
                      <w:highlight w:val="none"/>
                      <w:lang w:val="zh-CN"/>
                    </w:rPr>
                  </w:pPr>
                  <w:r>
                    <w:rPr>
                      <w:rFonts w:ascii="Times New Roman" w:hAnsi="Times New Roman" w:eastAsiaTheme="minorEastAsia"/>
                      <w:color w:val="auto"/>
                      <w:szCs w:val="21"/>
                      <w:highlight w:val="none"/>
                      <w:lang w:val="zh-CN"/>
                    </w:rPr>
                    <w:t>污染物排放管控</w:t>
                  </w:r>
                </w:p>
              </w:tc>
              <w:tc>
                <w:tcPr>
                  <w:tcW w:w="4065" w:type="dxa"/>
                  <w:shd w:val="clear" w:color="auto" w:fill="auto"/>
                  <w:vAlign w:val="center"/>
                </w:tcPr>
                <w:p w14:paraId="1845EE06">
                  <w:pPr>
                    <w:adjustRightInd w:val="0"/>
                    <w:snapToGrid w:val="0"/>
                    <w:spacing w:line="300" w:lineRule="exact"/>
                    <w:ind w:left="-31" w:leftChars="-15" w:right="-31" w:rightChars="-15"/>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lang w:val="zh-CN"/>
                    </w:rPr>
                    <w:t>1.实施铸造、耐火材料、矿物棉、铁合金、炭素、煤炭洗选、家具、人造板、橡胶制品、塑料制品、制鞋、制革、玻璃钢等特色产业清洁化生产改造，加强无组织排放管控。以工业炉窑污染综合治理为重点，深化工业氮氧化物减排。</w:t>
                  </w:r>
                </w:p>
              </w:tc>
              <w:tc>
                <w:tcPr>
                  <w:tcW w:w="2304" w:type="dxa"/>
                  <w:shd w:val="clear" w:color="auto" w:fill="auto"/>
                  <w:vAlign w:val="center"/>
                </w:tcPr>
                <w:p w14:paraId="013F6CC4">
                  <w:pPr>
                    <w:adjustRightInd w:val="0"/>
                    <w:snapToGrid w:val="0"/>
                    <w:spacing w:line="300" w:lineRule="exac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本项目对破损铅蓄电池泄露电解液产生的硫酸雾废气进行收集</w:t>
                  </w:r>
                  <w:r>
                    <w:rPr>
                      <w:rFonts w:hint="eastAsia" w:ascii="Times New Roman" w:hAnsi="Times New Roman" w:eastAsiaTheme="minorEastAsia"/>
                      <w:color w:val="auto"/>
                      <w:szCs w:val="21"/>
                      <w:highlight w:val="none"/>
                    </w:rPr>
                    <w:t>，经脱硫塔</w:t>
                  </w:r>
                  <w:r>
                    <w:rPr>
                      <w:rFonts w:ascii="Times New Roman" w:hAnsi="Times New Roman" w:eastAsiaTheme="minorEastAsia"/>
                      <w:color w:val="auto"/>
                      <w:szCs w:val="21"/>
                      <w:highlight w:val="none"/>
                    </w:rPr>
                    <w:t>治理</w:t>
                  </w:r>
                  <w:r>
                    <w:rPr>
                      <w:rFonts w:hint="eastAsia" w:ascii="Times New Roman" w:hAnsi="Times New Roman" w:eastAsiaTheme="minorEastAsia"/>
                      <w:color w:val="auto"/>
                      <w:szCs w:val="21"/>
                      <w:highlight w:val="none"/>
                    </w:rPr>
                    <w:t>后</w:t>
                  </w:r>
                  <w:r>
                    <w:rPr>
                      <w:rFonts w:ascii="Times New Roman" w:hAnsi="Times New Roman" w:eastAsiaTheme="minorEastAsia"/>
                      <w:color w:val="auto"/>
                      <w:szCs w:val="21"/>
                      <w:highlight w:val="none"/>
                    </w:rPr>
                    <w:t>，由1根</w:t>
                  </w:r>
                  <w:r>
                    <w:rPr>
                      <w:rFonts w:hint="eastAsia" w:ascii="Times New Roman" w:hAnsi="Times New Roman" w:eastAsiaTheme="minorEastAsia"/>
                      <w:color w:val="auto"/>
                      <w:szCs w:val="21"/>
                      <w:highlight w:val="none"/>
                    </w:rPr>
                    <w:t>15</w:t>
                  </w:r>
                  <w:r>
                    <w:rPr>
                      <w:rFonts w:ascii="Times New Roman" w:hAnsi="Times New Roman" w:eastAsiaTheme="minorEastAsia"/>
                      <w:color w:val="auto"/>
                      <w:szCs w:val="21"/>
                      <w:highlight w:val="none"/>
                    </w:rPr>
                    <w:t>m高排气筒（DA00</w:t>
                  </w:r>
                  <w:r>
                    <w:rPr>
                      <w:rFonts w:hint="eastAsia" w:ascii="Times New Roman" w:hAnsi="Times New Roman" w:eastAsiaTheme="minorEastAsia"/>
                      <w:color w:val="auto"/>
                      <w:szCs w:val="21"/>
                      <w:highlight w:val="none"/>
                    </w:rPr>
                    <w:t>1</w:t>
                  </w:r>
                  <w:r>
                    <w:rPr>
                      <w:rFonts w:ascii="Times New Roman" w:hAnsi="Times New Roman" w:eastAsiaTheme="minorEastAsia"/>
                      <w:color w:val="auto"/>
                      <w:szCs w:val="21"/>
                      <w:highlight w:val="none"/>
                    </w:rPr>
                    <w:t>）</w:t>
                  </w:r>
                  <w:r>
                    <w:rPr>
                      <w:rFonts w:hint="eastAsia" w:ascii="Times New Roman" w:hAnsi="Times New Roman" w:eastAsiaTheme="minorEastAsia"/>
                      <w:color w:val="auto"/>
                      <w:szCs w:val="21"/>
                      <w:highlight w:val="none"/>
                    </w:rPr>
                    <w:t>达标</w:t>
                  </w:r>
                  <w:r>
                    <w:rPr>
                      <w:rFonts w:ascii="Times New Roman" w:hAnsi="Times New Roman" w:eastAsiaTheme="minorEastAsia"/>
                      <w:color w:val="auto"/>
                      <w:szCs w:val="21"/>
                      <w:highlight w:val="none"/>
                    </w:rPr>
                    <w:t>排放</w:t>
                  </w:r>
                  <w:r>
                    <w:rPr>
                      <w:rFonts w:hint="eastAsia" w:ascii="Times New Roman" w:hAnsi="Times New Roman" w:eastAsiaTheme="minorEastAsia"/>
                      <w:color w:val="auto"/>
                      <w:szCs w:val="21"/>
                      <w:highlight w:val="none"/>
                    </w:rPr>
                    <w:t>。</w:t>
                  </w:r>
                </w:p>
              </w:tc>
              <w:tc>
                <w:tcPr>
                  <w:tcW w:w="779" w:type="dxa"/>
                  <w:shd w:val="clear" w:color="auto" w:fill="auto"/>
                  <w:vAlign w:val="center"/>
                </w:tcPr>
                <w:p w14:paraId="47443A41">
                  <w:pPr>
                    <w:adjustRightInd w:val="0"/>
                    <w:snapToGrid w:val="0"/>
                    <w:spacing w:line="300" w:lineRule="exac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符合</w:t>
                  </w:r>
                </w:p>
              </w:tc>
            </w:tr>
            <w:tr w14:paraId="5C3F9E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dxa"/>
                  <w:vMerge w:val="restart"/>
                  <w:shd w:val="clear" w:color="auto" w:fill="auto"/>
                  <w:vAlign w:val="center"/>
                </w:tcPr>
                <w:p w14:paraId="70F2B4D0">
                  <w:pPr>
                    <w:spacing w:line="300" w:lineRule="exact"/>
                    <w:ind w:left="-31" w:leftChars="-15" w:right="-31" w:rightChars="-15"/>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资源利用总体管控</w:t>
                  </w:r>
                </w:p>
              </w:tc>
              <w:tc>
                <w:tcPr>
                  <w:tcW w:w="661" w:type="dxa"/>
                  <w:shd w:val="clear" w:color="auto" w:fill="auto"/>
                  <w:vAlign w:val="center"/>
                </w:tcPr>
                <w:p w14:paraId="5530EA08">
                  <w:pPr>
                    <w:spacing w:line="300" w:lineRule="exact"/>
                    <w:ind w:left="-31" w:leftChars="-15" w:right="-31" w:rightChars="-15"/>
                    <w:jc w:val="center"/>
                    <w:rPr>
                      <w:rFonts w:ascii="Times New Roman" w:hAnsi="Times New Roman" w:eastAsiaTheme="minorEastAsia"/>
                      <w:color w:val="auto"/>
                      <w:szCs w:val="21"/>
                      <w:highlight w:val="none"/>
                      <w:lang w:val="zh-CN"/>
                    </w:rPr>
                  </w:pPr>
                  <w:r>
                    <w:rPr>
                      <w:rFonts w:ascii="Times New Roman" w:hAnsi="Times New Roman" w:eastAsiaTheme="minorEastAsia"/>
                      <w:color w:val="auto"/>
                      <w:szCs w:val="21"/>
                      <w:highlight w:val="none"/>
                    </w:rPr>
                    <w:t>水资源</w:t>
                  </w:r>
                </w:p>
              </w:tc>
              <w:tc>
                <w:tcPr>
                  <w:tcW w:w="4065" w:type="dxa"/>
                  <w:shd w:val="clear" w:color="auto" w:fill="auto"/>
                  <w:vAlign w:val="center"/>
                </w:tcPr>
                <w:p w14:paraId="63600617">
                  <w:pPr>
                    <w:adjustRightInd w:val="0"/>
                    <w:snapToGrid w:val="0"/>
                    <w:spacing w:line="300" w:lineRule="exact"/>
                    <w:ind w:left="-31" w:leftChars="-15" w:right="-31" w:rightChars="-15"/>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lang w:val="zh-CN"/>
                    </w:rPr>
                    <w:t>1.落实最严格水资源管理制度，地下水取水许可总量不得突破地下水取用水总量控制指标，强化地下水利用监管。</w:t>
                  </w:r>
                </w:p>
              </w:tc>
              <w:tc>
                <w:tcPr>
                  <w:tcW w:w="2304" w:type="dxa"/>
                  <w:shd w:val="clear" w:color="auto" w:fill="auto"/>
                  <w:vAlign w:val="center"/>
                </w:tcPr>
                <w:p w14:paraId="5927651F">
                  <w:pPr>
                    <w:adjustRightInd w:val="0"/>
                    <w:snapToGrid w:val="0"/>
                    <w:spacing w:line="300" w:lineRule="exac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本项目新增新鲜水用量为</w:t>
                  </w:r>
                  <w:r>
                    <w:rPr>
                      <w:rFonts w:hint="eastAsia" w:ascii="Times New Roman" w:hAnsi="Times New Roman" w:eastAsiaTheme="minorEastAsia"/>
                      <w:color w:val="auto"/>
                      <w:szCs w:val="21"/>
                      <w:highlight w:val="none"/>
                      <w:lang w:val="en-US" w:eastAsia="zh-CN"/>
                    </w:rPr>
                    <w:t>141</w:t>
                  </w:r>
                  <w:r>
                    <w:rPr>
                      <w:rFonts w:ascii="Times New Roman" w:hAnsi="Times New Roman" w:eastAsiaTheme="minorEastAsia"/>
                      <w:color w:val="auto"/>
                      <w:szCs w:val="21"/>
                      <w:highlight w:val="none"/>
                    </w:rPr>
                    <w:t>m</w:t>
                  </w:r>
                  <w:r>
                    <w:rPr>
                      <w:rFonts w:ascii="Times New Roman" w:hAnsi="Times New Roman" w:eastAsiaTheme="minorEastAsia"/>
                      <w:color w:val="auto"/>
                      <w:szCs w:val="21"/>
                      <w:highlight w:val="none"/>
                      <w:vertAlign w:val="superscript"/>
                    </w:rPr>
                    <w:t>3</w:t>
                  </w:r>
                  <w:r>
                    <w:rPr>
                      <w:rFonts w:ascii="Times New Roman" w:hAnsi="Times New Roman" w:eastAsiaTheme="minorEastAsia"/>
                      <w:color w:val="auto"/>
                      <w:szCs w:val="21"/>
                      <w:highlight w:val="none"/>
                    </w:rPr>
                    <w:t>/a，</w:t>
                  </w:r>
                  <w:r>
                    <w:rPr>
                      <w:rFonts w:ascii="Times New Roman" w:hAnsi="Times New Roman" w:eastAsiaTheme="minorEastAsia"/>
                      <w:color w:val="auto"/>
                      <w:kern w:val="0"/>
                      <w:szCs w:val="21"/>
                      <w:highlight w:val="none"/>
                    </w:rPr>
                    <w:t>水资源消耗较少，不会触及水资源利用上线。</w:t>
                  </w:r>
                </w:p>
              </w:tc>
              <w:tc>
                <w:tcPr>
                  <w:tcW w:w="779" w:type="dxa"/>
                  <w:shd w:val="clear" w:color="auto" w:fill="auto"/>
                  <w:vAlign w:val="center"/>
                </w:tcPr>
                <w:p w14:paraId="3B34EFE7">
                  <w:pPr>
                    <w:adjustRightInd w:val="0"/>
                    <w:snapToGrid w:val="0"/>
                    <w:spacing w:line="300" w:lineRule="exac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符合</w:t>
                  </w:r>
                </w:p>
              </w:tc>
            </w:tr>
            <w:tr w14:paraId="7C9990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dxa"/>
                  <w:vMerge w:val="continue"/>
                  <w:shd w:val="clear" w:color="auto" w:fill="auto"/>
                  <w:vAlign w:val="center"/>
                </w:tcPr>
                <w:p w14:paraId="43517D93">
                  <w:pPr>
                    <w:spacing w:line="300" w:lineRule="exact"/>
                    <w:ind w:left="-31" w:leftChars="-15" w:right="-31" w:rightChars="-15"/>
                    <w:jc w:val="center"/>
                    <w:rPr>
                      <w:rFonts w:ascii="Times New Roman" w:hAnsi="Times New Roman" w:eastAsiaTheme="minorEastAsia"/>
                      <w:color w:val="auto"/>
                      <w:szCs w:val="21"/>
                      <w:highlight w:val="none"/>
                    </w:rPr>
                  </w:pPr>
                </w:p>
              </w:tc>
              <w:tc>
                <w:tcPr>
                  <w:tcW w:w="661" w:type="dxa"/>
                  <w:shd w:val="clear" w:color="auto" w:fill="auto"/>
                  <w:vAlign w:val="center"/>
                </w:tcPr>
                <w:p w14:paraId="12DB3E1B">
                  <w:pPr>
                    <w:spacing w:line="300" w:lineRule="exact"/>
                    <w:ind w:left="-31" w:leftChars="-15" w:right="-31" w:rightChars="-15"/>
                    <w:jc w:val="center"/>
                    <w:rPr>
                      <w:rFonts w:ascii="Times New Roman" w:hAnsi="Times New Roman" w:eastAsiaTheme="minorEastAsia"/>
                      <w:color w:val="auto"/>
                      <w:szCs w:val="21"/>
                      <w:highlight w:val="none"/>
                      <w:lang w:val="zh-CN"/>
                    </w:rPr>
                  </w:pPr>
                  <w:r>
                    <w:rPr>
                      <w:rFonts w:ascii="Times New Roman" w:hAnsi="Times New Roman" w:eastAsiaTheme="minorEastAsia"/>
                      <w:color w:val="auto"/>
                      <w:szCs w:val="21"/>
                      <w:highlight w:val="none"/>
                      <w:lang w:val="zh-CN"/>
                    </w:rPr>
                    <w:t>能源管控要求</w:t>
                  </w:r>
                </w:p>
              </w:tc>
              <w:tc>
                <w:tcPr>
                  <w:tcW w:w="4065" w:type="dxa"/>
                  <w:shd w:val="clear" w:color="auto" w:fill="auto"/>
                  <w:vAlign w:val="center"/>
                </w:tcPr>
                <w:p w14:paraId="29F77404">
                  <w:pPr>
                    <w:adjustRightInd w:val="0"/>
                    <w:snapToGrid w:val="0"/>
                    <w:spacing w:line="300" w:lineRule="exact"/>
                    <w:ind w:left="-31" w:leftChars="-15" w:right="-31" w:rightChars="-15"/>
                    <w:rPr>
                      <w:rFonts w:ascii="Times New Roman" w:hAnsi="Times New Roman" w:eastAsiaTheme="minorEastAsia"/>
                      <w:color w:val="auto"/>
                      <w:szCs w:val="21"/>
                      <w:highlight w:val="none"/>
                      <w:lang w:val="zh-CN"/>
                    </w:rPr>
                  </w:pPr>
                  <w:r>
                    <w:rPr>
                      <w:rFonts w:ascii="Times New Roman" w:hAnsi="Times New Roman" w:eastAsiaTheme="minorEastAsia"/>
                      <w:color w:val="auto"/>
                      <w:szCs w:val="21"/>
                      <w:highlight w:val="none"/>
                      <w:lang w:val="zh-CN"/>
                    </w:rPr>
                    <w:t>5.严格控制新建耗煤项目，强化煤炭消费总量控制，大力推进以电代煤、以电代气，加大散煤治理力。</w:t>
                  </w:r>
                </w:p>
              </w:tc>
              <w:tc>
                <w:tcPr>
                  <w:tcW w:w="2304" w:type="dxa"/>
                  <w:shd w:val="clear" w:color="auto" w:fill="auto"/>
                  <w:vAlign w:val="center"/>
                </w:tcPr>
                <w:p w14:paraId="4080AFA3">
                  <w:pPr>
                    <w:adjustRightInd w:val="0"/>
                    <w:snapToGrid w:val="0"/>
                    <w:spacing w:line="300" w:lineRule="exac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本项目生产过程不用热，生活取暖采用空调</w:t>
                  </w:r>
                  <w:r>
                    <w:rPr>
                      <w:rFonts w:hint="eastAsia" w:ascii="Times New Roman" w:hAnsi="Times New Roman" w:eastAsiaTheme="minorEastAsia"/>
                      <w:color w:val="auto"/>
                      <w:szCs w:val="21"/>
                      <w:highlight w:val="none"/>
                    </w:rPr>
                    <w:t>，不耗煤。</w:t>
                  </w:r>
                </w:p>
              </w:tc>
              <w:tc>
                <w:tcPr>
                  <w:tcW w:w="779" w:type="dxa"/>
                  <w:shd w:val="clear" w:color="auto" w:fill="auto"/>
                  <w:vAlign w:val="center"/>
                </w:tcPr>
                <w:p w14:paraId="544F4F5B">
                  <w:pPr>
                    <w:adjustRightInd w:val="0"/>
                    <w:snapToGrid w:val="0"/>
                    <w:spacing w:line="300" w:lineRule="exac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符合</w:t>
                  </w:r>
                </w:p>
              </w:tc>
            </w:tr>
            <w:tr w14:paraId="0FE3DA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85" w:type="dxa"/>
                  <w:gridSpan w:val="5"/>
                  <w:shd w:val="clear" w:color="auto" w:fill="auto"/>
                  <w:vAlign w:val="center"/>
                </w:tcPr>
                <w:p w14:paraId="5296CC96">
                  <w:pPr>
                    <w:adjustRightInd w:val="0"/>
                    <w:snapToGrid w:val="0"/>
                    <w:spacing w:line="300" w:lineRule="exact"/>
                    <w:rPr>
                      <w:rFonts w:ascii="Times New Roman" w:hAnsi="Times New Roman" w:eastAsiaTheme="minorEastAsia"/>
                      <w:color w:val="auto"/>
                      <w:szCs w:val="21"/>
                      <w:highlight w:val="none"/>
                    </w:rPr>
                  </w:pPr>
                  <w:r>
                    <w:rPr>
                      <w:rFonts w:ascii="Times New Roman" w:hAnsi="Times New Roman" w:eastAsiaTheme="minorEastAsia"/>
                      <w:bCs/>
                      <w:color w:val="auto"/>
                      <w:szCs w:val="21"/>
                      <w:highlight w:val="none"/>
                    </w:rPr>
                    <w:t>二、环境管控单元生态环境准入清单</w:t>
                  </w:r>
                </w:p>
              </w:tc>
            </w:tr>
            <w:tr w14:paraId="525675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dxa"/>
                  <w:shd w:val="clear" w:color="auto" w:fill="auto"/>
                  <w:vAlign w:val="center"/>
                </w:tcPr>
                <w:p w14:paraId="03D5DE5B">
                  <w:pPr>
                    <w:spacing w:line="300" w:lineRule="exact"/>
                    <w:ind w:left="-31" w:leftChars="-15" w:right="-31" w:rightChars="-15"/>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项目</w:t>
                  </w:r>
                </w:p>
              </w:tc>
              <w:tc>
                <w:tcPr>
                  <w:tcW w:w="4726" w:type="dxa"/>
                  <w:gridSpan w:val="2"/>
                  <w:shd w:val="clear" w:color="auto" w:fill="auto"/>
                  <w:vAlign w:val="center"/>
                </w:tcPr>
                <w:p w14:paraId="564E0536">
                  <w:pPr>
                    <w:adjustRightInd w:val="0"/>
                    <w:snapToGrid w:val="0"/>
                    <w:spacing w:line="300" w:lineRule="exact"/>
                    <w:ind w:left="-31" w:leftChars="-15" w:right="-31" w:rightChars="-15"/>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管控要求</w:t>
                  </w:r>
                </w:p>
              </w:tc>
              <w:tc>
                <w:tcPr>
                  <w:tcW w:w="2304" w:type="dxa"/>
                  <w:shd w:val="clear" w:color="auto" w:fill="auto"/>
                  <w:vAlign w:val="center"/>
                </w:tcPr>
                <w:p w14:paraId="7A054AEA">
                  <w:pPr>
                    <w:adjustRightInd w:val="0"/>
                    <w:snapToGrid w:val="0"/>
                    <w:spacing w:line="300" w:lineRule="exact"/>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本项目情况</w:t>
                  </w:r>
                </w:p>
              </w:tc>
              <w:tc>
                <w:tcPr>
                  <w:tcW w:w="779" w:type="dxa"/>
                  <w:shd w:val="clear" w:color="auto" w:fill="auto"/>
                  <w:vAlign w:val="center"/>
                </w:tcPr>
                <w:p w14:paraId="214FB446">
                  <w:pPr>
                    <w:adjustRightInd w:val="0"/>
                    <w:snapToGrid w:val="0"/>
                    <w:spacing w:line="300" w:lineRule="exact"/>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符合性</w:t>
                  </w:r>
                </w:p>
              </w:tc>
            </w:tr>
            <w:tr w14:paraId="0D7C34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dxa"/>
                  <w:shd w:val="clear" w:color="auto" w:fill="auto"/>
                  <w:vAlign w:val="center"/>
                </w:tcPr>
                <w:p w14:paraId="184DE346">
                  <w:pPr>
                    <w:spacing w:line="300" w:lineRule="exact"/>
                    <w:ind w:left="-31" w:leftChars="-15" w:right="-31" w:rightChars="-15"/>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重点管控单元（ZH13060920033）</w:t>
                  </w:r>
                </w:p>
              </w:tc>
              <w:tc>
                <w:tcPr>
                  <w:tcW w:w="661" w:type="dxa"/>
                  <w:shd w:val="clear" w:color="auto" w:fill="auto"/>
                  <w:vAlign w:val="center"/>
                </w:tcPr>
                <w:p w14:paraId="4513541F">
                  <w:pPr>
                    <w:widowControl/>
                    <w:spacing w:line="300" w:lineRule="exact"/>
                    <w:ind w:left="-31" w:leftChars="-15" w:right="-31" w:rightChars="-15"/>
                    <w:jc w:val="center"/>
                    <w:textAlignment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空间布局约束</w:t>
                  </w:r>
                </w:p>
              </w:tc>
              <w:tc>
                <w:tcPr>
                  <w:tcW w:w="4065" w:type="dxa"/>
                  <w:shd w:val="clear" w:color="auto" w:fill="auto"/>
                  <w:vAlign w:val="center"/>
                </w:tcPr>
                <w:p w14:paraId="419F5765">
                  <w:pPr>
                    <w:adjustRightInd w:val="0"/>
                    <w:snapToGrid w:val="0"/>
                    <w:spacing w:line="300" w:lineRule="exact"/>
                    <w:ind w:left="-31" w:leftChars="-15" w:right="-31" w:rightChars="-15"/>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1．严格遵循全市产业准入及布局总体管控要求。</w:t>
                  </w:r>
                </w:p>
                <w:p w14:paraId="4F2732AE">
                  <w:pPr>
                    <w:adjustRightInd w:val="0"/>
                    <w:snapToGrid w:val="0"/>
                    <w:spacing w:line="300" w:lineRule="exact"/>
                    <w:ind w:left="-31" w:leftChars="-15" w:right="-31" w:rightChars="-15"/>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2．严格落实园区规划环评及其批复文件制定的项目准入和布局管控要求。</w:t>
                  </w:r>
                </w:p>
                <w:p w14:paraId="3F6A3128">
                  <w:pPr>
                    <w:adjustRightInd w:val="0"/>
                    <w:snapToGrid w:val="0"/>
                    <w:spacing w:line="300" w:lineRule="exact"/>
                    <w:ind w:left="-31" w:leftChars="-15" w:right="-31" w:rightChars="-15"/>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3．现有与园区产业定位、布局不符的企业，对环境影响较大的严格限制其发展规模。</w:t>
                  </w:r>
                </w:p>
                <w:p w14:paraId="00C10137">
                  <w:pPr>
                    <w:adjustRightInd w:val="0"/>
                    <w:snapToGrid w:val="0"/>
                    <w:spacing w:line="300" w:lineRule="exact"/>
                    <w:ind w:left="-31" w:leftChars="-15" w:right="-31" w:rightChars="-15"/>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4．禁止建设生产和使用高VOCs含量的溶剂型涂料、油墨、胶粘剂等项目。</w:t>
                  </w:r>
                </w:p>
                <w:p w14:paraId="026B7CCF">
                  <w:pPr>
                    <w:adjustRightInd w:val="0"/>
                    <w:snapToGrid w:val="0"/>
                    <w:spacing w:line="300" w:lineRule="exact"/>
                    <w:ind w:left="-31" w:leftChars="-15" w:right="-31" w:rightChars="-15"/>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5．禁止建设《环境保护综合名录2017年版》中”高污染、高风险”产品加工项目。</w:t>
                  </w:r>
                </w:p>
                <w:p w14:paraId="7D319EE3">
                  <w:pPr>
                    <w:adjustRightInd w:val="0"/>
                    <w:snapToGrid w:val="0"/>
                    <w:spacing w:line="300" w:lineRule="exact"/>
                    <w:ind w:left="-31" w:leftChars="-15" w:right="-31" w:rightChars="-15"/>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6．禁止入区企业开采地下水。</w:t>
                  </w:r>
                </w:p>
                <w:p w14:paraId="5AED1C2B">
                  <w:pPr>
                    <w:adjustRightInd w:val="0"/>
                    <w:snapToGrid w:val="0"/>
                    <w:spacing w:line="300" w:lineRule="exact"/>
                    <w:ind w:left="-31" w:leftChars="-15" w:right="-31" w:rightChars="-15"/>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7．禁止超过单位产品能源消耗限额标准的企业入驻。</w:t>
                  </w:r>
                </w:p>
              </w:tc>
              <w:tc>
                <w:tcPr>
                  <w:tcW w:w="2304" w:type="dxa"/>
                  <w:shd w:val="clear" w:color="auto" w:fill="auto"/>
                  <w:vAlign w:val="center"/>
                </w:tcPr>
                <w:p w14:paraId="5C099EF2">
                  <w:pPr>
                    <w:autoSpaceDE w:val="0"/>
                    <w:autoSpaceDN w:val="0"/>
                    <w:adjustRightInd w:val="0"/>
                    <w:spacing w:line="300" w:lineRule="exact"/>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本项目属于N7724 危险废物治理，不属于禁止类项目，符合产业政策要求（详见</w:t>
                  </w:r>
                  <w:r>
                    <w:rPr>
                      <w:rFonts w:hint="eastAsia" w:ascii="Times New Roman" w:hAnsi="Times New Roman" w:eastAsiaTheme="minorEastAsia"/>
                      <w:color w:val="auto"/>
                      <w:szCs w:val="21"/>
                      <w:highlight w:val="none"/>
                      <w:lang w:eastAsia="zh-CN"/>
                    </w:rPr>
                    <w:t>“</w:t>
                  </w:r>
                  <w:r>
                    <w:rPr>
                      <w:rFonts w:ascii="Times New Roman" w:hAnsi="Times New Roman" w:eastAsiaTheme="minorEastAsia"/>
                      <w:color w:val="auto"/>
                      <w:szCs w:val="21"/>
                      <w:highlight w:val="none"/>
                    </w:rPr>
                    <w:t>产业政策符合性分析</w:t>
                  </w:r>
                  <w:r>
                    <w:rPr>
                      <w:rFonts w:hint="eastAsia" w:ascii="Times New Roman" w:hAnsi="Times New Roman" w:eastAsiaTheme="minorEastAsia"/>
                      <w:color w:val="auto"/>
                      <w:szCs w:val="21"/>
                      <w:highlight w:val="none"/>
                      <w:lang w:eastAsia="zh-CN"/>
                    </w:rPr>
                    <w:t>”</w:t>
                  </w:r>
                  <w:r>
                    <w:rPr>
                      <w:rFonts w:ascii="Times New Roman" w:hAnsi="Times New Roman" w:eastAsiaTheme="minorEastAsia"/>
                      <w:color w:val="auto"/>
                      <w:szCs w:val="21"/>
                      <w:highlight w:val="none"/>
                    </w:rPr>
                    <w:t>章节），不</w:t>
                  </w:r>
                  <w:r>
                    <w:rPr>
                      <w:rFonts w:hint="eastAsia" w:ascii="Times New Roman" w:hAnsi="Times New Roman" w:eastAsiaTheme="minorEastAsia"/>
                      <w:color w:val="auto"/>
                      <w:szCs w:val="21"/>
                      <w:highlight w:val="none"/>
                    </w:rPr>
                    <w:t>涉及</w:t>
                  </w:r>
                  <w:r>
                    <w:rPr>
                      <w:rFonts w:ascii="Times New Roman" w:hAnsi="Times New Roman" w:eastAsiaTheme="minorEastAsia"/>
                      <w:color w:val="auto"/>
                      <w:szCs w:val="21"/>
                      <w:highlight w:val="none"/>
                    </w:rPr>
                    <w:t>使用高VOCs含量的溶剂型涂料、油墨、胶粘剂，不属于《环境保护综合名录2021年版》中“高污染、高风险”产品加工项目；</w:t>
                  </w:r>
                  <w:r>
                    <w:rPr>
                      <w:rFonts w:ascii="Times New Roman" w:hAnsi="Times New Roman"/>
                      <w:color w:val="auto"/>
                      <w:kern w:val="0"/>
                      <w:szCs w:val="21"/>
                      <w:highlight w:val="none"/>
                    </w:rPr>
                    <w:t>项目用水由园区管网提供。</w:t>
                  </w:r>
                </w:p>
              </w:tc>
              <w:tc>
                <w:tcPr>
                  <w:tcW w:w="779" w:type="dxa"/>
                  <w:shd w:val="clear" w:color="auto" w:fill="auto"/>
                  <w:vAlign w:val="center"/>
                </w:tcPr>
                <w:p w14:paraId="0CAF3525">
                  <w:pPr>
                    <w:adjustRightInd w:val="0"/>
                    <w:snapToGrid w:val="0"/>
                    <w:spacing w:line="300" w:lineRule="exac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符合</w:t>
                  </w:r>
                </w:p>
              </w:tc>
            </w:tr>
          </w:tbl>
          <w:p w14:paraId="7A1BE499">
            <w:pPr>
              <w:tabs>
                <w:tab w:val="left" w:pos="0"/>
              </w:tabs>
              <w:spacing w:line="480" w:lineRule="exact"/>
              <w:ind w:firstLine="480" w:firstLineChars="200"/>
              <w:jc w:val="center"/>
              <w:rPr>
                <w:rFonts w:ascii="Times New Roman" w:hAnsi="Times New Roman" w:eastAsiaTheme="minorEastAsia"/>
                <w:bCs/>
                <w:color w:val="auto"/>
                <w:sz w:val="24"/>
                <w:szCs w:val="24"/>
                <w:highlight w:val="none"/>
                <w:lang w:val="zh-CN"/>
              </w:rPr>
            </w:pPr>
          </w:p>
          <w:p w14:paraId="295EE313">
            <w:pPr>
              <w:tabs>
                <w:tab w:val="left" w:pos="0"/>
              </w:tabs>
              <w:spacing w:line="480" w:lineRule="exact"/>
              <w:ind w:firstLine="480" w:firstLineChars="200"/>
              <w:jc w:val="center"/>
              <w:rPr>
                <w:rFonts w:ascii="Times New Roman" w:hAnsi="Times New Roman" w:eastAsiaTheme="minorEastAsia"/>
                <w:bCs/>
                <w:color w:val="auto"/>
                <w:sz w:val="24"/>
                <w:szCs w:val="24"/>
                <w:highlight w:val="none"/>
                <w:lang w:val="zh-CN"/>
              </w:rPr>
            </w:pPr>
          </w:p>
          <w:p w14:paraId="4CA96321">
            <w:pPr>
              <w:tabs>
                <w:tab w:val="left" w:pos="0"/>
              </w:tabs>
              <w:spacing w:line="480" w:lineRule="exact"/>
              <w:ind w:firstLine="480" w:firstLineChars="200"/>
              <w:jc w:val="center"/>
              <w:rPr>
                <w:rFonts w:ascii="Times New Roman" w:hAnsi="Times New Roman" w:eastAsiaTheme="minorEastAsia"/>
                <w:bCs/>
                <w:color w:val="auto"/>
                <w:sz w:val="24"/>
                <w:szCs w:val="24"/>
                <w:highlight w:val="none"/>
                <w:lang w:val="zh-CN"/>
              </w:rPr>
            </w:pPr>
          </w:p>
          <w:p w14:paraId="7EC925D3">
            <w:pPr>
              <w:tabs>
                <w:tab w:val="left" w:pos="0"/>
              </w:tabs>
              <w:spacing w:line="480" w:lineRule="exact"/>
              <w:ind w:firstLine="480" w:firstLineChars="200"/>
              <w:jc w:val="center"/>
              <w:rPr>
                <w:rFonts w:ascii="Times New Roman" w:hAnsi="Times New Roman" w:eastAsiaTheme="minorEastAsia"/>
                <w:bCs/>
                <w:color w:val="auto"/>
                <w:sz w:val="24"/>
                <w:szCs w:val="24"/>
                <w:highlight w:val="none"/>
              </w:rPr>
            </w:pPr>
            <w:r>
              <w:rPr>
                <w:rFonts w:ascii="Times New Roman" w:hAnsi="Times New Roman" w:eastAsiaTheme="minorEastAsia"/>
                <w:bCs/>
                <w:color w:val="auto"/>
                <w:sz w:val="24"/>
                <w:szCs w:val="24"/>
                <w:highlight w:val="none"/>
                <w:lang w:val="zh-CN"/>
              </w:rPr>
              <w:t>续表</w:t>
            </w:r>
            <w:r>
              <w:rPr>
                <w:rFonts w:ascii="Times New Roman" w:hAnsi="Times New Roman" w:eastAsiaTheme="minorEastAsia"/>
                <w:bCs/>
                <w:color w:val="auto"/>
                <w:sz w:val="24"/>
                <w:szCs w:val="24"/>
                <w:highlight w:val="none"/>
              </w:rPr>
              <w:t>1-5  与保定市</w:t>
            </w:r>
            <w:r>
              <w:rPr>
                <w:rFonts w:hint="eastAsia" w:ascii="Times New Roman" w:hAnsi="Times New Roman" w:eastAsiaTheme="minorEastAsia"/>
                <w:bCs/>
                <w:color w:val="auto"/>
                <w:sz w:val="24"/>
                <w:szCs w:val="24"/>
                <w:highlight w:val="none"/>
                <w:lang w:eastAsia="zh-CN"/>
              </w:rPr>
              <w:t>“</w:t>
            </w:r>
            <w:r>
              <w:rPr>
                <w:rFonts w:ascii="Times New Roman" w:hAnsi="Times New Roman" w:eastAsiaTheme="minorEastAsia"/>
                <w:bCs/>
                <w:color w:val="auto"/>
                <w:sz w:val="24"/>
                <w:szCs w:val="24"/>
                <w:highlight w:val="none"/>
              </w:rPr>
              <w:t>三线一单</w:t>
            </w:r>
            <w:r>
              <w:rPr>
                <w:rFonts w:hint="eastAsia" w:ascii="Times New Roman" w:hAnsi="Times New Roman" w:eastAsiaTheme="minorEastAsia"/>
                <w:bCs/>
                <w:color w:val="auto"/>
                <w:sz w:val="24"/>
                <w:szCs w:val="24"/>
                <w:highlight w:val="none"/>
                <w:lang w:eastAsia="zh-CN"/>
              </w:rPr>
              <w:t>”</w:t>
            </w:r>
            <w:r>
              <w:rPr>
                <w:rFonts w:ascii="Times New Roman" w:hAnsi="Times New Roman" w:eastAsiaTheme="minorEastAsia"/>
                <w:bCs/>
                <w:color w:val="auto"/>
                <w:sz w:val="24"/>
                <w:szCs w:val="24"/>
                <w:highlight w:val="none"/>
              </w:rPr>
              <w:t>生态环境分区管控符合性分析</w:t>
            </w:r>
          </w:p>
          <w:tbl>
            <w:tblPr>
              <w:tblStyle w:val="31"/>
              <w:tblW w:w="838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6"/>
              <w:gridCol w:w="388"/>
              <w:gridCol w:w="4633"/>
              <w:gridCol w:w="2215"/>
              <w:gridCol w:w="573"/>
            </w:tblGrid>
            <w:tr w14:paraId="6691D2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4" w:type="dxa"/>
                  <w:gridSpan w:val="2"/>
                  <w:shd w:val="clear" w:color="auto" w:fill="auto"/>
                  <w:vAlign w:val="center"/>
                </w:tcPr>
                <w:p w14:paraId="285546F7">
                  <w:pPr>
                    <w:adjustRightInd w:val="0"/>
                    <w:snapToGrid w:val="0"/>
                    <w:spacing w:line="300" w:lineRule="exact"/>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项目</w:t>
                  </w:r>
                </w:p>
              </w:tc>
              <w:tc>
                <w:tcPr>
                  <w:tcW w:w="4633" w:type="dxa"/>
                  <w:shd w:val="clear" w:color="auto" w:fill="auto"/>
                  <w:vAlign w:val="center"/>
                </w:tcPr>
                <w:p w14:paraId="5408C31A">
                  <w:pPr>
                    <w:adjustRightInd w:val="0"/>
                    <w:snapToGrid w:val="0"/>
                    <w:spacing w:line="300" w:lineRule="exact"/>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管控要求</w:t>
                  </w:r>
                </w:p>
              </w:tc>
              <w:tc>
                <w:tcPr>
                  <w:tcW w:w="2215" w:type="dxa"/>
                  <w:shd w:val="clear" w:color="auto" w:fill="auto"/>
                  <w:vAlign w:val="center"/>
                </w:tcPr>
                <w:p w14:paraId="6826EFCE">
                  <w:pPr>
                    <w:adjustRightInd w:val="0"/>
                    <w:snapToGrid w:val="0"/>
                    <w:spacing w:line="300" w:lineRule="exact"/>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本项目情况</w:t>
                  </w:r>
                </w:p>
              </w:tc>
              <w:tc>
                <w:tcPr>
                  <w:tcW w:w="573" w:type="dxa"/>
                  <w:shd w:val="clear" w:color="auto" w:fill="auto"/>
                  <w:vAlign w:val="center"/>
                </w:tcPr>
                <w:p w14:paraId="42E55D2B">
                  <w:pPr>
                    <w:adjustRightInd w:val="0"/>
                    <w:snapToGrid w:val="0"/>
                    <w:spacing w:line="300" w:lineRule="exact"/>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符合性</w:t>
                  </w:r>
                </w:p>
              </w:tc>
            </w:tr>
            <w:tr w14:paraId="763549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dxa"/>
                  <w:vMerge w:val="restart"/>
                  <w:shd w:val="clear" w:color="auto" w:fill="auto"/>
                  <w:vAlign w:val="center"/>
                </w:tcPr>
                <w:p w14:paraId="723EECFE">
                  <w:pPr>
                    <w:widowControl/>
                    <w:spacing w:line="300" w:lineRule="exact"/>
                    <w:ind w:left="-31" w:leftChars="-15" w:right="-31" w:rightChars="-15"/>
                    <w:textAlignment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重点管控单元（ZH13060920033）</w:t>
                  </w:r>
                </w:p>
              </w:tc>
              <w:tc>
                <w:tcPr>
                  <w:tcW w:w="388" w:type="dxa"/>
                  <w:shd w:val="clear" w:color="auto" w:fill="auto"/>
                  <w:vAlign w:val="center"/>
                </w:tcPr>
                <w:p w14:paraId="4E3A215B">
                  <w:pPr>
                    <w:widowControl/>
                    <w:spacing w:line="300" w:lineRule="exact"/>
                    <w:ind w:left="-31" w:leftChars="-15" w:right="-31" w:rightChars="-15"/>
                    <w:jc w:val="center"/>
                    <w:textAlignment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污染排放管控</w:t>
                  </w:r>
                </w:p>
              </w:tc>
              <w:tc>
                <w:tcPr>
                  <w:tcW w:w="4633" w:type="dxa"/>
                  <w:shd w:val="clear" w:color="auto" w:fill="auto"/>
                  <w:vAlign w:val="center"/>
                </w:tcPr>
                <w:p w14:paraId="5C7B7866">
                  <w:pPr>
                    <w:adjustRightInd w:val="0"/>
                    <w:snapToGrid w:val="0"/>
                    <w:spacing w:line="300" w:lineRule="exact"/>
                    <w:ind w:left="-31" w:leftChars="-15" w:right="-31" w:rightChars="-15"/>
                    <w:rPr>
                      <w:rFonts w:ascii="Times New Roman" w:hAnsi="Times New Roman" w:eastAsiaTheme="minorEastAsia"/>
                      <w:color w:val="auto"/>
                      <w:szCs w:val="21"/>
                      <w:highlight w:val="none"/>
                    </w:rPr>
                  </w:pPr>
                  <w:r>
                    <w:rPr>
                      <w:rFonts w:hint="eastAsia" w:ascii="Times New Roman" w:hAnsi="Times New Roman"/>
                      <w:color w:val="auto"/>
                      <w:szCs w:val="21"/>
                      <w:highlight w:val="none"/>
                    </w:rPr>
                    <w:t>1、严格落实规划环评及其批复文件制定的环保措施。</w:t>
                  </w:r>
                  <w:r>
                    <w:rPr>
                      <w:rFonts w:hint="eastAsia" w:ascii="Times New Roman" w:hAnsi="Times New Roman"/>
                      <w:color w:val="auto"/>
                      <w:szCs w:val="21"/>
                      <w:highlight w:val="none"/>
                    </w:rPr>
                    <w:br w:type="textWrapping"/>
                  </w:r>
                  <w:r>
                    <w:rPr>
                      <w:rFonts w:hint="eastAsia" w:ascii="Times New Roman" w:hAnsi="Times New Roman"/>
                      <w:color w:val="auto"/>
                      <w:szCs w:val="21"/>
                      <w:highlight w:val="none"/>
                    </w:rPr>
                    <w:t>2、涉VOCs排放工业企业污染物排放应达到《工业企业挥发性有机物排放控制标准》（DB13/2322-2016）及《挥发性有机物无组织排放控制标准》（GB37822-2019）相关要求。</w:t>
                  </w:r>
                  <w:r>
                    <w:rPr>
                      <w:rFonts w:hint="eastAsia" w:ascii="Times New Roman" w:hAnsi="Times New Roman"/>
                      <w:color w:val="auto"/>
                      <w:szCs w:val="21"/>
                      <w:highlight w:val="none"/>
                    </w:rPr>
                    <w:br w:type="textWrapping"/>
                  </w:r>
                  <w:r>
                    <w:rPr>
                      <w:rFonts w:hint="eastAsia" w:ascii="Times New Roman" w:hAnsi="Times New Roman"/>
                      <w:color w:val="auto"/>
                      <w:szCs w:val="21"/>
                      <w:highlight w:val="none"/>
                    </w:rPr>
                    <w:t>3、完善污水收集处理设施建设，确保区域水环境质量不降低。</w:t>
                  </w:r>
                  <w:r>
                    <w:rPr>
                      <w:rFonts w:hint="eastAsia" w:ascii="Times New Roman" w:hAnsi="Times New Roman"/>
                      <w:color w:val="auto"/>
                      <w:szCs w:val="21"/>
                      <w:highlight w:val="none"/>
                    </w:rPr>
                    <w:br w:type="textWrapping"/>
                  </w:r>
                  <w:r>
                    <w:rPr>
                      <w:rFonts w:hint="eastAsia" w:ascii="Times New Roman" w:hAnsi="Times New Roman"/>
                      <w:color w:val="auto"/>
                      <w:szCs w:val="21"/>
                      <w:highlight w:val="none"/>
                    </w:rPr>
                    <w:t>4、开发区内锅炉污染物排放应达到《锅炉大气污染物排放标准》（DB13/5161-2020）相关要求。</w:t>
                  </w:r>
                  <w:r>
                    <w:rPr>
                      <w:rFonts w:hint="eastAsia" w:ascii="Times New Roman" w:hAnsi="Times New Roman"/>
                      <w:color w:val="auto"/>
                      <w:szCs w:val="21"/>
                      <w:highlight w:val="none"/>
                    </w:rPr>
                    <w:br w:type="textWrapping"/>
                  </w:r>
                  <w:r>
                    <w:rPr>
                      <w:rFonts w:hint="eastAsia" w:ascii="Times New Roman" w:hAnsi="Times New Roman"/>
                      <w:color w:val="auto"/>
                      <w:szCs w:val="21"/>
                      <w:highlight w:val="none"/>
                    </w:rPr>
                    <w:t>5、开发区内工业炉窑污染物排放应达到《工业炉窑大气污染物排放标准》（DB13/1640-2012）中的相关要求，并满足《生态环境部等关于印发&lt;工业炉窑大气污染综合治理方案&gt;的通知》（环大气〔2019〕56号）要求。</w:t>
                  </w:r>
                  <w:r>
                    <w:rPr>
                      <w:rFonts w:hint="eastAsia" w:ascii="Times New Roman" w:hAnsi="Times New Roman"/>
                      <w:color w:val="auto"/>
                      <w:szCs w:val="21"/>
                      <w:highlight w:val="none"/>
                    </w:rPr>
                    <w:br w:type="textWrapping"/>
                  </w:r>
                  <w:r>
                    <w:rPr>
                      <w:rFonts w:hint="eastAsia" w:ascii="Times New Roman" w:hAnsi="Times New Roman"/>
                      <w:color w:val="auto"/>
                      <w:szCs w:val="21"/>
                      <w:highlight w:val="none"/>
                    </w:rPr>
                    <w:t>6、设备制造业执行《铸造行业大气污染物排放限值标准》（T/CFA030802-2-2017）中相关标准值。</w:t>
                  </w:r>
                </w:p>
              </w:tc>
              <w:tc>
                <w:tcPr>
                  <w:tcW w:w="2215" w:type="dxa"/>
                  <w:shd w:val="clear" w:color="auto" w:fill="auto"/>
                  <w:vAlign w:val="center"/>
                </w:tcPr>
                <w:p w14:paraId="6BC1A5FD">
                  <w:pPr>
                    <w:widowControl/>
                    <w:spacing w:line="300" w:lineRule="exact"/>
                    <w:ind w:left="-31" w:leftChars="-15" w:right="-31" w:rightChars="-15"/>
                    <w:textAlignment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rPr>
                    <w:t>本项目</w:t>
                  </w:r>
                  <w:r>
                    <w:rPr>
                      <w:rFonts w:ascii="Times New Roman" w:hAnsi="Times New Roman" w:eastAsiaTheme="minorEastAsia"/>
                      <w:color w:val="auto"/>
                      <w:szCs w:val="21"/>
                      <w:highlight w:val="none"/>
                    </w:rPr>
                    <w:t>严格落实规划环评及其批复文件制定的环保措施</w:t>
                  </w:r>
                  <w:r>
                    <w:rPr>
                      <w:rFonts w:hint="eastAsia" w:ascii="Times New Roman" w:hAnsi="Times New Roman" w:eastAsiaTheme="minorEastAsia"/>
                      <w:color w:val="auto"/>
                      <w:szCs w:val="21"/>
                      <w:highlight w:val="none"/>
                      <w:lang w:eastAsia="zh-CN"/>
                    </w:rPr>
                    <w:t>；</w:t>
                  </w:r>
                  <w:r>
                    <w:rPr>
                      <w:rFonts w:hint="eastAsia" w:ascii="Times New Roman" w:hAnsi="Times New Roman" w:eastAsiaTheme="minorEastAsia"/>
                      <w:color w:val="auto"/>
                      <w:szCs w:val="21"/>
                      <w:highlight w:val="none"/>
                    </w:rPr>
                    <w:t>本项目不涉及</w:t>
                  </w:r>
                  <w:r>
                    <w:rPr>
                      <w:rFonts w:ascii="Times New Roman" w:hAnsi="Times New Roman" w:eastAsiaTheme="minorEastAsia"/>
                      <w:color w:val="auto"/>
                      <w:szCs w:val="21"/>
                      <w:highlight w:val="none"/>
                    </w:rPr>
                    <w:t>VOCs排放</w:t>
                  </w:r>
                  <w:r>
                    <w:rPr>
                      <w:rFonts w:ascii="Times New Roman" w:hAnsi="Times New Roman" w:eastAsiaTheme="minorEastAsia"/>
                      <w:color w:val="auto"/>
                      <w:kern w:val="0"/>
                      <w:szCs w:val="21"/>
                      <w:highlight w:val="none"/>
                    </w:rPr>
                    <w:t>。</w:t>
                  </w:r>
                  <w:r>
                    <w:rPr>
                      <w:rFonts w:ascii="Times New Roman" w:hAnsi="Times New Roman" w:eastAsiaTheme="minorEastAsia"/>
                      <w:color w:val="auto"/>
                      <w:szCs w:val="21"/>
                      <w:highlight w:val="none"/>
                    </w:rPr>
                    <w:t>本项目劳动定员</w:t>
                  </w:r>
                  <w:r>
                    <w:rPr>
                      <w:rFonts w:hint="eastAsia" w:ascii="Times New Roman" w:hAnsi="Times New Roman" w:eastAsiaTheme="minorEastAsia"/>
                      <w:color w:val="auto"/>
                      <w:szCs w:val="21"/>
                      <w:highlight w:val="none"/>
                    </w:rPr>
                    <w:t>6人</w:t>
                  </w:r>
                  <w:r>
                    <w:rPr>
                      <w:rFonts w:ascii="Times New Roman" w:hAnsi="Times New Roman" w:eastAsiaTheme="minorEastAsia"/>
                      <w:color w:val="auto"/>
                      <w:szCs w:val="21"/>
                      <w:highlight w:val="none"/>
                    </w:rPr>
                    <w:t>，</w:t>
                  </w:r>
                  <w:r>
                    <w:rPr>
                      <w:rFonts w:ascii="Times New Roman" w:hAnsi="Times New Roman" w:eastAsiaTheme="minorEastAsia"/>
                      <w:color w:val="auto"/>
                      <w:spacing w:val="-6"/>
                      <w:szCs w:val="21"/>
                      <w:highlight w:val="none"/>
                    </w:rPr>
                    <w:t>生活污水依托</w:t>
                  </w:r>
                  <w:r>
                    <w:rPr>
                      <w:rFonts w:hint="eastAsia" w:ascii="Times New Roman" w:hAnsi="Times New Roman" w:eastAsiaTheme="minorEastAsia"/>
                      <w:color w:val="auto"/>
                      <w:kern w:val="0"/>
                      <w:szCs w:val="21"/>
                      <w:highlight w:val="none"/>
                    </w:rPr>
                    <w:t>河北天福重工阀门有限公司</w:t>
                  </w:r>
                  <w:r>
                    <w:rPr>
                      <w:rFonts w:ascii="Times New Roman" w:hAnsi="Times New Roman" w:eastAsiaTheme="minorEastAsia"/>
                      <w:color w:val="auto"/>
                      <w:spacing w:val="-6"/>
                      <w:szCs w:val="21"/>
                      <w:highlight w:val="none"/>
                    </w:rPr>
                    <w:t>现有排水系统排至徐水区大王店污水处理厂进一步处理；本项目生产废水</w:t>
                  </w:r>
                  <w:r>
                    <w:rPr>
                      <w:rFonts w:hint="eastAsia" w:ascii="Times New Roman" w:hAnsi="Times New Roman" w:eastAsiaTheme="minorEastAsia"/>
                      <w:color w:val="auto"/>
                      <w:spacing w:val="-6"/>
                      <w:szCs w:val="21"/>
                      <w:highlight w:val="none"/>
                      <w:lang w:val="en-US" w:eastAsia="zh-CN"/>
                    </w:rPr>
                    <w:t>为脱硫塔定期更换废水，定期交有资质单位处置，不</w:t>
                  </w:r>
                  <w:r>
                    <w:rPr>
                      <w:rFonts w:ascii="Times New Roman" w:hAnsi="Times New Roman" w:eastAsiaTheme="minorEastAsia"/>
                      <w:color w:val="auto"/>
                      <w:spacing w:val="-6"/>
                      <w:szCs w:val="21"/>
                      <w:highlight w:val="none"/>
                    </w:rPr>
                    <w:t>外排</w:t>
                  </w:r>
                  <w:r>
                    <w:rPr>
                      <w:rFonts w:hint="eastAsia" w:ascii="Times New Roman" w:hAnsi="Times New Roman" w:eastAsiaTheme="minorEastAsia"/>
                      <w:color w:val="auto"/>
                      <w:spacing w:val="-6"/>
                      <w:szCs w:val="21"/>
                      <w:highlight w:val="none"/>
                      <w:lang w:eastAsia="zh-CN"/>
                    </w:rPr>
                    <w:t>；</w:t>
                  </w:r>
                  <w:r>
                    <w:rPr>
                      <w:rFonts w:hint="eastAsia" w:ascii="Times New Roman" w:hAnsi="Times New Roman" w:eastAsiaTheme="minorEastAsia"/>
                      <w:color w:val="auto"/>
                      <w:spacing w:val="-6"/>
                      <w:szCs w:val="21"/>
                      <w:highlight w:val="none"/>
                      <w:lang w:val="en-US" w:eastAsia="zh-CN"/>
                    </w:rPr>
                    <w:t>本项目不涉及锅炉和炉窑。</w:t>
                  </w:r>
                </w:p>
              </w:tc>
              <w:tc>
                <w:tcPr>
                  <w:tcW w:w="573" w:type="dxa"/>
                  <w:shd w:val="clear" w:color="auto" w:fill="auto"/>
                  <w:vAlign w:val="center"/>
                </w:tcPr>
                <w:p w14:paraId="1479929C">
                  <w:pPr>
                    <w:widowControl/>
                    <w:spacing w:line="300" w:lineRule="exact"/>
                    <w:ind w:left="-31" w:leftChars="-15" w:right="-31" w:rightChars="-15"/>
                    <w:jc w:val="center"/>
                    <w:textAlignment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符合</w:t>
                  </w:r>
                </w:p>
              </w:tc>
            </w:tr>
            <w:tr w14:paraId="5197FE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dxa"/>
                  <w:vMerge w:val="continue"/>
                  <w:shd w:val="clear" w:color="auto" w:fill="auto"/>
                  <w:vAlign w:val="center"/>
                </w:tcPr>
                <w:p w14:paraId="3E9F6985">
                  <w:pPr>
                    <w:widowControl/>
                    <w:spacing w:line="300" w:lineRule="exact"/>
                    <w:ind w:left="-31" w:leftChars="-15" w:right="-31" w:rightChars="-15"/>
                    <w:textAlignment w:val="center"/>
                    <w:rPr>
                      <w:rFonts w:ascii="Times New Roman" w:hAnsi="Times New Roman" w:eastAsiaTheme="minorEastAsia"/>
                      <w:color w:val="auto"/>
                      <w:szCs w:val="21"/>
                      <w:highlight w:val="none"/>
                    </w:rPr>
                  </w:pPr>
                </w:p>
              </w:tc>
              <w:tc>
                <w:tcPr>
                  <w:tcW w:w="388" w:type="dxa"/>
                  <w:shd w:val="clear" w:color="auto" w:fill="auto"/>
                  <w:vAlign w:val="center"/>
                </w:tcPr>
                <w:p w14:paraId="461CB0E3">
                  <w:pPr>
                    <w:autoSpaceDE w:val="0"/>
                    <w:autoSpaceDN w:val="0"/>
                    <w:adjustRightInd w:val="0"/>
                    <w:spacing w:line="300" w:lineRule="exact"/>
                    <w:jc w:val="left"/>
                    <w:rPr>
                      <w:rFonts w:ascii="Times New Roman" w:hAnsi="Times New Roman" w:eastAsiaTheme="minorEastAsia"/>
                      <w:color w:val="auto"/>
                      <w:szCs w:val="21"/>
                      <w:highlight w:val="none"/>
                    </w:rPr>
                  </w:pPr>
                  <w:r>
                    <w:rPr>
                      <w:rFonts w:ascii="Times New Roman" w:hAnsi="Times New Roman"/>
                      <w:color w:val="auto"/>
                      <w:kern w:val="0"/>
                      <w:szCs w:val="21"/>
                      <w:highlight w:val="none"/>
                    </w:rPr>
                    <w:t>环境风险防控</w:t>
                  </w:r>
                </w:p>
              </w:tc>
              <w:tc>
                <w:tcPr>
                  <w:tcW w:w="4633" w:type="dxa"/>
                  <w:shd w:val="clear" w:color="auto" w:fill="auto"/>
                  <w:vAlign w:val="center"/>
                </w:tcPr>
                <w:p w14:paraId="01FAB21F">
                  <w:pPr>
                    <w:autoSpaceDE w:val="0"/>
                    <w:autoSpaceDN w:val="0"/>
                    <w:adjustRightIn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1.严格落实规划环评及其批复文件制定的环境风险防范措施。</w:t>
                  </w:r>
                </w:p>
                <w:p w14:paraId="36CCEF71">
                  <w:pPr>
                    <w:autoSpaceDE w:val="0"/>
                    <w:autoSpaceDN w:val="0"/>
                    <w:adjustRightIn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2.成立应急组织机构，定期开展应急演练，提高区域环境风险防范能力，建立有效的事故风险防范体系。</w:t>
                  </w:r>
                </w:p>
                <w:p w14:paraId="3EE9D092">
                  <w:pPr>
                    <w:adjustRightInd w:val="0"/>
                    <w:snapToGrid w:val="0"/>
                    <w:spacing w:line="300" w:lineRule="exact"/>
                    <w:ind w:left="-31" w:leftChars="-15" w:right="-31" w:rightChars="-15"/>
                    <w:rPr>
                      <w:rFonts w:ascii="Times New Roman" w:hAnsi="Times New Roman" w:eastAsiaTheme="minorEastAsia"/>
                      <w:color w:val="auto"/>
                      <w:szCs w:val="21"/>
                      <w:highlight w:val="none"/>
                    </w:rPr>
                  </w:pPr>
                  <w:r>
                    <w:rPr>
                      <w:rFonts w:ascii="Times New Roman" w:hAnsi="Times New Roman"/>
                      <w:color w:val="auto"/>
                      <w:kern w:val="0"/>
                      <w:szCs w:val="21"/>
                      <w:highlight w:val="none"/>
                    </w:rPr>
                    <w:t>3.避免建设存在重大环境安全隐患的工业项目。</w:t>
                  </w:r>
                </w:p>
              </w:tc>
              <w:tc>
                <w:tcPr>
                  <w:tcW w:w="2215" w:type="dxa"/>
                  <w:shd w:val="clear" w:color="auto" w:fill="auto"/>
                  <w:vAlign w:val="center"/>
                </w:tcPr>
                <w:p w14:paraId="094EA298">
                  <w:pPr>
                    <w:autoSpaceDE w:val="0"/>
                    <w:autoSpaceDN w:val="0"/>
                    <w:adjustRightInd w:val="0"/>
                    <w:spacing w:line="300" w:lineRule="exact"/>
                    <w:jc w:val="left"/>
                    <w:rPr>
                      <w:rFonts w:hint="default" w:ascii="Times New Roman" w:hAnsi="Times New Roman" w:eastAsia="宋体"/>
                      <w:color w:val="auto"/>
                      <w:kern w:val="0"/>
                      <w:szCs w:val="21"/>
                      <w:highlight w:val="none"/>
                      <w:lang w:val="en-US" w:eastAsia="zh-CN"/>
                    </w:rPr>
                  </w:pPr>
                  <w:r>
                    <w:rPr>
                      <w:rFonts w:ascii="Times New Roman" w:hAnsi="Times New Roman"/>
                      <w:color w:val="auto"/>
                      <w:kern w:val="0"/>
                      <w:szCs w:val="21"/>
                      <w:highlight w:val="none"/>
                    </w:rPr>
                    <w:t>项目按照要求制定环境风险防范措施，</w:t>
                  </w:r>
                  <w:r>
                    <w:rPr>
                      <w:rFonts w:hint="eastAsia" w:ascii="Times New Roman" w:hAnsi="Times New Roman"/>
                      <w:color w:val="auto"/>
                      <w:kern w:val="0"/>
                      <w:szCs w:val="21"/>
                      <w:highlight w:val="none"/>
                      <w:lang w:val="en-US" w:eastAsia="zh-CN"/>
                    </w:rPr>
                    <w:t>运营前</w:t>
                  </w:r>
                  <w:r>
                    <w:rPr>
                      <w:rFonts w:ascii="Times New Roman" w:hAnsi="Times New Roman"/>
                      <w:color w:val="auto"/>
                      <w:kern w:val="0"/>
                      <w:szCs w:val="21"/>
                      <w:highlight w:val="none"/>
                    </w:rPr>
                    <w:t>编制突发环境应急预案</w:t>
                  </w:r>
                  <w:r>
                    <w:rPr>
                      <w:rFonts w:hint="eastAsia" w:ascii="Times New Roman" w:hAnsi="Times New Roman"/>
                      <w:color w:val="auto"/>
                      <w:kern w:val="0"/>
                      <w:szCs w:val="21"/>
                      <w:highlight w:val="none"/>
                      <w:lang w:val="en-US" w:eastAsia="zh-CN"/>
                    </w:rPr>
                    <w:t>并备案。</w:t>
                  </w:r>
                </w:p>
              </w:tc>
              <w:tc>
                <w:tcPr>
                  <w:tcW w:w="573" w:type="dxa"/>
                  <w:shd w:val="clear" w:color="auto" w:fill="auto"/>
                  <w:vAlign w:val="center"/>
                </w:tcPr>
                <w:p w14:paraId="157F669E">
                  <w:pPr>
                    <w:widowControl/>
                    <w:spacing w:line="300" w:lineRule="exact"/>
                    <w:ind w:left="-31" w:leftChars="-15" w:right="-31" w:rightChars="-15"/>
                    <w:jc w:val="center"/>
                    <w:textAlignment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符合</w:t>
                  </w:r>
                </w:p>
              </w:tc>
            </w:tr>
            <w:tr w14:paraId="15F003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dxa"/>
                  <w:vMerge w:val="continue"/>
                  <w:shd w:val="clear" w:color="auto" w:fill="auto"/>
                  <w:vAlign w:val="center"/>
                </w:tcPr>
                <w:p w14:paraId="29DED372">
                  <w:pPr>
                    <w:widowControl/>
                    <w:spacing w:line="300" w:lineRule="exact"/>
                    <w:ind w:left="-31" w:leftChars="-15" w:right="-31" w:rightChars="-15"/>
                    <w:textAlignment w:val="center"/>
                    <w:rPr>
                      <w:rFonts w:ascii="Times New Roman" w:hAnsi="Times New Roman" w:eastAsiaTheme="minorEastAsia"/>
                      <w:color w:val="auto"/>
                      <w:szCs w:val="21"/>
                      <w:highlight w:val="none"/>
                    </w:rPr>
                  </w:pPr>
                </w:p>
              </w:tc>
              <w:tc>
                <w:tcPr>
                  <w:tcW w:w="388" w:type="dxa"/>
                  <w:shd w:val="clear" w:color="auto" w:fill="auto"/>
                  <w:vAlign w:val="center"/>
                </w:tcPr>
                <w:p w14:paraId="6D486B77">
                  <w:pPr>
                    <w:autoSpaceDE w:val="0"/>
                    <w:autoSpaceDN w:val="0"/>
                    <w:adjustRightIn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资源</w:t>
                  </w:r>
                </w:p>
                <w:p w14:paraId="5DF9CDBC">
                  <w:pPr>
                    <w:autoSpaceDE w:val="0"/>
                    <w:autoSpaceDN w:val="0"/>
                    <w:adjustRightIn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利用</w:t>
                  </w:r>
                </w:p>
                <w:p w14:paraId="09CDBFF0">
                  <w:pPr>
                    <w:widowControl/>
                    <w:spacing w:line="300" w:lineRule="exact"/>
                    <w:ind w:left="-31" w:leftChars="-15" w:right="-31" w:rightChars="-15"/>
                    <w:jc w:val="center"/>
                    <w:textAlignment w:val="center"/>
                    <w:rPr>
                      <w:rFonts w:ascii="Times New Roman" w:hAnsi="Times New Roman" w:eastAsiaTheme="minorEastAsia"/>
                      <w:color w:val="auto"/>
                      <w:szCs w:val="21"/>
                      <w:highlight w:val="none"/>
                    </w:rPr>
                  </w:pPr>
                  <w:r>
                    <w:rPr>
                      <w:rFonts w:ascii="Times New Roman" w:hAnsi="Times New Roman"/>
                      <w:color w:val="auto"/>
                      <w:kern w:val="0"/>
                      <w:szCs w:val="21"/>
                      <w:highlight w:val="none"/>
                    </w:rPr>
                    <w:t>效率</w:t>
                  </w:r>
                </w:p>
              </w:tc>
              <w:tc>
                <w:tcPr>
                  <w:tcW w:w="4633" w:type="dxa"/>
                  <w:shd w:val="clear" w:color="auto" w:fill="auto"/>
                  <w:vAlign w:val="center"/>
                </w:tcPr>
                <w:p w14:paraId="3C0FD67E">
                  <w:pPr>
                    <w:autoSpaceDE w:val="0"/>
                    <w:autoSpaceDN w:val="0"/>
                    <w:adjustRightIn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1.稳步提高再生水回用率，逐步减少新鲜水用量，降低单位工业增加值新鲜水耗。</w:t>
                  </w:r>
                </w:p>
                <w:p w14:paraId="058C1DE2">
                  <w:pPr>
                    <w:autoSpaceDE w:val="0"/>
                    <w:autoSpaceDN w:val="0"/>
                    <w:adjustRightIn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2.实施能源消耗总量控制，严格执行单位产品能源消耗限额标准。</w:t>
                  </w:r>
                </w:p>
                <w:p w14:paraId="6EE956AD">
                  <w:pPr>
                    <w:adjustRightInd w:val="0"/>
                    <w:snapToGrid w:val="0"/>
                    <w:spacing w:line="300" w:lineRule="exact"/>
                    <w:ind w:left="-31" w:leftChars="-15" w:right="-31" w:rightChars="-15"/>
                    <w:rPr>
                      <w:rFonts w:ascii="Times New Roman" w:hAnsi="Times New Roman" w:eastAsiaTheme="minorEastAsia"/>
                      <w:color w:val="auto"/>
                      <w:szCs w:val="21"/>
                      <w:highlight w:val="none"/>
                    </w:rPr>
                  </w:pPr>
                  <w:r>
                    <w:rPr>
                      <w:rFonts w:ascii="Times New Roman" w:hAnsi="Times New Roman"/>
                      <w:color w:val="auto"/>
                      <w:kern w:val="0"/>
                      <w:szCs w:val="21"/>
                      <w:highlight w:val="none"/>
                    </w:rPr>
                    <w:t>3.鼓励锅炉、工业炉窑进行余热利用。</w:t>
                  </w:r>
                </w:p>
              </w:tc>
              <w:tc>
                <w:tcPr>
                  <w:tcW w:w="2215" w:type="dxa"/>
                  <w:shd w:val="clear" w:color="auto" w:fill="auto"/>
                  <w:vAlign w:val="center"/>
                </w:tcPr>
                <w:p w14:paraId="06D891FC">
                  <w:pPr>
                    <w:autoSpaceDE w:val="0"/>
                    <w:autoSpaceDN w:val="0"/>
                    <w:adjustRightInd w:val="0"/>
                    <w:spacing w:line="300" w:lineRule="exact"/>
                    <w:jc w:val="center"/>
                    <w:rPr>
                      <w:rFonts w:ascii="Times New Roman" w:hAnsi="Times New Roman" w:eastAsiaTheme="minorEastAsia"/>
                      <w:color w:val="auto"/>
                      <w:kern w:val="0"/>
                      <w:szCs w:val="21"/>
                      <w:highlight w:val="none"/>
                    </w:rPr>
                  </w:pPr>
                  <w:r>
                    <w:rPr>
                      <w:rFonts w:hint="eastAsia" w:ascii="Times New Roman" w:hAnsi="Times New Roman"/>
                      <w:color w:val="auto"/>
                      <w:kern w:val="0"/>
                      <w:szCs w:val="21"/>
                      <w:highlight w:val="none"/>
                    </w:rPr>
                    <w:t>——</w:t>
                  </w:r>
                </w:p>
              </w:tc>
              <w:tc>
                <w:tcPr>
                  <w:tcW w:w="573" w:type="dxa"/>
                  <w:shd w:val="clear" w:color="auto" w:fill="auto"/>
                  <w:vAlign w:val="center"/>
                </w:tcPr>
                <w:p w14:paraId="40D16D24">
                  <w:pPr>
                    <w:widowControl/>
                    <w:spacing w:line="300" w:lineRule="exact"/>
                    <w:ind w:left="-31" w:leftChars="-15" w:right="-31" w:rightChars="-15"/>
                    <w:jc w:val="center"/>
                    <w:textAlignment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符合</w:t>
                  </w:r>
                </w:p>
              </w:tc>
            </w:tr>
          </w:tbl>
          <w:p w14:paraId="62A28890">
            <w:pPr>
              <w:spacing w:line="50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bCs/>
                <w:color w:val="auto"/>
                <w:sz w:val="24"/>
                <w:szCs w:val="24"/>
                <w:highlight w:val="none"/>
              </w:rPr>
              <w:t>综上，本项目符合保定市</w:t>
            </w:r>
            <w:r>
              <w:rPr>
                <w:rFonts w:hint="eastAsia" w:ascii="Times New Roman" w:hAnsi="Times New Roman" w:eastAsiaTheme="minorEastAsia"/>
                <w:bCs/>
                <w:color w:val="auto"/>
                <w:sz w:val="24"/>
                <w:szCs w:val="24"/>
                <w:highlight w:val="none"/>
                <w:lang w:eastAsia="zh-CN"/>
              </w:rPr>
              <w:t>“</w:t>
            </w:r>
            <w:r>
              <w:rPr>
                <w:rFonts w:ascii="Times New Roman" w:hAnsi="Times New Roman" w:eastAsiaTheme="minorEastAsia"/>
                <w:bCs/>
                <w:color w:val="auto"/>
                <w:sz w:val="24"/>
                <w:szCs w:val="24"/>
                <w:highlight w:val="none"/>
              </w:rPr>
              <w:t>三线一单</w:t>
            </w:r>
            <w:r>
              <w:rPr>
                <w:rFonts w:hint="eastAsia" w:ascii="Times New Roman" w:hAnsi="Times New Roman" w:eastAsiaTheme="minorEastAsia"/>
                <w:bCs/>
                <w:color w:val="auto"/>
                <w:sz w:val="24"/>
                <w:szCs w:val="24"/>
                <w:highlight w:val="none"/>
                <w:lang w:eastAsia="zh-CN"/>
              </w:rPr>
              <w:t>”</w:t>
            </w:r>
            <w:r>
              <w:rPr>
                <w:rFonts w:ascii="Times New Roman" w:hAnsi="Times New Roman" w:eastAsiaTheme="minorEastAsia"/>
                <w:bCs/>
                <w:color w:val="auto"/>
                <w:sz w:val="24"/>
                <w:szCs w:val="24"/>
                <w:highlight w:val="none"/>
              </w:rPr>
              <w:t>生态环境分区管控相关要求。</w:t>
            </w:r>
          </w:p>
          <w:p w14:paraId="09A478F0">
            <w:pPr>
              <w:widowControl/>
              <w:adjustRightInd w:val="0"/>
              <w:spacing w:line="500" w:lineRule="exact"/>
              <w:ind w:firstLine="480" w:firstLineChars="200"/>
              <w:rPr>
                <w:rFonts w:ascii="Times New Roman" w:hAnsi="Times New Roman" w:eastAsiaTheme="minorEastAsia"/>
                <w:bCs/>
                <w:color w:val="auto"/>
                <w:kern w:val="0"/>
                <w:sz w:val="24"/>
                <w:szCs w:val="24"/>
                <w:highlight w:val="none"/>
              </w:rPr>
            </w:pPr>
            <w:r>
              <w:rPr>
                <w:rFonts w:ascii="Times New Roman" w:hAnsi="Times New Roman" w:eastAsiaTheme="minorEastAsia"/>
                <w:bCs/>
                <w:color w:val="auto"/>
                <w:kern w:val="0"/>
                <w:sz w:val="24"/>
                <w:szCs w:val="24"/>
                <w:highlight w:val="none"/>
              </w:rPr>
              <w:t>3、</w:t>
            </w:r>
            <w:r>
              <w:rPr>
                <w:rFonts w:hint="eastAsia" w:ascii="Times New Roman" w:hAnsi="Times New Roman" w:eastAsiaTheme="minorEastAsia"/>
                <w:bCs/>
                <w:color w:val="auto"/>
                <w:kern w:val="0"/>
                <w:sz w:val="24"/>
                <w:szCs w:val="24"/>
                <w:highlight w:val="none"/>
                <w:lang w:eastAsia="zh-CN"/>
              </w:rPr>
              <w:t>“</w:t>
            </w:r>
            <w:r>
              <w:rPr>
                <w:rFonts w:ascii="Times New Roman" w:hAnsi="Times New Roman" w:eastAsiaTheme="minorEastAsia"/>
                <w:bCs/>
                <w:color w:val="auto"/>
                <w:kern w:val="0"/>
                <w:sz w:val="24"/>
                <w:szCs w:val="24"/>
                <w:highlight w:val="none"/>
              </w:rPr>
              <w:t>四区一线</w:t>
            </w:r>
            <w:r>
              <w:rPr>
                <w:rFonts w:hint="eastAsia" w:ascii="Times New Roman" w:hAnsi="Times New Roman" w:eastAsiaTheme="minorEastAsia"/>
                <w:bCs/>
                <w:color w:val="auto"/>
                <w:kern w:val="0"/>
                <w:sz w:val="24"/>
                <w:szCs w:val="24"/>
                <w:highlight w:val="none"/>
                <w:lang w:eastAsia="zh-CN"/>
              </w:rPr>
              <w:t>”</w:t>
            </w:r>
            <w:r>
              <w:rPr>
                <w:rFonts w:ascii="Times New Roman" w:hAnsi="Times New Roman" w:eastAsiaTheme="minorEastAsia"/>
                <w:bCs/>
                <w:color w:val="auto"/>
                <w:kern w:val="0"/>
                <w:sz w:val="24"/>
                <w:szCs w:val="24"/>
                <w:highlight w:val="none"/>
              </w:rPr>
              <w:t>符合性分析</w:t>
            </w:r>
          </w:p>
          <w:p w14:paraId="5663941B">
            <w:pPr>
              <w:widowControl/>
              <w:adjustRightInd w:val="0"/>
              <w:spacing w:line="50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保定市人民政府办公室于2019 年3 月份下发《关于加强自然保护区风景名胜区核心景区重点河流湖库管理范围饮用水水源地保护区周边地区建设管理的通知》（保政办函[2019]10 号），根据该通知要求：</w:t>
            </w:r>
          </w:p>
          <w:p w14:paraId="36531A63">
            <w:pPr>
              <w:widowControl/>
              <w:adjustRightInd w:val="0"/>
              <w:spacing w:line="50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（1）切实提高政治站位。全面加强以自然保护区、风景名胜区核心景区、重点河流湖库管理范围、饮用水水源地保护区周边地区的建设管理，坚持绿色发展、留住绿水青山，为我市高质量发展提供有力保障。</w:t>
            </w:r>
          </w:p>
          <w:p w14:paraId="1D3FAD05">
            <w:pPr>
              <w:widowControl/>
              <w:adjustRightInd w:val="0"/>
              <w:spacing w:line="50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（2）加强周边地区管理。各地要按照山水</w:t>
            </w:r>
            <w:r>
              <w:rPr>
                <w:rFonts w:hint="eastAsia" w:ascii="Times New Roman" w:hAnsi="Times New Roman" w:eastAsiaTheme="minorEastAsia"/>
                <w:color w:val="auto"/>
                <w:sz w:val="24"/>
                <w:szCs w:val="24"/>
                <w:highlight w:val="none"/>
                <w:lang w:val="en-US" w:eastAsia="zh-CN"/>
              </w:rPr>
              <w:t>林</w:t>
            </w:r>
            <w:r>
              <w:rPr>
                <w:rFonts w:ascii="Times New Roman" w:hAnsi="Times New Roman" w:eastAsiaTheme="minorEastAsia"/>
                <w:color w:val="auto"/>
                <w:sz w:val="24"/>
                <w:szCs w:val="24"/>
                <w:highlight w:val="none"/>
              </w:rPr>
              <w:t>田</w:t>
            </w:r>
            <w:r>
              <w:rPr>
                <w:rFonts w:hint="eastAsia" w:ascii="Times New Roman" w:hAnsi="Times New Roman" w:eastAsiaTheme="minorEastAsia"/>
                <w:color w:val="auto"/>
                <w:sz w:val="24"/>
                <w:szCs w:val="24"/>
                <w:highlight w:val="none"/>
                <w:lang w:val="en-US" w:eastAsia="zh-CN"/>
              </w:rPr>
              <w:t>湖</w:t>
            </w:r>
            <w:r>
              <w:rPr>
                <w:rFonts w:ascii="Times New Roman" w:hAnsi="Times New Roman" w:eastAsiaTheme="minorEastAsia"/>
                <w:color w:val="auto"/>
                <w:sz w:val="24"/>
                <w:szCs w:val="24"/>
                <w:highlight w:val="none"/>
              </w:rPr>
              <w:t>草系统保护的要求，将辖区内自然保护区、风景名胜区核心景区、重点河流湖库管理范围、饮用水水源保护区周边2 公里作为重点管理区域（不含城市、县域规划建设用地范围），严守生态红线，严格土地预审，严格规划管理，健全工作机制，确保自然保护区、风景名胜区核心景区、重点河流湖库管理范围、饮用水水源保护区周边地区建设活动科学合理、规范有序。</w:t>
            </w:r>
          </w:p>
          <w:p w14:paraId="7D929F1C">
            <w:pPr>
              <w:adjustRightInd w:val="0"/>
              <w:spacing w:line="50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本项目位于河北徐水经济开发区内，项目占地不属于保定市自然保护区、风景名胜区核心景区、重点河流湖库管理范围、饮用水水源地保护区、生态保护红线的</w:t>
            </w:r>
            <w:r>
              <w:rPr>
                <w:rFonts w:hint="eastAsia" w:ascii="Times New Roman" w:hAnsi="Times New Roman" w:eastAsiaTheme="minorEastAsia"/>
                <w:color w:val="auto"/>
                <w:sz w:val="24"/>
                <w:szCs w:val="24"/>
                <w:highlight w:val="none"/>
                <w:lang w:eastAsia="zh-CN"/>
              </w:rPr>
              <w:t>“</w:t>
            </w:r>
            <w:r>
              <w:rPr>
                <w:rFonts w:ascii="Times New Roman" w:hAnsi="Times New Roman" w:eastAsiaTheme="minorEastAsia"/>
                <w:color w:val="auto"/>
                <w:sz w:val="24"/>
                <w:szCs w:val="24"/>
                <w:highlight w:val="none"/>
              </w:rPr>
              <w:t>四区一线</w:t>
            </w:r>
            <w:r>
              <w:rPr>
                <w:rFonts w:hint="eastAsia" w:ascii="Times New Roman" w:hAnsi="Times New Roman" w:eastAsiaTheme="minorEastAsia"/>
                <w:color w:val="auto"/>
                <w:sz w:val="24"/>
                <w:szCs w:val="24"/>
                <w:highlight w:val="none"/>
                <w:lang w:eastAsia="zh-CN"/>
              </w:rPr>
              <w:t>”</w:t>
            </w:r>
            <w:r>
              <w:rPr>
                <w:rFonts w:ascii="Times New Roman" w:hAnsi="Times New Roman" w:eastAsiaTheme="minorEastAsia"/>
                <w:color w:val="auto"/>
                <w:sz w:val="24"/>
                <w:szCs w:val="24"/>
                <w:highlight w:val="none"/>
              </w:rPr>
              <w:t>范围（见附图），符合上述通知要求。</w:t>
            </w:r>
          </w:p>
          <w:p w14:paraId="15355CBF">
            <w:pPr>
              <w:adjustRightInd w:val="0"/>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4、其他相关规划和环境管理符合性分析</w:t>
            </w:r>
          </w:p>
          <w:p w14:paraId="2DEED0F8">
            <w:pPr>
              <w:tabs>
                <w:tab w:val="left" w:pos="0"/>
              </w:tabs>
              <w:snapToGrid w:val="0"/>
              <w:spacing w:line="480" w:lineRule="exact"/>
              <w:jc w:val="center"/>
              <w:rPr>
                <w:rFonts w:ascii="Times New Roman" w:hAnsi="Times New Roman" w:eastAsiaTheme="minorEastAsia"/>
                <w:bCs/>
                <w:color w:val="auto"/>
                <w:sz w:val="24"/>
                <w:szCs w:val="24"/>
                <w:highlight w:val="none"/>
              </w:rPr>
            </w:pPr>
            <w:r>
              <w:rPr>
                <w:rFonts w:ascii="Times New Roman" w:hAnsi="Times New Roman" w:eastAsiaTheme="minorEastAsia"/>
                <w:bCs/>
                <w:color w:val="auto"/>
                <w:sz w:val="24"/>
                <w:szCs w:val="24"/>
                <w:highlight w:val="none"/>
              </w:rPr>
              <w:t>表1-6  与其他相关规划和环境管理符合性分析</w:t>
            </w:r>
          </w:p>
          <w:tbl>
            <w:tblPr>
              <w:tblStyle w:val="31"/>
              <w:tblW w:w="8393"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58"/>
              <w:gridCol w:w="3871"/>
              <w:gridCol w:w="3550"/>
              <w:gridCol w:w="514"/>
            </w:tblGrid>
            <w:tr w14:paraId="4CD7254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29" w:type="dxa"/>
                  <w:gridSpan w:val="2"/>
                  <w:tcMar>
                    <w:top w:w="57" w:type="dxa"/>
                    <w:left w:w="28" w:type="dxa"/>
                    <w:bottom w:w="57" w:type="dxa"/>
                    <w:right w:w="28" w:type="dxa"/>
                  </w:tcMar>
                  <w:vAlign w:val="center"/>
                </w:tcPr>
                <w:p w14:paraId="4F77D691">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与项目有关的条例、条文</w:t>
                  </w:r>
                </w:p>
              </w:tc>
              <w:tc>
                <w:tcPr>
                  <w:tcW w:w="3550" w:type="dxa"/>
                  <w:tcMar>
                    <w:top w:w="57" w:type="dxa"/>
                    <w:left w:w="28" w:type="dxa"/>
                    <w:bottom w:w="57" w:type="dxa"/>
                    <w:right w:w="28" w:type="dxa"/>
                  </w:tcMar>
                  <w:vAlign w:val="center"/>
                </w:tcPr>
                <w:p w14:paraId="507A94E7">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本项目</w:t>
                  </w:r>
                </w:p>
              </w:tc>
              <w:tc>
                <w:tcPr>
                  <w:tcW w:w="514" w:type="dxa"/>
                  <w:tcMar>
                    <w:top w:w="57" w:type="dxa"/>
                    <w:left w:w="28" w:type="dxa"/>
                    <w:bottom w:w="57" w:type="dxa"/>
                    <w:right w:w="28" w:type="dxa"/>
                  </w:tcMar>
                  <w:vAlign w:val="center"/>
                </w:tcPr>
                <w:p w14:paraId="6235BB5D">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符合性</w:t>
                  </w:r>
                </w:p>
              </w:tc>
            </w:tr>
            <w:tr w14:paraId="19A3ECD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5" w:hRule="atLeast"/>
                <w:jc w:val="center"/>
              </w:trPr>
              <w:tc>
                <w:tcPr>
                  <w:tcW w:w="8393" w:type="dxa"/>
                  <w:gridSpan w:val="4"/>
                  <w:tcMar>
                    <w:top w:w="57" w:type="dxa"/>
                    <w:left w:w="28" w:type="dxa"/>
                    <w:bottom w:w="57" w:type="dxa"/>
                    <w:right w:w="28" w:type="dxa"/>
                  </w:tcMar>
                  <w:vAlign w:val="center"/>
                </w:tcPr>
                <w:p w14:paraId="4497AF8C">
                  <w:pP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1.与《中华人民共和国固体废物污染环境防治法》（2020年4月29日修订）符合性分析</w:t>
                  </w:r>
                </w:p>
              </w:tc>
            </w:tr>
            <w:tr w14:paraId="5A5F32F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tcMar>
                    <w:top w:w="57" w:type="dxa"/>
                    <w:left w:w="28" w:type="dxa"/>
                    <w:bottom w:w="57" w:type="dxa"/>
                    <w:right w:w="28" w:type="dxa"/>
                  </w:tcMar>
                  <w:vAlign w:val="center"/>
                </w:tcPr>
                <w:p w14:paraId="6AB2C706">
                  <w:pPr>
                    <w:snapToGrid w:val="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1.1</w:t>
                  </w:r>
                </w:p>
              </w:tc>
              <w:tc>
                <w:tcPr>
                  <w:tcW w:w="3871" w:type="dxa"/>
                  <w:tcMar>
                    <w:top w:w="57" w:type="dxa"/>
                    <w:left w:w="28" w:type="dxa"/>
                    <w:bottom w:w="57" w:type="dxa"/>
                    <w:right w:w="28" w:type="dxa"/>
                  </w:tcMar>
                  <w:vAlign w:val="center"/>
                </w:tcPr>
                <w:p w14:paraId="5DAEF8C7">
                  <w:pPr>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对危险废物的容器和包装物以及收集、贮存、运输、利用、处置危险废物的设施、场所，应当按照规定设置危险废物识别标志</w:t>
                  </w:r>
                  <w:r>
                    <w:rPr>
                      <w:rFonts w:hint="eastAsia" w:ascii="Times New Roman" w:hAnsi="Times New Roman" w:eastAsiaTheme="minorEastAsia"/>
                      <w:color w:val="auto"/>
                      <w:kern w:val="0"/>
                      <w:szCs w:val="21"/>
                      <w:highlight w:val="none"/>
                    </w:rPr>
                    <w:t>。</w:t>
                  </w:r>
                </w:p>
              </w:tc>
              <w:tc>
                <w:tcPr>
                  <w:tcW w:w="3550" w:type="dxa"/>
                  <w:tcMar>
                    <w:top w:w="57" w:type="dxa"/>
                    <w:left w:w="28" w:type="dxa"/>
                    <w:bottom w:w="57" w:type="dxa"/>
                    <w:right w:w="28" w:type="dxa"/>
                  </w:tcMar>
                  <w:vAlign w:val="center"/>
                </w:tcPr>
                <w:p w14:paraId="7A5D72E2">
                  <w:pPr>
                    <w:adjustRightIn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本项目对危险废物进行贮存，按照规定设置危险废物识别标志</w:t>
                  </w:r>
                  <w:r>
                    <w:rPr>
                      <w:rFonts w:hint="eastAsia" w:ascii="Times New Roman" w:hAnsi="Times New Roman" w:eastAsiaTheme="minorEastAsia"/>
                      <w:color w:val="auto"/>
                      <w:kern w:val="0"/>
                      <w:szCs w:val="21"/>
                      <w:highlight w:val="none"/>
                    </w:rPr>
                    <w:t>。</w:t>
                  </w:r>
                </w:p>
              </w:tc>
              <w:tc>
                <w:tcPr>
                  <w:tcW w:w="514" w:type="dxa"/>
                  <w:tcMar>
                    <w:top w:w="57" w:type="dxa"/>
                    <w:left w:w="28" w:type="dxa"/>
                    <w:bottom w:w="57" w:type="dxa"/>
                    <w:right w:w="28" w:type="dxa"/>
                  </w:tcMar>
                  <w:vAlign w:val="center"/>
                </w:tcPr>
                <w:p w14:paraId="4BECBFDA">
                  <w:pPr>
                    <w:snapToGrid w:val="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1948C1D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tcMar>
                    <w:top w:w="57" w:type="dxa"/>
                    <w:left w:w="28" w:type="dxa"/>
                    <w:bottom w:w="57" w:type="dxa"/>
                    <w:right w:w="28" w:type="dxa"/>
                  </w:tcMar>
                  <w:vAlign w:val="center"/>
                </w:tcPr>
                <w:p w14:paraId="2AEC62B0">
                  <w:pPr>
                    <w:snapToGrid w:val="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1.2</w:t>
                  </w:r>
                </w:p>
              </w:tc>
              <w:tc>
                <w:tcPr>
                  <w:tcW w:w="3871" w:type="dxa"/>
                  <w:tcMar>
                    <w:top w:w="57" w:type="dxa"/>
                    <w:left w:w="28" w:type="dxa"/>
                    <w:bottom w:w="57" w:type="dxa"/>
                    <w:right w:w="28" w:type="dxa"/>
                  </w:tcMar>
                  <w:vAlign w:val="center"/>
                </w:tcPr>
                <w:p w14:paraId="0D8F201C">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从事收集、贮存、利用、处置危险废物经营活动的单位，应当按照国家有关规定申请取得许可证。</w:t>
                  </w:r>
                </w:p>
              </w:tc>
              <w:tc>
                <w:tcPr>
                  <w:tcW w:w="3550" w:type="dxa"/>
                  <w:tcMar>
                    <w:top w:w="57" w:type="dxa"/>
                    <w:left w:w="28" w:type="dxa"/>
                    <w:bottom w:w="57" w:type="dxa"/>
                    <w:right w:w="28" w:type="dxa"/>
                  </w:tcMar>
                  <w:vAlign w:val="center"/>
                </w:tcPr>
                <w:p w14:paraId="33D52E90">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szCs w:val="21"/>
                      <w:highlight w:val="none"/>
                    </w:rPr>
                    <w:t>本项目验收前企业应按规定申请取得危险废物经营许可证。</w:t>
                  </w:r>
                </w:p>
              </w:tc>
              <w:tc>
                <w:tcPr>
                  <w:tcW w:w="514" w:type="dxa"/>
                  <w:tcMar>
                    <w:top w:w="57" w:type="dxa"/>
                    <w:left w:w="28" w:type="dxa"/>
                    <w:bottom w:w="57" w:type="dxa"/>
                    <w:right w:w="28" w:type="dxa"/>
                  </w:tcMar>
                  <w:vAlign w:val="center"/>
                </w:tcPr>
                <w:p w14:paraId="45981C3E">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2D40B9C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59" w:hRule="atLeast"/>
                <w:jc w:val="center"/>
              </w:trPr>
              <w:tc>
                <w:tcPr>
                  <w:tcW w:w="458" w:type="dxa"/>
                  <w:tcMar>
                    <w:top w:w="57" w:type="dxa"/>
                    <w:left w:w="28" w:type="dxa"/>
                    <w:bottom w:w="57" w:type="dxa"/>
                    <w:right w:w="28" w:type="dxa"/>
                  </w:tcMar>
                  <w:vAlign w:val="center"/>
                </w:tcPr>
                <w:p w14:paraId="37E92DEF">
                  <w:pPr>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1.3</w:t>
                  </w:r>
                </w:p>
              </w:tc>
              <w:tc>
                <w:tcPr>
                  <w:tcW w:w="3871" w:type="dxa"/>
                  <w:tcMar>
                    <w:top w:w="57" w:type="dxa"/>
                    <w:left w:w="28" w:type="dxa"/>
                    <w:bottom w:w="57" w:type="dxa"/>
                    <w:right w:w="28" w:type="dxa"/>
                  </w:tcMar>
                  <w:vAlign w:val="center"/>
                </w:tcPr>
                <w:p w14:paraId="4D60CC0D">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收集、贮存危险废物，应当按照危险废物特性分类进行。禁止混合收集、贮存、运输、处置性质不相容而未经安全性处置的危险废物。</w:t>
                  </w:r>
                </w:p>
              </w:tc>
              <w:tc>
                <w:tcPr>
                  <w:tcW w:w="3550" w:type="dxa"/>
                  <w:tcMar>
                    <w:top w:w="57" w:type="dxa"/>
                    <w:left w:w="28" w:type="dxa"/>
                    <w:bottom w:w="57" w:type="dxa"/>
                    <w:right w:w="28" w:type="dxa"/>
                  </w:tcMar>
                  <w:vAlign w:val="center"/>
                </w:tcPr>
                <w:p w14:paraId="7160BD84">
                  <w:pPr>
                    <w:widowControl/>
                    <w:snapToGrid w:val="0"/>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本项目危险废物分类、分区贮存，其中完整电池和破损电池分别贮存区于单独密闭房间，危险废物不拆包装、不混合。</w:t>
                  </w:r>
                </w:p>
              </w:tc>
              <w:tc>
                <w:tcPr>
                  <w:tcW w:w="514" w:type="dxa"/>
                  <w:tcMar>
                    <w:top w:w="57" w:type="dxa"/>
                    <w:left w:w="28" w:type="dxa"/>
                    <w:bottom w:w="57" w:type="dxa"/>
                    <w:right w:w="28" w:type="dxa"/>
                  </w:tcMar>
                  <w:vAlign w:val="center"/>
                </w:tcPr>
                <w:p w14:paraId="5B5C66E6">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38E862E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1" w:hRule="atLeast"/>
                <w:jc w:val="center"/>
              </w:trPr>
              <w:tc>
                <w:tcPr>
                  <w:tcW w:w="458" w:type="dxa"/>
                  <w:tcMar>
                    <w:top w:w="57" w:type="dxa"/>
                    <w:left w:w="28" w:type="dxa"/>
                    <w:bottom w:w="57" w:type="dxa"/>
                    <w:right w:w="28" w:type="dxa"/>
                  </w:tcMar>
                  <w:vAlign w:val="center"/>
                </w:tcPr>
                <w:p w14:paraId="72AEEE39">
                  <w:pPr>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1.4</w:t>
                  </w:r>
                </w:p>
              </w:tc>
              <w:tc>
                <w:tcPr>
                  <w:tcW w:w="3871" w:type="dxa"/>
                  <w:tcMar>
                    <w:top w:w="57" w:type="dxa"/>
                    <w:left w:w="28" w:type="dxa"/>
                    <w:bottom w:w="57" w:type="dxa"/>
                    <w:right w:w="28" w:type="dxa"/>
                  </w:tcMar>
                  <w:vAlign w:val="center"/>
                </w:tcPr>
                <w:p w14:paraId="207512F0">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从事收集、贮存、利用、处置危险废物经营活动的单位，贮存危险废物不得超过一年。</w:t>
                  </w:r>
                </w:p>
              </w:tc>
              <w:tc>
                <w:tcPr>
                  <w:tcW w:w="3550" w:type="dxa"/>
                  <w:tcMar>
                    <w:top w:w="57" w:type="dxa"/>
                    <w:left w:w="28" w:type="dxa"/>
                    <w:bottom w:w="57" w:type="dxa"/>
                    <w:right w:w="28" w:type="dxa"/>
                  </w:tcMar>
                  <w:vAlign w:val="center"/>
                </w:tcPr>
                <w:p w14:paraId="64E456D4">
                  <w:pPr>
                    <w:widowControl/>
                    <w:snapToGrid w:val="0"/>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本项目危险废物贮存时间根据实际周转量、贮存能力来定，本项目贮存时间最长不超过</w:t>
                  </w:r>
                  <w:r>
                    <w:rPr>
                      <w:rFonts w:hint="eastAsia" w:ascii="Times New Roman" w:hAnsi="Times New Roman" w:eastAsiaTheme="minorEastAsia"/>
                      <w:color w:val="auto"/>
                      <w:szCs w:val="21"/>
                      <w:highlight w:val="none"/>
                      <w:lang w:val="en-US" w:eastAsia="zh-CN"/>
                    </w:rPr>
                    <w:t>7</w:t>
                  </w:r>
                  <w:r>
                    <w:rPr>
                      <w:rFonts w:ascii="Times New Roman" w:hAnsi="Times New Roman" w:eastAsiaTheme="minorEastAsia"/>
                      <w:color w:val="auto"/>
                      <w:szCs w:val="21"/>
                      <w:highlight w:val="none"/>
                    </w:rPr>
                    <w:t>天。</w:t>
                  </w:r>
                </w:p>
              </w:tc>
              <w:tc>
                <w:tcPr>
                  <w:tcW w:w="514" w:type="dxa"/>
                  <w:tcMar>
                    <w:top w:w="57" w:type="dxa"/>
                    <w:left w:w="28" w:type="dxa"/>
                    <w:bottom w:w="57" w:type="dxa"/>
                    <w:right w:w="28" w:type="dxa"/>
                  </w:tcMar>
                  <w:vAlign w:val="center"/>
                </w:tcPr>
                <w:p w14:paraId="14317073">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753E5E9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tcMar>
                    <w:top w:w="57" w:type="dxa"/>
                    <w:left w:w="28" w:type="dxa"/>
                    <w:bottom w:w="57" w:type="dxa"/>
                    <w:right w:w="28" w:type="dxa"/>
                  </w:tcMar>
                  <w:vAlign w:val="center"/>
                </w:tcPr>
                <w:p w14:paraId="689239B1">
                  <w:pPr>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1.5</w:t>
                  </w:r>
                </w:p>
              </w:tc>
              <w:tc>
                <w:tcPr>
                  <w:tcW w:w="3871" w:type="dxa"/>
                  <w:tcMar>
                    <w:top w:w="57" w:type="dxa"/>
                    <w:left w:w="28" w:type="dxa"/>
                    <w:bottom w:w="57" w:type="dxa"/>
                    <w:right w:w="28" w:type="dxa"/>
                  </w:tcMar>
                  <w:vAlign w:val="center"/>
                </w:tcPr>
                <w:p w14:paraId="0E740B5A">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转移危险废物的，应当按照国家有关规定填写、运行危险废物电子或者纸质转移联单。</w:t>
                  </w:r>
                </w:p>
              </w:tc>
              <w:tc>
                <w:tcPr>
                  <w:tcW w:w="3550" w:type="dxa"/>
                  <w:tcMar>
                    <w:top w:w="57" w:type="dxa"/>
                    <w:left w:w="28" w:type="dxa"/>
                    <w:bottom w:w="57" w:type="dxa"/>
                    <w:right w:w="28" w:type="dxa"/>
                  </w:tcMar>
                  <w:vAlign w:val="center"/>
                </w:tcPr>
                <w:p w14:paraId="3DDB117D">
                  <w:pPr>
                    <w:widowControl/>
                    <w:snapToGrid w:val="0"/>
                    <w:rPr>
                      <w:rFonts w:hint="eastAsia" w:ascii="Times New Roman" w:hAnsi="Times New Roman" w:eastAsiaTheme="minorEastAsia"/>
                      <w:color w:val="auto"/>
                      <w:szCs w:val="21"/>
                      <w:highlight w:val="none"/>
                      <w:lang w:eastAsia="zh-CN"/>
                    </w:rPr>
                  </w:pPr>
                  <w:r>
                    <w:rPr>
                      <w:rFonts w:ascii="Times New Roman" w:hAnsi="Times New Roman" w:eastAsiaTheme="minorEastAsia"/>
                      <w:color w:val="auto"/>
                      <w:szCs w:val="21"/>
                      <w:highlight w:val="none"/>
                    </w:rPr>
                    <w:t>本项目贮存的危险废物均按规定通过国家危险废物信息管理系统填写、运行危险废物电子转移联单</w:t>
                  </w:r>
                  <w:r>
                    <w:rPr>
                      <w:rFonts w:hint="eastAsia" w:ascii="Times New Roman" w:hAnsi="Times New Roman" w:eastAsiaTheme="minorEastAsia"/>
                      <w:color w:val="auto"/>
                      <w:szCs w:val="21"/>
                      <w:highlight w:val="none"/>
                      <w:lang w:eastAsia="zh-CN"/>
                    </w:rPr>
                    <w:t>。</w:t>
                  </w:r>
                </w:p>
              </w:tc>
              <w:tc>
                <w:tcPr>
                  <w:tcW w:w="514" w:type="dxa"/>
                  <w:tcMar>
                    <w:top w:w="57" w:type="dxa"/>
                    <w:left w:w="28" w:type="dxa"/>
                    <w:bottom w:w="57" w:type="dxa"/>
                    <w:right w:w="28" w:type="dxa"/>
                  </w:tcMar>
                  <w:vAlign w:val="center"/>
                </w:tcPr>
                <w:p w14:paraId="162207F5">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6D6392A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tcMar>
                    <w:top w:w="57" w:type="dxa"/>
                    <w:left w:w="28" w:type="dxa"/>
                    <w:bottom w:w="57" w:type="dxa"/>
                    <w:right w:w="28" w:type="dxa"/>
                  </w:tcMar>
                  <w:vAlign w:val="center"/>
                </w:tcPr>
                <w:p w14:paraId="738A43E6">
                  <w:pPr>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1.6</w:t>
                  </w:r>
                </w:p>
              </w:tc>
              <w:tc>
                <w:tcPr>
                  <w:tcW w:w="3871" w:type="dxa"/>
                  <w:tcMar>
                    <w:top w:w="57" w:type="dxa"/>
                    <w:left w:w="28" w:type="dxa"/>
                    <w:bottom w:w="57" w:type="dxa"/>
                    <w:right w:w="28" w:type="dxa"/>
                  </w:tcMar>
                  <w:vAlign w:val="center"/>
                </w:tcPr>
                <w:p w14:paraId="33B47272">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产生、收集、贮存、运输、利用、处置危险废物的单位，应当依法制定意外事故的防范措施和应急预案，并向所在地生态环境主管部门和其他负有固体废物污染环境防治监督管理职责的部门备案</w:t>
                  </w:r>
                  <w:r>
                    <w:rPr>
                      <w:rFonts w:hint="eastAsia" w:ascii="Times New Roman" w:hAnsi="Times New Roman" w:eastAsiaTheme="minorEastAsia"/>
                      <w:color w:val="auto"/>
                      <w:kern w:val="0"/>
                      <w:szCs w:val="21"/>
                      <w:highlight w:val="none"/>
                    </w:rPr>
                    <w:t>。</w:t>
                  </w:r>
                </w:p>
              </w:tc>
              <w:tc>
                <w:tcPr>
                  <w:tcW w:w="3550" w:type="dxa"/>
                  <w:tcMar>
                    <w:top w:w="57" w:type="dxa"/>
                    <w:left w:w="28" w:type="dxa"/>
                    <w:bottom w:w="57" w:type="dxa"/>
                    <w:right w:w="28" w:type="dxa"/>
                  </w:tcMar>
                  <w:vAlign w:val="center"/>
                </w:tcPr>
                <w:p w14:paraId="6C5406A2">
                  <w:pPr>
                    <w:widowControl/>
                    <w:snapToGrid w:val="0"/>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本项目</w:t>
                  </w:r>
                  <w:r>
                    <w:rPr>
                      <w:rFonts w:hint="eastAsia" w:ascii="Times New Roman" w:hAnsi="Times New Roman" w:eastAsiaTheme="minorEastAsia"/>
                      <w:color w:val="auto"/>
                      <w:szCs w:val="21"/>
                      <w:highlight w:val="none"/>
                      <w:lang w:val="en-US" w:eastAsia="zh-CN"/>
                    </w:rPr>
                    <w:t>运营前</w:t>
                  </w:r>
                  <w:r>
                    <w:rPr>
                      <w:rFonts w:ascii="Times New Roman" w:hAnsi="Times New Roman" w:eastAsiaTheme="minorEastAsia"/>
                      <w:color w:val="auto"/>
                      <w:szCs w:val="21"/>
                      <w:highlight w:val="none"/>
                    </w:rPr>
                    <w:t>依法编制应急预案并完成备案。</w:t>
                  </w:r>
                </w:p>
              </w:tc>
              <w:tc>
                <w:tcPr>
                  <w:tcW w:w="514" w:type="dxa"/>
                  <w:tcMar>
                    <w:top w:w="57" w:type="dxa"/>
                    <w:left w:w="28" w:type="dxa"/>
                    <w:bottom w:w="57" w:type="dxa"/>
                    <w:right w:w="28" w:type="dxa"/>
                  </w:tcMar>
                  <w:vAlign w:val="center"/>
                </w:tcPr>
                <w:p w14:paraId="6499C467">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bl>
          <w:p w14:paraId="0733ADFF">
            <w:pPr>
              <w:tabs>
                <w:tab w:val="left" w:pos="0"/>
              </w:tabs>
              <w:snapToGrid w:val="0"/>
              <w:spacing w:line="480" w:lineRule="exact"/>
              <w:jc w:val="center"/>
              <w:rPr>
                <w:rFonts w:ascii="Times New Roman" w:hAnsi="Times New Roman" w:eastAsiaTheme="minorEastAsia"/>
                <w:bCs/>
                <w:color w:val="auto"/>
                <w:sz w:val="24"/>
                <w:szCs w:val="24"/>
                <w:highlight w:val="none"/>
              </w:rPr>
            </w:pPr>
            <w:r>
              <w:rPr>
                <w:rFonts w:ascii="Times New Roman" w:hAnsi="Times New Roman" w:eastAsiaTheme="minorEastAsia"/>
                <w:bCs/>
                <w:color w:val="auto"/>
                <w:sz w:val="24"/>
                <w:szCs w:val="24"/>
                <w:highlight w:val="none"/>
              </w:rPr>
              <w:t>续表1-6  与其他相关规划和环境管理符合性分析</w:t>
            </w:r>
          </w:p>
          <w:tbl>
            <w:tblPr>
              <w:tblStyle w:val="31"/>
              <w:tblW w:w="8393"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04"/>
              <w:gridCol w:w="4464"/>
              <w:gridCol w:w="2700"/>
              <w:gridCol w:w="825"/>
            </w:tblGrid>
            <w:tr w14:paraId="0CD8B39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7" w:hRule="atLeast"/>
                <w:jc w:val="center"/>
              </w:trPr>
              <w:tc>
                <w:tcPr>
                  <w:tcW w:w="4868" w:type="dxa"/>
                  <w:gridSpan w:val="2"/>
                  <w:tcMar>
                    <w:top w:w="57" w:type="dxa"/>
                    <w:left w:w="28" w:type="dxa"/>
                    <w:bottom w:w="57" w:type="dxa"/>
                    <w:right w:w="28" w:type="dxa"/>
                  </w:tcMar>
                  <w:vAlign w:val="center"/>
                </w:tcPr>
                <w:p w14:paraId="1D54C305">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与项目有关的条例、条文</w:t>
                  </w:r>
                </w:p>
              </w:tc>
              <w:tc>
                <w:tcPr>
                  <w:tcW w:w="2700" w:type="dxa"/>
                  <w:tcMar>
                    <w:top w:w="57" w:type="dxa"/>
                    <w:left w:w="28" w:type="dxa"/>
                    <w:bottom w:w="57" w:type="dxa"/>
                    <w:right w:w="28" w:type="dxa"/>
                  </w:tcMar>
                  <w:vAlign w:val="center"/>
                </w:tcPr>
                <w:p w14:paraId="309595CD">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本项目</w:t>
                  </w:r>
                </w:p>
              </w:tc>
              <w:tc>
                <w:tcPr>
                  <w:tcW w:w="825" w:type="dxa"/>
                  <w:tcMar>
                    <w:top w:w="57" w:type="dxa"/>
                    <w:left w:w="28" w:type="dxa"/>
                    <w:bottom w:w="57" w:type="dxa"/>
                    <w:right w:w="28" w:type="dxa"/>
                  </w:tcMar>
                  <w:vAlign w:val="center"/>
                </w:tcPr>
                <w:p w14:paraId="4B9F480E">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符合性</w:t>
                  </w:r>
                </w:p>
              </w:tc>
            </w:tr>
            <w:tr w14:paraId="1D3F240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393" w:type="dxa"/>
                  <w:gridSpan w:val="4"/>
                  <w:tcMar>
                    <w:top w:w="57" w:type="dxa"/>
                    <w:left w:w="28" w:type="dxa"/>
                    <w:bottom w:w="57" w:type="dxa"/>
                    <w:right w:w="28" w:type="dxa"/>
                  </w:tcMar>
                  <w:vAlign w:val="center"/>
                </w:tcPr>
                <w:p w14:paraId="6D557557">
                  <w:pPr>
                    <w:widowControl/>
                    <w:snapToGrid w:val="0"/>
                    <w:spacing w:before="60"/>
                    <w:jc w:val="left"/>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2.与《河北省固体废物污染环境防治条例》（2015年6月1日施行）符合性分析。</w:t>
                  </w:r>
                </w:p>
              </w:tc>
            </w:tr>
            <w:tr w14:paraId="45227FC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4" w:type="dxa"/>
                  <w:tcMar>
                    <w:top w:w="57" w:type="dxa"/>
                    <w:left w:w="28" w:type="dxa"/>
                    <w:bottom w:w="57" w:type="dxa"/>
                    <w:right w:w="28" w:type="dxa"/>
                  </w:tcMar>
                  <w:vAlign w:val="center"/>
                </w:tcPr>
                <w:p w14:paraId="4618A71A">
                  <w:pPr>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2.1</w:t>
                  </w:r>
                </w:p>
              </w:tc>
              <w:tc>
                <w:tcPr>
                  <w:tcW w:w="4464" w:type="dxa"/>
                  <w:tcMar>
                    <w:top w:w="57" w:type="dxa"/>
                    <w:left w:w="28" w:type="dxa"/>
                    <w:bottom w:w="57" w:type="dxa"/>
                    <w:right w:w="28" w:type="dxa"/>
                  </w:tcMar>
                  <w:vAlign w:val="center"/>
                </w:tcPr>
                <w:p w14:paraId="61445052">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产生、收集、贮存、运输、利用、处置固体废</w:t>
                  </w:r>
                </w:p>
                <w:p w14:paraId="67464324">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物的单位和个人应当采取防扬散、防流失、防</w:t>
                  </w:r>
                </w:p>
                <w:p w14:paraId="07AE67D6">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渗漏等防止固体废物污染环境的措施。</w:t>
                  </w:r>
                </w:p>
              </w:tc>
              <w:tc>
                <w:tcPr>
                  <w:tcW w:w="2700" w:type="dxa"/>
                  <w:tcMar>
                    <w:top w:w="57" w:type="dxa"/>
                    <w:left w:w="28" w:type="dxa"/>
                    <w:bottom w:w="57" w:type="dxa"/>
                    <w:right w:w="28" w:type="dxa"/>
                  </w:tcMar>
                  <w:vAlign w:val="center"/>
                </w:tcPr>
                <w:p w14:paraId="75614E4B">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szCs w:val="21"/>
                      <w:highlight w:val="none"/>
                    </w:rPr>
                    <w:t>本项目贮存车间密闭，地面及裙角均采取了防渗措施，车间内设有导流沟及收集池。</w:t>
                  </w:r>
                </w:p>
              </w:tc>
              <w:tc>
                <w:tcPr>
                  <w:tcW w:w="825" w:type="dxa"/>
                  <w:tcMar>
                    <w:top w:w="57" w:type="dxa"/>
                    <w:left w:w="28" w:type="dxa"/>
                    <w:bottom w:w="57" w:type="dxa"/>
                    <w:right w:w="28" w:type="dxa"/>
                  </w:tcMar>
                  <w:vAlign w:val="center"/>
                </w:tcPr>
                <w:p w14:paraId="5F2A090D">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r w14:paraId="68D3917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47" w:hRule="atLeast"/>
                <w:jc w:val="center"/>
              </w:trPr>
              <w:tc>
                <w:tcPr>
                  <w:tcW w:w="404" w:type="dxa"/>
                  <w:tcMar>
                    <w:top w:w="57" w:type="dxa"/>
                    <w:left w:w="28" w:type="dxa"/>
                    <w:bottom w:w="57" w:type="dxa"/>
                    <w:right w:w="28" w:type="dxa"/>
                  </w:tcMar>
                  <w:vAlign w:val="center"/>
                </w:tcPr>
                <w:p w14:paraId="2EB19250">
                  <w:pPr>
                    <w:widowControl/>
                    <w:snapToGrid w:val="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2.</w:t>
                  </w:r>
                  <w:r>
                    <w:rPr>
                      <w:rFonts w:hint="eastAsia" w:ascii="Times New Roman" w:hAnsi="Times New Roman" w:eastAsiaTheme="minorEastAsia"/>
                      <w:color w:val="auto"/>
                      <w:kern w:val="0"/>
                      <w:szCs w:val="21"/>
                      <w:highlight w:val="none"/>
                    </w:rPr>
                    <w:t>2</w:t>
                  </w:r>
                </w:p>
              </w:tc>
              <w:tc>
                <w:tcPr>
                  <w:tcW w:w="4464" w:type="dxa"/>
                  <w:tcMar>
                    <w:top w:w="57" w:type="dxa"/>
                    <w:left w:w="28" w:type="dxa"/>
                    <w:bottom w:w="57" w:type="dxa"/>
                    <w:right w:w="28" w:type="dxa"/>
                  </w:tcMar>
                  <w:vAlign w:val="center"/>
                </w:tcPr>
                <w:p w14:paraId="16D456C9">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从事收集、贮存、利用和处置危险废物的经营</w:t>
                  </w:r>
                </w:p>
                <w:p w14:paraId="4A4141D8">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单位（以下简称危险废物经营单位）应当按照</w:t>
                  </w:r>
                </w:p>
                <w:p w14:paraId="1E69D48D">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规定填写危险废物经营情况记录簿（以下简称</w:t>
                  </w:r>
                </w:p>
                <w:p w14:paraId="0A4E7F97">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记录簿），详细记录本单位收集、贮存、利用、</w:t>
                  </w:r>
                </w:p>
                <w:p w14:paraId="59372023">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处置的危险废物的种类、成分、来源、数量、</w:t>
                  </w:r>
                </w:p>
                <w:p w14:paraId="13472DDD">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流向和有无事故等事项。危险废物台账和记录</w:t>
                  </w:r>
                </w:p>
                <w:p w14:paraId="21DCDA16">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簿的保存时间应当在十年以上。</w:t>
                  </w:r>
                </w:p>
              </w:tc>
              <w:tc>
                <w:tcPr>
                  <w:tcW w:w="2700" w:type="dxa"/>
                  <w:tcMar>
                    <w:top w:w="57" w:type="dxa"/>
                    <w:left w:w="28" w:type="dxa"/>
                    <w:bottom w:w="57" w:type="dxa"/>
                    <w:right w:w="28" w:type="dxa"/>
                  </w:tcMar>
                  <w:vAlign w:val="center"/>
                </w:tcPr>
                <w:p w14:paraId="1BDB0A5D">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本项目详细记录本单位收集、贮存的危险废物的种类、成分、来源、数量、流向和有无事故等事项。危险废物台账和记录簿的保存时间为十年。</w:t>
                  </w:r>
                </w:p>
              </w:tc>
              <w:tc>
                <w:tcPr>
                  <w:tcW w:w="825" w:type="dxa"/>
                  <w:tcMar>
                    <w:top w:w="57" w:type="dxa"/>
                    <w:left w:w="28" w:type="dxa"/>
                    <w:bottom w:w="57" w:type="dxa"/>
                    <w:right w:w="28" w:type="dxa"/>
                  </w:tcMar>
                  <w:vAlign w:val="center"/>
                </w:tcPr>
                <w:p w14:paraId="60721DEC">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39E2B39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393" w:type="dxa"/>
                  <w:gridSpan w:val="4"/>
                  <w:vAlign w:val="center"/>
                </w:tcPr>
                <w:p w14:paraId="64ECB37A">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3.《危险废物收集、贮存、运输技术规范》（HJ2025-2012）符合性分析</w:t>
                  </w:r>
                </w:p>
              </w:tc>
            </w:tr>
            <w:tr w14:paraId="510D98E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4" w:type="dxa"/>
                  <w:vAlign w:val="center"/>
                </w:tcPr>
                <w:p w14:paraId="138FD7FF">
                  <w:pPr>
                    <w:widowControl/>
                    <w:snapToGrid w:val="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3.1</w:t>
                  </w:r>
                </w:p>
              </w:tc>
              <w:tc>
                <w:tcPr>
                  <w:tcW w:w="4464" w:type="dxa"/>
                  <w:vAlign w:val="center"/>
                </w:tcPr>
                <w:p w14:paraId="69B0CE7E">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从事危险废物收集、贮存、运输、经营活动的单位应具有危险废物许可证，在收集、贮存、运输危险废物时，应根据危险废物收集、贮存、处置经营许可证核发的有关规定建立相应的规章制度和污染防治措施，包括危险废物分析管理制度、安全管理制度、污染防治措施等。</w:t>
                  </w:r>
                </w:p>
              </w:tc>
              <w:tc>
                <w:tcPr>
                  <w:tcW w:w="2700" w:type="dxa"/>
                  <w:vAlign w:val="center"/>
                </w:tcPr>
                <w:p w14:paraId="37B26451">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本项目验收前企业应按规定申请取得危险废物收集许可证。并按规定建立相应的规章制度和污染防治措施。</w:t>
                  </w:r>
                </w:p>
              </w:tc>
              <w:tc>
                <w:tcPr>
                  <w:tcW w:w="825" w:type="dxa"/>
                  <w:vAlign w:val="center"/>
                </w:tcPr>
                <w:p w14:paraId="1D7D6621">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72E6715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4" w:type="dxa"/>
                  <w:vAlign w:val="center"/>
                </w:tcPr>
                <w:p w14:paraId="49F766D6">
                  <w:pPr>
                    <w:widowControl/>
                    <w:snapToGrid w:val="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3.2</w:t>
                  </w:r>
                </w:p>
              </w:tc>
              <w:tc>
                <w:tcPr>
                  <w:tcW w:w="4464" w:type="dxa"/>
                  <w:vAlign w:val="center"/>
                </w:tcPr>
                <w:p w14:paraId="32B4369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240" w:lineRule="auto"/>
                    <w:ind w:left="0" w:right="0" w:firstLine="0"/>
                    <w:jc w:val="both"/>
                    <w:rPr>
                      <w:rFonts w:ascii="Times New Roman" w:hAnsi="Times New Roman" w:eastAsiaTheme="minorEastAsia"/>
                      <w:color w:val="auto"/>
                      <w:kern w:val="0"/>
                      <w:szCs w:val="21"/>
                      <w:highlight w:val="none"/>
                    </w:rPr>
                  </w:pPr>
                  <w:bookmarkStart w:id="8" w:name="_Toc31758"/>
                  <w:r>
                    <w:rPr>
                      <w:rFonts w:ascii="Times New Roman" w:hAnsi="Times New Roman" w:cs="Times New Roman" w:eastAsiaTheme="minorEastAsia"/>
                      <w:b w:val="0"/>
                      <w:bCs w:val="0"/>
                      <w:color w:val="auto"/>
                      <w:kern w:val="0"/>
                      <w:sz w:val="21"/>
                      <w:szCs w:val="21"/>
                      <w:highlight w:val="none"/>
                      <w:lang w:val="en-US" w:eastAsia="zh-CN" w:bidi="ar-SA"/>
                    </w:rPr>
                    <w:t>危险废物转移过程按《</w:t>
                  </w:r>
                  <w:r>
                    <w:rPr>
                      <w:rFonts w:hint="eastAsia" w:ascii="Times New Roman" w:hAnsi="Times New Roman" w:cs="Times New Roman" w:eastAsiaTheme="minorEastAsia"/>
                      <w:b w:val="0"/>
                      <w:bCs w:val="0"/>
                      <w:color w:val="auto"/>
                      <w:kern w:val="0"/>
                      <w:sz w:val="21"/>
                      <w:szCs w:val="21"/>
                      <w:highlight w:val="none"/>
                      <w:lang w:val="en-US" w:eastAsia="zh-CN" w:bidi="ar-SA"/>
                    </w:rPr>
                    <w:t>危险废物转移管理办法</w:t>
                  </w:r>
                  <w:r>
                    <w:rPr>
                      <w:rFonts w:ascii="Times New Roman" w:hAnsi="Times New Roman" w:cs="Times New Roman" w:eastAsiaTheme="minorEastAsia"/>
                      <w:b w:val="0"/>
                      <w:bCs w:val="0"/>
                      <w:color w:val="auto"/>
                      <w:kern w:val="0"/>
                      <w:sz w:val="21"/>
                      <w:szCs w:val="21"/>
                      <w:highlight w:val="none"/>
                      <w:lang w:val="en-US" w:eastAsia="zh-CN" w:bidi="ar-SA"/>
                    </w:rPr>
                    <w:t>》执行。</w:t>
                  </w:r>
                  <w:bookmarkEnd w:id="8"/>
                </w:p>
              </w:tc>
              <w:tc>
                <w:tcPr>
                  <w:tcW w:w="2700" w:type="dxa"/>
                  <w:vAlign w:val="center"/>
                </w:tcPr>
                <w:p w14:paraId="096D6C35">
                  <w:pPr>
                    <w:widowControl/>
                    <w:snapToGrid w:val="0"/>
                    <w:rPr>
                      <w:rFonts w:ascii="Times New Roman" w:hAnsi="Times New Roman" w:eastAsiaTheme="minorEastAsia"/>
                      <w:color w:val="auto"/>
                      <w:kern w:val="0"/>
                      <w:szCs w:val="21"/>
                      <w:highlight w:val="none"/>
                    </w:rPr>
                  </w:pPr>
                  <w:r>
                    <w:rPr>
                      <w:rFonts w:ascii="Times New Roman" w:hAnsi="Times New Roman" w:cs="Times New Roman" w:eastAsiaTheme="minorEastAsia"/>
                      <w:b w:val="0"/>
                      <w:bCs w:val="0"/>
                      <w:color w:val="auto"/>
                      <w:kern w:val="0"/>
                      <w:sz w:val="21"/>
                      <w:szCs w:val="21"/>
                      <w:highlight w:val="none"/>
                      <w:lang w:val="en-US" w:eastAsia="zh-CN" w:bidi="ar-SA"/>
                    </w:rPr>
                    <w:t>本单位转移危险废物通过国家危险废物信息管理系统填写、运行危险废物电子转移联单</w:t>
                  </w:r>
                  <w:r>
                    <w:rPr>
                      <w:rFonts w:hint="eastAsia" w:ascii="Times New Roman" w:hAnsi="Times New Roman" w:cs="Times New Roman" w:eastAsiaTheme="minorEastAsia"/>
                      <w:b w:val="0"/>
                      <w:bCs w:val="0"/>
                      <w:color w:val="auto"/>
                      <w:kern w:val="0"/>
                      <w:sz w:val="21"/>
                      <w:szCs w:val="21"/>
                      <w:highlight w:val="none"/>
                      <w:lang w:val="en-US" w:eastAsia="zh-CN" w:bidi="ar-SA"/>
                    </w:rPr>
                    <w:t>。</w:t>
                  </w:r>
                </w:p>
              </w:tc>
              <w:tc>
                <w:tcPr>
                  <w:tcW w:w="825" w:type="dxa"/>
                  <w:vAlign w:val="center"/>
                </w:tcPr>
                <w:p w14:paraId="30795307">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6B6B2F8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4" w:type="dxa"/>
                  <w:vAlign w:val="center"/>
                </w:tcPr>
                <w:p w14:paraId="2271096A">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3.3</w:t>
                  </w:r>
                </w:p>
              </w:tc>
              <w:tc>
                <w:tcPr>
                  <w:tcW w:w="4464" w:type="dxa"/>
                  <w:vAlign w:val="center"/>
                </w:tcPr>
                <w:p w14:paraId="109EE707">
                  <w:pPr>
                    <w:widowControl/>
                    <w:snapToGrid w:val="0"/>
                    <w:rPr>
                      <w:rFonts w:ascii="Times New Roman" w:hAnsi="Times New Roman" w:eastAsiaTheme="minorEastAsia"/>
                      <w:color w:val="auto"/>
                      <w:spacing w:val="-11"/>
                      <w:szCs w:val="21"/>
                      <w:highlight w:val="none"/>
                    </w:rPr>
                  </w:pPr>
                  <w:r>
                    <w:rPr>
                      <w:rFonts w:ascii="Times New Roman" w:hAnsi="Times New Roman" w:eastAsiaTheme="minorEastAsia"/>
                      <w:color w:val="auto"/>
                      <w:kern w:val="0"/>
                      <w:szCs w:val="21"/>
                      <w:highlight w:val="none"/>
                    </w:rPr>
                    <w:t>危险废物收集、贮存、运输单位应建立规范的管理和技术人员培训制度，定期针对管理和技术人员进行培训。</w:t>
                  </w:r>
                </w:p>
              </w:tc>
              <w:tc>
                <w:tcPr>
                  <w:tcW w:w="2700" w:type="dxa"/>
                  <w:vAlign w:val="center"/>
                </w:tcPr>
                <w:p w14:paraId="62095E13">
                  <w:pPr>
                    <w:rPr>
                      <w:rFonts w:ascii="Times New Roman" w:hAnsi="Times New Roman" w:eastAsiaTheme="minorEastAsia"/>
                      <w:color w:val="auto"/>
                      <w:szCs w:val="21"/>
                      <w:highlight w:val="none"/>
                    </w:rPr>
                  </w:pPr>
                  <w:r>
                    <w:rPr>
                      <w:rFonts w:ascii="Times New Roman" w:hAnsi="Times New Roman" w:eastAsiaTheme="minorEastAsia"/>
                      <w:color w:val="auto"/>
                      <w:kern w:val="0"/>
                      <w:szCs w:val="21"/>
                      <w:highlight w:val="none"/>
                    </w:rPr>
                    <w:t>本单位建立培训制度，按要求进行培训。</w:t>
                  </w:r>
                </w:p>
              </w:tc>
              <w:tc>
                <w:tcPr>
                  <w:tcW w:w="825" w:type="dxa"/>
                  <w:vAlign w:val="center"/>
                </w:tcPr>
                <w:p w14:paraId="7DF0928D">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4D1E985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4" w:type="dxa"/>
                  <w:vAlign w:val="center"/>
                </w:tcPr>
                <w:p w14:paraId="11AE9CFB">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3.4</w:t>
                  </w:r>
                </w:p>
              </w:tc>
              <w:tc>
                <w:tcPr>
                  <w:tcW w:w="4464" w:type="dxa"/>
                  <w:vAlign w:val="center"/>
                </w:tcPr>
                <w:p w14:paraId="37D72216">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szCs w:val="21"/>
                      <w:highlight w:val="none"/>
                    </w:rPr>
                    <w:t>危险废物收集、贮存、运输单位应编制应急预案。</w:t>
                  </w:r>
                </w:p>
              </w:tc>
              <w:tc>
                <w:tcPr>
                  <w:tcW w:w="2700" w:type="dxa"/>
                  <w:vAlign w:val="center"/>
                </w:tcPr>
                <w:p w14:paraId="12AF0EE0">
                  <w:pPr>
                    <w:rPr>
                      <w:rFonts w:ascii="Times New Roman" w:hAnsi="Times New Roman" w:eastAsiaTheme="minorEastAsia"/>
                      <w:color w:val="auto"/>
                      <w:szCs w:val="24"/>
                      <w:highlight w:val="none"/>
                    </w:rPr>
                  </w:pPr>
                  <w:r>
                    <w:rPr>
                      <w:rFonts w:ascii="Times New Roman" w:hAnsi="Times New Roman" w:eastAsiaTheme="minorEastAsia"/>
                      <w:color w:val="auto"/>
                      <w:szCs w:val="21"/>
                      <w:highlight w:val="none"/>
                    </w:rPr>
                    <w:t>本项目环保验收前，应依法编制应急预案。</w:t>
                  </w:r>
                </w:p>
              </w:tc>
              <w:tc>
                <w:tcPr>
                  <w:tcW w:w="825" w:type="dxa"/>
                  <w:vAlign w:val="center"/>
                </w:tcPr>
                <w:p w14:paraId="53897393">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0195E7A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4" w:type="dxa"/>
                  <w:vAlign w:val="center"/>
                </w:tcPr>
                <w:p w14:paraId="046530E0">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3.5</w:t>
                  </w:r>
                </w:p>
              </w:tc>
              <w:tc>
                <w:tcPr>
                  <w:tcW w:w="4464" w:type="dxa"/>
                  <w:vAlign w:val="center"/>
                </w:tcPr>
                <w:p w14:paraId="4B572C7B">
                  <w:pPr>
                    <w:spacing w:before="48" w:beforeLines="20"/>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危险废物收集、贮存、运输时应按腐蚀性、毒性、易燃性、反应性和感染性等危险特性对危险废物进行分类、包装并设置相应的标志及标签。</w:t>
                  </w:r>
                </w:p>
              </w:tc>
              <w:tc>
                <w:tcPr>
                  <w:tcW w:w="2700" w:type="dxa"/>
                  <w:vAlign w:val="center"/>
                </w:tcPr>
                <w:p w14:paraId="15504391">
                  <w:pPr>
                    <w:rPr>
                      <w:rFonts w:ascii="Times New Roman" w:hAnsi="Times New Roman" w:eastAsiaTheme="minorEastAsia"/>
                      <w:color w:val="auto"/>
                      <w:spacing w:val="-6"/>
                      <w:szCs w:val="21"/>
                      <w:highlight w:val="none"/>
                    </w:rPr>
                  </w:pPr>
                  <w:r>
                    <w:rPr>
                      <w:rFonts w:ascii="Times New Roman" w:hAnsi="Times New Roman" w:eastAsiaTheme="minorEastAsia"/>
                      <w:color w:val="auto"/>
                      <w:spacing w:val="-6"/>
                      <w:kern w:val="0"/>
                      <w:szCs w:val="21"/>
                      <w:highlight w:val="none"/>
                    </w:rPr>
                    <w:t>项目各类危险废物均分区单独存放，并设置相应的标志及标签。</w:t>
                  </w:r>
                </w:p>
              </w:tc>
              <w:tc>
                <w:tcPr>
                  <w:tcW w:w="825" w:type="dxa"/>
                  <w:vAlign w:val="center"/>
                </w:tcPr>
                <w:p w14:paraId="27D3F147">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1628A18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4" w:type="dxa"/>
                  <w:vAlign w:val="center"/>
                </w:tcPr>
                <w:p w14:paraId="48FABE35">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3.6</w:t>
                  </w:r>
                </w:p>
              </w:tc>
              <w:tc>
                <w:tcPr>
                  <w:tcW w:w="4464" w:type="dxa"/>
                  <w:vAlign w:val="center"/>
                </w:tcPr>
                <w:p w14:paraId="058483C9">
                  <w:pPr>
                    <w:spacing w:before="48" w:beforeLines="20"/>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危险废物贮存设施应配备通讯设备、照明设施和消防设施。</w:t>
                  </w:r>
                </w:p>
              </w:tc>
              <w:tc>
                <w:tcPr>
                  <w:tcW w:w="2700" w:type="dxa"/>
                  <w:vAlign w:val="center"/>
                </w:tcPr>
                <w:p w14:paraId="0E437E06">
                  <w:pPr>
                    <w:rPr>
                      <w:rFonts w:ascii="Times New Roman" w:hAnsi="Times New Roman" w:eastAsiaTheme="minorEastAsia"/>
                      <w:color w:val="auto"/>
                      <w:spacing w:val="-6"/>
                      <w:kern w:val="0"/>
                      <w:szCs w:val="21"/>
                      <w:highlight w:val="none"/>
                    </w:rPr>
                  </w:pPr>
                  <w:r>
                    <w:rPr>
                      <w:rFonts w:ascii="Times New Roman" w:hAnsi="Times New Roman" w:eastAsiaTheme="minorEastAsia"/>
                      <w:color w:val="auto"/>
                      <w:spacing w:val="-6"/>
                      <w:kern w:val="0"/>
                      <w:szCs w:val="21"/>
                      <w:highlight w:val="none"/>
                    </w:rPr>
                    <w:t>车间按要求配备通讯设备、照明设施和消防设施。</w:t>
                  </w:r>
                </w:p>
              </w:tc>
              <w:tc>
                <w:tcPr>
                  <w:tcW w:w="825" w:type="dxa"/>
                  <w:vAlign w:val="center"/>
                </w:tcPr>
                <w:p w14:paraId="161B848D">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45BCAAA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4" w:type="dxa"/>
                  <w:vAlign w:val="center"/>
                </w:tcPr>
                <w:p w14:paraId="5B60AC67">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3.7</w:t>
                  </w:r>
                </w:p>
              </w:tc>
              <w:tc>
                <w:tcPr>
                  <w:tcW w:w="4464" w:type="dxa"/>
                  <w:vAlign w:val="center"/>
                </w:tcPr>
                <w:p w14:paraId="3218AEB9">
                  <w:pPr>
                    <w:spacing w:before="48" w:beforeLines="20"/>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贮存危险废物时应按危险废物的种类和特性进行分区贮存，每个贮存区域之间宜设置挡墙间隔，并应设置防雨、防火、防雷、防扬尘装置。</w:t>
                  </w:r>
                </w:p>
              </w:tc>
              <w:tc>
                <w:tcPr>
                  <w:tcW w:w="2700" w:type="dxa"/>
                  <w:vAlign w:val="center"/>
                </w:tcPr>
                <w:p w14:paraId="73A15133">
                  <w:pPr>
                    <w:rPr>
                      <w:rFonts w:ascii="Times New Roman" w:hAnsi="Times New Roman" w:eastAsiaTheme="minorEastAsia"/>
                      <w:color w:val="auto"/>
                      <w:spacing w:val="-6"/>
                      <w:kern w:val="0"/>
                      <w:szCs w:val="21"/>
                      <w:highlight w:val="none"/>
                    </w:rPr>
                  </w:pPr>
                  <w:r>
                    <w:rPr>
                      <w:rFonts w:ascii="Times New Roman" w:hAnsi="Times New Roman" w:eastAsiaTheme="minorEastAsia"/>
                      <w:color w:val="auto"/>
                      <w:spacing w:val="-6"/>
                      <w:kern w:val="0"/>
                      <w:szCs w:val="21"/>
                      <w:highlight w:val="none"/>
                    </w:rPr>
                    <w:t>本项目</w:t>
                  </w:r>
                  <w:r>
                    <w:rPr>
                      <w:rFonts w:hint="eastAsia" w:ascii="Times New Roman" w:hAnsi="Times New Roman" w:eastAsiaTheme="minorEastAsia"/>
                      <w:color w:val="auto"/>
                      <w:spacing w:val="-6"/>
                      <w:kern w:val="0"/>
                      <w:szCs w:val="21"/>
                      <w:highlight w:val="none"/>
                      <w:lang w:val="en-US" w:eastAsia="zh-CN"/>
                    </w:rPr>
                    <w:t>完整电池、破损电池、日常运营产生的</w:t>
                  </w:r>
                  <w:r>
                    <w:rPr>
                      <w:rFonts w:ascii="Times New Roman" w:hAnsi="Times New Roman" w:eastAsiaTheme="minorEastAsia"/>
                      <w:color w:val="auto"/>
                      <w:spacing w:val="-6"/>
                      <w:kern w:val="0"/>
                      <w:szCs w:val="21"/>
                      <w:highlight w:val="none"/>
                    </w:rPr>
                    <w:t>危险废物均分区单独存放，车间具有防雨、防火、防雷、防扬尘功能。</w:t>
                  </w:r>
                </w:p>
              </w:tc>
              <w:tc>
                <w:tcPr>
                  <w:tcW w:w="825" w:type="dxa"/>
                  <w:vAlign w:val="center"/>
                </w:tcPr>
                <w:p w14:paraId="0F539E1D">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1ECB7EC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4" w:type="dxa"/>
                  <w:vAlign w:val="center"/>
                </w:tcPr>
                <w:p w14:paraId="3A038FBA">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3.8</w:t>
                  </w:r>
                </w:p>
              </w:tc>
              <w:tc>
                <w:tcPr>
                  <w:tcW w:w="4464" w:type="dxa"/>
                  <w:vAlign w:val="center"/>
                </w:tcPr>
                <w:p w14:paraId="41108829">
                  <w:pPr>
                    <w:spacing w:before="48" w:beforeLines="20"/>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危险废物贮存单位应建立危险废物的贮存台 账制度，危险废物出入库交接记录内容应参照 本标准附录 C执行。</w:t>
                  </w:r>
                </w:p>
              </w:tc>
              <w:tc>
                <w:tcPr>
                  <w:tcW w:w="2700" w:type="dxa"/>
                  <w:vAlign w:val="center"/>
                </w:tcPr>
                <w:p w14:paraId="777C38E9">
                  <w:pPr>
                    <w:rPr>
                      <w:rFonts w:ascii="Times New Roman" w:hAnsi="Times New Roman" w:eastAsiaTheme="minorEastAsia"/>
                      <w:color w:val="auto"/>
                      <w:spacing w:val="-6"/>
                      <w:kern w:val="0"/>
                      <w:szCs w:val="21"/>
                      <w:highlight w:val="none"/>
                    </w:rPr>
                  </w:pPr>
                  <w:r>
                    <w:rPr>
                      <w:rFonts w:ascii="Times New Roman" w:hAnsi="Times New Roman" w:eastAsiaTheme="minorEastAsia"/>
                      <w:color w:val="auto"/>
                      <w:spacing w:val="-6"/>
                      <w:kern w:val="0"/>
                      <w:szCs w:val="21"/>
                      <w:highlight w:val="none"/>
                    </w:rPr>
                    <w:t>本单位按要求建立台账制度。</w:t>
                  </w:r>
                </w:p>
              </w:tc>
              <w:tc>
                <w:tcPr>
                  <w:tcW w:w="825" w:type="dxa"/>
                  <w:vAlign w:val="center"/>
                </w:tcPr>
                <w:p w14:paraId="5A34207C">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2D999FD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4" w:type="dxa"/>
                  <w:vAlign w:val="center"/>
                </w:tcPr>
                <w:p w14:paraId="6EB2DDDA">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3.9</w:t>
                  </w:r>
                </w:p>
              </w:tc>
              <w:tc>
                <w:tcPr>
                  <w:tcW w:w="4464" w:type="dxa"/>
                  <w:vAlign w:val="center"/>
                </w:tcPr>
                <w:p w14:paraId="352E5348">
                  <w:pPr>
                    <w:spacing w:before="48" w:beforeLines="20"/>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危险废物贮存设施应根据贮存的废物种类和 特性按照 GB18597 附录 A 设置标志。</w:t>
                  </w:r>
                </w:p>
              </w:tc>
              <w:tc>
                <w:tcPr>
                  <w:tcW w:w="2700" w:type="dxa"/>
                  <w:vAlign w:val="center"/>
                </w:tcPr>
                <w:p w14:paraId="52E708D3">
                  <w:pPr>
                    <w:rPr>
                      <w:rFonts w:ascii="Times New Roman" w:hAnsi="Times New Roman" w:eastAsiaTheme="minorEastAsia"/>
                      <w:color w:val="auto"/>
                      <w:spacing w:val="-6"/>
                      <w:kern w:val="0"/>
                      <w:szCs w:val="21"/>
                      <w:highlight w:val="none"/>
                    </w:rPr>
                  </w:pPr>
                  <w:r>
                    <w:rPr>
                      <w:rFonts w:ascii="Times New Roman" w:hAnsi="Times New Roman" w:eastAsiaTheme="minorEastAsia"/>
                      <w:color w:val="auto"/>
                      <w:spacing w:val="-6"/>
                      <w:kern w:val="0"/>
                      <w:szCs w:val="21"/>
                      <w:highlight w:val="none"/>
                    </w:rPr>
                    <w:t>本单位按贮存的废物种类和特性设置标志。</w:t>
                  </w:r>
                </w:p>
              </w:tc>
              <w:tc>
                <w:tcPr>
                  <w:tcW w:w="825" w:type="dxa"/>
                  <w:vAlign w:val="center"/>
                </w:tcPr>
                <w:p w14:paraId="051D151E">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bl>
          <w:p w14:paraId="45302040">
            <w:pPr>
              <w:tabs>
                <w:tab w:val="left" w:pos="0"/>
              </w:tabs>
              <w:snapToGrid w:val="0"/>
              <w:spacing w:line="480" w:lineRule="exact"/>
              <w:jc w:val="center"/>
              <w:rPr>
                <w:rFonts w:ascii="Times New Roman" w:hAnsi="Times New Roman" w:eastAsiaTheme="minorEastAsia"/>
                <w:bCs/>
                <w:color w:val="auto"/>
                <w:sz w:val="24"/>
                <w:szCs w:val="24"/>
                <w:highlight w:val="none"/>
              </w:rPr>
            </w:pPr>
          </w:p>
          <w:p w14:paraId="74E4B361">
            <w:pPr>
              <w:pStyle w:val="21"/>
              <w:rPr>
                <w:color w:val="auto"/>
                <w:highlight w:val="none"/>
              </w:rPr>
            </w:pPr>
          </w:p>
          <w:p w14:paraId="1A2C8E86">
            <w:pPr>
              <w:tabs>
                <w:tab w:val="left" w:pos="0"/>
              </w:tabs>
              <w:snapToGrid w:val="0"/>
              <w:spacing w:line="480" w:lineRule="exact"/>
              <w:jc w:val="center"/>
              <w:rPr>
                <w:rFonts w:ascii="Times New Roman" w:hAnsi="Times New Roman" w:eastAsiaTheme="minorEastAsia"/>
                <w:bCs/>
                <w:color w:val="auto"/>
                <w:sz w:val="24"/>
                <w:szCs w:val="24"/>
                <w:highlight w:val="none"/>
              </w:rPr>
            </w:pPr>
            <w:r>
              <w:rPr>
                <w:rFonts w:ascii="Times New Roman" w:hAnsi="Times New Roman" w:eastAsiaTheme="minorEastAsia"/>
                <w:bCs/>
                <w:color w:val="auto"/>
                <w:sz w:val="24"/>
                <w:szCs w:val="24"/>
                <w:highlight w:val="none"/>
              </w:rPr>
              <w:t>续表1-6  与其他相关规划和环境管理符合性分析</w:t>
            </w:r>
          </w:p>
          <w:tbl>
            <w:tblPr>
              <w:tblStyle w:val="31"/>
              <w:tblW w:w="8393"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11"/>
              <w:gridCol w:w="3854"/>
              <w:gridCol w:w="3314"/>
              <w:gridCol w:w="714"/>
            </w:tblGrid>
            <w:tr w14:paraId="1491F8B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65" w:type="dxa"/>
                  <w:gridSpan w:val="2"/>
                  <w:tcMar>
                    <w:top w:w="57" w:type="dxa"/>
                    <w:left w:w="28" w:type="dxa"/>
                    <w:bottom w:w="57" w:type="dxa"/>
                    <w:right w:w="28" w:type="dxa"/>
                  </w:tcMar>
                  <w:vAlign w:val="center"/>
                </w:tcPr>
                <w:p w14:paraId="3FB25A02">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与项目有关的条例、条文</w:t>
                  </w:r>
                </w:p>
              </w:tc>
              <w:tc>
                <w:tcPr>
                  <w:tcW w:w="3314" w:type="dxa"/>
                  <w:tcMar>
                    <w:top w:w="57" w:type="dxa"/>
                    <w:left w:w="28" w:type="dxa"/>
                    <w:bottom w:w="57" w:type="dxa"/>
                    <w:right w:w="28" w:type="dxa"/>
                  </w:tcMar>
                  <w:vAlign w:val="center"/>
                </w:tcPr>
                <w:p w14:paraId="0F452A1E">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本项目</w:t>
                  </w:r>
                </w:p>
              </w:tc>
              <w:tc>
                <w:tcPr>
                  <w:tcW w:w="714" w:type="dxa"/>
                  <w:tcMar>
                    <w:top w:w="57" w:type="dxa"/>
                    <w:left w:w="28" w:type="dxa"/>
                    <w:bottom w:w="57" w:type="dxa"/>
                    <w:right w:w="28" w:type="dxa"/>
                  </w:tcMar>
                  <w:vAlign w:val="center"/>
                </w:tcPr>
                <w:p w14:paraId="24252644">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符合性</w:t>
                  </w:r>
                </w:p>
              </w:tc>
            </w:tr>
            <w:tr w14:paraId="4BEFD00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393" w:type="dxa"/>
                  <w:gridSpan w:val="4"/>
                  <w:vAlign w:val="center"/>
                </w:tcPr>
                <w:p w14:paraId="46087CD9">
                  <w:pPr>
                    <w:widowControl/>
                    <w:snapToGrid w:val="0"/>
                    <w:spacing w:before="60"/>
                    <w:jc w:val="center"/>
                    <w:rPr>
                      <w:rFonts w:hint="eastAsia" w:ascii="Times New Roman" w:hAnsi="Times New Roman" w:eastAsiaTheme="minorEastAsia"/>
                      <w:color w:val="auto"/>
                      <w:kern w:val="0"/>
                      <w:szCs w:val="21"/>
                      <w:highlight w:val="none"/>
                    </w:rPr>
                  </w:pPr>
                  <w:r>
                    <w:rPr>
                      <w:rFonts w:hint="eastAsia" w:ascii="Times New Roman" w:hAnsi="Times New Roman" w:eastAsiaTheme="minorEastAsia"/>
                      <w:color w:val="auto"/>
                      <w:szCs w:val="21"/>
                      <w:highlight w:val="none"/>
                    </w:rPr>
                    <w:t>4.</w:t>
                  </w:r>
                  <w:r>
                    <w:rPr>
                      <w:rFonts w:ascii="Times New Roman" w:hAnsi="Times New Roman" w:eastAsiaTheme="minorEastAsia"/>
                      <w:color w:val="auto"/>
                      <w:szCs w:val="21"/>
                      <w:highlight w:val="none"/>
                    </w:rPr>
                    <w:t>《危险废物污染防治技术政策》符合性分析</w:t>
                  </w:r>
                </w:p>
              </w:tc>
            </w:tr>
            <w:tr w14:paraId="5FE75A9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1" w:type="dxa"/>
                  <w:vAlign w:val="center"/>
                </w:tcPr>
                <w:p w14:paraId="3F29132D">
                  <w:pPr>
                    <w:widowControl/>
                    <w:snapToGrid w:val="0"/>
                    <w:jc w:val="center"/>
                    <w:rPr>
                      <w:rFonts w:hint="eastAsia"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4.1危险废物减量化</w:t>
                  </w:r>
                </w:p>
              </w:tc>
              <w:tc>
                <w:tcPr>
                  <w:tcW w:w="3854" w:type="dxa"/>
                  <w:vAlign w:val="center"/>
                </w:tcPr>
                <w:p w14:paraId="45F15974">
                  <w:pPr>
                    <w:spacing w:before="48" w:beforeLines="20"/>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企业应积极采用低废、少废、无废工艺。禁止采用《淘汰落后生产能力、符合工艺和产品的目录》中明令淘汰的技术工艺和设备</w:t>
                  </w:r>
                  <w:r>
                    <w:rPr>
                      <w:rFonts w:hint="eastAsia" w:ascii="Times New Roman" w:hAnsi="Times New Roman" w:eastAsiaTheme="minorEastAsia"/>
                      <w:color w:val="auto"/>
                      <w:szCs w:val="21"/>
                      <w:highlight w:val="none"/>
                    </w:rPr>
                    <w:t>。</w:t>
                  </w:r>
                </w:p>
              </w:tc>
              <w:tc>
                <w:tcPr>
                  <w:tcW w:w="3314" w:type="dxa"/>
                  <w:vAlign w:val="center"/>
                </w:tcPr>
                <w:p w14:paraId="1FF2D56E">
                  <w:pPr>
                    <w:rPr>
                      <w:rFonts w:ascii="Times New Roman" w:hAnsi="Times New Roman" w:eastAsiaTheme="minorEastAsia"/>
                      <w:color w:val="auto"/>
                      <w:spacing w:val="-6"/>
                      <w:kern w:val="0"/>
                      <w:szCs w:val="21"/>
                      <w:highlight w:val="none"/>
                    </w:rPr>
                  </w:pPr>
                  <w:r>
                    <w:rPr>
                      <w:rFonts w:ascii="Times New Roman" w:hAnsi="Times New Roman" w:eastAsiaTheme="minorEastAsia"/>
                      <w:color w:val="auto"/>
                      <w:spacing w:val="-6"/>
                      <w:kern w:val="0"/>
                      <w:szCs w:val="21"/>
                      <w:highlight w:val="none"/>
                    </w:rPr>
                    <w:t>本项目主要对危险废物（废旧铅蓄电池）进行收集、暂存，不进行加工</w:t>
                  </w:r>
                  <w:r>
                    <w:rPr>
                      <w:rFonts w:hint="eastAsia" w:ascii="Times New Roman" w:hAnsi="Times New Roman" w:eastAsiaTheme="minorEastAsia"/>
                      <w:color w:val="auto"/>
                      <w:spacing w:val="-6"/>
                      <w:kern w:val="0"/>
                      <w:szCs w:val="21"/>
                      <w:highlight w:val="none"/>
                    </w:rPr>
                    <w:t>。</w:t>
                  </w:r>
                </w:p>
              </w:tc>
              <w:tc>
                <w:tcPr>
                  <w:tcW w:w="714" w:type="dxa"/>
                  <w:vAlign w:val="center"/>
                </w:tcPr>
                <w:p w14:paraId="75565BD8">
                  <w:pPr>
                    <w:widowControl/>
                    <w:snapToGrid w:val="0"/>
                    <w:spacing w:before="60"/>
                    <w:jc w:val="center"/>
                    <w:rPr>
                      <w:rFonts w:hint="eastAsia"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0EF150C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1" w:type="dxa"/>
                  <w:vMerge w:val="restart"/>
                  <w:vAlign w:val="center"/>
                </w:tcPr>
                <w:p w14:paraId="05C45BCB">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4.2危险废物收集和运输</w:t>
                  </w:r>
                </w:p>
              </w:tc>
              <w:tc>
                <w:tcPr>
                  <w:tcW w:w="3854" w:type="dxa"/>
                  <w:vAlign w:val="center"/>
                </w:tcPr>
                <w:p w14:paraId="09BEE569">
                  <w:pPr>
                    <w:spacing w:before="48" w:beforeLines="20"/>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危险废物要根据其成分，用符合国家标准的专门容器分类收集</w:t>
                  </w:r>
                  <w:r>
                    <w:rPr>
                      <w:rFonts w:hint="eastAsia" w:ascii="Times New Roman" w:hAnsi="Times New Roman" w:eastAsiaTheme="minorEastAsia"/>
                      <w:color w:val="auto"/>
                      <w:szCs w:val="21"/>
                      <w:highlight w:val="none"/>
                    </w:rPr>
                    <w:t>。</w:t>
                  </w:r>
                </w:p>
              </w:tc>
              <w:tc>
                <w:tcPr>
                  <w:tcW w:w="3314" w:type="dxa"/>
                  <w:vAlign w:val="center"/>
                </w:tcPr>
                <w:p w14:paraId="609CB785">
                  <w:pPr>
                    <w:rPr>
                      <w:rFonts w:ascii="Times New Roman" w:hAnsi="Times New Roman" w:eastAsiaTheme="minorEastAsia"/>
                      <w:color w:val="auto"/>
                      <w:szCs w:val="21"/>
                      <w:highlight w:val="none"/>
                    </w:rPr>
                  </w:pPr>
                  <w:r>
                    <w:rPr>
                      <w:rFonts w:ascii="Times New Roman" w:hAnsi="Times New Roman" w:eastAsiaTheme="minorEastAsia"/>
                      <w:color w:val="auto"/>
                      <w:spacing w:val="-6"/>
                      <w:kern w:val="0"/>
                      <w:szCs w:val="21"/>
                      <w:highlight w:val="none"/>
                    </w:rPr>
                    <w:t>本项目收集的废旧铅蓄电池储存于专门的防腐防酸容器</w:t>
                  </w:r>
                  <w:r>
                    <w:rPr>
                      <w:rFonts w:hint="eastAsia" w:ascii="Times New Roman" w:hAnsi="Times New Roman" w:eastAsiaTheme="minorEastAsia"/>
                      <w:color w:val="auto"/>
                      <w:spacing w:val="-6"/>
                      <w:kern w:val="0"/>
                      <w:szCs w:val="21"/>
                      <w:highlight w:val="none"/>
                    </w:rPr>
                    <w:t>。</w:t>
                  </w:r>
                </w:p>
              </w:tc>
              <w:tc>
                <w:tcPr>
                  <w:tcW w:w="714" w:type="dxa"/>
                  <w:vAlign w:val="center"/>
                </w:tcPr>
                <w:p w14:paraId="425F5BED">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r w14:paraId="505A639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1" w:type="dxa"/>
                  <w:vMerge w:val="continue"/>
                  <w:vAlign w:val="center"/>
                </w:tcPr>
                <w:p w14:paraId="42F8E971">
                  <w:pPr>
                    <w:widowControl/>
                    <w:snapToGrid w:val="0"/>
                    <w:jc w:val="center"/>
                    <w:rPr>
                      <w:rFonts w:ascii="Times New Roman" w:hAnsi="Times New Roman" w:eastAsiaTheme="minorEastAsia"/>
                      <w:color w:val="auto"/>
                      <w:kern w:val="0"/>
                      <w:szCs w:val="21"/>
                      <w:highlight w:val="none"/>
                    </w:rPr>
                  </w:pPr>
                </w:p>
              </w:tc>
              <w:tc>
                <w:tcPr>
                  <w:tcW w:w="3854" w:type="dxa"/>
                  <w:vAlign w:val="center"/>
                </w:tcPr>
                <w:p w14:paraId="0701015C">
                  <w:pPr>
                    <w:widowControl/>
                    <w:snapToGrid w:val="0"/>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专于危险废物的容器应根据危险废物的不同特性而设计，不易破损、变形、老化，能有效地防止渗漏、扩散。装有危险废物的容器必须贴有标签，在标签上详细标明危险废物的名称、总量、成分、特性以及发生泄漏扩散污染事故时的应急措施和补救方法。</w:t>
                  </w:r>
                </w:p>
              </w:tc>
              <w:tc>
                <w:tcPr>
                  <w:tcW w:w="3314" w:type="dxa"/>
                  <w:vAlign w:val="center"/>
                </w:tcPr>
                <w:p w14:paraId="7901A8F5">
                  <w:pP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第Ⅰ类</w:t>
                  </w:r>
                  <w:r>
                    <w:rPr>
                      <w:rFonts w:hint="eastAsia" w:ascii="Times New Roman" w:hAnsi="Times New Roman" w:eastAsiaTheme="minorEastAsia"/>
                      <w:color w:val="auto"/>
                      <w:szCs w:val="21"/>
                      <w:highlight w:val="none"/>
                      <w:lang w:eastAsia="zh-CN"/>
                    </w:rPr>
                    <w:t>废旧铅酸蓄电池</w:t>
                  </w:r>
                  <w:r>
                    <w:rPr>
                      <w:rFonts w:ascii="Times New Roman" w:hAnsi="Times New Roman" w:eastAsiaTheme="minorEastAsia"/>
                      <w:color w:val="auto"/>
                      <w:szCs w:val="21"/>
                      <w:highlight w:val="none"/>
                    </w:rPr>
                    <w:t>放入防渗防腐塑料托盘</w:t>
                  </w:r>
                  <w:r>
                    <w:rPr>
                      <w:rFonts w:hint="eastAsia" w:ascii="Times New Roman" w:hAnsi="Times New Roman" w:eastAsiaTheme="minorEastAsia"/>
                      <w:color w:val="auto"/>
                      <w:szCs w:val="21"/>
                      <w:highlight w:val="none"/>
                      <w:lang w:val="en-US" w:eastAsia="zh-CN"/>
                    </w:rPr>
                    <w:t>上</w:t>
                  </w:r>
                  <w:r>
                    <w:rPr>
                      <w:rFonts w:ascii="Times New Roman" w:hAnsi="Times New Roman" w:eastAsiaTheme="minorEastAsia"/>
                      <w:color w:val="auto"/>
                      <w:szCs w:val="21"/>
                      <w:highlight w:val="none"/>
                    </w:rPr>
                    <w:t>采用塑料薄膜缠绕包装后暂存，第Ⅱ类</w:t>
                  </w:r>
                  <w:r>
                    <w:rPr>
                      <w:rFonts w:hint="eastAsia" w:ascii="Times New Roman" w:hAnsi="Times New Roman" w:eastAsiaTheme="minorEastAsia"/>
                      <w:color w:val="auto"/>
                      <w:szCs w:val="21"/>
                      <w:highlight w:val="none"/>
                      <w:lang w:eastAsia="zh-CN"/>
                    </w:rPr>
                    <w:t>废旧铅酸蓄电池</w:t>
                  </w:r>
                  <w:r>
                    <w:rPr>
                      <w:rFonts w:ascii="Times New Roman" w:hAnsi="Times New Roman" w:eastAsiaTheme="minorEastAsia"/>
                      <w:color w:val="auto"/>
                      <w:szCs w:val="21"/>
                      <w:highlight w:val="none"/>
                    </w:rPr>
                    <w:t>则放入带盖的防渗防漏的防腐周转箱，塑料托盘和周转箱为不易破损、变形和老化，在容器上贴有标签，明确危险废物的名称、重量、成分、特性，按照规范要求设置围堰等应急措施</w:t>
                  </w:r>
                  <w:r>
                    <w:rPr>
                      <w:rFonts w:hint="eastAsia" w:ascii="Times New Roman" w:hAnsi="Times New Roman" w:eastAsiaTheme="minorEastAsia"/>
                      <w:color w:val="auto"/>
                      <w:szCs w:val="21"/>
                      <w:highlight w:val="none"/>
                    </w:rPr>
                    <w:t>。</w:t>
                  </w:r>
                </w:p>
              </w:tc>
              <w:tc>
                <w:tcPr>
                  <w:tcW w:w="714" w:type="dxa"/>
                  <w:vAlign w:val="center"/>
                </w:tcPr>
                <w:p w14:paraId="203C7DFF">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1D675A7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1" w:type="dxa"/>
                  <w:vMerge w:val="restart"/>
                  <w:vAlign w:val="center"/>
                </w:tcPr>
                <w:p w14:paraId="6E13537B">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4.3危险废物贮存设施要求</w:t>
                  </w:r>
                </w:p>
              </w:tc>
              <w:tc>
                <w:tcPr>
                  <w:tcW w:w="3854" w:type="dxa"/>
                  <w:vAlign w:val="center"/>
                </w:tcPr>
                <w:p w14:paraId="253F1F10">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应建有堵截泄漏的裙脚，地面与裙脚要用坚固防渗的材料建造。应有隔离设施、报警装置和防风、防晒、防雨措施</w:t>
                  </w:r>
                  <w:r>
                    <w:rPr>
                      <w:rFonts w:hint="eastAsia" w:ascii="Times New Roman" w:hAnsi="Times New Roman" w:eastAsiaTheme="minorEastAsia"/>
                      <w:color w:val="auto"/>
                      <w:kern w:val="0"/>
                      <w:szCs w:val="21"/>
                      <w:highlight w:val="none"/>
                    </w:rPr>
                    <w:t>。</w:t>
                  </w:r>
                </w:p>
              </w:tc>
              <w:tc>
                <w:tcPr>
                  <w:tcW w:w="3314" w:type="dxa"/>
                  <w:vAlign w:val="center"/>
                </w:tcPr>
                <w:p w14:paraId="18AEE87F">
                  <w:pPr>
                    <w:rPr>
                      <w:rFonts w:ascii="Times New Roman" w:hAnsi="Times New Roman" w:eastAsiaTheme="minorEastAsia"/>
                      <w:color w:val="auto"/>
                      <w:spacing w:val="-6"/>
                      <w:szCs w:val="21"/>
                      <w:highlight w:val="none"/>
                    </w:rPr>
                  </w:pPr>
                  <w:r>
                    <w:rPr>
                      <w:rFonts w:ascii="Times New Roman" w:hAnsi="Times New Roman" w:eastAsiaTheme="minorEastAsia"/>
                      <w:color w:val="auto"/>
                      <w:spacing w:val="-6"/>
                      <w:szCs w:val="21"/>
                      <w:highlight w:val="none"/>
                    </w:rPr>
                    <w:t>本项目在车间内设置有堵截泄漏的裙脚，采用坚固防渗的材料建造，并采取隔离设施、报警装置，车间具有相应的防风、防晒、防雨功能</w:t>
                  </w:r>
                  <w:r>
                    <w:rPr>
                      <w:rFonts w:hint="eastAsia" w:ascii="Times New Roman" w:hAnsi="Times New Roman" w:eastAsiaTheme="minorEastAsia"/>
                      <w:color w:val="auto"/>
                      <w:spacing w:val="-6"/>
                      <w:szCs w:val="21"/>
                      <w:highlight w:val="none"/>
                    </w:rPr>
                    <w:t>。</w:t>
                  </w:r>
                </w:p>
              </w:tc>
              <w:tc>
                <w:tcPr>
                  <w:tcW w:w="714" w:type="dxa"/>
                  <w:vAlign w:val="center"/>
                </w:tcPr>
                <w:p w14:paraId="0CD16916">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7C03C12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1" w:type="dxa"/>
                  <w:vMerge w:val="continue"/>
                  <w:vAlign w:val="center"/>
                </w:tcPr>
                <w:p w14:paraId="432B1AD1">
                  <w:pPr>
                    <w:widowControl/>
                    <w:snapToGrid w:val="0"/>
                    <w:jc w:val="center"/>
                    <w:rPr>
                      <w:rFonts w:ascii="Times New Roman" w:hAnsi="Times New Roman" w:eastAsiaTheme="minorEastAsia"/>
                      <w:color w:val="auto"/>
                      <w:kern w:val="0"/>
                      <w:szCs w:val="21"/>
                      <w:highlight w:val="none"/>
                    </w:rPr>
                  </w:pPr>
                </w:p>
              </w:tc>
              <w:tc>
                <w:tcPr>
                  <w:tcW w:w="3854" w:type="dxa"/>
                  <w:vAlign w:val="center"/>
                </w:tcPr>
                <w:p w14:paraId="25E04ED8">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基础防渗层为黏土层的，其厚度应在1m 以上，渗透系数应小于10</w:t>
                  </w:r>
                  <w:r>
                    <w:rPr>
                      <w:rFonts w:ascii="Times New Roman" w:hAnsi="Times New Roman" w:eastAsiaTheme="minorEastAsia"/>
                      <w:color w:val="auto"/>
                      <w:kern w:val="0"/>
                      <w:szCs w:val="21"/>
                      <w:highlight w:val="none"/>
                      <w:vertAlign w:val="superscript"/>
                    </w:rPr>
                    <w:t>-7</w:t>
                  </w:r>
                  <w:r>
                    <w:rPr>
                      <w:rFonts w:ascii="Times New Roman" w:hAnsi="Times New Roman" w:eastAsiaTheme="minorEastAsia"/>
                      <w:color w:val="auto"/>
                      <w:kern w:val="0"/>
                      <w:szCs w:val="21"/>
                      <w:highlight w:val="none"/>
                    </w:rPr>
                    <w:t>cm/s；基础防渗层也可用厚度在2mm以上的高密度聚乙烯或其他人工防渗材料组成，渗透系数应小于10</w:t>
                  </w:r>
                  <w:r>
                    <w:rPr>
                      <w:rFonts w:ascii="Times New Roman" w:hAnsi="Times New Roman" w:eastAsiaTheme="minorEastAsia"/>
                      <w:color w:val="auto"/>
                      <w:kern w:val="0"/>
                      <w:szCs w:val="21"/>
                      <w:highlight w:val="none"/>
                      <w:vertAlign w:val="superscript"/>
                    </w:rPr>
                    <w:t>-10</w:t>
                  </w:r>
                  <w:r>
                    <w:rPr>
                      <w:rFonts w:ascii="Times New Roman" w:hAnsi="Times New Roman" w:eastAsiaTheme="minorEastAsia"/>
                      <w:color w:val="auto"/>
                      <w:kern w:val="0"/>
                      <w:szCs w:val="21"/>
                      <w:highlight w:val="none"/>
                    </w:rPr>
                    <w:t>cm/s</w:t>
                  </w:r>
                  <w:r>
                    <w:rPr>
                      <w:rFonts w:hint="eastAsia" w:ascii="Times New Roman" w:hAnsi="Times New Roman" w:eastAsiaTheme="minorEastAsia"/>
                      <w:color w:val="auto"/>
                      <w:kern w:val="0"/>
                      <w:szCs w:val="21"/>
                      <w:highlight w:val="none"/>
                    </w:rPr>
                    <w:t>。</w:t>
                  </w:r>
                </w:p>
              </w:tc>
              <w:tc>
                <w:tcPr>
                  <w:tcW w:w="3314" w:type="dxa"/>
                  <w:vAlign w:val="center"/>
                </w:tcPr>
                <w:p w14:paraId="30488543">
                  <w:pPr>
                    <w:rPr>
                      <w:rFonts w:ascii="Times New Roman" w:hAnsi="Times New Roman" w:eastAsiaTheme="minorEastAsia"/>
                      <w:color w:val="auto"/>
                      <w:spacing w:val="-6"/>
                      <w:szCs w:val="21"/>
                      <w:highlight w:val="none"/>
                    </w:rPr>
                  </w:pPr>
                  <w:r>
                    <w:rPr>
                      <w:rFonts w:ascii="Times New Roman" w:hAnsi="Times New Roman" w:eastAsiaTheme="minorEastAsia"/>
                      <w:color w:val="auto"/>
                      <w:spacing w:val="-6"/>
                      <w:szCs w:val="21"/>
                      <w:highlight w:val="none"/>
                    </w:rPr>
                    <w:t>本项目</w:t>
                  </w:r>
                  <w:r>
                    <w:rPr>
                      <w:rFonts w:hint="eastAsia" w:ascii="Times New Roman" w:hAnsi="Times New Roman" w:eastAsiaTheme="minorEastAsia"/>
                      <w:color w:val="auto"/>
                      <w:spacing w:val="-6"/>
                      <w:szCs w:val="21"/>
                      <w:highlight w:val="none"/>
                      <w:lang w:val="en-US" w:eastAsia="zh-CN"/>
                    </w:rPr>
                    <w:t>车间地面在</w:t>
                  </w:r>
                  <w:r>
                    <w:rPr>
                      <w:rFonts w:ascii="Times New Roman" w:hAnsi="Times New Roman" w:eastAsiaTheme="minorEastAsia"/>
                      <w:color w:val="auto"/>
                      <w:spacing w:val="-6"/>
                      <w:szCs w:val="21"/>
                      <w:highlight w:val="none"/>
                    </w:rPr>
                    <w:t>已有的水泥地面防渗层上，</w:t>
                  </w:r>
                  <w:r>
                    <w:rPr>
                      <w:rFonts w:hint="eastAsia" w:ascii="Times New Roman" w:hAnsi="Times New Roman" w:eastAsiaTheme="minorEastAsia"/>
                      <w:color w:val="auto"/>
                      <w:spacing w:val="-6"/>
                      <w:szCs w:val="21"/>
                      <w:highlight w:val="none"/>
                      <w:lang w:val="en-US" w:eastAsia="zh-CN"/>
                    </w:rPr>
                    <w:t>涂</w:t>
                  </w:r>
                  <w:r>
                    <w:rPr>
                      <w:rFonts w:ascii="Times New Roman" w:hAnsi="Times New Roman" w:eastAsiaTheme="minorEastAsia"/>
                      <w:color w:val="auto"/>
                      <w:spacing w:val="-6"/>
                      <w:szCs w:val="21"/>
                      <w:highlight w:val="none"/>
                    </w:rPr>
                    <w:t>厚度不小于2mm的</w:t>
                  </w:r>
                  <w:r>
                    <w:rPr>
                      <w:rFonts w:hint="eastAsia" w:ascii="Times New Roman" w:hAnsi="Times New Roman" w:eastAsiaTheme="minorEastAsia"/>
                      <w:color w:val="auto"/>
                      <w:spacing w:val="-6"/>
                      <w:szCs w:val="21"/>
                      <w:highlight w:val="none"/>
                      <w:lang w:val="en-US" w:eastAsia="zh-CN"/>
                    </w:rPr>
                    <w:t>防水涂料</w:t>
                  </w:r>
                  <w:r>
                    <w:rPr>
                      <w:rFonts w:ascii="Times New Roman" w:hAnsi="Times New Roman" w:eastAsiaTheme="minorEastAsia"/>
                      <w:color w:val="auto"/>
                      <w:spacing w:val="-6"/>
                      <w:szCs w:val="21"/>
                      <w:highlight w:val="none"/>
                    </w:rPr>
                    <w:t>，防渗结构层渗透系数不应大于1.0×10</w:t>
                  </w:r>
                  <w:r>
                    <w:rPr>
                      <w:rFonts w:ascii="Times New Roman" w:hAnsi="Times New Roman" w:eastAsiaTheme="minorEastAsia"/>
                      <w:color w:val="auto"/>
                      <w:spacing w:val="-6"/>
                      <w:szCs w:val="21"/>
                      <w:highlight w:val="none"/>
                      <w:vertAlign w:val="superscript"/>
                    </w:rPr>
                    <w:t>-10</w:t>
                  </w:r>
                  <w:r>
                    <w:rPr>
                      <w:rFonts w:ascii="Times New Roman" w:hAnsi="Times New Roman" w:eastAsiaTheme="minorEastAsia"/>
                      <w:color w:val="auto"/>
                      <w:spacing w:val="-6"/>
                      <w:szCs w:val="21"/>
                      <w:highlight w:val="none"/>
                    </w:rPr>
                    <w:t xml:space="preserve"> cm/s，并采用环氧树脂防腐，渗透系数小于10</w:t>
                  </w:r>
                  <w:r>
                    <w:rPr>
                      <w:rFonts w:ascii="Times New Roman" w:hAnsi="Times New Roman" w:eastAsiaTheme="minorEastAsia"/>
                      <w:color w:val="auto"/>
                      <w:spacing w:val="-6"/>
                      <w:szCs w:val="21"/>
                      <w:highlight w:val="none"/>
                      <w:vertAlign w:val="superscript"/>
                    </w:rPr>
                    <w:t>-10</w:t>
                  </w:r>
                  <w:r>
                    <w:rPr>
                      <w:rFonts w:ascii="Times New Roman" w:hAnsi="Times New Roman" w:eastAsiaTheme="minorEastAsia"/>
                      <w:color w:val="auto"/>
                      <w:spacing w:val="-6"/>
                      <w:szCs w:val="21"/>
                      <w:highlight w:val="none"/>
                    </w:rPr>
                    <w:t>cm/s</w:t>
                  </w:r>
                  <w:r>
                    <w:rPr>
                      <w:rFonts w:hint="eastAsia" w:ascii="Times New Roman" w:hAnsi="Times New Roman" w:eastAsiaTheme="minorEastAsia"/>
                      <w:color w:val="auto"/>
                      <w:spacing w:val="-6"/>
                      <w:szCs w:val="21"/>
                      <w:highlight w:val="none"/>
                    </w:rPr>
                    <w:t>。</w:t>
                  </w:r>
                </w:p>
              </w:tc>
              <w:tc>
                <w:tcPr>
                  <w:tcW w:w="714" w:type="dxa"/>
                  <w:vAlign w:val="center"/>
                </w:tcPr>
                <w:p w14:paraId="20F57C6A">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30AAC8D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1" w:type="dxa"/>
                  <w:vMerge w:val="continue"/>
                  <w:vAlign w:val="center"/>
                </w:tcPr>
                <w:p w14:paraId="72B35B76">
                  <w:pPr>
                    <w:widowControl/>
                    <w:snapToGrid w:val="0"/>
                    <w:jc w:val="center"/>
                    <w:rPr>
                      <w:rFonts w:ascii="Times New Roman" w:hAnsi="Times New Roman" w:eastAsiaTheme="minorEastAsia"/>
                      <w:color w:val="auto"/>
                      <w:kern w:val="0"/>
                      <w:szCs w:val="21"/>
                      <w:highlight w:val="none"/>
                    </w:rPr>
                  </w:pPr>
                </w:p>
              </w:tc>
              <w:tc>
                <w:tcPr>
                  <w:tcW w:w="3854" w:type="dxa"/>
                  <w:vAlign w:val="center"/>
                </w:tcPr>
                <w:p w14:paraId="332EE285">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须有泄漏液体收集装置及气体净化装置</w:t>
                  </w:r>
                  <w:r>
                    <w:rPr>
                      <w:rFonts w:hint="eastAsia" w:ascii="Times New Roman" w:hAnsi="Times New Roman" w:eastAsiaTheme="minorEastAsia"/>
                      <w:color w:val="auto"/>
                      <w:kern w:val="0"/>
                      <w:szCs w:val="21"/>
                      <w:highlight w:val="none"/>
                    </w:rPr>
                    <w:t>。</w:t>
                  </w:r>
                </w:p>
              </w:tc>
              <w:tc>
                <w:tcPr>
                  <w:tcW w:w="3314" w:type="dxa"/>
                  <w:vAlign w:val="center"/>
                </w:tcPr>
                <w:p w14:paraId="32F80194">
                  <w:pPr>
                    <w:rPr>
                      <w:rFonts w:ascii="Times New Roman" w:hAnsi="Times New Roman" w:eastAsiaTheme="minorEastAsia"/>
                      <w:color w:val="auto"/>
                      <w:spacing w:val="-6"/>
                      <w:szCs w:val="21"/>
                      <w:highlight w:val="none"/>
                    </w:rPr>
                  </w:pPr>
                  <w:r>
                    <w:rPr>
                      <w:rFonts w:ascii="Times New Roman" w:hAnsi="Times New Roman" w:eastAsiaTheme="minorEastAsia"/>
                      <w:color w:val="auto"/>
                      <w:spacing w:val="-6"/>
                      <w:szCs w:val="21"/>
                      <w:highlight w:val="none"/>
                    </w:rPr>
                    <w:t>在破损铅蓄电池储存间设置有废气收集及净化装置（</w:t>
                  </w:r>
                  <w:r>
                    <w:rPr>
                      <w:rFonts w:hint="eastAsia" w:ascii="Times New Roman" w:hAnsi="Times New Roman" w:eastAsiaTheme="minorEastAsia"/>
                      <w:color w:val="auto"/>
                      <w:spacing w:val="-6"/>
                      <w:szCs w:val="21"/>
                      <w:highlight w:val="none"/>
                    </w:rPr>
                    <w:t>脱硫塔</w:t>
                  </w:r>
                  <w:r>
                    <w:rPr>
                      <w:rFonts w:ascii="Times New Roman" w:hAnsi="Times New Roman" w:eastAsiaTheme="minorEastAsia"/>
                      <w:color w:val="auto"/>
                      <w:spacing w:val="-6"/>
                      <w:szCs w:val="21"/>
                      <w:highlight w:val="none"/>
                    </w:rPr>
                    <w:t>）</w:t>
                  </w:r>
                  <w:r>
                    <w:rPr>
                      <w:rFonts w:hint="eastAsia" w:ascii="Times New Roman" w:hAnsi="Times New Roman" w:eastAsiaTheme="minorEastAsia"/>
                      <w:color w:val="auto"/>
                      <w:spacing w:val="-6"/>
                      <w:szCs w:val="21"/>
                      <w:highlight w:val="none"/>
                    </w:rPr>
                    <w:t>。</w:t>
                  </w:r>
                </w:p>
              </w:tc>
              <w:tc>
                <w:tcPr>
                  <w:tcW w:w="714" w:type="dxa"/>
                  <w:vAlign w:val="center"/>
                </w:tcPr>
                <w:p w14:paraId="325083BA">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7D28430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1" w:type="dxa"/>
                  <w:vMerge w:val="continue"/>
                  <w:vAlign w:val="center"/>
                </w:tcPr>
                <w:p w14:paraId="052EEB97">
                  <w:pPr>
                    <w:widowControl/>
                    <w:snapToGrid w:val="0"/>
                    <w:jc w:val="center"/>
                    <w:rPr>
                      <w:rFonts w:ascii="Times New Roman" w:hAnsi="Times New Roman" w:eastAsiaTheme="minorEastAsia"/>
                      <w:color w:val="auto"/>
                      <w:kern w:val="0"/>
                      <w:szCs w:val="21"/>
                      <w:highlight w:val="none"/>
                    </w:rPr>
                  </w:pPr>
                </w:p>
              </w:tc>
              <w:tc>
                <w:tcPr>
                  <w:tcW w:w="3854" w:type="dxa"/>
                  <w:vAlign w:val="center"/>
                </w:tcPr>
                <w:p w14:paraId="52DE3E45">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贮存易燃易爆的危险废物的场所应配备消防设备</w:t>
                  </w:r>
                  <w:r>
                    <w:rPr>
                      <w:rFonts w:hint="eastAsia" w:ascii="Times New Roman" w:hAnsi="Times New Roman" w:eastAsiaTheme="minorEastAsia"/>
                      <w:color w:val="auto"/>
                      <w:kern w:val="0"/>
                      <w:szCs w:val="21"/>
                      <w:highlight w:val="none"/>
                    </w:rPr>
                    <w:t>。</w:t>
                  </w:r>
                </w:p>
              </w:tc>
              <w:tc>
                <w:tcPr>
                  <w:tcW w:w="3314" w:type="dxa"/>
                  <w:vAlign w:val="center"/>
                </w:tcPr>
                <w:p w14:paraId="0A1BD02F">
                  <w:pPr>
                    <w:rPr>
                      <w:rFonts w:ascii="Times New Roman" w:hAnsi="Times New Roman" w:eastAsiaTheme="minorEastAsia"/>
                      <w:color w:val="auto"/>
                      <w:spacing w:val="-6"/>
                      <w:szCs w:val="21"/>
                      <w:highlight w:val="none"/>
                    </w:rPr>
                  </w:pPr>
                  <w:r>
                    <w:rPr>
                      <w:rFonts w:ascii="Times New Roman" w:hAnsi="Times New Roman" w:eastAsiaTheme="minorEastAsia"/>
                      <w:color w:val="auto"/>
                      <w:spacing w:val="-6"/>
                      <w:szCs w:val="21"/>
                      <w:highlight w:val="none"/>
                    </w:rPr>
                    <w:t>本项目在厂区按照要求设置了符合规范要求的消防设备（干粉灭火器、生石灰等）</w:t>
                  </w:r>
                  <w:r>
                    <w:rPr>
                      <w:rFonts w:hint="eastAsia" w:ascii="Times New Roman" w:hAnsi="Times New Roman" w:eastAsiaTheme="minorEastAsia"/>
                      <w:color w:val="auto"/>
                      <w:spacing w:val="-6"/>
                      <w:szCs w:val="21"/>
                      <w:highlight w:val="none"/>
                    </w:rPr>
                    <w:t>。</w:t>
                  </w:r>
                </w:p>
              </w:tc>
              <w:tc>
                <w:tcPr>
                  <w:tcW w:w="714" w:type="dxa"/>
                  <w:vAlign w:val="center"/>
                </w:tcPr>
                <w:p w14:paraId="3956D8C0">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4E1EF56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1" w:type="dxa"/>
                  <w:vMerge w:val="continue"/>
                  <w:vAlign w:val="center"/>
                </w:tcPr>
                <w:p w14:paraId="614B72F9">
                  <w:pPr>
                    <w:widowControl/>
                    <w:snapToGrid w:val="0"/>
                    <w:jc w:val="center"/>
                    <w:rPr>
                      <w:rFonts w:ascii="Times New Roman" w:hAnsi="Times New Roman" w:eastAsiaTheme="minorEastAsia"/>
                      <w:color w:val="auto"/>
                      <w:kern w:val="0"/>
                      <w:szCs w:val="21"/>
                      <w:highlight w:val="none"/>
                    </w:rPr>
                  </w:pPr>
                </w:p>
              </w:tc>
              <w:tc>
                <w:tcPr>
                  <w:tcW w:w="3854" w:type="dxa"/>
                  <w:vAlign w:val="center"/>
                </w:tcPr>
                <w:p w14:paraId="4B5FC6A1">
                  <w:pPr>
                    <w:widowControl/>
                    <w:snapToGrid w:val="0"/>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危险废物的贮存设施的选址与设计、运行与管理、安全防护、环境监测及应急措施以及关闭等须遵循《危险废物贮存污染控制标准》的规定</w:t>
                  </w:r>
                  <w:r>
                    <w:rPr>
                      <w:rFonts w:hint="eastAsia" w:ascii="Times New Roman" w:hAnsi="Times New Roman" w:eastAsiaTheme="minorEastAsia"/>
                      <w:color w:val="auto"/>
                      <w:kern w:val="0"/>
                      <w:szCs w:val="21"/>
                      <w:highlight w:val="none"/>
                    </w:rPr>
                    <w:t>。</w:t>
                  </w:r>
                </w:p>
              </w:tc>
              <w:tc>
                <w:tcPr>
                  <w:tcW w:w="3314" w:type="dxa"/>
                  <w:vAlign w:val="center"/>
                </w:tcPr>
                <w:p w14:paraId="119D6DE8">
                  <w:pPr>
                    <w:rPr>
                      <w:rFonts w:ascii="Times New Roman" w:hAnsi="Times New Roman" w:eastAsiaTheme="minorEastAsia"/>
                      <w:color w:val="auto"/>
                      <w:spacing w:val="-6"/>
                      <w:szCs w:val="21"/>
                      <w:highlight w:val="none"/>
                    </w:rPr>
                  </w:pPr>
                  <w:r>
                    <w:rPr>
                      <w:rFonts w:ascii="Times New Roman" w:hAnsi="Times New Roman" w:eastAsiaTheme="minorEastAsia"/>
                      <w:color w:val="auto"/>
                      <w:spacing w:val="-6"/>
                      <w:szCs w:val="21"/>
                      <w:highlight w:val="none"/>
                    </w:rPr>
                    <w:t>本项目的选址、设计、运行、管理均符合《危险废物贮存污染控制标准》的规定</w:t>
                  </w:r>
                  <w:r>
                    <w:rPr>
                      <w:rFonts w:hint="eastAsia" w:ascii="Times New Roman" w:hAnsi="Times New Roman" w:eastAsiaTheme="minorEastAsia"/>
                      <w:color w:val="auto"/>
                      <w:spacing w:val="-6"/>
                      <w:szCs w:val="21"/>
                      <w:highlight w:val="none"/>
                    </w:rPr>
                    <w:t>。</w:t>
                  </w:r>
                </w:p>
              </w:tc>
              <w:tc>
                <w:tcPr>
                  <w:tcW w:w="714" w:type="dxa"/>
                  <w:vAlign w:val="center"/>
                </w:tcPr>
                <w:p w14:paraId="052F8013">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4ADCEB5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393" w:type="dxa"/>
                  <w:gridSpan w:val="4"/>
                  <w:vAlign w:val="center"/>
                </w:tcPr>
                <w:p w14:paraId="6FF92C45">
                  <w:pPr>
                    <w:widowControl/>
                    <w:snapToGrid w:val="0"/>
                    <w:spacing w:before="6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5.《危险废物贮存污染控制标准》（</w:t>
                  </w:r>
                  <w:r>
                    <w:rPr>
                      <w:rFonts w:hint="default" w:ascii="Times New Roman" w:hAnsi="Times New Roman" w:eastAsia="宋体" w:cs="Times New Roman"/>
                      <w:color w:val="auto"/>
                      <w:kern w:val="0"/>
                      <w:sz w:val="21"/>
                      <w:szCs w:val="21"/>
                      <w:highlight w:val="none"/>
                      <w:lang w:val="en-US" w:eastAsia="zh-CN"/>
                    </w:rPr>
                    <w:t>GB18597-2023</w:t>
                  </w:r>
                  <w:r>
                    <w:rPr>
                      <w:rFonts w:hint="default" w:ascii="Times New Roman" w:hAnsi="Times New Roman" w:eastAsia="宋体" w:cs="Times New Roman"/>
                      <w:color w:val="auto"/>
                      <w:kern w:val="0"/>
                      <w:sz w:val="21"/>
                      <w:szCs w:val="21"/>
                      <w:highlight w:val="none"/>
                    </w:rPr>
                    <w:t>）符合性分析</w:t>
                  </w:r>
                </w:p>
              </w:tc>
            </w:tr>
            <w:tr w14:paraId="59D975C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1" w:type="dxa"/>
                  <w:vAlign w:val="center"/>
                </w:tcPr>
                <w:p w14:paraId="14E6D695">
                  <w:pPr>
                    <w:widowControl/>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5.1总体要求</w:t>
                  </w:r>
                </w:p>
              </w:tc>
              <w:tc>
                <w:tcPr>
                  <w:tcW w:w="3854" w:type="dxa"/>
                  <w:vAlign w:val="center"/>
                </w:tcPr>
                <w:p w14:paraId="1BF3774D">
                  <w:pPr>
                    <w:autoSpaceDE w:val="0"/>
                    <w:autoSpaceDN w:val="0"/>
                    <w:adjustRightInd w:val="0"/>
                    <w:spacing w:line="3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rPr>
                    <w:t>产生、收集、贮存、利用、处置危险废物的单位应建造危险废物贮存设施或设置贮存场所，并根据需要选择贮存设施类型。</w:t>
                  </w:r>
                </w:p>
                <w:p w14:paraId="72E2AE1E">
                  <w:pPr>
                    <w:autoSpaceDE w:val="0"/>
                    <w:autoSpaceDN w:val="0"/>
                    <w:adjustRightInd w:val="0"/>
                    <w:spacing w:line="3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rPr>
                    <w:t>贮存危险废物应根据危险废物的类别、数量、形态、物理化学性质和环境风险等因素，确定贮存设施或场所类型和规模。</w:t>
                  </w:r>
                </w:p>
                <w:p w14:paraId="4EC98C02">
                  <w:pPr>
                    <w:autoSpaceDE w:val="0"/>
                    <w:autoSpaceDN w:val="0"/>
                    <w:adjustRightInd w:val="0"/>
                    <w:spacing w:line="3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rPr>
                    <w:t>贮存危险废物应根据危险废物的类别、形态、物理化学性质和污染防治要求进行分类贮存，且应避免危险废物与不相容的物质或材料接触。</w:t>
                  </w:r>
                </w:p>
              </w:tc>
              <w:tc>
                <w:tcPr>
                  <w:tcW w:w="3314" w:type="dxa"/>
                  <w:vAlign w:val="center"/>
                </w:tcPr>
                <w:p w14:paraId="434A9C40">
                  <w:pPr>
                    <w:autoSpaceDE w:val="0"/>
                    <w:autoSpaceDN w:val="0"/>
                    <w:adjustRightInd w:val="0"/>
                    <w:spacing w:line="3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rPr>
                    <w:t>本项目进行危险废物</w:t>
                  </w:r>
                  <w:r>
                    <w:rPr>
                      <w:rFonts w:hint="eastAsia" w:ascii="Times New Roman" w:hAnsi="Times New Roman" w:cs="Times New Roman"/>
                      <w:color w:val="auto"/>
                      <w:sz w:val="21"/>
                      <w:szCs w:val="21"/>
                      <w:highlight w:val="none"/>
                      <w:lang w:eastAsia="zh-CN"/>
                    </w:rPr>
                    <w:t>废旧铅酸蓄电池</w:t>
                  </w:r>
                  <w:r>
                    <w:rPr>
                      <w:rFonts w:hint="default" w:ascii="Times New Roman" w:hAnsi="Times New Roman" w:eastAsia="宋体" w:cs="Times New Roman"/>
                      <w:color w:val="auto"/>
                      <w:sz w:val="21"/>
                      <w:szCs w:val="21"/>
                      <w:highlight w:val="none"/>
                    </w:rPr>
                    <w:t>的收集和贮存，建设危险废物贮存车间。</w:t>
                  </w:r>
                </w:p>
                <w:p w14:paraId="70FBAFF1">
                  <w:pPr>
                    <w:autoSpaceDE w:val="0"/>
                    <w:autoSpaceDN w:val="0"/>
                    <w:adjustRightInd w:val="0"/>
                    <w:spacing w:line="3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rPr>
                    <w:t>本项目为</w:t>
                  </w:r>
                  <w:r>
                    <w:rPr>
                      <w:rFonts w:hint="eastAsia" w:ascii="Times New Roman" w:hAnsi="Times New Roman" w:cs="Times New Roman"/>
                      <w:color w:val="auto"/>
                      <w:sz w:val="21"/>
                      <w:szCs w:val="21"/>
                      <w:highlight w:val="none"/>
                      <w:lang w:eastAsia="zh-CN"/>
                    </w:rPr>
                    <w:t>废旧铅酸蓄电池</w:t>
                  </w:r>
                  <w:r>
                    <w:rPr>
                      <w:rFonts w:hint="default" w:ascii="Times New Roman" w:hAnsi="Times New Roman" w:eastAsia="宋体" w:cs="Times New Roman"/>
                      <w:color w:val="auto"/>
                      <w:sz w:val="21"/>
                      <w:szCs w:val="21"/>
                      <w:highlight w:val="none"/>
                    </w:rPr>
                    <w:t>的收集、储存，不涉及易燃、易爆危险品贮存。本项目利用原有的厂房改建危险废物贮存车间，</w:t>
                  </w:r>
                  <w:r>
                    <w:rPr>
                      <w:rFonts w:hint="eastAsia" w:ascii="Times New Roman" w:hAnsi="Times New Roman" w:cs="Times New Roman"/>
                      <w:color w:val="auto"/>
                      <w:sz w:val="21"/>
                      <w:szCs w:val="21"/>
                      <w:highlight w:val="none"/>
                      <w:lang w:val="en-US" w:eastAsia="zh-CN"/>
                    </w:rPr>
                    <w:t>对</w:t>
                  </w:r>
                  <w:r>
                    <w:rPr>
                      <w:rFonts w:hint="default" w:ascii="Times New Roman" w:hAnsi="Times New Roman" w:eastAsia="宋体" w:cs="Times New Roman"/>
                      <w:color w:val="auto"/>
                      <w:sz w:val="21"/>
                      <w:szCs w:val="21"/>
                      <w:highlight w:val="none"/>
                    </w:rPr>
                    <w:t>地面进行防渗防腐处理。</w:t>
                  </w:r>
                </w:p>
                <w:p w14:paraId="33BF56B3">
                  <w:pPr>
                    <w:autoSpaceDE w:val="0"/>
                    <w:autoSpaceDN w:val="0"/>
                    <w:adjustRightInd w:val="0"/>
                    <w:spacing w:line="300" w:lineRule="exact"/>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rPr>
                    <w:t>本项目各类危险废物均分区单独存放</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盛装容器为耐酸耐腐的塑料材质，满足强度及相容要求。</w:t>
                  </w:r>
                </w:p>
              </w:tc>
              <w:tc>
                <w:tcPr>
                  <w:tcW w:w="714" w:type="dxa"/>
                  <w:vAlign w:val="center"/>
                </w:tcPr>
                <w:p w14:paraId="06C752EA">
                  <w:pPr>
                    <w:pStyle w:val="42"/>
                    <w:spacing w:line="30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4168D4C6">
            <w:pPr>
              <w:tabs>
                <w:tab w:val="left" w:pos="0"/>
              </w:tabs>
              <w:snapToGrid w:val="0"/>
              <w:spacing w:line="48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续表1-6  与其他相关规划和环境管理符合性分析</w:t>
            </w:r>
          </w:p>
          <w:tbl>
            <w:tblPr>
              <w:tblStyle w:val="31"/>
              <w:tblW w:w="8393"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54"/>
              <w:gridCol w:w="364"/>
              <w:gridCol w:w="3501"/>
              <w:gridCol w:w="3485"/>
              <w:gridCol w:w="689"/>
            </w:tblGrid>
            <w:tr w14:paraId="3E1A46C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9" w:type="dxa"/>
                  <w:gridSpan w:val="3"/>
                  <w:tcMar>
                    <w:top w:w="57" w:type="dxa"/>
                    <w:left w:w="28" w:type="dxa"/>
                    <w:bottom w:w="57" w:type="dxa"/>
                    <w:right w:w="28" w:type="dxa"/>
                  </w:tcMar>
                  <w:vAlign w:val="center"/>
                </w:tcPr>
                <w:p w14:paraId="5E8E4613">
                  <w:pPr>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与项目有关的条例、条文</w:t>
                  </w:r>
                </w:p>
              </w:tc>
              <w:tc>
                <w:tcPr>
                  <w:tcW w:w="3485" w:type="dxa"/>
                  <w:tcMar>
                    <w:top w:w="57" w:type="dxa"/>
                    <w:left w:w="28" w:type="dxa"/>
                    <w:bottom w:w="57" w:type="dxa"/>
                    <w:right w:w="28" w:type="dxa"/>
                  </w:tcMar>
                  <w:vAlign w:val="center"/>
                </w:tcPr>
                <w:p w14:paraId="7B34813A">
                  <w:pPr>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w:t>
                  </w:r>
                </w:p>
              </w:tc>
              <w:tc>
                <w:tcPr>
                  <w:tcW w:w="689" w:type="dxa"/>
                  <w:tcMar>
                    <w:top w:w="57" w:type="dxa"/>
                    <w:left w:w="28" w:type="dxa"/>
                    <w:bottom w:w="57" w:type="dxa"/>
                    <w:right w:w="28" w:type="dxa"/>
                  </w:tcMar>
                  <w:vAlign w:val="center"/>
                </w:tcPr>
                <w:p w14:paraId="0347BC41">
                  <w:pPr>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符合性</w:t>
                  </w:r>
                </w:p>
              </w:tc>
            </w:tr>
            <w:tr w14:paraId="41A7E91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4" w:type="dxa"/>
                  <w:vAlign w:val="center"/>
                </w:tcPr>
                <w:p w14:paraId="739DA6F9">
                  <w:pPr>
                    <w:widowControl/>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5.1总体要求</w:t>
                  </w:r>
                </w:p>
              </w:tc>
              <w:tc>
                <w:tcPr>
                  <w:tcW w:w="3865" w:type="dxa"/>
                  <w:gridSpan w:val="2"/>
                  <w:vAlign w:val="center"/>
                </w:tcPr>
                <w:p w14:paraId="1EA91A39">
                  <w:pPr>
                    <w:spacing w:before="48" w:beforeLines="2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④</w:t>
                  </w:r>
                  <w:r>
                    <w:rPr>
                      <w:rFonts w:hint="default" w:ascii="Times New Roman" w:hAnsi="Times New Roman" w:eastAsia="宋体" w:cs="Times New Roman"/>
                      <w:color w:val="auto"/>
                      <w:sz w:val="21"/>
                      <w:szCs w:val="21"/>
                      <w:highlight w:val="none"/>
                    </w:rPr>
                    <w:t>危险废物贮存过程产生的液态废物和固态废物应分类收集，按其环境管理要求妥善处理。</w:t>
                  </w:r>
                </w:p>
                <w:p w14:paraId="685D8415">
                  <w:pPr>
                    <w:spacing w:before="48" w:beforeLines="2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⑤</w:t>
                  </w:r>
                  <w:r>
                    <w:rPr>
                      <w:rFonts w:hint="default" w:ascii="Times New Roman" w:hAnsi="Times New Roman" w:eastAsia="宋体" w:cs="Times New Roman"/>
                      <w:color w:val="auto"/>
                      <w:sz w:val="21"/>
                      <w:szCs w:val="21"/>
                      <w:highlight w:val="none"/>
                    </w:rPr>
                    <w:t>贮存设施或场所、容器和包装物应按 HJ 1276 要求设置危险废物贮存设施或场所标志、危险废物贮存分区标志和危险废物标签等危险废物识别标志。</w:t>
                  </w:r>
                </w:p>
                <w:p w14:paraId="40F3198F">
                  <w:pPr>
                    <w:spacing w:before="48" w:beforeLines="2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⑥</w:t>
                  </w:r>
                  <w:r>
                    <w:rPr>
                      <w:rFonts w:hint="default" w:ascii="Times New Roman" w:hAnsi="Times New Roman" w:eastAsia="宋体" w:cs="Times New Roman"/>
                      <w:color w:val="auto"/>
                      <w:sz w:val="21"/>
                      <w:szCs w:val="21"/>
                      <w:highlight w:val="none"/>
                    </w:rPr>
                    <w:t>HJ 1259规定的危险废物环境重点监管单位，应采用电子地磅、电子标签、电子管理台账等技术手段对危险废物贮存过程进行信息化管理，确保数据完整、真实、准确；采用视频监控的应确保监控画面清晰，视频记录保存时间至少为3个月。</w:t>
                  </w:r>
                </w:p>
                <w:p w14:paraId="12D47013">
                  <w:pPr>
                    <w:spacing w:before="48" w:beforeLines="2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⑦危险废物贮存除应满足环境保护相关要求外，还应执行国家安全生产、职业健康、交通运输、消防等法律法规和标准的相关要求。</w:t>
                  </w:r>
                </w:p>
              </w:tc>
              <w:tc>
                <w:tcPr>
                  <w:tcW w:w="3485" w:type="dxa"/>
                  <w:vAlign w:val="center"/>
                </w:tcPr>
                <w:p w14:paraId="38F92C97">
                  <w:pPr>
                    <w:spacing w:before="48" w:beforeLines="2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④项目自身产生的危险废物分类分区贮存于危险废物暂存区，废电解液及废喷淋塔吸收液收集至密闭的桶内，并交有资质单位处置</w:t>
                  </w:r>
                  <w:r>
                    <w:rPr>
                      <w:rFonts w:hint="eastAsia" w:ascii="Times New Roman" w:hAnsi="Times New Roman" w:cs="Times New Roman"/>
                      <w:color w:val="auto"/>
                      <w:sz w:val="21"/>
                      <w:szCs w:val="21"/>
                      <w:highlight w:val="none"/>
                      <w:lang w:val="en-US" w:eastAsia="zh-CN"/>
                    </w:rPr>
                    <w:t>。</w:t>
                  </w:r>
                </w:p>
                <w:p w14:paraId="1BB3A510">
                  <w:pPr>
                    <w:spacing w:before="48" w:beforeLines="2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⑤项目贮存车间将按照HJ 1276和GB15562.2及修改单要求设置危险废物贮存设施或场所标志、危险废物贮存分区标志和危险废物标签等危险废物识别标志</w:t>
                  </w:r>
                  <w:r>
                    <w:rPr>
                      <w:rFonts w:hint="eastAsia" w:ascii="Times New Roman" w:hAnsi="Times New Roman" w:cs="Times New Roman"/>
                      <w:color w:val="auto"/>
                      <w:sz w:val="21"/>
                      <w:szCs w:val="21"/>
                      <w:highlight w:val="none"/>
                      <w:lang w:val="en-US" w:eastAsia="zh-CN"/>
                    </w:rPr>
                    <w:t>。</w:t>
                  </w:r>
                </w:p>
                <w:p w14:paraId="05B1D796">
                  <w:pPr>
                    <w:spacing w:before="48" w:beforeLines="2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⑥本项目将按照HJ 1259规定对危险废物贮存过程进行信息化管理，规范危险废物管理计划和管理台账要求，并按要求进行视频监控，保存视频记录。</w:t>
                  </w:r>
                </w:p>
                <w:p w14:paraId="0715AB19">
                  <w:pPr>
                    <w:spacing w:before="48" w:beforeLines="20"/>
                    <w:rPr>
                      <w:rFonts w:hint="default" w:ascii="Times New Roman" w:hAnsi="Times New Roman" w:eastAsia="宋体" w:cs="Times New Roman"/>
                      <w:color w:val="auto"/>
                      <w:spacing w:val="-6"/>
                      <w:kern w:val="0"/>
                      <w:sz w:val="21"/>
                      <w:szCs w:val="21"/>
                      <w:highlight w:val="none"/>
                    </w:rPr>
                  </w:pPr>
                  <w:r>
                    <w:rPr>
                      <w:rFonts w:hint="default" w:ascii="Times New Roman" w:hAnsi="Times New Roman" w:eastAsia="宋体" w:cs="Times New Roman"/>
                      <w:color w:val="auto"/>
                      <w:sz w:val="21"/>
                      <w:szCs w:val="21"/>
                      <w:highlight w:val="none"/>
                      <w:lang w:val="en-US" w:eastAsia="zh-CN"/>
                    </w:rPr>
                    <w:t>⑦本项目运营期将按照环境保护相关要求及国家安全生产、职业健康、交通运输、消防等法律法规和标准的相关要求运营。</w:t>
                  </w:r>
                </w:p>
              </w:tc>
              <w:tc>
                <w:tcPr>
                  <w:tcW w:w="689" w:type="dxa"/>
                  <w:vAlign w:val="center"/>
                </w:tcPr>
                <w:p w14:paraId="1C6108DC">
                  <w:pPr>
                    <w:widowControl/>
                    <w:snapToGrid w:val="0"/>
                    <w:spacing w:before="6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符合</w:t>
                  </w:r>
                </w:p>
              </w:tc>
            </w:tr>
            <w:tr w14:paraId="4576878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4" w:type="dxa"/>
                  <w:vAlign w:val="center"/>
                </w:tcPr>
                <w:p w14:paraId="7CBBFFA4">
                  <w:pPr>
                    <w:widowControl/>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5.2选址要求</w:t>
                  </w:r>
                </w:p>
              </w:tc>
              <w:tc>
                <w:tcPr>
                  <w:tcW w:w="3865" w:type="dxa"/>
                  <w:gridSpan w:val="2"/>
                  <w:vAlign w:val="center"/>
                </w:tcPr>
                <w:p w14:paraId="2AF23813">
                  <w:pPr>
                    <w:spacing w:before="48" w:beforeLines="2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rPr>
                    <w:t>贮存设施选址应满足生态环境保护法律法规、规划和“三线一单”生态环境分区管控的要求，建设项目应依法进行环境影响评价。</w:t>
                  </w:r>
                </w:p>
                <w:p w14:paraId="07EA1CA4">
                  <w:pPr>
                    <w:spacing w:before="48" w:beforeLines="2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rPr>
                    <w:t>集中贮存设施不应选在生态保护红线区域、永久基本农田和其他需要特别保护的区域内，不应建在溶洞区或易遭受洪水、滑坡、泥石流、潮汐等严重自然灾害影响的地区。</w:t>
                  </w:r>
                </w:p>
                <w:p w14:paraId="53C21934">
                  <w:pPr>
                    <w:spacing w:before="48" w:beforeLines="2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rPr>
                    <w:t>贮存设施不应选在江河、湖泊、运河、渠道、水库及其最高水位线以下的滩地和岸坡，以及法律法规规定禁止贮存危险废物的其他地点。</w:t>
                  </w:r>
                </w:p>
                <w:p w14:paraId="6695DBE3">
                  <w:pPr>
                    <w:spacing w:before="48" w:beforeLines="2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④</w:t>
                  </w:r>
                  <w:r>
                    <w:rPr>
                      <w:rFonts w:hint="default" w:ascii="Times New Roman" w:hAnsi="Times New Roman" w:eastAsia="宋体" w:cs="Times New Roman"/>
                      <w:color w:val="auto"/>
                      <w:sz w:val="21"/>
                      <w:szCs w:val="21"/>
                      <w:highlight w:val="none"/>
                    </w:rPr>
                    <w:t>贮存设施场址的位置以及其与周围环境敏感目标的距离应依据环境影响评价文件确定。</w:t>
                  </w:r>
                </w:p>
              </w:tc>
              <w:tc>
                <w:tcPr>
                  <w:tcW w:w="3485" w:type="dxa"/>
                  <w:vAlign w:val="center"/>
                </w:tcPr>
                <w:p w14:paraId="1B5ACA13">
                  <w:pPr>
                    <w:spacing w:before="48" w:beforeLines="20"/>
                    <w:rPr>
                      <w:rFonts w:hint="eastAsia" w:ascii="Times New Roman" w:hAnsi="Times New Roman" w:eastAsia="宋体" w:cs="Times New Roman"/>
                      <w:color w:val="auto"/>
                      <w:spacing w:val="-6"/>
                      <w:kern w:val="0"/>
                      <w:sz w:val="21"/>
                      <w:szCs w:val="21"/>
                      <w:highlight w:val="none"/>
                      <w:lang w:eastAsia="zh-CN"/>
                    </w:rPr>
                  </w:pPr>
                  <w:r>
                    <w:rPr>
                      <w:rFonts w:hint="eastAsia" w:ascii="Times New Roman" w:hAnsi="Times New Roman"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所在区域地形平坦开阔，工程地质条件良好，不在生态保护红线区域、永久基本农田和其他需要特别保护的区域内，不在溶洞区或易遭受严重自然灾害影响的地区；设施底部高于地下水最高水位；选址满足生态环境保护法律法规、规划和“三线一单”生态环境分区管控的要求</w:t>
                  </w:r>
                  <w:r>
                    <w:rPr>
                      <w:rFonts w:hint="eastAsia" w:ascii="Times New Roman" w:hAnsi="Times New Roman" w:eastAsia="宋体" w:cs="Times New Roman"/>
                      <w:color w:val="auto"/>
                      <w:sz w:val="21"/>
                      <w:szCs w:val="21"/>
                      <w:highlight w:val="none"/>
                      <w:lang w:eastAsia="zh-CN"/>
                    </w:rPr>
                    <w:t>。</w:t>
                  </w:r>
                </w:p>
              </w:tc>
              <w:tc>
                <w:tcPr>
                  <w:tcW w:w="689" w:type="dxa"/>
                  <w:vAlign w:val="center"/>
                </w:tcPr>
                <w:p w14:paraId="0A042082">
                  <w:pPr>
                    <w:widowControl/>
                    <w:snapToGrid w:val="0"/>
                    <w:spacing w:before="6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符合</w:t>
                  </w:r>
                </w:p>
              </w:tc>
            </w:tr>
            <w:tr w14:paraId="699B40F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4" w:type="dxa"/>
                  <w:vAlign w:val="center"/>
                </w:tcPr>
                <w:p w14:paraId="15E1CA36">
                  <w:pPr>
                    <w:widowControl/>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5.3储存设施控制要求</w:t>
                  </w:r>
                </w:p>
              </w:tc>
              <w:tc>
                <w:tcPr>
                  <w:tcW w:w="364" w:type="dxa"/>
                  <w:vAlign w:val="center"/>
                </w:tcPr>
                <w:p w14:paraId="07AB8B9F">
                  <w:pPr>
                    <w:spacing w:before="48" w:beforeLines="2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一般要求</w:t>
                  </w:r>
                </w:p>
              </w:tc>
              <w:tc>
                <w:tcPr>
                  <w:tcW w:w="3501" w:type="dxa"/>
                  <w:vAlign w:val="center"/>
                </w:tcPr>
                <w:p w14:paraId="080DB932">
                  <w:pPr>
                    <w:spacing w:before="48" w:beforeLines="2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rPr>
                    <w:t>贮存设施应根据危险废物的形态、物理化学性质、包装形式和污染物迁移途径，采取必要的防风、防晒、防雨、防漏、防渗、防腐以及其他环境污染防治措施，不应露天堆放危险废物。</w:t>
                  </w:r>
                </w:p>
                <w:p w14:paraId="4E6E8DD9">
                  <w:pPr>
                    <w:spacing w:before="48" w:beforeLines="2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rPr>
                    <w:t>贮存设施应根据危险废物的类别、数量、形态、物理化学性质和污染防治等要求设置必要的贮存分区，避免不相容的危险废物接触、混合。</w:t>
                  </w:r>
                </w:p>
              </w:tc>
              <w:tc>
                <w:tcPr>
                  <w:tcW w:w="3485" w:type="dxa"/>
                  <w:vAlign w:val="center"/>
                </w:tcPr>
                <w:p w14:paraId="0B34FF38">
                  <w:pP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rPr>
                    <w:t>本项目</w:t>
                  </w:r>
                  <w:r>
                    <w:rPr>
                      <w:rFonts w:hint="eastAsia" w:ascii="Times New Roman" w:hAnsi="Times New Roman" w:cs="Times New Roman"/>
                      <w:color w:val="auto"/>
                      <w:sz w:val="21"/>
                      <w:szCs w:val="21"/>
                      <w:highlight w:val="none"/>
                      <w:lang w:eastAsia="zh-CN"/>
                    </w:rPr>
                    <w:t>废旧铅酸蓄电池</w:t>
                  </w:r>
                  <w:r>
                    <w:rPr>
                      <w:rFonts w:hint="default" w:ascii="Times New Roman" w:hAnsi="Times New Roman" w:eastAsia="宋体" w:cs="Times New Roman"/>
                      <w:color w:val="auto"/>
                      <w:sz w:val="21"/>
                      <w:szCs w:val="21"/>
                      <w:highlight w:val="none"/>
                    </w:rPr>
                    <w:t>贮存于贮存车间，防风、防雨、防晒、防漏、防渗、防腐措施齐全；不进行露天堆放。</w:t>
                  </w:r>
                </w:p>
                <w:p w14:paraId="31810626">
                  <w:pP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②本项目对收集的</w:t>
                  </w:r>
                  <w:r>
                    <w:rPr>
                      <w:rFonts w:hint="eastAsia" w:ascii="Times New Roman" w:hAnsi="Times New Roman" w:cs="Times New Roman"/>
                      <w:color w:val="auto"/>
                      <w:sz w:val="21"/>
                      <w:szCs w:val="21"/>
                      <w:highlight w:val="none"/>
                      <w:lang w:val="en-US" w:eastAsia="zh-CN"/>
                    </w:rPr>
                    <w:t>废旧铅酸蓄电池</w:t>
                  </w:r>
                  <w:r>
                    <w:rPr>
                      <w:rFonts w:hint="eastAsia" w:ascii="Times New Roman" w:hAnsi="Times New Roman" w:eastAsia="宋体" w:cs="Times New Roman"/>
                      <w:color w:val="auto"/>
                      <w:sz w:val="21"/>
                      <w:szCs w:val="21"/>
                      <w:highlight w:val="none"/>
                      <w:lang w:val="en-US" w:eastAsia="zh-CN"/>
                    </w:rPr>
                    <w:t>进行分类贮存，第Ⅰ类、第Ⅱ类</w:t>
                  </w:r>
                  <w:r>
                    <w:rPr>
                      <w:rFonts w:hint="eastAsia" w:ascii="Times New Roman" w:hAnsi="Times New Roman" w:cs="Times New Roman"/>
                      <w:color w:val="auto"/>
                      <w:sz w:val="21"/>
                      <w:szCs w:val="21"/>
                      <w:highlight w:val="none"/>
                      <w:lang w:val="en-US" w:eastAsia="zh-CN"/>
                    </w:rPr>
                    <w:t>废旧铅酸蓄电池</w:t>
                  </w:r>
                  <w:r>
                    <w:rPr>
                      <w:rFonts w:hint="eastAsia" w:ascii="Times New Roman" w:hAnsi="Times New Roman" w:eastAsia="宋体" w:cs="Times New Roman"/>
                      <w:color w:val="auto"/>
                      <w:sz w:val="21"/>
                      <w:szCs w:val="21"/>
                      <w:highlight w:val="none"/>
                      <w:lang w:val="en-US" w:eastAsia="zh-CN"/>
                    </w:rPr>
                    <w:t>分区贮存。</w:t>
                  </w:r>
                </w:p>
              </w:tc>
              <w:tc>
                <w:tcPr>
                  <w:tcW w:w="689" w:type="dxa"/>
                  <w:vAlign w:val="center"/>
                </w:tcPr>
                <w:p w14:paraId="2852FBD6">
                  <w:pPr>
                    <w:widowControl/>
                    <w:snapToGrid w:val="0"/>
                    <w:spacing w:before="6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符合</w:t>
                  </w:r>
                </w:p>
              </w:tc>
            </w:tr>
          </w:tbl>
          <w:p w14:paraId="2D39D4B1">
            <w:pPr>
              <w:tabs>
                <w:tab w:val="left" w:pos="0"/>
              </w:tabs>
              <w:snapToGrid w:val="0"/>
              <w:spacing w:line="480" w:lineRule="exact"/>
              <w:jc w:val="center"/>
              <w:rPr>
                <w:rFonts w:hint="default" w:ascii="Times New Roman" w:hAnsi="Times New Roman" w:eastAsia="宋体" w:cs="Times New Roman"/>
                <w:bCs/>
                <w:color w:val="auto"/>
                <w:sz w:val="21"/>
                <w:szCs w:val="21"/>
                <w:highlight w:val="none"/>
              </w:rPr>
            </w:pPr>
          </w:p>
          <w:p w14:paraId="24047A8D">
            <w:pPr>
              <w:tabs>
                <w:tab w:val="left" w:pos="0"/>
              </w:tabs>
              <w:snapToGrid w:val="0"/>
              <w:spacing w:line="480" w:lineRule="exact"/>
              <w:jc w:val="center"/>
              <w:rPr>
                <w:rFonts w:hint="default" w:ascii="Times New Roman" w:hAnsi="Times New Roman" w:eastAsia="宋体" w:cs="Times New Roman"/>
                <w:bCs/>
                <w:color w:val="auto"/>
                <w:sz w:val="21"/>
                <w:szCs w:val="21"/>
                <w:highlight w:val="none"/>
              </w:rPr>
            </w:pPr>
          </w:p>
          <w:p w14:paraId="271BA890">
            <w:pPr>
              <w:tabs>
                <w:tab w:val="left" w:pos="0"/>
              </w:tabs>
              <w:snapToGrid w:val="0"/>
              <w:spacing w:line="48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续表1-6  与其他相关规划和环境管理符合性分析</w:t>
            </w:r>
          </w:p>
          <w:tbl>
            <w:tblPr>
              <w:tblStyle w:val="31"/>
              <w:tblW w:w="8393"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54"/>
              <w:gridCol w:w="286"/>
              <w:gridCol w:w="4201"/>
              <w:gridCol w:w="2863"/>
              <w:gridCol w:w="689"/>
            </w:tblGrid>
            <w:tr w14:paraId="35F32CB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4841" w:type="dxa"/>
                  <w:gridSpan w:val="3"/>
                  <w:tcMar>
                    <w:top w:w="57" w:type="dxa"/>
                    <w:left w:w="28" w:type="dxa"/>
                    <w:bottom w:w="57" w:type="dxa"/>
                    <w:right w:w="28" w:type="dxa"/>
                  </w:tcMar>
                  <w:vAlign w:val="center"/>
                </w:tcPr>
                <w:p w14:paraId="2FFCB8A6">
                  <w:pPr>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与项目有关的条例、条文</w:t>
                  </w:r>
                </w:p>
              </w:tc>
              <w:tc>
                <w:tcPr>
                  <w:tcW w:w="2863" w:type="dxa"/>
                  <w:tcMar>
                    <w:top w:w="57" w:type="dxa"/>
                    <w:left w:w="28" w:type="dxa"/>
                    <w:bottom w:w="57" w:type="dxa"/>
                    <w:right w:w="28" w:type="dxa"/>
                  </w:tcMar>
                  <w:vAlign w:val="center"/>
                </w:tcPr>
                <w:p w14:paraId="74642E39">
                  <w:pPr>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w:t>
                  </w:r>
                </w:p>
              </w:tc>
              <w:tc>
                <w:tcPr>
                  <w:tcW w:w="689" w:type="dxa"/>
                  <w:tcMar>
                    <w:top w:w="57" w:type="dxa"/>
                    <w:left w:w="28" w:type="dxa"/>
                    <w:bottom w:w="57" w:type="dxa"/>
                    <w:right w:w="28" w:type="dxa"/>
                  </w:tcMar>
                  <w:vAlign w:val="center"/>
                </w:tcPr>
                <w:p w14:paraId="2B323D54">
                  <w:pPr>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符合性</w:t>
                  </w:r>
                </w:p>
              </w:tc>
            </w:tr>
            <w:tr w14:paraId="7C5C751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9" w:hRule="atLeast"/>
                <w:jc w:val="center"/>
              </w:trPr>
              <w:tc>
                <w:tcPr>
                  <w:tcW w:w="354" w:type="dxa"/>
                  <w:vMerge w:val="restart"/>
                  <w:vAlign w:val="center"/>
                </w:tcPr>
                <w:p w14:paraId="4D10FF8B">
                  <w:pPr>
                    <w:widowControl/>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5.3储存设施控制要求</w:t>
                  </w:r>
                </w:p>
              </w:tc>
              <w:tc>
                <w:tcPr>
                  <w:tcW w:w="286" w:type="dxa"/>
                  <w:vMerge w:val="restart"/>
                  <w:vAlign w:val="center"/>
                </w:tcPr>
                <w:p w14:paraId="77897DB0">
                  <w:pPr>
                    <w:spacing w:before="48" w:beforeLines="2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一般要求</w:t>
                  </w:r>
                </w:p>
              </w:tc>
              <w:tc>
                <w:tcPr>
                  <w:tcW w:w="4201" w:type="dxa"/>
                  <w:vAlign w:val="center"/>
                </w:tcPr>
                <w:p w14:paraId="3CB20F4F">
                  <w:pPr>
                    <w:spacing w:before="48" w:beforeLines="2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rPr>
                    <w:t>贮存设施或贮存分区内地面、墙面裙脚、堵截泄漏的围堰、接触危险废物的隔板和墙体等应采用坚固的材料建造，表面无裂缝。</w:t>
                  </w:r>
                </w:p>
                <w:p w14:paraId="03E018B1">
                  <w:pPr>
                    <w:spacing w:before="48" w:beforeLines="2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④</w:t>
                  </w:r>
                  <w:r>
                    <w:rPr>
                      <w:rFonts w:hint="default" w:ascii="Times New Roman" w:hAnsi="Times New Roman" w:eastAsia="宋体" w:cs="Times New Roman"/>
                      <w:color w:val="auto"/>
                      <w:sz w:val="21"/>
                      <w:szCs w:val="21"/>
                      <w:highlight w:val="none"/>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 1 m 厚黏土层（渗透系数不大于10 -7 cm/s），或至少2 mm 厚高密度聚乙烯膜等人工防渗材料（渗透系数不大于 10 -10 cm/s），或其他防渗性能等效的材料。</w:t>
                  </w:r>
                </w:p>
                <w:p w14:paraId="0C0888C4">
                  <w:pPr>
                    <w:spacing w:before="48" w:beforeLines="2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⑤</w:t>
                  </w:r>
                  <w:r>
                    <w:rPr>
                      <w:rFonts w:hint="default" w:ascii="Times New Roman" w:hAnsi="Times New Roman" w:eastAsia="宋体" w:cs="Times New Roman"/>
                      <w:color w:val="auto"/>
                      <w:sz w:val="21"/>
                      <w:szCs w:val="21"/>
                      <w:highlight w:val="none"/>
                    </w:rPr>
                    <w:t xml:space="preserve"> 同一贮存设施宜采用相同的防渗、防腐工艺（包括防渗、防腐结构或材料），防渗、防腐材料应覆盖所有可能与废物及其渗滤液、渗漏液等接触的构筑物表面；采用不同防渗、防腐工艺应分别建设贮存分区。</w:t>
                  </w:r>
                </w:p>
              </w:tc>
              <w:tc>
                <w:tcPr>
                  <w:tcW w:w="2863" w:type="dxa"/>
                  <w:vAlign w:val="center"/>
                </w:tcPr>
                <w:p w14:paraId="498B6FE2">
                  <w:pP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贮存车间内已水泥硬化的地面，</w:t>
                  </w:r>
                  <w:r>
                    <w:rPr>
                      <w:rFonts w:hint="eastAsia" w:ascii="Times New Roman" w:hAnsi="Times New Roman" w:cs="Times New Roman"/>
                      <w:color w:val="auto"/>
                      <w:sz w:val="21"/>
                      <w:szCs w:val="21"/>
                      <w:highlight w:val="none"/>
                      <w:lang w:val="en-US" w:eastAsia="zh-CN"/>
                    </w:rPr>
                    <w:t>车间和导流沟</w:t>
                  </w:r>
                  <w:r>
                    <w:rPr>
                      <w:rFonts w:hint="default" w:ascii="Times New Roman" w:hAnsi="Times New Roman" w:eastAsia="宋体" w:cs="Times New Roman"/>
                      <w:color w:val="auto"/>
                      <w:sz w:val="21"/>
                      <w:szCs w:val="21"/>
                      <w:highlight w:val="none"/>
                    </w:rPr>
                    <w:t>在已有的水泥地面防渗层上，</w:t>
                  </w:r>
                  <w:r>
                    <w:rPr>
                      <w:rFonts w:hint="eastAsia" w:ascii="Times New Roman" w:hAnsi="Times New Roman" w:eastAsiaTheme="minorEastAsia"/>
                      <w:color w:val="auto"/>
                      <w:spacing w:val="-6"/>
                      <w:szCs w:val="21"/>
                      <w:highlight w:val="none"/>
                      <w:lang w:val="en-US" w:eastAsia="zh-CN"/>
                    </w:rPr>
                    <w:t>涂</w:t>
                  </w:r>
                  <w:r>
                    <w:rPr>
                      <w:rFonts w:ascii="Times New Roman" w:hAnsi="Times New Roman" w:eastAsiaTheme="minorEastAsia"/>
                      <w:color w:val="auto"/>
                      <w:spacing w:val="-6"/>
                      <w:szCs w:val="21"/>
                      <w:highlight w:val="none"/>
                    </w:rPr>
                    <w:t>厚度不小于2mm的</w:t>
                  </w:r>
                  <w:r>
                    <w:rPr>
                      <w:rFonts w:hint="eastAsia" w:ascii="Times New Roman" w:hAnsi="Times New Roman" w:eastAsiaTheme="minorEastAsia"/>
                      <w:color w:val="auto"/>
                      <w:spacing w:val="-6"/>
                      <w:szCs w:val="21"/>
                      <w:highlight w:val="none"/>
                      <w:lang w:val="en-US" w:eastAsia="zh-CN"/>
                    </w:rPr>
                    <w:t>防水涂料</w:t>
                  </w:r>
                  <w:r>
                    <w:rPr>
                      <w:rFonts w:hint="default" w:ascii="Times New Roman" w:hAnsi="Times New Roman" w:eastAsia="宋体" w:cs="Times New Roman"/>
                      <w:color w:val="auto"/>
                      <w:sz w:val="21"/>
                      <w:szCs w:val="21"/>
                      <w:highlight w:val="none"/>
                    </w:rPr>
                    <w:t>，防渗结构层渗透系数不应大于 1.0×10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cm/s，在防渗结构层上方采用环氧树脂防腐；</w:t>
                  </w:r>
                  <w:r>
                    <w:rPr>
                      <w:rFonts w:hint="eastAsia" w:ascii="Times New Roman" w:hAnsi="Times New Roman" w:eastAsiaTheme="minorEastAsia"/>
                      <w:color w:val="auto"/>
                      <w:spacing w:val="-6"/>
                      <w:szCs w:val="21"/>
                      <w:highlight w:val="none"/>
                      <w:lang w:val="en-US" w:eastAsia="zh-CN"/>
                    </w:rPr>
                    <w:t>收集池、</w:t>
                  </w:r>
                  <w:r>
                    <w:rPr>
                      <w:rFonts w:hint="eastAsia" w:ascii="Times New Roman" w:hAnsi="Times New Roman" w:eastAsiaTheme="minorEastAsia"/>
                      <w:color w:val="auto"/>
                      <w:spacing w:val="-6"/>
                      <w:szCs w:val="21"/>
                      <w:highlight w:val="none"/>
                    </w:rPr>
                    <w:t>消防</w:t>
                  </w:r>
                  <w:r>
                    <w:rPr>
                      <w:rFonts w:hint="eastAsia" w:ascii="Times New Roman" w:hAnsi="Times New Roman" w:eastAsiaTheme="minorEastAsia"/>
                      <w:color w:val="auto"/>
                      <w:spacing w:val="-6"/>
                      <w:szCs w:val="21"/>
                      <w:highlight w:val="none"/>
                      <w:lang w:val="en-US" w:eastAsia="zh-CN"/>
                    </w:rPr>
                    <w:t>废水池采用</w:t>
                  </w:r>
                  <w:r>
                    <w:rPr>
                      <w:rFonts w:hint="eastAsia"/>
                      <w:color w:val="auto"/>
                      <w:highlight w:val="none"/>
                      <w:lang w:val="en-US" w:eastAsia="zh-CN"/>
                    </w:rPr>
                    <w:t>防渗水泥+玻璃钢防腐（三布五油）</w:t>
                  </w:r>
                  <w:r>
                    <w:rPr>
                      <w:rFonts w:hint="eastAsia" w:ascii="Times New Roman" w:hAnsi="Times New Roman" w:eastAsiaTheme="minorEastAsia"/>
                      <w:color w:val="auto"/>
                      <w:spacing w:val="-6"/>
                      <w:szCs w:val="21"/>
                      <w:highlight w:val="none"/>
                      <w:lang w:val="en-US" w:eastAsia="zh-CN"/>
                    </w:rPr>
                    <w:t>，</w:t>
                  </w:r>
                  <w:r>
                    <w:rPr>
                      <w:rFonts w:hint="eastAsia" w:ascii="Times New Roman" w:hAnsi="Times New Roman" w:eastAsiaTheme="minorEastAsia"/>
                      <w:color w:val="auto"/>
                      <w:spacing w:val="-6"/>
                      <w:szCs w:val="21"/>
                      <w:highlight w:val="none"/>
                    </w:rPr>
                    <w:t>防渗结构层渗透系数不应大于</w:t>
                  </w:r>
                  <w:r>
                    <w:rPr>
                      <w:rFonts w:ascii="Times New Roman" w:hAnsi="Times New Roman" w:eastAsiaTheme="minorEastAsia"/>
                      <w:color w:val="auto"/>
                      <w:spacing w:val="-6"/>
                      <w:szCs w:val="21"/>
                      <w:highlight w:val="none"/>
                    </w:rPr>
                    <w:t>1.0</w:t>
                  </w:r>
                  <w:r>
                    <w:rPr>
                      <w:rFonts w:hint="eastAsia" w:ascii="Times New Roman" w:hAnsi="Times New Roman" w:eastAsiaTheme="minorEastAsia"/>
                      <w:color w:val="auto"/>
                      <w:spacing w:val="-6"/>
                      <w:szCs w:val="21"/>
                      <w:highlight w:val="none"/>
                    </w:rPr>
                    <w:t>×</w:t>
                  </w:r>
                  <w:r>
                    <w:rPr>
                      <w:rFonts w:ascii="Times New Roman" w:hAnsi="Times New Roman" w:eastAsiaTheme="minorEastAsia"/>
                      <w:color w:val="auto"/>
                      <w:spacing w:val="-6"/>
                      <w:szCs w:val="21"/>
                      <w:highlight w:val="none"/>
                    </w:rPr>
                    <w:t>10</w:t>
                  </w:r>
                  <w:r>
                    <w:rPr>
                      <w:rFonts w:ascii="Times New Roman" w:hAnsi="Times New Roman" w:eastAsiaTheme="minorEastAsia"/>
                      <w:color w:val="auto"/>
                      <w:spacing w:val="-6"/>
                      <w:szCs w:val="21"/>
                      <w:highlight w:val="none"/>
                      <w:vertAlign w:val="superscript"/>
                    </w:rPr>
                    <w:t>-10</w:t>
                  </w:r>
                  <w:r>
                    <w:rPr>
                      <w:rFonts w:ascii="Times New Roman" w:hAnsi="Times New Roman" w:eastAsiaTheme="minorEastAsia"/>
                      <w:color w:val="auto"/>
                      <w:spacing w:val="-6"/>
                      <w:szCs w:val="21"/>
                      <w:highlight w:val="none"/>
                    </w:rPr>
                    <w:t xml:space="preserve"> cm/s</w:t>
                  </w:r>
                  <w:r>
                    <w:rPr>
                      <w:rFonts w:hint="eastAsia" w:ascii="Times New Roman" w:hAnsi="Times New Roman" w:eastAsiaTheme="minorEastAsia"/>
                      <w:color w:val="auto"/>
                      <w:spacing w:val="-6"/>
                      <w:szCs w:val="21"/>
                      <w:highlight w:val="none"/>
                      <w:lang w:eastAsia="zh-CN"/>
                    </w:rPr>
                    <w:t>；</w:t>
                  </w:r>
                  <w:r>
                    <w:rPr>
                      <w:rFonts w:hint="default" w:ascii="Times New Roman" w:hAnsi="Times New Roman" w:eastAsia="宋体" w:cs="Times New Roman"/>
                      <w:color w:val="auto"/>
                      <w:sz w:val="21"/>
                      <w:szCs w:val="21"/>
                      <w:highlight w:val="none"/>
                    </w:rPr>
                    <w:t>贮存车间四面裙角采用</w:t>
                  </w:r>
                  <w:r>
                    <w:rPr>
                      <w:rFonts w:hint="eastAsia" w:ascii="Times New Roman" w:hAnsi="Times New Roman" w:cs="Times New Roman"/>
                      <w:color w:val="auto"/>
                      <w:sz w:val="21"/>
                      <w:szCs w:val="21"/>
                      <w:highlight w:val="none"/>
                      <w:lang w:val="en-US" w:eastAsia="zh-CN"/>
                    </w:rPr>
                    <w:t>彩钢</w:t>
                  </w:r>
                  <w:r>
                    <w:rPr>
                      <w:rFonts w:hint="default" w:ascii="Times New Roman" w:hAnsi="Times New Roman" w:eastAsia="宋体" w:cs="Times New Roman"/>
                      <w:color w:val="auto"/>
                      <w:sz w:val="21"/>
                      <w:szCs w:val="21"/>
                      <w:highlight w:val="none"/>
                    </w:rPr>
                    <w:t>结构，并在内壁表面采用环氧树脂防腐；贮存车间门口设置围堤，与地面同等防渗防腐。</w:t>
                  </w:r>
                </w:p>
              </w:tc>
              <w:tc>
                <w:tcPr>
                  <w:tcW w:w="689" w:type="dxa"/>
                  <w:vMerge w:val="restart"/>
                  <w:vAlign w:val="center"/>
                </w:tcPr>
                <w:p w14:paraId="7DFC2FCF">
                  <w:pPr>
                    <w:widowControl/>
                    <w:snapToGrid w:val="0"/>
                    <w:spacing w:before="6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符合</w:t>
                  </w:r>
                </w:p>
              </w:tc>
            </w:tr>
            <w:tr w14:paraId="1132D8C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94" w:hRule="atLeast"/>
                <w:jc w:val="center"/>
              </w:trPr>
              <w:tc>
                <w:tcPr>
                  <w:tcW w:w="354" w:type="dxa"/>
                  <w:vMerge w:val="continue"/>
                  <w:vAlign w:val="center"/>
                </w:tcPr>
                <w:p w14:paraId="023FC107">
                  <w:pPr>
                    <w:spacing w:before="48" w:beforeLines="20"/>
                    <w:rPr>
                      <w:color w:val="auto"/>
                      <w:highlight w:val="none"/>
                    </w:rPr>
                  </w:pPr>
                </w:p>
              </w:tc>
              <w:tc>
                <w:tcPr>
                  <w:tcW w:w="286" w:type="dxa"/>
                  <w:vMerge w:val="continue"/>
                  <w:vAlign w:val="center"/>
                </w:tcPr>
                <w:p w14:paraId="76BDC089">
                  <w:pPr>
                    <w:spacing w:before="48" w:beforeLines="20"/>
                    <w:rPr>
                      <w:color w:val="auto"/>
                      <w:highlight w:val="none"/>
                    </w:rPr>
                  </w:pPr>
                </w:p>
              </w:tc>
              <w:tc>
                <w:tcPr>
                  <w:tcW w:w="4201" w:type="dxa"/>
                  <w:vAlign w:val="center"/>
                </w:tcPr>
                <w:p w14:paraId="1DB0A9EE">
                  <w:pPr>
                    <w:spacing w:before="48" w:beforeLines="2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⑥</w:t>
                  </w:r>
                  <w:r>
                    <w:rPr>
                      <w:rFonts w:hint="default" w:ascii="Times New Roman" w:hAnsi="Times New Roman" w:eastAsia="宋体" w:cs="Times New Roman"/>
                      <w:color w:val="auto"/>
                      <w:sz w:val="21"/>
                      <w:szCs w:val="21"/>
                      <w:highlight w:val="none"/>
                    </w:rPr>
                    <w:t>贮存设施应采取技术和管理措施防止无关人员进入。</w:t>
                  </w:r>
                </w:p>
              </w:tc>
              <w:tc>
                <w:tcPr>
                  <w:tcW w:w="2863" w:type="dxa"/>
                  <w:vAlign w:val="center"/>
                </w:tcPr>
                <w:p w14:paraId="1091A428">
                  <w:pPr>
                    <w:spacing w:before="48" w:beforeLines="2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项目将建立管理制度，禁止无关人员进入贮存车间</w:t>
                  </w:r>
                  <w:r>
                    <w:rPr>
                      <w:rFonts w:hint="eastAsia" w:ascii="Times New Roman" w:hAnsi="Times New Roman" w:cs="Times New Roman"/>
                      <w:color w:val="auto"/>
                      <w:sz w:val="21"/>
                      <w:szCs w:val="21"/>
                      <w:highlight w:val="none"/>
                      <w:lang w:val="en-US" w:eastAsia="zh-CN"/>
                    </w:rPr>
                    <w:t>。</w:t>
                  </w:r>
                </w:p>
              </w:tc>
              <w:tc>
                <w:tcPr>
                  <w:tcW w:w="689" w:type="dxa"/>
                  <w:vMerge w:val="continue"/>
                  <w:vAlign w:val="center"/>
                </w:tcPr>
                <w:p w14:paraId="0A879E12">
                  <w:pPr>
                    <w:spacing w:before="48" w:beforeLines="20"/>
                    <w:rPr>
                      <w:rFonts w:hint="eastAsia" w:ascii="Times New Roman" w:hAnsi="Times New Roman" w:eastAsia="宋体" w:cs="Times New Roman"/>
                      <w:color w:val="auto"/>
                      <w:sz w:val="21"/>
                      <w:szCs w:val="21"/>
                      <w:highlight w:val="none"/>
                      <w:lang w:val="en-US" w:eastAsia="zh-CN"/>
                    </w:rPr>
                  </w:pPr>
                </w:p>
              </w:tc>
            </w:tr>
            <w:tr w14:paraId="173E641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4" w:type="dxa"/>
                  <w:vMerge w:val="continue"/>
                  <w:vAlign w:val="center"/>
                </w:tcPr>
                <w:p w14:paraId="4B84A085">
                  <w:pPr>
                    <w:widowControl/>
                    <w:snapToGrid w:val="0"/>
                    <w:jc w:val="center"/>
                    <w:rPr>
                      <w:rFonts w:hint="default" w:ascii="Times New Roman" w:hAnsi="Times New Roman" w:eastAsia="宋体" w:cs="Times New Roman"/>
                      <w:color w:val="auto"/>
                      <w:kern w:val="0"/>
                      <w:sz w:val="21"/>
                      <w:szCs w:val="21"/>
                      <w:highlight w:val="none"/>
                    </w:rPr>
                  </w:pPr>
                </w:p>
              </w:tc>
              <w:tc>
                <w:tcPr>
                  <w:tcW w:w="286" w:type="dxa"/>
                  <w:vAlign w:val="center"/>
                </w:tcPr>
                <w:p w14:paraId="5BFEA0C2">
                  <w:pPr>
                    <w:widowControl/>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贮存库</w:t>
                  </w:r>
                </w:p>
              </w:tc>
              <w:tc>
                <w:tcPr>
                  <w:tcW w:w="4201" w:type="dxa"/>
                  <w:vAlign w:val="center"/>
                </w:tcPr>
                <w:p w14:paraId="6A46AD2B">
                  <w:pPr>
                    <w:widowControl/>
                    <w:snapToGrid w:val="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rPr>
                    <w:t>贮存库内不同贮存分区之间应采取隔离措施。隔离措施可根据危险废物特性采用过道、隔板或隔墙等方式。</w:t>
                  </w:r>
                </w:p>
                <w:p w14:paraId="67290B58">
                  <w:pPr>
                    <w:widowControl/>
                    <w:snapToGrid w:val="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692E4829">
                  <w:pPr>
                    <w:widowControl/>
                    <w:snapToGrid w:val="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rPr>
                    <w:t>贮存易产生粉尘、VOCs、酸雾、有毒有害大气污染物和刺激性气味气体的危险废物贮存库，应设置气体收集装置和气体净化设施；气体净化设施的排气筒高度应符合 GB 16297 要求。</w:t>
                  </w:r>
                </w:p>
              </w:tc>
              <w:tc>
                <w:tcPr>
                  <w:tcW w:w="2863" w:type="dxa"/>
                  <w:vAlign w:val="center"/>
                </w:tcPr>
                <w:p w14:paraId="46454996">
                  <w:pP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rPr>
                    <w:t>项目贮存车间进将进行画线分区，并设置一定宽度的过道进行隔离。</w:t>
                  </w:r>
                </w:p>
                <w:p w14:paraId="33CC9C99">
                  <w:pP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rPr>
                    <w:t>本项目设置导流沟和事故池（2m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），收集事故状态下的电解液，并在车间门口设置围堤，防止液体外泄。</w:t>
                  </w:r>
                </w:p>
                <w:p w14:paraId="02C88090">
                  <w:pP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③铅酸蓄电池内部结构紧凑，由汇流排将正负极板焊接固定成组，外部塑料壳做保护，完整的废旧铅酸蓄电池无废气产生；本项目破损的废旧铅酸蓄电池（第Ⅱ类废旧铅酸蓄电池）置于带盖的防渗防漏防腐的周转箱，将密闭塑料暂存箱置于密闭的第Ⅱ类废旧铅酸蓄电池贮存间内，并在贮存间顶部安装吸风系统，将硫酸雾引入脱硫塔处理，后经15m高排气筒排放。</w:t>
                  </w:r>
                </w:p>
              </w:tc>
              <w:tc>
                <w:tcPr>
                  <w:tcW w:w="689" w:type="dxa"/>
                  <w:vAlign w:val="center"/>
                </w:tcPr>
                <w:p w14:paraId="52E83A49">
                  <w:pPr>
                    <w:widowControl/>
                    <w:snapToGrid w:val="0"/>
                    <w:spacing w:before="60"/>
                    <w:jc w:val="center"/>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符合</w:t>
                  </w:r>
                </w:p>
              </w:tc>
            </w:tr>
          </w:tbl>
          <w:p w14:paraId="0B180083">
            <w:pPr>
              <w:tabs>
                <w:tab w:val="left" w:pos="0"/>
              </w:tabs>
              <w:snapToGrid w:val="0"/>
              <w:spacing w:line="480" w:lineRule="exact"/>
              <w:jc w:val="center"/>
              <w:rPr>
                <w:rFonts w:hint="default" w:ascii="Times New Roman" w:hAnsi="Times New Roman" w:eastAsia="宋体" w:cs="Times New Roman"/>
                <w:bCs/>
                <w:color w:val="auto"/>
                <w:sz w:val="21"/>
                <w:szCs w:val="21"/>
                <w:highlight w:val="none"/>
              </w:rPr>
            </w:pPr>
          </w:p>
          <w:p w14:paraId="41058EFF">
            <w:pPr>
              <w:tabs>
                <w:tab w:val="left" w:pos="0"/>
              </w:tabs>
              <w:snapToGrid w:val="0"/>
              <w:spacing w:line="480" w:lineRule="exact"/>
              <w:jc w:val="center"/>
              <w:rPr>
                <w:rFonts w:hint="default" w:ascii="Times New Roman" w:hAnsi="Times New Roman" w:eastAsia="宋体" w:cs="Times New Roman"/>
                <w:bCs/>
                <w:color w:val="auto"/>
                <w:sz w:val="21"/>
                <w:szCs w:val="21"/>
                <w:highlight w:val="none"/>
              </w:rPr>
            </w:pPr>
          </w:p>
          <w:p w14:paraId="13FFF207">
            <w:pPr>
              <w:tabs>
                <w:tab w:val="left" w:pos="0"/>
              </w:tabs>
              <w:snapToGrid w:val="0"/>
              <w:spacing w:line="480" w:lineRule="exact"/>
              <w:jc w:val="center"/>
              <w:rPr>
                <w:rFonts w:hint="default" w:ascii="Times New Roman" w:hAnsi="Times New Roman" w:eastAsia="宋体" w:cs="Times New Roman"/>
                <w:bCs/>
                <w:color w:val="auto"/>
                <w:sz w:val="21"/>
                <w:szCs w:val="21"/>
                <w:highlight w:val="none"/>
              </w:rPr>
            </w:pPr>
          </w:p>
          <w:p w14:paraId="151567BA">
            <w:pPr>
              <w:tabs>
                <w:tab w:val="left" w:pos="0"/>
              </w:tabs>
              <w:snapToGrid w:val="0"/>
              <w:spacing w:line="480" w:lineRule="exact"/>
              <w:jc w:val="center"/>
              <w:rPr>
                <w:rFonts w:hint="default" w:ascii="Times New Roman" w:hAnsi="Times New Roman" w:eastAsia="宋体" w:cs="Times New Roman"/>
                <w:bCs/>
                <w:color w:val="auto"/>
                <w:sz w:val="21"/>
                <w:szCs w:val="21"/>
                <w:highlight w:val="none"/>
              </w:rPr>
            </w:pPr>
          </w:p>
          <w:p w14:paraId="2FB9F3A0">
            <w:pPr>
              <w:tabs>
                <w:tab w:val="left" w:pos="0"/>
              </w:tabs>
              <w:snapToGrid w:val="0"/>
              <w:spacing w:line="480" w:lineRule="exact"/>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续表1-6  与其他相关规划和环境管理符合性分析</w:t>
            </w:r>
          </w:p>
          <w:tbl>
            <w:tblPr>
              <w:tblStyle w:val="31"/>
              <w:tblW w:w="8393"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45"/>
              <w:gridCol w:w="335"/>
              <w:gridCol w:w="3603"/>
              <w:gridCol w:w="3221"/>
              <w:gridCol w:w="689"/>
            </w:tblGrid>
            <w:tr w14:paraId="05F4383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83" w:type="dxa"/>
                  <w:gridSpan w:val="3"/>
                  <w:tcMar>
                    <w:top w:w="57" w:type="dxa"/>
                    <w:left w:w="28" w:type="dxa"/>
                    <w:bottom w:w="57" w:type="dxa"/>
                    <w:right w:w="28" w:type="dxa"/>
                  </w:tcMar>
                  <w:vAlign w:val="center"/>
                </w:tcPr>
                <w:p w14:paraId="527DD04B">
                  <w:pPr>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与项目有关的条例、条文</w:t>
                  </w:r>
                </w:p>
              </w:tc>
              <w:tc>
                <w:tcPr>
                  <w:tcW w:w="3221" w:type="dxa"/>
                  <w:tcMar>
                    <w:top w:w="57" w:type="dxa"/>
                    <w:left w:w="28" w:type="dxa"/>
                    <w:bottom w:w="57" w:type="dxa"/>
                    <w:right w:w="28" w:type="dxa"/>
                  </w:tcMar>
                  <w:vAlign w:val="center"/>
                </w:tcPr>
                <w:p w14:paraId="797144DC">
                  <w:pPr>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w:t>
                  </w:r>
                </w:p>
              </w:tc>
              <w:tc>
                <w:tcPr>
                  <w:tcW w:w="689" w:type="dxa"/>
                  <w:tcMar>
                    <w:top w:w="57" w:type="dxa"/>
                    <w:left w:w="28" w:type="dxa"/>
                    <w:bottom w:w="57" w:type="dxa"/>
                    <w:right w:w="28" w:type="dxa"/>
                  </w:tcMar>
                  <w:vAlign w:val="center"/>
                </w:tcPr>
                <w:p w14:paraId="21A0C2F1">
                  <w:pPr>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符合性</w:t>
                  </w:r>
                </w:p>
              </w:tc>
            </w:tr>
            <w:tr w14:paraId="0997CDA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5" w:type="dxa"/>
                  <w:vAlign w:val="center"/>
                </w:tcPr>
                <w:p w14:paraId="64B76282">
                  <w:pPr>
                    <w:widowControl/>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5.4</w:t>
                  </w:r>
                  <w:r>
                    <w:rPr>
                      <w:rFonts w:hint="default" w:ascii="Times New Roman" w:hAnsi="Times New Roman" w:eastAsia="宋体" w:cs="Times New Roman"/>
                      <w:color w:val="auto"/>
                      <w:sz w:val="21"/>
                      <w:szCs w:val="21"/>
                      <w:highlight w:val="none"/>
                    </w:rPr>
                    <w:t>容器和包装物污染控制要求</w:t>
                  </w:r>
                </w:p>
              </w:tc>
              <w:tc>
                <w:tcPr>
                  <w:tcW w:w="3938" w:type="dxa"/>
                  <w:gridSpan w:val="2"/>
                  <w:vAlign w:val="center"/>
                </w:tcPr>
                <w:p w14:paraId="5D7826DD">
                  <w:pPr>
                    <w:widowControl/>
                    <w:snapToGrid w:val="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rPr>
                    <w:t>容器和包装物材质、内衬应与盛装的危险废物相容。</w:t>
                  </w:r>
                </w:p>
                <w:p w14:paraId="563D1571">
                  <w:pPr>
                    <w:widowControl/>
                    <w:snapToGrid w:val="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rPr>
                    <w:t>针对不同类别、形态、物理化学性质的危险废物，其容器和包装物应满足相应的防渗、防漏、防腐和强度等要求。</w:t>
                  </w:r>
                </w:p>
                <w:p w14:paraId="219BF99E">
                  <w:pPr>
                    <w:widowControl/>
                    <w:snapToGrid w:val="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rPr>
                    <w:t>硬质容器和包装物及其支护结构堆叠码放时不应有明显变形，无破损泄漏。</w:t>
                  </w:r>
                </w:p>
                <w:p w14:paraId="686D9380">
                  <w:pPr>
                    <w:widowControl/>
                    <w:snapToGrid w:val="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④</w:t>
                  </w:r>
                  <w:r>
                    <w:rPr>
                      <w:rFonts w:hint="default" w:ascii="Times New Roman" w:hAnsi="Times New Roman" w:eastAsia="宋体" w:cs="Times New Roman"/>
                      <w:color w:val="auto"/>
                      <w:sz w:val="21"/>
                      <w:szCs w:val="21"/>
                      <w:highlight w:val="none"/>
                    </w:rPr>
                    <w:t>柔性容器和包装物堆叠码放时应封口严密，无破损泄漏。</w:t>
                  </w:r>
                </w:p>
                <w:p w14:paraId="1D6A6BDF">
                  <w:pPr>
                    <w:widowControl/>
                    <w:snapToGrid w:val="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⑤</w:t>
                  </w:r>
                  <w:r>
                    <w:rPr>
                      <w:rFonts w:hint="default" w:ascii="Times New Roman" w:hAnsi="Times New Roman" w:eastAsia="宋体" w:cs="Times New Roman"/>
                      <w:color w:val="auto"/>
                      <w:sz w:val="21"/>
                      <w:szCs w:val="21"/>
                      <w:highlight w:val="none"/>
                    </w:rPr>
                    <w:t>使用容器盛装液态、半固态危险废物时，容器内部应留有适当的空间，以适应因温度变化等可能引发的收缩和膨胀，防止其导致容器渗漏或永久变形。</w:t>
                  </w:r>
                </w:p>
                <w:p w14:paraId="6EE9436C">
                  <w:pPr>
                    <w:widowControl/>
                    <w:snapToGrid w:val="0"/>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⑥</w:t>
                  </w:r>
                  <w:r>
                    <w:rPr>
                      <w:rFonts w:hint="default" w:ascii="Times New Roman" w:hAnsi="Times New Roman" w:eastAsia="宋体" w:cs="Times New Roman"/>
                      <w:color w:val="auto"/>
                      <w:sz w:val="21"/>
                      <w:szCs w:val="21"/>
                      <w:highlight w:val="none"/>
                    </w:rPr>
                    <w:t>容器和包装物外表面应保持清洁。</w:t>
                  </w:r>
                </w:p>
              </w:tc>
              <w:tc>
                <w:tcPr>
                  <w:tcW w:w="3221" w:type="dxa"/>
                  <w:vAlign w:val="center"/>
                </w:tcPr>
                <w:p w14:paraId="61A57A2A">
                  <w:pP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本项目</w:t>
                  </w:r>
                  <w:r>
                    <w:rPr>
                      <w:rFonts w:hint="eastAsia" w:ascii="Times New Roman" w:hAnsi="Times New Roman" w:cs="Times New Roman"/>
                      <w:color w:val="auto"/>
                      <w:spacing w:val="-6"/>
                      <w:sz w:val="21"/>
                      <w:szCs w:val="21"/>
                      <w:highlight w:val="none"/>
                      <w:lang w:eastAsia="zh-CN"/>
                    </w:rPr>
                    <w:t>废旧铅酸蓄电池</w:t>
                  </w:r>
                  <w:r>
                    <w:rPr>
                      <w:rFonts w:hint="default" w:ascii="Times New Roman" w:hAnsi="Times New Roman" w:eastAsia="宋体" w:cs="Times New Roman"/>
                      <w:color w:val="auto"/>
                      <w:spacing w:val="-6"/>
                      <w:sz w:val="21"/>
                      <w:szCs w:val="21"/>
                      <w:highlight w:val="none"/>
                    </w:rPr>
                    <w:t>盛装容器为耐酸耐腐的塑料材质，坚固，容器外均有标签。各类危险废物分区存放，防漏裙角材料与危险废物相容。容器使用过程中将留有适当的空间。</w:t>
                  </w:r>
                </w:p>
              </w:tc>
              <w:tc>
                <w:tcPr>
                  <w:tcW w:w="689" w:type="dxa"/>
                  <w:vAlign w:val="center"/>
                </w:tcPr>
                <w:p w14:paraId="202FBE84">
                  <w:pPr>
                    <w:widowControl/>
                    <w:snapToGrid w:val="0"/>
                    <w:spacing w:before="60"/>
                    <w:jc w:val="center"/>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符合</w:t>
                  </w:r>
                </w:p>
              </w:tc>
            </w:tr>
            <w:tr w14:paraId="5BE0A2D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5" w:type="dxa"/>
                  <w:vMerge w:val="restart"/>
                  <w:vAlign w:val="center"/>
                </w:tcPr>
                <w:p w14:paraId="48752DFC">
                  <w:pPr>
                    <w:widowControl/>
                    <w:snapToGrid w:val="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5.5</w:t>
                  </w:r>
                  <w:r>
                    <w:rPr>
                      <w:rFonts w:hint="default" w:ascii="Times New Roman" w:hAnsi="Times New Roman" w:eastAsia="宋体" w:cs="Times New Roman"/>
                      <w:color w:val="auto"/>
                      <w:sz w:val="21"/>
                      <w:szCs w:val="21"/>
                      <w:highlight w:val="none"/>
                    </w:rPr>
                    <w:t>贮存过程污染控制要求</w:t>
                  </w:r>
                </w:p>
              </w:tc>
              <w:tc>
                <w:tcPr>
                  <w:tcW w:w="335" w:type="dxa"/>
                  <w:vAlign w:val="center"/>
                </w:tcPr>
                <w:p w14:paraId="5E810EBC">
                  <w:pPr>
                    <w:widowControl/>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一般要求</w:t>
                  </w:r>
                </w:p>
              </w:tc>
              <w:tc>
                <w:tcPr>
                  <w:tcW w:w="3603" w:type="dxa"/>
                  <w:vAlign w:val="center"/>
                </w:tcPr>
                <w:p w14:paraId="11225A80">
                  <w:pPr>
                    <w:widowControl/>
                    <w:snapToGrid w:val="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rPr>
                    <w:t>在常温常压下不易水解、不易挥发的固态危险废物可分类堆放贮存，其他固态危险废物应装入容器或包装物内贮存。</w:t>
                  </w:r>
                </w:p>
                <w:p w14:paraId="0736DE70">
                  <w:pPr>
                    <w:widowControl/>
                    <w:snapToGrid w:val="0"/>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rPr>
                    <w:t>易产生粉尘、VOCs、酸雾、有毒有害大气污染物和刺激性气味气体的危险废物应装入闭口容器或包装物内贮存。</w:t>
                  </w:r>
                </w:p>
              </w:tc>
              <w:tc>
                <w:tcPr>
                  <w:tcW w:w="3221" w:type="dxa"/>
                  <w:vAlign w:val="center"/>
                </w:tcPr>
                <w:p w14:paraId="3029545C">
                  <w:pPr>
                    <w:widowControl/>
                    <w:snapToGrid w:val="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rPr>
                    <w:t>本项目</w:t>
                  </w:r>
                  <w:r>
                    <w:rPr>
                      <w:rFonts w:hint="eastAsia" w:ascii="Times New Roman" w:hAnsi="Times New Roman" w:cs="Times New Roman"/>
                      <w:color w:val="auto"/>
                      <w:sz w:val="21"/>
                      <w:szCs w:val="21"/>
                      <w:highlight w:val="none"/>
                      <w:lang w:eastAsia="zh-CN"/>
                    </w:rPr>
                    <w:t>废旧铅酸蓄电池</w:t>
                  </w:r>
                  <w:r>
                    <w:rPr>
                      <w:rFonts w:hint="default" w:ascii="Times New Roman" w:hAnsi="Times New Roman" w:eastAsia="宋体" w:cs="Times New Roman"/>
                      <w:color w:val="auto"/>
                      <w:sz w:val="21"/>
                      <w:szCs w:val="21"/>
                      <w:highlight w:val="none"/>
                    </w:rPr>
                    <w:t>按Ⅰ类、Ⅱ类分区贮存，项目产生的危险废物分类贮存于收集容器内，各类危险废物均可做到分区单独存放。</w:t>
                  </w:r>
                </w:p>
                <w:p w14:paraId="58FEE200">
                  <w:pP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rPr>
                    <w:t>本项目破损电池贮存于密闭塑料</w:t>
                  </w:r>
                </w:p>
                <w:p w14:paraId="1C2EDE7A">
                  <w:pP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z w:val="21"/>
                      <w:szCs w:val="21"/>
                      <w:highlight w:val="none"/>
                    </w:rPr>
                    <w:t>暂存箱内。</w:t>
                  </w:r>
                </w:p>
              </w:tc>
              <w:tc>
                <w:tcPr>
                  <w:tcW w:w="689" w:type="dxa"/>
                  <w:vAlign w:val="center"/>
                </w:tcPr>
                <w:p w14:paraId="1C26EC35">
                  <w:pPr>
                    <w:widowControl/>
                    <w:snapToGrid w:val="0"/>
                    <w:spacing w:before="60"/>
                    <w:jc w:val="center"/>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符合</w:t>
                  </w:r>
                </w:p>
              </w:tc>
            </w:tr>
            <w:tr w14:paraId="47C92AA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5" w:type="dxa"/>
                  <w:vMerge w:val="continue"/>
                  <w:vAlign w:val="center"/>
                </w:tcPr>
                <w:p w14:paraId="78519964">
                  <w:pPr>
                    <w:widowControl/>
                    <w:snapToGrid w:val="0"/>
                    <w:jc w:val="center"/>
                    <w:rPr>
                      <w:rFonts w:hint="default" w:ascii="Times New Roman" w:hAnsi="Times New Roman" w:eastAsia="宋体" w:cs="Times New Roman"/>
                      <w:color w:val="auto"/>
                      <w:kern w:val="0"/>
                      <w:sz w:val="21"/>
                      <w:szCs w:val="21"/>
                      <w:highlight w:val="none"/>
                    </w:rPr>
                  </w:pPr>
                </w:p>
              </w:tc>
              <w:tc>
                <w:tcPr>
                  <w:tcW w:w="335" w:type="dxa"/>
                  <w:vAlign w:val="center"/>
                </w:tcPr>
                <w:p w14:paraId="59BA6713">
                  <w:pPr>
                    <w:widowControl/>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贮存设施运行环境管理要求</w:t>
                  </w:r>
                </w:p>
              </w:tc>
              <w:tc>
                <w:tcPr>
                  <w:tcW w:w="3603" w:type="dxa"/>
                  <w:vAlign w:val="center"/>
                </w:tcPr>
                <w:p w14:paraId="3D7D70C3">
                  <w:pPr>
                    <w:widowControl/>
                    <w:snapToGrid w:val="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rPr>
                    <w:t>危险废物存入贮存设施前应对危险废物类别和特性与危险废物标签等危险废物识别标志的一致性进行核验，不一致的或类别、特性不明的不应存入。</w:t>
                  </w:r>
                </w:p>
                <w:p w14:paraId="13E86B2A">
                  <w:pPr>
                    <w:widowControl/>
                    <w:snapToGrid w:val="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rPr>
                    <w:t>应定期检查危险废物的贮存状况，及时清理贮存设施地面，更换破损泄漏的危险废物贮存容器和包装物，保证堆存危险废物的防雨、防风、防扬尘等设施功能完好。</w:t>
                  </w:r>
                </w:p>
                <w:p w14:paraId="5DFE0DCC">
                  <w:pPr>
                    <w:widowControl/>
                    <w:snapToGrid w:val="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rPr>
                    <w:t>作业设备及车辆等结束作业离开贮存设施时，应对其残留的危险废物进行清理，清理的废物或清洗废水应收集处理。</w:t>
                  </w:r>
                </w:p>
                <w:p w14:paraId="031F6084">
                  <w:pPr>
                    <w:widowControl/>
                    <w:snapToGrid w:val="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④</w:t>
                  </w:r>
                  <w:r>
                    <w:rPr>
                      <w:rFonts w:hint="default" w:ascii="Times New Roman" w:hAnsi="Times New Roman" w:eastAsia="宋体" w:cs="Times New Roman"/>
                      <w:color w:val="auto"/>
                      <w:sz w:val="21"/>
                      <w:szCs w:val="21"/>
                      <w:highlight w:val="none"/>
                    </w:rPr>
                    <w:t>贮存设施运行期间，应按国家有关标准和规定建立危险废物管理台账并保存。</w:t>
                  </w:r>
                </w:p>
                <w:p w14:paraId="034DA875">
                  <w:pPr>
                    <w:widowControl/>
                    <w:snapToGrid w:val="0"/>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⑤</w:t>
                  </w:r>
                  <w:r>
                    <w:rPr>
                      <w:rFonts w:hint="default" w:ascii="Times New Roman" w:hAnsi="Times New Roman" w:eastAsia="宋体" w:cs="Times New Roman"/>
                      <w:color w:val="auto"/>
                      <w:sz w:val="21"/>
                      <w:szCs w:val="21"/>
                      <w:highlight w:val="none"/>
                    </w:rPr>
                    <w:t>贮存设施所有者或运营者应建立贮存设施环境管理制度、管理人员岗位职责制度、设施运行操作制度、人员岗位培训制度等。</w:t>
                  </w:r>
                </w:p>
              </w:tc>
              <w:tc>
                <w:tcPr>
                  <w:tcW w:w="3221" w:type="dxa"/>
                  <w:vAlign w:val="center"/>
                </w:tcPr>
                <w:p w14:paraId="3B91667F">
                  <w:pP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rPr>
                    <w:t>本项目</w:t>
                  </w:r>
                  <w:r>
                    <w:rPr>
                      <w:rFonts w:hint="eastAsia" w:ascii="Times New Roman" w:hAnsi="Times New Roman" w:cs="Times New Roman"/>
                      <w:color w:val="auto"/>
                      <w:sz w:val="21"/>
                      <w:szCs w:val="21"/>
                      <w:highlight w:val="none"/>
                      <w:lang w:eastAsia="zh-CN"/>
                    </w:rPr>
                    <w:t>废旧铅酸蓄电池</w:t>
                  </w:r>
                  <w:r>
                    <w:rPr>
                      <w:rFonts w:hint="eastAsia" w:ascii="Times New Roman" w:hAnsi="Times New Roman" w:cs="Times New Roman"/>
                      <w:color w:val="auto"/>
                      <w:sz w:val="21"/>
                      <w:szCs w:val="21"/>
                      <w:highlight w:val="none"/>
                      <w:lang w:val="en-US" w:eastAsia="zh-CN"/>
                    </w:rPr>
                    <w:t>存入贮存区前检查其状态，</w:t>
                  </w:r>
                  <w:r>
                    <w:rPr>
                      <w:rFonts w:hint="default" w:ascii="Times New Roman" w:hAnsi="Times New Roman" w:eastAsia="宋体" w:cs="Times New Roman"/>
                      <w:color w:val="auto"/>
                      <w:sz w:val="21"/>
                      <w:szCs w:val="21"/>
                      <w:highlight w:val="none"/>
                    </w:rPr>
                    <w:t>按Ⅰ类、Ⅱ类分区贮存</w:t>
                  </w:r>
                  <w:r>
                    <w:rPr>
                      <w:rFonts w:hint="eastAsia" w:ascii="Times New Roman" w:hAnsi="Times New Roman" w:cs="Times New Roman"/>
                      <w:color w:val="auto"/>
                      <w:sz w:val="21"/>
                      <w:szCs w:val="21"/>
                      <w:highlight w:val="none"/>
                      <w:lang w:eastAsia="zh-CN"/>
                    </w:rPr>
                    <w:t>。</w:t>
                  </w:r>
                </w:p>
                <w:p w14:paraId="0B3CC6C0">
                  <w:pP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②</w:t>
                  </w:r>
                  <w:r>
                    <w:rPr>
                      <w:rFonts w:hint="eastAsia" w:ascii="Times New Roman" w:hAnsi="Times New Roman" w:eastAsia="宋体" w:cs="Times New Roman"/>
                      <w:color w:val="auto"/>
                      <w:sz w:val="21"/>
                      <w:szCs w:val="21"/>
                      <w:highlight w:val="none"/>
                      <w:lang w:val="en-US" w:eastAsia="zh-CN"/>
                    </w:rPr>
                    <w:t>本项目运营期将制定环境管理制度，定期检查危险废物的贮存状况，及时清理贮存设施地面，更换破损泄漏的危险废物贮存容器和包装物，保证堆存危险废物的防雨、防风、防扬尘等设施功能完好</w:t>
                  </w:r>
                  <w:r>
                    <w:rPr>
                      <w:rFonts w:hint="eastAsia" w:ascii="Times New Roman" w:hAnsi="Times New Roman" w:cs="Times New Roman"/>
                      <w:color w:val="auto"/>
                      <w:sz w:val="21"/>
                      <w:szCs w:val="21"/>
                      <w:highlight w:val="none"/>
                      <w:lang w:val="en-US" w:eastAsia="zh-CN"/>
                    </w:rPr>
                    <w:t>。</w:t>
                  </w:r>
                </w:p>
                <w:p w14:paraId="2A69C492">
                  <w:pP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③</w:t>
                  </w:r>
                  <w:r>
                    <w:rPr>
                      <w:rFonts w:hint="eastAsia" w:ascii="Times New Roman" w:hAnsi="Times New Roman" w:eastAsia="宋体" w:cs="Times New Roman"/>
                      <w:color w:val="auto"/>
                      <w:sz w:val="21"/>
                      <w:szCs w:val="21"/>
                      <w:highlight w:val="none"/>
                      <w:lang w:val="en-US" w:eastAsia="zh-CN"/>
                    </w:rPr>
                    <w:t>结束作业的车辆离开贮存设施时，对其残留的危险废物进行清理</w:t>
                  </w:r>
                  <w:r>
                    <w:rPr>
                      <w:rFonts w:hint="eastAsia" w:ascii="Times New Roman" w:hAnsi="Times New Roman" w:cs="Times New Roman"/>
                      <w:color w:val="auto"/>
                      <w:sz w:val="21"/>
                      <w:szCs w:val="21"/>
                      <w:highlight w:val="none"/>
                      <w:lang w:val="en-US" w:eastAsia="zh-CN"/>
                    </w:rPr>
                    <w:t>。</w:t>
                  </w:r>
                </w:p>
                <w:p w14:paraId="13353E8E">
                  <w:pP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④</w:t>
                  </w:r>
                  <w:r>
                    <w:rPr>
                      <w:rFonts w:hint="eastAsia" w:ascii="Times New Roman" w:hAnsi="Times New Roman" w:eastAsia="宋体" w:cs="Times New Roman"/>
                      <w:color w:val="auto"/>
                      <w:sz w:val="21"/>
                      <w:szCs w:val="21"/>
                      <w:highlight w:val="none"/>
                      <w:lang w:val="en-US" w:eastAsia="zh-CN"/>
                    </w:rPr>
                    <w:t>按国家有关标准和规定建立危险废物管理台账并保存</w:t>
                  </w:r>
                  <w:r>
                    <w:rPr>
                      <w:rFonts w:hint="eastAsia" w:ascii="Times New Roman" w:hAnsi="Times New Roman" w:cs="Times New Roman"/>
                      <w:color w:val="auto"/>
                      <w:sz w:val="21"/>
                      <w:szCs w:val="21"/>
                      <w:highlight w:val="none"/>
                      <w:lang w:val="en-US" w:eastAsia="zh-CN"/>
                    </w:rPr>
                    <w:t>。</w:t>
                  </w:r>
                </w:p>
                <w:p w14:paraId="150B35B6">
                  <w:pPr>
                    <w:rPr>
                      <w:rFonts w:hint="default" w:ascii="Times New Roman" w:hAnsi="Times New Roman" w:eastAsia="宋体" w:cs="Times New Roman"/>
                      <w:color w:val="auto"/>
                      <w:spacing w:val="-6"/>
                      <w:sz w:val="21"/>
                      <w:szCs w:val="21"/>
                      <w:highlight w:val="none"/>
                    </w:rPr>
                  </w:pPr>
                  <w:r>
                    <w:rPr>
                      <w:rFonts w:hint="eastAsia" w:ascii="Times New Roman" w:hAnsi="Times New Roman" w:cs="Times New Roman"/>
                      <w:color w:val="auto"/>
                      <w:sz w:val="21"/>
                      <w:szCs w:val="21"/>
                      <w:highlight w:val="none"/>
                      <w:lang w:val="en-US" w:eastAsia="zh-CN"/>
                    </w:rPr>
                    <w:t>⑤</w:t>
                  </w:r>
                  <w:r>
                    <w:rPr>
                      <w:rFonts w:hint="eastAsia" w:ascii="Times New Roman" w:hAnsi="Times New Roman" w:eastAsia="宋体" w:cs="Times New Roman"/>
                      <w:color w:val="auto"/>
                      <w:sz w:val="21"/>
                      <w:szCs w:val="21"/>
                      <w:highlight w:val="none"/>
                      <w:lang w:val="en-US" w:eastAsia="zh-CN"/>
                    </w:rPr>
                    <w:t>建立贮存设施环境管理制度、管理人员岗位职责制度、设施运行操作制度、人员岗位培训制度等</w:t>
                  </w:r>
                  <w:r>
                    <w:rPr>
                      <w:rFonts w:hint="eastAsia" w:ascii="Times New Roman" w:hAnsi="Times New Roman" w:cs="Times New Roman"/>
                      <w:color w:val="auto"/>
                      <w:sz w:val="21"/>
                      <w:szCs w:val="21"/>
                      <w:highlight w:val="none"/>
                      <w:lang w:val="en-US" w:eastAsia="zh-CN"/>
                    </w:rPr>
                    <w:t>。</w:t>
                  </w:r>
                </w:p>
              </w:tc>
              <w:tc>
                <w:tcPr>
                  <w:tcW w:w="689" w:type="dxa"/>
                  <w:vAlign w:val="center"/>
                </w:tcPr>
                <w:p w14:paraId="0E223CB9">
                  <w:pPr>
                    <w:widowControl/>
                    <w:snapToGrid w:val="0"/>
                    <w:spacing w:before="60"/>
                    <w:jc w:val="center"/>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符合</w:t>
                  </w:r>
                </w:p>
              </w:tc>
            </w:tr>
          </w:tbl>
          <w:p w14:paraId="4AB8578A">
            <w:pPr>
              <w:tabs>
                <w:tab w:val="left" w:pos="0"/>
              </w:tabs>
              <w:snapToGrid w:val="0"/>
              <w:spacing w:line="480" w:lineRule="exact"/>
              <w:jc w:val="center"/>
              <w:rPr>
                <w:rFonts w:hint="default" w:ascii="Times New Roman" w:hAnsi="Times New Roman" w:eastAsia="宋体" w:cs="Times New Roman"/>
                <w:bCs/>
                <w:color w:val="auto"/>
                <w:sz w:val="21"/>
                <w:szCs w:val="21"/>
                <w:highlight w:val="none"/>
              </w:rPr>
            </w:pPr>
          </w:p>
          <w:p w14:paraId="17D90547">
            <w:pPr>
              <w:tabs>
                <w:tab w:val="left" w:pos="0"/>
              </w:tabs>
              <w:snapToGrid w:val="0"/>
              <w:spacing w:line="480" w:lineRule="exact"/>
              <w:jc w:val="center"/>
              <w:rPr>
                <w:rFonts w:hint="default" w:ascii="Times New Roman" w:hAnsi="Times New Roman" w:eastAsia="宋体" w:cs="Times New Roman"/>
                <w:bCs/>
                <w:color w:val="auto"/>
                <w:sz w:val="21"/>
                <w:szCs w:val="21"/>
                <w:highlight w:val="none"/>
              </w:rPr>
            </w:pPr>
          </w:p>
          <w:p w14:paraId="4000E335">
            <w:pPr>
              <w:tabs>
                <w:tab w:val="left" w:pos="0"/>
              </w:tabs>
              <w:snapToGrid w:val="0"/>
              <w:spacing w:line="480" w:lineRule="exact"/>
              <w:jc w:val="center"/>
              <w:rPr>
                <w:rFonts w:hint="default" w:ascii="Times New Roman" w:hAnsi="Times New Roman" w:eastAsia="宋体" w:cs="Times New Roman"/>
                <w:bCs/>
                <w:color w:val="auto"/>
                <w:sz w:val="21"/>
                <w:szCs w:val="21"/>
                <w:highlight w:val="none"/>
              </w:rPr>
            </w:pPr>
          </w:p>
          <w:p w14:paraId="0955F4D9">
            <w:pPr>
              <w:tabs>
                <w:tab w:val="left" w:pos="0"/>
              </w:tabs>
              <w:snapToGrid w:val="0"/>
              <w:spacing w:line="480" w:lineRule="exact"/>
              <w:jc w:val="center"/>
              <w:rPr>
                <w:rFonts w:hint="default" w:ascii="Times New Roman" w:hAnsi="Times New Roman" w:eastAsia="宋体" w:cs="Times New Roman"/>
                <w:bCs/>
                <w:color w:val="auto"/>
                <w:sz w:val="21"/>
                <w:szCs w:val="21"/>
                <w:highlight w:val="none"/>
              </w:rPr>
            </w:pPr>
          </w:p>
          <w:p w14:paraId="2E988822">
            <w:pPr>
              <w:tabs>
                <w:tab w:val="left" w:pos="0"/>
              </w:tabs>
              <w:snapToGrid w:val="0"/>
              <w:spacing w:line="48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4"/>
                <w:szCs w:val="24"/>
                <w:highlight w:val="none"/>
              </w:rPr>
              <w:t>续表1-6  与其他相关规划和环境管理符合性分析</w:t>
            </w:r>
          </w:p>
          <w:tbl>
            <w:tblPr>
              <w:tblStyle w:val="31"/>
              <w:tblW w:w="8393"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45"/>
              <w:gridCol w:w="530"/>
              <w:gridCol w:w="4238"/>
              <w:gridCol w:w="2580"/>
              <w:gridCol w:w="500"/>
            </w:tblGrid>
            <w:tr w14:paraId="1D2B351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13" w:type="dxa"/>
                  <w:gridSpan w:val="3"/>
                  <w:tcMar>
                    <w:top w:w="57" w:type="dxa"/>
                    <w:left w:w="28" w:type="dxa"/>
                    <w:bottom w:w="57" w:type="dxa"/>
                    <w:right w:w="28" w:type="dxa"/>
                  </w:tcMar>
                  <w:vAlign w:val="center"/>
                </w:tcPr>
                <w:p w14:paraId="0539356B">
                  <w:pPr>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与项目有关的条例、条文</w:t>
                  </w:r>
                </w:p>
              </w:tc>
              <w:tc>
                <w:tcPr>
                  <w:tcW w:w="2580" w:type="dxa"/>
                  <w:tcMar>
                    <w:top w:w="57" w:type="dxa"/>
                    <w:left w:w="28" w:type="dxa"/>
                    <w:bottom w:w="57" w:type="dxa"/>
                    <w:right w:w="28" w:type="dxa"/>
                  </w:tcMar>
                  <w:vAlign w:val="center"/>
                </w:tcPr>
                <w:p w14:paraId="21174F35">
                  <w:pPr>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w:t>
                  </w:r>
                </w:p>
              </w:tc>
              <w:tc>
                <w:tcPr>
                  <w:tcW w:w="500" w:type="dxa"/>
                  <w:tcMar>
                    <w:top w:w="57" w:type="dxa"/>
                    <w:left w:w="28" w:type="dxa"/>
                    <w:bottom w:w="57" w:type="dxa"/>
                    <w:right w:w="28" w:type="dxa"/>
                  </w:tcMar>
                  <w:vAlign w:val="center"/>
                </w:tcPr>
                <w:p w14:paraId="3137CA20">
                  <w:pPr>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符合性</w:t>
                  </w:r>
                </w:p>
              </w:tc>
            </w:tr>
            <w:tr w14:paraId="6D67899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5" w:type="dxa"/>
                  <w:vAlign w:val="center"/>
                </w:tcPr>
                <w:p w14:paraId="1DE91A85">
                  <w:pPr>
                    <w:widowControl/>
                    <w:snapToGrid w:val="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5.5</w:t>
                  </w:r>
                  <w:r>
                    <w:rPr>
                      <w:rFonts w:hint="default" w:ascii="Times New Roman" w:hAnsi="Times New Roman" w:eastAsia="宋体" w:cs="Times New Roman"/>
                      <w:color w:val="auto"/>
                      <w:sz w:val="21"/>
                      <w:szCs w:val="21"/>
                      <w:highlight w:val="none"/>
                    </w:rPr>
                    <w:t>贮存过程污染控制要求</w:t>
                  </w:r>
                </w:p>
              </w:tc>
              <w:tc>
                <w:tcPr>
                  <w:tcW w:w="530" w:type="dxa"/>
                  <w:vAlign w:val="center"/>
                </w:tcPr>
                <w:p w14:paraId="6C6C5E96">
                  <w:pPr>
                    <w:widowControl/>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贮存设施运行环境管理要求</w:t>
                  </w:r>
                </w:p>
              </w:tc>
              <w:tc>
                <w:tcPr>
                  <w:tcW w:w="4238" w:type="dxa"/>
                  <w:vAlign w:val="center"/>
                </w:tcPr>
                <w:p w14:paraId="1DFA1B69">
                  <w:pPr>
                    <w:widowControl/>
                    <w:snapToGrid w:val="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⑥</w:t>
                  </w:r>
                  <w:r>
                    <w:rPr>
                      <w:rFonts w:hint="default" w:ascii="Times New Roman" w:hAnsi="Times New Roman" w:eastAsia="宋体" w:cs="Times New Roman"/>
                      <w:color w:val="auto"/>
                      <w:sz w:val="21"/>
                      <w:szCs w:val="21"/>
                      <w:highlight w:val="none"/>
                    </w:rPr>
                    <w:t>贮存设施所有者或运营者应依据国家土壤和地下水污染防治的有关规定，结合贮存设施特点建立土壤和地下水污染隐患排查制度，并定期开展隐患排查；发现隐患应及时采取措施消除隐患，并建立档案。</w:t>
                  </w:r>
                </w:p>
                <w:p w14:paraId="1C0CBF00">
                  <w:pPr>
                    <w:widowControl/>
                    <w:snapToGrid w:val="0"/>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⑦</w:t>
                  </w:r>
                  <w:r>
                    <w:rPr>
                      <w:rFonts w:hint="default" w:ascii="Times New Roman" w:hAnsi="Times New Roman" w:eastAsia="宋体" w:cs="Times New Roman"/>
                      <w:color w:val="auto"/>
                      <w:sz w:val="21"/>
                      <w:szCs w:val="21"/>
                      <w:highlight w:val="none"/>
                    </w:rPr>
                    <w:t>贮存设施所有者或运营者应建立贮存设施全部档案，包括设计、施工、验收、运行、监测和环境应急等，应按国家有关档案管理的法律法规进行整理和归档。</w:t>
                  </w:r>
                </w:p>
              </w:tc>
              <w:tc>
                <w:tcPr>
                  <w:tcW w:w="2580" w:type="dxa"/>
                  <w:vAlign w:val="center"/>
                </w:tcPr>
                <w:p w14:paraId="79B6E49B">
                  <w:pP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⑥项目</w:t>
                  </w:r>
                  <w:r>
                    <w:rPr>
                      <w:rFonts w:hint="eastAsia" w:ascii="Times New Roman" w:hAnsi="Times New Roman" w:eastAsia="宋体" w:cs="Times New Roman"/>
                      <w:color w:val="auto"/>
                      <w:sz w:val="21"/>
                      <w:szCs w:val="21"/>
                      <w:highlight w:val="none"/>
                      <w:lang w:val="en-US" w:eastAsia="zh-CN"/>
                    </w:rPr>
                    <w:t>按规定对土壤和地下水进行隐患排查</w:t>
                  </w:r>
                  <w:r>
                    <w:rPr>
                      <w:rFonts w:hint="eastAsia" w:ascii="Times New Roman" w:hAnsi="Times New Roman" w:cs="Times New Roman"/>
                      <w:color w:val="auto"/>
                      <w:sz w:val="21"/>
                      <w:szCs w:val="21"/>
                      <w:highlight w:val="none"/>
                      <w:lang w:val="en-US" w:eastAsia="zh-CN"/>
                    </w:rPr>
                    <w:t>。</w:t>
                  </w:r>
                </w:p>
                <w:p w14:paraId="59CA51E9">
                  <w:pPr>
                    <w:rPr>
                      <w:rFonts w:hint="default" w:ascii="Times New Roman" w:hAnsi="Times New Roman" w:eastAsia="宋体" w:cs="Times New Roman"/>
                      <w:color w:val="auto"/>
                      <w:spacing w:val="-6"/>
                      <w:sz w:val="21"/>
                      <w:szCs w:val="21"/>
                      <w:highlight w:val="none"/>
                    </w:rPr>
                  </w:pPr>
                  <w:r>
                    <w:rPr>
                      <w:rFonts w:hint="eastAsia" w:ascii="Times New Roman" w:hAnsi="Times New Roman" w:cs="Times New Roman"/>
                      <w:color w:val="auto"/>
                      <w:sz w:val="21"/>
                      <w:szCs w:val="21"/>
                      <w:highlight w:val="none"/>
                      <w:lang w:val="en-US" w:eastAsia="zh-CN"/>
                    </w:rPr>
                    <w:t>⑦</w:t>
                  </w:r>
                  <w:r>
                    <w:rPr>
                      <w:rFonts w:hint="eastAsia" w:ascii="Times New Roman" w:hAnsi="Times New Roman" w:eastAsia="宋体" w:cs="Times New Roman"/>
                      <w:color w:val="auto"/>
                      <w:sz w:val="21"/>
                      <w:szCs w:val="21"/>
                      <w:highlight w:val="none"/>
                      <w:lang w:val="en-US" w:eastAsia="zh-CN"/>
                    </w:rPr>
                    <w:t>建立贮存设施全部档案，包括设计、施工、验收、运行、监测和环境应急等，按国家有关档案管理的法律法规进行整理和归档。</w:t>
                  </w:r>
                </w:p>
              </w:tc>
              <w:tc>
                <w:tcPr>
                  <w:tcW w:w="500" w:type="dxa"/>
                  <w:vAlign w:val="center"/>
                </w:tcPr>
                <w:p w14:paraId="7DC93DB9">
                  <w:pPr>
                    <w:widowControl/>
                    <w:snapToGrid w:val="0"/>
                    <w:spacing w:before="60"/>
                    <w:jc w:val="center"/>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符合</w:t>
                  </w:r>
                </w:p>
              </w:tc>
            </w:tr>
            <w:tr w14:paraId="494992F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5" w:type="dxa"/>
                  <w:vAlign w:val="center"/>
                </w:tcPr>
                <w:p w14:paraId="7A8184F0">
                  <w:pPr>
                    <w:widowControl/>
                    <w:snapToGrid w:val="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5.6</w:t>
                  </w:r>
                  <w:r>
                    <w:rPr>
                      <w:rFonts w:hint="default" w:ascii="Times New Roman" w:hAnsi="Times New Roman" w:eastAsia="宋体" w:cs="Times New Roman"/>
                      <w:color w:val="auto"/>
                      <w:sz w:val="21"/>
                      <w:szCs w:val="21"/>
                      <w:highlight w:val="none"/>
                    </w:rPr>
                    <w:t>环境应急要求</w:t>
                  </w:r>
                </w:p>
              </w:tc>
              <w:tc>
                <w:tcPr>
                  <w:tcW w:w="4768" w:type="dxa"/>
                  <w:gridSpan w:val="2"/>
                  <w:vAlign w:val="center"/>
                </w:tcPr>
                <w:p w14:paraId="7F16E9A4">
                  <w:pPr>
                    <w:widowControl/>
                    <w:snapToGrid w:val="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rPr>
                    <w:t>贮存设施所有者或运营者应按照国家有关规定编制突发环境事件应急预案，定期开展必要的培训和环境应急演练，并做好培训、演练记录。</w:t>
                  </w:r>
                </w:p>
                <w:p w14:paraId="6BC658CF">
                  <w:pPr>
                    <w:widowControl/>
                    <w:snapToGrid w:val="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rPr>
                    <w:t>贮存设施所有者或运营者应配备满足其突发环境事件应急要求的应急人员、装备和物资，并应设置应急照明系统。</w:t>
                  </w:r>
                </w:p>
                <w:p w14:paraId="427C88B0">
                  <w:pPr>
                    <w:widowControl/>
                    <w:snapToGrid w:val="0"/>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rPr>
                    <w:t>相关部门发布自然灾害或恶劣天气预警后，贮存设施所有者或运营者应启动相应防控措施，若有必要可将危险废物转移至其他具有防护条件的地点贮存。</w:t>
                  </w:r>
                </w:p>
              </w:tc>
              <w:tc>
                <w:tcPr>
                  <w:tcW w:w="2580" w:type="dxa"/>
                  <w:vAlign w:val="center"/>
                </w:tcPr>
                <w:p w14:paraId="16035BD3">
                  <w:pP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本项目将按照有关规定编制突发环境事件应急预案，定期开展必要的培训和环境应急演练，并做好培训、演练记录，配备满足要求的应急人员、装备和物资，并根据相关部门发布的预警启动相应的防控措施。</w:t>
                  </w:r>
                </w:p>
              </w:tc>
              <w:tc>
                <w:tcPr>
                  <w:tcW w:w="500" w:type="dxa"/>
                  <w:vAlign w:val="center"/>
                </w:tcPr>
                <w:p w14:paraId="3310B441">
                  <w:pPr>
                    <w:widowControl/>
                    <w:snapToGrid w:val="0"/>
                    <w:spacing w:before="60"/>
                    <w:jc w:val="center"/>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符合</w:t>
                  </w:r>
                </w:p>
              </w:tc>
            </w:tr>
            <w:tr w14:paraId="68C22B6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393" w:type="dxa"/>
                  <w:gridSpan w:val="5"/>
                  <w:vAlign w:val="center"/>
                </w:tcPr>
                <w:p w14:paraId="228614D7">
                  <w:pPr>
                    <w:widowControl/>
                    <w:snapToGrid w:val="0"/>
                    <w:spacing w:before="60"/>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6</w:t>
                  </w:r>
                  <w:r>
                    <w:rPr>
                      <w:rFonts w:hint="default" w:ascii="Times New Roman" w:hAnsi="Times New Roman" w:eastAsia="宋体" w:cs="Times New Roman"/>
                      <w:color w:val="auto"/>
                      <w:kern w:val="0"/>
                      <w:sz w:val="21"/>
                      <w:szCs w:val="21"/>
                      <w:highlight w:val="none"/>
                    </w:rPr>
                    <w:t>.《</w:t>
                  </w:r>
                  <w:r>
                    <w:rPr>
                      <w:rFonts w:hint="eastAsia" w:ascii="Times New Roman" w:hAnsi="Times New Roman" w:cs="Times New Roman"/>
                      <w:color w:val="auto"/>
                      <w:kern w:val="0"/>
                      <w:sz w:val="21"/>
                      <w:szCs w:val="21"/>
                      <w:highlight w:val="none"/>
                      <w:lang w:eastAsia="zh-CN"/>
                    </w:rPr>
                    <w:t>废旧铅酸蓄电池</w:t>
                  </w:r>
                  <w:r>
                    <w:rPr>
                      <w:rFonts w:hint="default" w:ascii="Times New Roman" w:hAnsi="Times New Roman" w:eastAsia="宋体" w:cs="Times New Roman"/>
                      <w:color w:val="auto"/>
                      <w:kern w:val="0"/>
                      <w:sz w:val="21"/>
                      <w:szCs w:val="21"/>
                      <w:highlight w:val="none"/>
                    </w:rPr>
                    <w:t>处理污染控制技术规范》（HJ519-2020）符合性分析</w:t>
                  </w:r>
                </w:p>
              </w:tc>
            </w:tr>
            <w:tr w14:paraId="067BBD3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5" w:type="dxa"/>
                  <w:vMerge w:val="restart"/>
                  <w:vAlign w:val="center"/>
                </w:tcPr>
                <w:p w14:paraId="6244FA3D">
                  <w:pPr>
                    <w:widowControl/>
                    <w:snapToGrid w:val="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6</w:t>
                  </w:r>
                  <w:r>
                    <w:rPr>
                      <w:rFonts w:hint="default" w:ascii="Times New Roman" w:hAnsi="Times New Roman" w:eastAsia="宋体" w:cs="Times New Roman"/>
                      <w:color w:val="auto"/>
                      <w:kern w:val="0"/>
                      <w:sz w:val="21"/>
                      <w:szCs w:val="21"/>
                      <w:highlight w:val="none"/>
                    </w:rPr>
                    <w:t>.1总体要求</w:t>
                  </w:r>
                </w:p>
              </w:tc>
              <w:tc>
                <w:tcPr>
                  <w:tcW w:w="4768" w:type="dxa"/>
                  <w:gridSpan w:val="2"/>
                  <w:vAlign w:val="center"/>
                </w:tcPr>
                <w:p w14:paraId="253B73FE">
                  <w:pPr>
                    <w:autoSpaceDE w:val="0"/>
                    <w:autoSpaceDN w:val="0"/>
                    <w:adjustRightInd w:val="0"/>
                    <w:spacing w:line="3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①从事</w:t>
                  </w:r>
                  <w:r>
                    <w:rPr>
                      <w:rFonts w:hint="eastAsia" w:ascii="Times New Roman" w:hAnsi="Times New Roman" w:cs="Times New Roman"/>
                      <w:color w:val="auto"/>
                      <w:sz w:val="21"/>
                      <w:szCs w:val="21"/>
                      <w:highlight w:val="none"/>
                      <w:lang w:eastAsia="zh-CN"/>
                    </w:rPr>
                    <w:t>废旧铅酸蓄电池</w:t>
                  </w:r>
                  <w:r>
                    <w:rPr>
                      <w:rFonts w:hint="default" w:ascii="Times New Roman" w:hAnsi="Times New Roman" w:eastAsia="宋体" w:cs="Times New Roman"/>
                      <w:color w:val="auto"/>
                      <w:sz w:val="21"/>
                      <w:szCs w:val="21"/>
                      <w:highlight w:val="none"/>
                    </w:rPr>
                    <w:t>收集、贮存的企业，应依法获得危险废物经营许可证；禁止无经营许可证或者不按照经营许可证规定从事</w:t>
                  </w:r>
                  <w:r>
                    <w:rPr>
                      <w:rFonts w:hint="eastAsia" w:ascii="Times New Roman" w:hAnsi="Times New Roman" w:cs="Times New Roman"/>
                      <w:color w:val="auto"/>
                      <w:sz w:val="21"/>
                      <w:szCs w:val="21"/>
                      <w:highlight w:val="none"/>
                      <w:lang w:eastAsia="zh-CN"/>
                    </w:rPr>
                    <w:t>废旧铅酸蓄电池</w:t>
                  </w:r>
                  <w:r>
                    <w:rPr>
                      <w:rFonts w:hint="default" w:ascii="Times New Roman" w:hAnsi="Times New Roman" w:eastAsia="宋体" w:cs="Times New Roman"/>
                      <w:color w:val="auto"/>
                      <w:sz w:val="21"/>
                      <w:szCs w:val="21"/>
                      <w:highlight w:val="none"/>
                    </w:rPr>
                    <w:t>收集、贮存经营活动。</w:t>
                  </w:r>
                </w:p>
                <w:p w14:paraId="46B00E43">
                  <w:pPr>
                    <w:autoSpaceDE w:val="0"/>
                    <w:autoSpaceDN w:val="0"/>
                    <w:adjustRightInd w:val="0"/>
                    <w:spacing w:line="3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②收集、运输、贮存</w:t>
                  </w:r>
                  <w:r>
                    <w:rPr>
                      <w:rFonts w:hint="eastAsia" w:ascii="Times New Roman" w:hAnsi="Times New Roman" w:cs="Times New Roman"/>
                      <w:color w:val="auto"/>
                      <w:sz w:val="21"/>
                      <w:szCs w:val="21"/>
                      <w:highlight w:val="none"/>
                      <w:lang w:eastAsia="zh-CN"/>
                    </w:rPr>
                    <w:t>废旧铅酸蓄电池</w:t>
                  </w:r>
                  <w:r>
                    <w:rPr>
                      <w:rFonts w:hint="default" w:ascii="Times New Roman" w:hAnsi="Times New Roman" w:eastAsia="宋体" w:cs="Times New Roman"/>
                      <w:color w:val="auto"/>
                      <w:sz w:val="21"/>
                      <w:szCs w:val="21"/>
                      <w:highlight w:val="none"/>
                    </w:rPr>
                    <w:t>的容器或托盘，应根据</w:t>
                  </w:r>
                  <w:r>
                    <w:rPr>
                      <w:rFonts w:hint="eastAsia" w:ascii="Times New Roman" w:hAnsi="Times New Roman" w:cs="Times New Roman"/>
                      <w:color w:val="auto"/>
                      <w:sz w:val="21"/>
                      <w:szCs w:val="21"/>
                      <w:highlight w:val="none"/>
                      <w:lang w:eastAsia="zh-CN"/>
                    </w:rPr>
                    <w:t>废旧铅酸蓄电池</w:t>
                  </w:r>
                  <w:r>
                    <w:rPr>
                      <w:rFonts w:hint="default" w:ascii="Times New Roman" w:hAnsi="Times New Roman" w:eastAsia="宋体" w:cs="Times New Roman"/>
                      <w:color w:val="auto"/>
                      <w:sz w:val="21"/>
                      <w:szCs w:val="21"/>
                      <w:highlight w:val="none"/>
                    </w:rPr>
                    <w:t>的特性设计，不易破损、变形，其所用材料能有效地防止渗漏、扩散，并耐酸腐蚀。装有</w:t>
                  </w:r>
                  <w:r>
                    <w:rPr>
                      <w:rFonts w:hint="eastAsia" w:ascii="Times New Roman" w:hAnsi="Times New Roman" w:cs="Times New Roman"/>
                      <w:color w:val="auto"/>
                      <w:sz w:val="21"/>
                      <w:szCs w:val="21"/>
                      <w:highlight w:val="none"/>
                      <w:lang w:eastAsia="zh-CN"/>
                    </w:rPr>
                    <w:t>废旧铅酸蓄电池</w:t>
                  </w:r>
                  <w:r>
                    <w:rPr>
                      <w:rFonts w:hint="default" w:ascii="Times New Roman" w:hAnsi="Times New Roman" w:eastAsia="宋体" w:cs="Times New Roman"/>
                      <w:color w:val="auto"/>
                      <w:sz w:val="21"/>
                      <w:szCs w:val="21"/>
                      <w:highlight w:val="none"/>
                    </w:rPr>
                    <w:t>的容器或托盘必须粘贴符合GB18597要求的危险废物标签。</w:t>
                  </w:r>
                </w:p>
              </w:tc>
              <w:tc>
                <w:tcPr>
                  <w:tcW w:w="2580" w:type="dxa"/>
                  <w:vAlign w:val="center"/>
                </w:tcPr>
                <w:p w14:paraId="735E3E8D">
                  <w:pPr>
                    <w:autoSpaceDE w:val="0"/>
                    <w:autoSpaceDN w:val="0"/>
                    <w:adjustRightInd w:val="0"/>
                    <w:spacing w:line="3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本项目投产后将严格按照要求办理危废经营许可证及转移联单；本项目在收集存储设备时，严格考虑</w:t>
                  </w:r>
                  <w:r>
                    <w:rPr>
                      <w:rFonts w:hint="eastAsia" w:ascii="Times New Roman" w:hAnsi="Times New Roman" w:cs="Times New Roman"/>
                      <w:color w:val="auto"/>
                      <w:sz w:val="21"/>
                      <w:szCs w:val="21"/>
                      <w:highlight w:val="none"/>
                      <w:lang w:eastAsia="zh-CN"/>
                    </w:rPr>
                    <w:t>废旧铅酸蓄电池</w:t>
                  </w:r>
                  <w:r>
                    <w:rPr>
                      <w:rFonts w:hint="default" w:ascii="Times New Roman" w:hAnsi="Times New Roman" w:eastAsia="宋体" w:cs="Times New Roman"/>
                      <w:color w:val="auto"/>
                      <w:sz w:val="21"/>
                      <w:szCs w:val="21"/>
                      <w:highlight w:val="none"/>
                    </w:rPr>
                    <w:t>的腐蚀性特点，确保不造成渗漏和扩散，并按照规范设置标签。</w:t>
                  </w:r>
                </w:p>
              </w:tc>
              <w:tc>
                <w:tcPr>
                  <w:tcW w:w="500" w:type="dxa"/>
                  <w:vAlign w:val="center"/>
                </w:tcPr>
                <w:p w14:paraId="6DE451CB">
                  <w:pPr>
                    <w:pStyle w:val="42"/>
                    <w:spacing w:line="30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E6AB33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5" w:type="dxa"/>
                  <w:vMerge w:val="continue"/>
                  <w:vAlign w:val="center"/>
                </w:tcPr>
                <w:p w14:paraId="4E6AC168">
                  <w:pPr>
                    <w:widowControl/>
                    <w:snapToGrid w:val="0"/>
                    <w:jc w:val="center"/>
                    <w:rPr>
                      <w:rFonts w:hint="eastAsia" w:ascii="Times New Roman" w:hAnsi="Times New Roman" w:eastAsia="宋体" w:cs="Times New Roman"/>
                      <w:color w:val="auto"/>
                      <w:kern w:val="0"/>
                      <w:sz w:val="21"/>
                      <w:szCs w:val="21"/>
                      <w:highlight w:val="none"/>
                      <w:lang w:val="en-US" w:eastAsia="zh-CN"/>
                    </w:rPr>
                  </w:pPr>
                </w:p>
              </w:tc>
              <w:tc>
                <w:tcPr>
                  <w:tcW w:w="4768" w:type="dxa"/>
                  <w:gridSpan w:val="2"/>
                  <w:vAlign w:val="center"/>
                </w:tcPr>
                <w:p w14:paraId="42DD4F0F">
                  <w:pPr>
                    <w:autoSpaceDE w:val="0"/>
                    <w:autoSpaceDN w:val="0"/>
                    <w:adjustRightInd w:val="0"/>
                    <w:spacing w:line="300" w:lineRule="exact"/>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③</w:t>
                  </w:r>
                  <w:r>
                    <w:rPr>
                      <w:rFonts w:hint="eastAsia" w:ascii="Times New Roman" w:hAnsi="Times New Roman" w:eastAsiaTheme="minorEastAsia"/>
                      <w:color w:val="auto"/>
                      <w:szCs w:val="21"/>
                      <w:highlight w:val="none"/>
                      <w:lang w:eastAsia="zh-CN"/>
                    </w:rPr>
                    <w:t>废旧铅酸蓄电池</w:t>
                  </w:r>
                  <w:r>
                    <w:rPr>
                      <w:rFonts w:ascii="Times New Roman" w:hAnsi="Times New Roman" w:eastAsiaTheme="minorEastAsia"/>
                      <w:color w:val="auto"/>
                      <w:szCs w:val="21"/>
                      <w:highlight w:val="none"/>
                    </w:rPr>
                    <w:t>收集、贮存企业应建立</w:t>
                  </w:r>
                  <w:r>
                    <w:rPr>
                      <w:rFonts w:hint="eastAsia" w:ascii="Times New Roman" w:hAnsi="Times New Roman" w:eastAsiaTheme="minorEastAsia"/>
                      <w:color w:val="auto"/>
                      <w:szCs w:val="21"/>
                      <w:highlight w:val="none"/>
                      <w:lang w:eastAsia="zh-CN"/>
                    </w:rPr>
                    <w:t>废旧铅酸蓄电池</w:t>
                  </w:r>
                  <w:r>
                    <w:rPr>
                      <w:rFonts w:ascii="Times New Roman" w:hAnsi="Times New Roman" w:eastAsiaTheme="minorEastAsia"/>
                      <w:color w:val="auto"/>
                      <w:szCs w:val="21"/>
                      <w:highlight w:val="none"/>
                    </w:rPr>
                    <w:t>收集处理数据信息管理系统，如实记录收集、贮存、转移</w:t>
                  </w:r>
                  <w:r>
                    <w:rPr>
                      <w:rFonts w:hint="eastAsia" w:ascii="Times New Roman" w:hAnsi="Times New Roman" w:eastAsiaTheme="minorEastAsia"/>
                      <w:color w:val="auto"/>
                      <w:szCs w:val="21"/>
                      <w:highlight w:val="none"/>
                      <w:lang w:eastAsia="zh-CN"/>
                    </w:rPr>
                    <w:t>废旧铅酸蓄电池</w:t>
                  </w:r>
                  <w:r>
                    <w:rPr>
                      <w:rFonts w:ascii="Times New Roman" w:hAnsi="Times New Roman" w:eastAsiaTheme="minorEastAsia"/>
                      <w:color w:val="auto"/>
                      <w:szCs w:val="21"/>
                      <w:highlight w:val="none"/>
                    </w:rPr>
                    <w:t>的重量、来源、去向等信息，并实现与全国固体废物管理信息系统的数据对接。</w:t>
                  </w:r>
                </w:p>
                <w:p w14:paraId="1EBA3F22">
                  <w:pPr>
                    <w:autoSpaceDE w:val="0"/>
                    <w:autoSpaceDN w:val="0"/>
                    <w:adjustRightInd w:val="0"/>
                    <w:spacing w:line="300" w:lineRule="exact"/>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④禁止在收集、运输和贮存过程中擅自拆解、破碎、丢弃</w:t>
                  </w:r>
                  <w:r>
                    <w:rPr>
                      <w:rFonts w:hint="eastAsia" w:ascii="Times New Roman" w:hAnsi="Times New Roman" w:eastAsiaTheme="minorEastAsia"/>
                      <w:color w:val="auto"/>
                      <w:szCs w:val="21"/>
                      <w:highlight w:val="none"/>
                      <w:lang w:eastAsia="zh-CN"/>
                    </w:rPr>
                    <w:t>废旧铅酸蓄电池</w:t>
                  </w:r>
                  <w:r>
                    <w:rPr>
                      <w:rFonts w:ascii="Times New Roman" w:hAnsi="Times New Roman" w:eastAsiaTheme="minorEastAsia"/>
                      <w:color w:val="auto"/>
                      <w:szCs w:val="21"/>
                      <w:highlight w:val="none"/>
                    </w:rPr>
                    <w:t>;禁止倾倒含铅酸性电解质。</w:t>
                  </w:r>
                </w:p>
                <w:p w14:paraId="129037F4">
                  <w:pPr>
                    <w:autoSpaceDE w:val="0"/>
                    <w:autoSpaceDN w:val="0"/>
                    <w:adjustRightInd w:val="0"/>
                    <w:spacing w:line="300" w:lineRule="exact"/>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⑤</w:t>
                  </w:r>
                  <w:r>
                    <w:rPr>
                      <w:rFonts w:hint="eastAsia" w:ascii="Times New Roman" w:hAnsi="Times New Roman" w:eastAsiaTheme="minorEastAsia"/>
                      <w:color w:val="auto"/>
                      <w:szCs w:val="21"/>
                      <w:highlight w:val="none"/>
                      <w:lang w:eastAsia="zh-CN"/>
                    </w:rPr>
                    <w:t>废旧铅酸蓄电池</w:t>
                  </w:r>
                  <w:r>
                    <w:rPr>
                      <w:rFonts w:ascii="Times New Roman" w:hAnsi="Times New Roman" w:eastAsiaTheme="minorEastAsia"/>
                      <w:color w:val="auto"/>
                      <w:szCs w:val="21"/>
                      <w:highlight w:val="none"/>
                    </w:rPr>
                    <w:t>收集、运输、贮存过程除应满足环境保护相关要求外，还应符合国家安全生产、职业健康、交通运输、消防等法规标准的相关要求。</w:t>
                  </w:r>
                </w:p>
                <w:p w14:paraId="7ECC950A">
                  <w:pPr>
                    <w:autoSpaceDE w:val="0"/>
                    <w:autoSpaceDN w:val="0"/>
                    <w:adjustRightInd w:val="0"/>
                    <w:spacing w:line="300" w:lineRule="exact"/>
                    <w:jc w:val="left"/>
                    <w:rPr>
                      <w:rFonts w:hint="default" w:ascii="Times New Roman" w:hAnsi="Times New Roman" w:eastAsia="宋体" w:cs="Times New Roman"/>
                      <w:color w:val="auto"/>
                      <w:sz w:val="21"/>
                      <w:szCs w:val="21"/>
                      <w:highlight w:val="none"/>
                    </w:rPr>
                  </w:pPr>
                  <w:r>
                    <w:rPr>
                      <w:rFonts w:ascii="Times New Roman" w:hAnsi="Times New Roman" w:eastAsiaTheme="minorEastAsia"/>
                      <w:color w:val="auto"/>
                      <w:szCs w:val="21"/>
                      <w:highlight w:val="none"/>
                    </w:rPr>
                    <w:t>⑥</w:t>
                  </w:r>
                  <w:r>
                    <w:rPr>
                      <w:rFonts w:hint="eastAsia" w:ascii="Times New Roman" w:hAnsi="Times New Roman" w:eastAsiaTheme="minorEastAsia"/>
                      <w:color w:val="auto"/>
                      <w:szCs w:val="21"/>
                      <w:highlight w:val="none"/>
                      <w:lang w:eastAsia="zh-CN"/>
                    </w:rPr>
                    <w:t>废旧铅酸蓄电池</w:t>
                  </w:r>
                  <w:r>
                    <w:rPr>
                      <w:rFonts w:ascii="Times New Roman" w:hAnsi="Times New Roman" w:eastAsiaTheme="minorEastAsia"/>
                      <w:color w:val="auto"/>
                      <w:szCs w:val="21"/>
                      <w:highlight w:val="none"/>
                    </w:rPr>
                    <w:t>收集企业和运输企业应组织收集人员、运输车辆驾驶员等相关人员参加危险废物环境管理和环境事故应急救援方面的培训。</w:t>
                  </w:r>
                </w:p>
              </w:tc>
              <w:tc>
                <w:tcPr>
                  <w:tcW w:w="2580" w:type="dxa"/>
                  <w:vAlign w:val="center"/>
                </w:tcPr>
                <w:p w14:paraId="1AAFB634">
                  <w:pPr>
                    <w:rPr>
                      <w:rFonts w:hint="default" w:ascii="Times New Roman" w:hAnsi="Times New Roman" w:eastAsia="宋体" w:cs="Times New Roman"/>
                      <w:color w:val="auto"/>
                      <w:sz w:val="21"/>
                      <w:szCs w:val="21"/>
                      <w:highlight w:val="none"/>
                    </w:rPr>
                  </w:pPr>
                  <w:r>
                    <w:rPr>
                      <w:rFonts w:hint="eastAsia" w:ascii="Times New Roman" w:hAnsi="Times New Roman" w:eastAsiaTheme="minorEastAsia"/>
                      <w:color w:val="auto"/>
                      <w:szCs w:val="21"/>
                      <w:highlight w:val="none"/>
                      <w:lang w:val="en-US" w:eastAsia="zh-CN"/>
                    </w:rPr>
                    <w:t>项目</w:t>
                  </w:r>
                  <w:r>
                    <w:rPr>
                      <w:rFonts w:hint="eastAsia" w:ascii="Times New Roman" w:hAnsi="Times New Roman" w:eastAsiaTheme="minorEastAsia"/>
                      <w:color w:val="auto"/>
                      <w:szCs w:val="21"/>
                      <w:highlight w:val="none"/>
                    </w:rPr>
                    <w:t>运营中</w:t>
                  </w:r>
                  <w:r>
                    <w:rPr>
                      <w:rFonts w:ascii="Times New Roman" w:hAnsi="Times New Roman" w:eastAsiaTheme="minorEastAsia"/>
                      <w:color w:val="auto"/>
                      <w:szCs w:val="21"/>
                      <w:highlight w:val="none"/>
                    </w:rPr>
                    <w:t>如实记录收集、贮存、转移</w:t>
                  </w:r>
                  <w:r>
                    <w:rPr>
                      <w:rFonts w:hint="eastAsia" w:ascii="Times New Roman" w:hAnsi="Times New Roman" w:eastAsiaTheme="minorEastAsia"/>
                      <w:color w:val="auto"/>
                      <w:szCs w:val="21"/>
                      <w:highlight w:val="none"/>
                      <w:lang w:eastAsia="zh-CN"/>
                    </w:rPr>
                    <w:t>废旧铅酸蓄电池</w:t>
                  </w:r>
                  <w:r>
                    <w:rPr>
                      <w:rFonts w:ascii="Times New Roman" w:hAnsi="Times New Roman" w:eastAsiaTheme="minorEastAsia"/>
                      <w:color w:val="auto"/>
                      <w:szCs w:val="21"/>
                      <w:highlight w:val="none"/>
                    </w:rPr>
                    <w:t>的重量、来源、去向等信息</w:t>
                  </w:r>
                  <w:r>
                    <w:rPr>
                      <w:rFonts w:hint="eastAsia" w:ascii="Times New Roman" w:hAnsi="Times New Roman" w:eastAsiaTheme="minorEastAsia"/>
                      <w:color w:val="auto"/>
                      <w:szCs w:val="21"/>
                      <w:highlight w:val="none"/>
                      <w:lang w:eastAsia="zh-CN"/>
                    </w:rPr>
                    <w:t>；</w:t>
                  </w:r>
                  <w:r>
                    <w:rPr>
                      <w:rFonts w:ascii="Times New Roman" w:hAnsi="Times New Roman" w:eastAsiaTheme="minorEastAsia"/>
                      <w:color w:val="auto"/>
                      <w:szCs w:val="21"/>
                      <w:highlight w:val="none"/>
                    </w:rPr>
                    <w:t>禁止在收集、运输和贮存过程中擅自拆解、破碎、丢弃</w:t>
                  </w:r>
                  <w:r>
                    <w:rPr>
                      <w:rFonts w:hint="eastAsia" w:ascii="Times New Roman" w:hAnsi="Times New Roman" w:eastAsiaTheme="minorEastAsia"/>
                      <w:color w:val="auto"/>
                      <w:szCs w:val="21"/>
                      <w:highlight w:val="none"/>
                      <w:lang w:eastAsia="zh-CN"/>
                    </w:rPr>
                    <w:t>废旧铅酸蓄电池</w:t>
                  </w:r>
                  <w:r>
                    <w:rPr>
                      <w:rFonts w:ascii="Times New Roman" w:hAnsi="Times New Roman" w:eastAsiaTheme="minorEastAsia"/>
                      <w:color w:val="auto"/>
                      <w:szCs w:val="21"/>
                      <w:highlight w:val="none"/>
                    </w:rPr>
                    <w:t>；禁止倾倒含铅酸性电解质。</w:t>
                  </w:r>
                  <w:r>
                    <w:rPr>
                      <w:rFonts w:hint="eastAsia" w:ascii="Times New Roman" w:hAnsi="Times New Roman" w:eastAsiaTheme="minorEastAsia"/>
                      <w:color w:val="auto"/>
                      <w:szCs w:val="21"/>
                      <w:highlight w:val="none"/>
                      <w:lang w:eastAsia="zh-CN"/>
                    </w:rPr>
                    <w:t>废旧铅酸蓄电池</w:t>
                  </w:r>
                  <w:r>
                    <w:rPr>
                      <w:rFonts w:ascii="Times New Roman" w:hAnsi="Times New Roman" w:eastAsiaTheme="minorEastAsia"/>
                      <w:color w:val="auto"/>
                      <w:szCs w:val="21"/>
                      <w:highlight w:val="none"/>
                    </w:rPr>
                    <w:t>收集、运输、贮存过程除应满足环境保护相关要求</w:t>
                  </w:r>
                  <w:r>
                    <w:rPr>
                      <w:rFonts w:hint="eastAsia" w:ascii="Times New Roman" w:hAnsi="Times New Roman" w:eastAsiaTheme="minorEastAsia"/>
                      <w:color w:val="auto"/>
                      <w:szCs w:val="21"/>
                      <w:highlight w:val="none"/>
                    </w:rPr>
                    <w:t>；</w:t>
                  </w:r>
                  <w:r>
                    <w:rPr>
                      <w:rFonts w:ascii="Times New Roman" w:hAnsi="Times New Roman" w:eastAsiaTheme="minorEastAsia"/>
                      <w:color w:val="auto"/>
                      <w:szCs w:val="21"/>
                      <w:highlight w:val="none"/>
                    </w:rPr>
                    <w:t>定期对收集人员、运输车辆驾驶员进行培训</w:t>
                  </w:r>
                  <w:r>
                    <w:rPr>
                      <w:rFonts w:hint="eastAsia" w:ascii="Times New Roman" w:hAnsi="Times New Roman" w:eastAsiaTheme="minorEastAsia"/>
                      <w:color w:val="auto"/>
                      <w:szCs w:val="21"/>
                      <w:highlight w:val="none"/>
                    </w:rPr>
                    <w:t>。</w:t>
                  </w:r>
                </w:p>
              </w:tc>
              <w:tc>
                <w:tcPr>
                  <w:tcW w:w="500" w:type="dxa"/>
                  <w:vAlign w:val="center"/>
                </w:tcPr>
                <w:p w14:paraId="48883BD8">
                  <w:pPr>
                    <w:pStyle w:val="42"/>
                    <w:tabs>
                      <w:tab w:val="left" w:pos="233"/>
                    </w:tabs>
                    <w:spacing w:line="300" w:lineRule="exact"/>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符合</w:t>
                  </w:r>
                </w:p>
              </w:tc>
            </w:tr>
          </w:tbl>
          <w:p w14:paraId="2C180CDC">
            <w:pPr>
              <w:tabs>
                <w:tab w:val="left" w:pos="0"/>
              </w:tabs>
              <w:snapToGrid w:val="0"/>
              <w:spacing w:line="480" w:lineRule="exact"/>
              <w:jc w:val="center"/>
              <w:rPr>
                <w:rFonts w:ascii="Times New Roman" w:hAnsi="Times New Roman" w:eastAsiaTheme="minorEastAsia"/>
                <w:bCs/>
                <w:color w:val="auto"/>
                <w:sz w:val="24"/>
                <w:szCs w:val="24"/>
                <w:highlight w:val="none"/>
              </w:rPr>
            </w:pPr>
          </w:p>
          <w:p w14:paraId="5BEB437E">
            <w:pPr>
              <w:tabs>
                <w:tab w:val="left" w:pos="0"/>
              </w:tabs>
              <w:snapToGrid w:val="0"/>
              <w:spacing w:line="480" w:lineRule="exact"/>
              <w:jc w:val="center"/>
              <w:rPr>
                <w:rFonts w:ascii="Times New Roman" w:hAnsi="Times New Roman" w:eastAsiaTheme="minorEastAsia"/>
                <w:bCs/>
                <w:color w:val="auto"/>
                <w:sz w:val="24"/>
                <w:szCs w:val="24"/>
                <w:highlight w:val="none"/>
              </w:rPr>
            </w:pPr>
          </w:p>
          <w:p w14:paraId="2D8F4239">
            <w:pPr>
              <w:tabs>
                <w:tab w:val="left" w:pos="0"/>
              </w:tabs>
              <w:snapToGrid w:val="0"/>
              <w:spacing w:line="480" w:lineRule="exact"/>
              <w:jc w:val="center"/>
              <w:rPr>
                <w:rFonts w:ascii="Times New Roman" w:hAnsi="Times New Roman" w:eastAsiaTheme="minorEastAsia"/>
                <w:bCs/>
                <w:color w:val="auto"/>
                <w:sz w:val="24"/>
                <w:szCs w:val="24"/>
                <w:highlight w:val="none"/>
              </w:rPr>
            </w:pPr>
            <w:r>
              <w:rPr>
                <w:rFonts w:ascii="Times New Roman" w:hAnsi="Times New Roman" w:eastAsiaTheme="minorEastAsia"/>
                <w:bCs/>
                <w:color w:val="auto"/>
                <w:sz w:val="24"/>
                <w:szCs w:val="24"/>
                <w:highlight w:val="none"/>
              </w:rPr>
              <w:t>续表1-6  与其他相关规划和环境管理符合性分析</w:t>
            </w:r>
          </w:p>
          <w:tbl>
            <w:tblPr>
              <w:tblStyle w:val="31"/>
              <w:tblW w:w="8393"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58"/>
              <w:gridCol w:w="4765"/>
              <w:gridCol w:w="2481"/>
              <w:gridCol w:w="689"/>
            </w:tblGrid>
            <w:tr w14:paraId="1734459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223" w:type="dxa"/>
                  <w:gridSpan w:val="2"/>
                  <w:tcMar>
                    <w:top w:w="57" w:type="dxa"/>
                    <w:left w:w="28" w:type="dxa"/>
                    <w:bottom w:w="57" w:type="dxa"/>
                    <w:right w:w="28" w:type="dxa"/>
                  </w:tcMar>
                  <w:vAlign w:val="center"/>
                </w:tcPr>
                <w:p w14:paraId="5901A9E1">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与项目有关的条例、条文</w:t>
                  </w:r>
                </w:p>
              </w:tc>
              <w:tc>
                <w:tcPr>
                  <w:tcW w:w="2481" w:type="dxa"/>
                  <w:tcMar>
                    <w:top w:w="57" w:type="dxa"/>
                    <w:left w:w="28" w:type="dxa"/>
                    <w:bottom w:w="57" w:type="dxa"/>
                    <w:right w:w="28" w:type="dxa"/>
                  </w:tcMar>
                  <w:vAlign w:val="center"/>
                </w:tcPr>
                <w:p w14:paraId="3D12A8B3">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本项目</w:t>
                  </w:r>
                </w:p>
              </w:tc>
              <w:tc>
                <w:tcPr>
                  <w:tcW w:w="689" w:type="dxa"/>
                  <w:tcMar>
                    <w:top w:w="57" w:type="dxa"/>
                    <w:left w:w="28" w:type="dxa"/>
                    <w:bottom w:w="57" w:type="dxa"/>
                    <w:right w:w="28" w:type="dxa"/>
                  </w:tcMar>
                  <w:vAlign w:val="center"/>
                </w:tcPr>
                <w:p w14:paraId="5769F497">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符合性</w:t>
                  </w:r>
                </w:p>
              </w:tc>
            </w:tr>
            <w:tr w14:paraId="68CD65F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Merge w:val="restart"/>
                  <w:vAlign w:val="center"/>
                </w:tcPr>
                <w:p w14:paraId="58B415F8">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val="en-US" w:eastAsia="zh-CN"/>
                    </w:rPr>
                    <w:t>6</w:t>
                  </w:r>
                  <w:r>
                    <w:rPr>
                      <w:rFonts w:hint="eastAsia" w:ascii="Times New Roman" w:hAnsi="Times New Roman" w:eastAsiaTheme="minorEastAsia"/>
                      <w:color w:val="auto"/>
                      <w:kern w:val="0"/>
                      <w:szCs w:val="21"/>
                      <w:highlight w:val="none"/>
                    </w:rPr>
                    <w:t>.2收集</w:t>
                  </w:r>
                </w:p>
              </w:tc>
              <w:tc>
                <w:tcPr>
                  <w:tcW w:w="4765" w:type="dxa"/>
                  <w:vAlign w:val="center"/>
                </w:tcPr>
                <w:p w14:paraId="1D925DD0">
                  <w:pPr>
                    <w:widowControl/>
                    <w:snapToGrid w:val="0"/>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铅蓄电池生产企业应采取自主回收、联合回收或委托回收模式，通过企业自有销售渠道或再生铅企业、专业收集企业在消费末端建立的网络收集</w:t>
                  </w:r>
                  <w:r>
                    <w:rPr>
                      <w:rFonts w:hint="eastAsia" w:ascii="Times New Roman" w:hAnsi="Times New Roman" w:eastAsiaTheme="minorEastAsia"/>
                      <w:color w:val="auto"/>
                      <w:szCs w:val="21"/>
                      <w:highlight w:val="none"/>
                      <w:lang w:eastAsia="zh-CN"/>
                    </w:rPr>
                    <w:t>废旧铅酸蓄电池</w:t>
                  </w:r>
                  <w:r>
                    <w:rPr>
                      <w:rFonts w:ascii="Times New Roman" w:hAnsi="Times New Roman" w:eastAsiaTheme="minorEastAsia"/>
                      <w:color w:val="auto"/>
                      <w:szCs w:val="21"/>
                      <w:highlight w:val="none"/>
                    </w:rPr>
                    <w:t>，可采用“销一收一”等方式提高收集率。再生铅企业可通过自建，或者与专业收集企业合作，建设网络收集</w:t>
                  </w:r>
                  <w:r>
                    <w:rPr>
                      <w:rFonts w:hint="eastAsia" w:ascii="Times New Roman" w:hAnsi="Times New Roman" w:eastAsiaTheme="minorEastAsia"/>
                      <w:color w:val="auto"/>
                      <w:szCs w:val="21"/>
                      <w:highlight w:val="none"/>
                      <w:lang w:eastAsia="zh-CN"/>
                    </w:rPr>
                    <w:t>废旧铅酸蓄电池</w:t>
                  </w:r>
                  <w:r>
                    <w:rPr>
                      <w:rFonts w:hint="eastAsia" w:ascii="Times New Roman" w:hAnsi="Times New Roman" w:eastAsiaTheme="minorEastAsia"/>
                      <w:color w:val="auto"/>
                      <w:szCs w:val="21"/>
                      <w:highlight w:val="none"/>
                    </w:rPr>
                    <w:t>。</w:t>
                  </w:r>
                </w:p>
              </w:tc>
              <w:tc>
                <w:tcPr>
                  <w:tcW w:w="2481" w:type="dxa"/>
                  <w:vAlign w:val="center"/>
                </w:tcPr>
                <w:p w14:paraId="10E8A2C2">
                  <w:pP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本项目收集采用</w:t>
                  </w:r>
                  <w:r>
                    <w:rPr>
                      <w:rFonts w:hint="eastAsia" w:ascii="Times New Roman" w:hAnsi="Times New Roman" w:eastAsiaTheme="minorEastAsia"/>
                      <w:color w:val="auto"/>
                      <w:szCs w:val="21"/>
                      <w:highlight w:val="none"/>
                      <w:lang w:val="en-US" w:eastAsia="zh-CN"/>
                    </w:rPr>
                    <w:t>委托</w:t>
                  </w:r>
                  <w:r>
                    <w:rPr>
                      <w:rFonts w:hint="eastAsia" w:ascii="Times New Roman" w:hAnsi="Times New Roman" w:eastAsiaTheme="minorEastAsia"/>
                      <w:color w:val="auto"/>
                      <w:szCs w:val="21"/>
                      <w:highlight w:val="none"/>
                    </w:rPr>
                    <w:t>回收模式，</w:t>
                  </w:r>
                  <w:r>
                    <w:rPr>
                      <w:rFonts w:hint="eastAsia" w:ascii="Times New Roman" w:hAnsi="Times New Roman" w:eastAsiaTheme="minorEastAsia"/>
                      <w:color w:val="auto"/>
                      <w:szCs w:val="21"/>
                      <w:highlight w:val="none"/>
                      <w:lang w:val="en-US" w:eastAsia="zh-CN"/>
                    </w:rPr>
                    <w:t>从收集网点回收铅蓄电池</w:t>
                  </w:r>
                  <w:r>
                    <w:rPr>
                      <w:rFonts w:hint="eastAsia" w:ascii="Times New Roman" w:hAnsi="Times New Roman" w:eastAsiaTheme="minorEastAsia"/>
                      <w:color w:val="auto"/>
                      <w:szCs w:val="21"/>
                      <w:highlight w:val="none"/>
                    </w:rPr>
                    <w:t>。</w:t>
                  </w:r>
                </w:p>
              </w:tc>
              <w:tc>
                <w:tcPr>
                  <w:tcW w:w="689" w:type="dxa"/>
                  <w:vAlign w:val="center"/>
                </w:tcPr>
                <w:p w14:paraId="6DFADD9E">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42794AA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Merge w:val="continue"/>
                  <w:vAlign w:val="center"/>
                </w:tcPr>
                <w:p w14:paraId="7431AC5E">
                  <w:pPr>
                    <w:widowControl/>
                    <w:snapToGrid w:val="0"/>
                    <w:jc w:val="center"/>
                    <w:rPr>
                      <w:rFonts w:ascii="Times New Roman" w:hAnsi="Times New Roman" w:eastAsiaTheme="minorEastAsia"/>
                      <w:color w:val="auto"/>
                      <w:kern w:val="0"/>
                      <w:szCs w:val="21"/>
                      <w:highlight w:val="none"/>
                    </w:rPr>
                  </w:pPr>
                </w:p>
              </w:tc>
              <w:tc>
                <w:tcPr>
                  <w:tcW w:w="4765" w:type="dxa"/>
                  <w:vAlign w:val="center"/>
                </w:tcPr>
                <w:p w14:paraId="392F2B32">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收集企业可在收集区域内设置</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收集网点，建设</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集中转运点，以利于中转。</w:t>
                  </w:r>
                </w:p>
              </w:tc>
              <w:tc>
                <w:tcPr>
                  <w:tcW w:w="2481" w:type="dxa"/>
                  <w:vAlign w:val="center"/>
                </w:tcPr>
                <w:p w14:paraId="6FE1089E">
                  <w:pPr>
                    <w:rPr>
                      <w:rFonts w:ascii="Times New Roman" w:hAnsi="Times New Roman" w:eastAsiaTheme="minorEastAsia"/>
                      <w:color w:val="auto"/>
                      <w:spacing w:val="-6"/>
                      <w:szCs w:val="21"/>
                      <w:highlight w:val="none"/>
                    </w:rPr>
                  </w:pPr>
                  <w:r>
                    <w:rPr>
                      <w:rFonts w:hint="eastAsia" w:ascii="Times New Roman" w:hAnsi="Times New Roman" w:eastAsiaTheme="minorEastAsia"/>
                      <w:color w:val="auto"/>
                      <w:spacing w:val="-6"/>
                      <w:szCs w:val="21"/>
                      <w:highlight w:val="none"/>
                    </w:rPr>
                    <w:t>本项目</w:t>
                  </w:r>
                  <w:r>
                    <w:rPr>
                      <w:rFonts w:hint="eastAsia" w:ascii="Times New Roman" w:hAnsi="Times New Roman" w:eastAsiaTheme="minorEastAsia"/>
                      <w:color w:val="auto"/>
                      <w:spacing w:val="-6"/>
                      <w:szCs w:val="21"/>
                      <w:highlight w:val="none"/>
                      <w:lang w:val="en-US" w:eastAsia="zh-CN"/>
                    </w:rPr>
                    <w:t>利用现有</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收集网点</w:t>
                  </w:r>
                  <w:r>
                    <w:rPr>
                      <w:rFonts w:hint="eastAsia" w:ascii="Times New Roman" w:hAnsi="Times New Roman" w:eastAsiaTheme="minorEastAsia"/>
                      <w:color w:val="auto"/>
                      <w:kern w:val="0"/>
                      <w:szCs w:val="21"/>
                      <w:highlight w:val="none"/>
                      <w:lang w:eastAsia="zh-CN"/>
                    </w:rPr>
                    <w:t>，</w:t>
                  </w:r>
                  <w:r>
                    <w:rPr>
                      <w:rFonts w:hint="eastAsia" w:ascii="Times New Roman" w:hAnsi="Times New Roman" w:eastAsiaTheme="minorEastAsia"/>
                      <w:color w:val="auto"/>
                      <w:kern w:val="0"/>
                      <w:szCs w:val="21"/>
                      <w:highlight w:val="none"/>
                      <w:lang w:val="en-US" w:eastAsia="zh-CN"/>
                    </w:rPr>
                    <w:t>不再自行建设</w:t>
                  </w:r>
                  <w:r>
                    <w:rPr>
                      <w:rFonts w:hint="eastAsia" w:ascii="Times New Roman" w:hAnsi="Times New Roman" w:eastAsiaTheme="minorEastAsia"/>
                      <w:color w:val="auto"/>
                      <w:spacing w:val="-6"/>
                      <w:szCs w:val="21"/>
                      <w:highlight w:val="none"/>
                    </w:rPr>
                    <w:t>。</w:t>
                  </w:r>
                </w:p>
              </w:tc>
              <w:tc>
                <w:tcPr>
                  <w:tcW w:w="689" w:type="dxa"/>
                  <w:vAlign w:val="center"/>
                </w:tcPr>
                <w:p w14:paraId="2F0BB591">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67716DC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Merge w:val="continue"/>
                  <w:vAlign w:val="center"/>
                </w:tcPr>
                <w:p w14:paraId="1D7243E1">
                  <w:pPr>
                    <w:widowControl/>
                    <w:snapToGrid w:val="0"/>
                    <w:jc w:val="center"/>
                    <w:rPr>
                      <w:rFonts w:ascii="Times New Roman" w:hAnsi="Times New Roman" w:eastAsiaTheme="minorEastAsia"/>
                      <w:color w:val="auto"/>
                      <w:kern w:val="0"/>
                      <w:szCs w:val="21"/>
                      <w:highlight w:val="none"/>
                    </w:rPr>
                  </w:pPr>
                </w:p>
              </w:tc>
              <w:tc>
                <w:tcPr>
                  <w:tcW w:w="4765" w:type="dxa"/>
                  <w:vAlign w:val="center"/>
                </w:tcPr>
                <w:p w14:paraId="484F3763">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收集过程应采取以下防范措施，避免发生环境污染事故：①</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应进行合理包装，防止运输过程破损和电解质泄漏。②</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有破损或电解质渗漏的，应将</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及其渗漏液贮存于耐酸容器中。</w:t>
                  </w:r>
                </w:p>
              </w:tc>
              <w:tc>
                <w:tcPr>
                  <w:tcW w:w="2481" w:type="dxa"/>
                  <w:vAlign w:val="center"/>
                </w:tcPr>
                <w:p w14:paraId="34D5194F">
                  <w:pPr>
                    <w:rPr>
                      <w:rFonts w:ascii="Times New Roman" w:hAnsi="Times New Roman" w:eastAsiaTheme="minorEastAsia"/>
                      <w:color w:val="auto"/>
                      <w:spacing w:val="-6"/>
                      <w:szCs w:val="21"/>
                      <w:highlight w:val="none"/>
                    </w:rPr>
                  </w:pPr>
                  <w:r>
                    <w:rPr>
                      <w:rFonts w:hint="eastAsia" w:ascii="Times New Roman" w:hAnsi="Times New Roman" w:eastAsiaTheme="minorEastAsia"/>
                      <w:color w:val="auto"/>
                      <w:spacing w:val="-6"/>
                      <w:szCs w:val="21"/>
                      <w:highlight w:val="none"/>
                    </w:rPr>
                    <w:t>本项目对</w:t>
                  </w:r>
                  <w:r>
                    <w:rPr>
                      <w:rFonts w:hint="eastAsia" w:ascii="Times New Roman" w:hAnsi="Times New Roman" w:eastAsiaTheme="minorEastAsia"/>
                      <w:color w:val="auto"/>
                      <w:spacing w:val="-6"/>
                      <w:szCs w:val="21"/>
                      <w:highlight w:val="none"/>
                      <w:lang w:eastAsia="zh-CN"/>
                    </w:rPr>
                    <w:t>废旧铅酸蓄电池</w:t>
                  </w:r>
                  <w:r>
                    <w:rPr>
                      <w:rFonts w:hint="eastAsia" w:ascii="Times New Roman" w:hAnsi="Times New Roman" w:eastAsiaTheme="minorEastAsia"/>
                      <w:color w:val="auto"/>
                      <w:spacing w:val="-6"/>
                      <w:szCs w:val="21"/>
                      <w:highlight w:val="none"/>
                    </w:rPr>
                    <w:t>采用耐酸耐腐蚀包装，对外包装破损和电解液渗漏的</w:t>
                  </w:r>
                  <w:r>
                    <w:rPr>
                      <w:rFonts w:hint="eastAsia" w:ascii="Times New Roman" w:hAnsi="Times New Roman" w:eastAsiaTheme="minorEastAsia"/>
                      <w:color w:val="auto"/>
                      <w:spacing w:val="-6"/>
                      <w:szCs w:val="21"/>
                      <w:highlight w:val="none"/>
                      <w:lang w:eastAsia="zh-CN"/>
                    </w:rPr>
                    <w:t>废旧铅酸蓄电池</w:t>
                  </w:r>
                  <w:r>
                    <w:rPr>
                      <w:rFonts w:hint="eastAsia" w:ascii="Times New Roman" w:hAnsi="Times New Roman" w:eastAsiaTheme="minorEastAsia"/>
                      <w:color w:val="auto"/>
                      <w:spacing w:val="-6"/>
                      <w:szCs w:val="21"/>
                      <w:highlight w:val="none"/>
                    </w:rPr>
                    <w:t>，采用耐酸腐蚀容器收集。本项目无拆解、加工工序。</w:t>
                  </w:r>
                </w:p>
              </w:tc>
              <w:tc>
                <w:tcPr>
                  <w:tcW w:w="689" w:type="dxa"/>
                  <w:vAlign w:val="center"/>
                </w:tcPr>
                <w:p w14:paraId="5650C702">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3CA670B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Merge w:val="restart"/>
                  <w:vAlign w:val="center"/>
                </w:tcPr>
                <w:p w14:paraId="59C6FACF">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val="en-US" w:eastAsia="zh-CN"/>
                    </w:rPr>
                    <w:t>6</w:t>
                  </w:r>
                  <w:r>
                    <w:rPr>
                      <w:rFonts w:hint="eastAsia" w:ascii="Times New Roman" w:hAnsi="Times New Roman" w:eastAsiaTheme="minorEastAsia"/>
                      <w:color w:val="auto"/>
                      <w:kern w:val="0"/>
                      <w:szCs w:val="21"/>
                      <w:highlight w:val="none"/>
                    </w:rPr>
                    <w:t>.3运输</w:t>
                  </w:r>
                </w:p>
              </w:tc>
              <w:tc>
                <w:tcPr>
                  <w:tcW w:w="4765" w:type="dxa"/>
                  <w:vAlign w:val="center"/>
                </w:tcPr>
                <w:p w14:paraId="5826A6D2">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运输企业应执行国家有关危险货物运输管理的规定，具有对危险废物包装发生破裂、泄漏或其他事故进行处理的能力。运输</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应采用符合要求的专用运输工具。公路运输车辆应按GB13392的规定悬挂相应标志；铁路运输和水路运输时，应在集装箱外按GB190的规定悬挂相应的标志。</w:t>
                  </w:r>
                </w:p>
                <w:p w14:paraId="4F7DEE40">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满足国家交通运输、环境保护相关规定条件的费谦虚电池，豁免运输企业资质、专业车辆和从业人员资格等道路危险货物运输管理要求。</w:t>
                  </w:r>
                </w:p>
              </w:tc>
              <w:tc>
                <w:tcPr>
                  <w:tcW w:w="2481" w:type="dxa"/>
                  <w:vAlign w:val="center"/>
                </w:tcPr>
                <w:p w14:paraId="25861EA7">
                  <w:pPr>
                    <w:rPr>
                      <w:rFonts w:ascii="Times New Roman" w:hAnsi="Times New Roman" w:eastAsiaTheme="minorEastAsia"/>
                      <w:color w:val="auto"/>
                      <w:spacing w:val="-6"/>
                      <w:szCs w:val="21"/>
                      <w:highlight w:val="none"/>
                    </w:rPr>
                  </w:pPr>
                  <w:r>
                    <w:rPr>
                      <w:rFonts w:hint="eastAsia" w:ascii="Times New Roman" w:hAnsi="Times New Roman" w:eastAsiaTheme="minorEastAsia"/>
                      <w:color w:val="auto"/>
                      <w:spacing w:val="-6"/>
                      <w:szCs w:val="21"/>
                      <w:highlight w:val="none"/>
                    </w:rPr>
                    <w:t>本项目公路运输，采用专用车辆运输，设置悬挂标准规定的标志。运输车辆配备收集工具（防腐桶、铁锹、石灰等），及时对破裂造成的泄漏进行收集。</w:t>
                  </w:r>
                </w:p>
              </w:tc>
              <w:tc>
                <w:tcPr>
                  <w:tcW w:w="689" w:type="dxa"/>
                  <w:vAlign w:val="center"/>
                </w:tcPr>
                <w:p w14:paraId="0EC339E6">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6EBDD7C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Merge w:val="continue"/>
                  <w:vAlign w:val="center"/>
                </w:tcPr>
                <w:p w14:paraId="01D08CA8">
                  <w:pPr>
                    <w:widowControl/>
                    <w:snapToGrid w:val="0"/>
                    <w:jc w:val="center"/>
                    <w:rPr>
                      <w:rFonts w:ascii="Times New Roman" w:hAnsi="Times New Roman" w:eastAsiaTheme="minorEastAsia"/>
                      <w:color w:val="auto"/>
                      <w:kern w:val="0"/>
                      <w:szCs w:val="21"/>
                      <w:highlight w:val="none"/>
                    </w:rPr>
                  </w:pPr>
                </w:p>
              </w:tc>
              <w:tc>
                <w:tcPr>
                  <w:tcW w:w="4765" w:type="dxa"/>
                  <w:vAlign w:val="center"/>
                </w:tcPr>
                <w:p w14:paraId="643640A0">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运输企业应制定详细的运输方案及路线，并制定事故应急预案，配备事故应急及个人防护设备，以保证在收集、运输过程中发生事故时能有效防止对环境的污染。</w:t>
                  </w:r>
                </w:p>
              </w:tc>
              <w:tc>
                <w:tcPr>
                  <w:tcW w:w="2481" w:type="dxa"/>
                  <w:vAlign w:val="center"/>
                </w:tcPr>
                <w:p w14:paraId="351A2D97">
                  <w:pPr>
                    <w:rPr>
                      <w:rFonts w:ascii="Times New Roman" w:hAnsi="Times New Roman" w:eastAsiaTheme="minorEastAsia"/>
                      <w:color w:val="auto"/>
                      <w:spacing w:val="-6"/>
                      <w:szCs w:val="21"/>
                      <w:highlight w:val="none"/>
                    </w:rPr>
                  </w:pPr>
                  <w:r>
                    <w:rPr>
                      <w:rFonts w:hint="eastAsia" w:ascii="Times New Roman" w:hAnsi="Times New Roman" w:eastAsiaTheme="minorEastAsia"/>
                      <w:color w:val="auto"/>
                      <w:spacing w:val="-6"/>
                      <w:szCs w:val="21"/>
                      <w:highlight w:val="none"/>
                    </w:rPr>
                    <w:t>本项目运输时，严格按照已制定的路线进行，出现事故时，严格按照应急预案的要求，工人在防护服、防腐手套及专业眼镜的保护下开展液体收集及防扩散现场处置工作。</w:t>
                  </w:r>
                </w:p>
              </w:tc>
              <w:tc>
                <w:tcPr>
                  <w:tcW w:w="689" w:type="dxa"/>
                  <w:vAlign w:val="center"/>
                </w:tcPr>
                <w:p w14:paraId="1F7AA787">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5D42D8F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Merge w:val="continue"/>
                  <w:vAlign w:val="center"/>
                </w:tcPr>
                <w:p w14:paraId="29DB1E0A">
                  <w:pPr>
                    <w:widowControl/>
                    <w:snapToGrid w:val="0"/>
                    <w:jc w:val="center"/>
                    <w:rPr>
                      <w:rFonts w:ascii="Times New Roman" w:hAnsi="Times New Roman" w:eastAsiaTheme="minorEastAsia"/>
                      <w:color w:val="auto"/>
                      <w:kern w:val="0"/>
                      <w:szCs w:val="21"/>
                      <w:highlight w:val="none"/>
                    </w:rPr>
                  </w:pPr>
                </w:p>
              </w:tc>
              <w:tc>
                <w:tcPr>
                  <w:tcW w:w="4765" w:type="dxa"/>
                  <w:vAlign w:val="center"/>
                </w:tcPr>
                <w:p w14:paraId="46D9CBEB">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运输时应采取有效的包装措施，破损的</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应放置于耐腐蚀的容器内，并采取必要的防风、防雨、防渗漏、防遗撒措施。</w:t>
                  </w:r>
                </w:p>
              </w:tc>
              <w:tc>
                <w:tcPr>
                  <w:tcW w:w="2481" w:type="dxa"/>
                  <w:vAlign w:val="center"/>
                </w:tcPr>
                <w:p w14:paraId="0A0B9C91">
                  <w:pPr>
                    <w:rPr>
                      <w:rFonts w:ascii="Times New Roman" w:hAnsi="Times New Roman" w:eastAsiaTheme="minorEastAsia"/>
                      <w:color w:val="auto"/>
                      <w:spacing w:val="-6"/>
                      <w:szCs w:val="21"/>
                      <w:highlight w:val="none"/>
                    </w:rPr>
                  </w:pPr>
                  <w:r>
                    <w:rPr>
                      <w:rFonts w:hint="eastAsia" w:ascii="Times New Roman" w:hAnsi="Times New Roman" w:eastAsiaTheme="minorEastAsia"/>
                      <w:color w:val="auto"/>
                      <w:spacing w:val="-6"/>
                      <w:szCs w:val="21"/>
                      <w:highlight w:val="none"/>
                    </w:rPr>
                    <w:t>本项目对外包装破损和电解液渗漏的</w:t>
                  </w:r>
                  <w:r>
                    <w:rPr>
                      <w:rFonts w:hint="eastAsia" w:ascii="Times New Roman" w:hAnsi="Times New Roman" w:eastAsiaTheme="minorEastAsia"/>
                      <w:color w:val="auto"/>
                      <w:spacing w:val="-6"/>
                      <w:szCs w:val="21"/>
                      <w:highlight w:val="none"/>
                      <w:lang w:eastAsia="zh-CN"/>
                    </w:rPr>
                    <w:t>废旧铅酸蓄电池</w:t>
                  </w:r>
                  <w:r>
                    <w:rPr>
                      <w:rFonts w:hint="eastAsia" w:ascii="Times New Roman" w:hAnsi="Times New Roman" w:eastAsiaTheme="minorEastAsia"/>
                      <w:color w:val="auto"/>
                      <w:spacing w:val="-6"/>
                      <w:szCs w:val="21"/>
                      <w:highlight w:val="none"/>
                    </w:rPr>
                    <w:t>，放于耐酸腐蚀容器中，防风、防雨、防渗漏、防遗撒。</w:t>
                  </w:r>
                </w:p>
              </w:tc>
              <w:tc>
                <w:tcPr>
                  <w:tcW w:w="689" w:type="dxa"/>
                  <w:vAlign w:val="center"/>
                </w:tcPr>
                <w:p w14:paraId="4E76C6A5">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3BA3E32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Merge w:val="restart"/>
                  <w:vAlign w:val="center"/>
                </w:tcPr>
                <w:p w14:paraId="57A92214">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val="en-US" w:eastAsia="zh-CN"/>
                    </w:rPr>
                    <w:t>6</w:t>
                  </w:r>
                  <w:r>
                    <w:rPr>
                      <w:rFonts w:hint="eastAsia" w:ascii="Times New Roman" w:hAnsi="Times New Roman" w:eastAsiaTheme="minorEastAsia"/>
                      <w:color w:val="auto"/>
                      <w:kern w:val="0"/>
                      <w:szCs w:val="21"/>
                      <w:highlight w:val="none"/>
                    </w:rPr>
                    <w:t>.4贮存</w:t>
                  </w:r>
                </w:p>
              </w:tc>
              <w:tc>
                <w:tcPr>
                  <w:tcW w:w="4765" w:type="dxa"/>
                  <w:vAlign w:val="center"/>
                </w:tcPr>
                <w:p w14:paraId="5D0C72CA">
                  <w:pPr>
                    <w:spacing w:before="48" w:beforeLines="20"/>
                    <w:rPr>
                      <w:rFonts w:hint="eastAsia" w:ascii="Times New Roman" w:hAnsi="Times New Roman" w:eastAsiaTheme="minorEastAsia"/>
                      <w:color w:val="auto"/>
                      <w:kern w:val="0"/>
                      <w:szCs w:val="21"/>
                      <w:highlight w:val="none"/>
                    </w:rPr>
                  </w:pPr>
                  <w:r>
                    <w:rPr>
                      <w:rFonts w:ascii="Times New Roman" w:hAnsi="Times New Roman" w:eastAsiaTheme="minorEastAsia"/>
                      <w:color w:val="auto"/>
                      <w:szCs w:val="21"/>
                      <w:highlight w:val="none"/>
                    </w:rPr>
                    <w:t>基于</w:t>
                  </w:r>
                  <w:r>
                    <w:rPr>
                      <w:rFonts w:hint="eastAsia" w:ascii="Times New Roman" w:hAnsi="Times New Roman" w:eastAsiaTheme="minorEastAsia"/>
                      <w:color w:val="auto"/>
                      <w:szCs w:val="21"/>
                      <w:highlight w:val="none"/>
                      <w:lang w:eastAsia="zh-CN"/>
                    </w:rPr>
                    <w:t>废旧铅酸蓄电池</w:t>
                  </w:r>
                  <w:r>
                    <w:rPr>
                      <w:rFonts w:ascii="Times New Roman" w:hAnsi="Times New Roman" w:eastAsiaTheme="minorEastAsia"/>
                      <w:color w:val="auto"/>
                      <w:szCs w:val="21"/>
                      <w:highlight w:val="none"/>
                    </w:rPr>
                    <w:t>收集过程的特殊性及其环境风险，分为收集网点暂存和集中转运点贮存两种方式</w:t>
                  </w:r>
                  <w:r>
                    <w:rPr>
                      <w:rFonts w:hint="eastAsia" w:ascii="Times New Roman" w:hAnsi="Times New Roman" w:eastAsiaTheme="minorEastAsia"/>
                      <w:color w:val="auto"/>
                      <w:szCs w:val="21"/>
                      <w:highlight w:val="none"/>
                    </w:rPr>
                    <w:t>。</w:t>
                  </w:r>
                </w:p>
              </w:tc>
              <w:tc>
                <w:tcPr>
                  <w:tcW w:w="2481" w:type="dxa"/>
                  <w:vAlign w:val="center"/>
                </w:tcPr>
                <w:p w14:paraId="633FC6B5">
                  <w:pPr>
                    <w:rPr>
                      <w:rFonts w:hint="eastAsia" w:ascii="Times New Roman" w:hAnsi="Times New Roman" w:eastAsiaTheme="minorEastAsia"/>
                      <w:color w:val="auto"/>
                      <w:spacing w:val="-6"/>
                      <w:szCs w:val="21"/>
                      <w:highlight w:val="none"/>
                    </w:rPr>
                  </w:pPr>
                  <w:r>
                    <w:rPr>
                      <w:rFonts w:ascii="Times New Roman" w:hAnsi="Times New Roman" w:eastAsiaTheme="minorEastAsia"/>
                      <w:color w:val="auto"/>
                      <w:szCs w:val="21"/>
                      <w:highlight w:val="none"/>
                    </w:rPr>
                    <w:t>本项目属于集中转运点贮存</w:t>
                  </w:r>
                  <w:r>
                    <w:rPr>
                      <w:rFonts w:hint="eastAsia" w:ascii="Times New Roman" w:hAnsi="Times New Roman" w:eastAsiaTheme="minorEastAsia"/>
                      <w:color w:val="auto"/>
                      <w:szCs w:val="21"/>
                      <w:highlight w:val="none"/>
                    </w:rPr>
                    <w:t>。</w:t>
                  </w:r>
                </w:p>
              </w:tc>
              <w:tc>
                <w:tcPr>
                  <w:tcW w:w="689" w:type="dxa"/>
                  <w:vAlign w:val="center"/>
                </w:tcPr>
                <w:p w14:paraId="26C699E0">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r w14:paraId="4222A48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58" w:type="dxa"/>
                  <w:vMerge w:val="continue"/>
                  <w:vAlign w:val="center"/>
                </w:tcPr>
                <w:p w14:paraId="762BF95E">
                  <w:pPr>
                    <w:widowControl/>
                    <w:snapToGrid w:val="0"/>
                    <w:jc w:val="center"/>
                    <w:rPr>
                      <w:rFonts w:ascii="Times New Roman" w:hAnsi="Times New Roman" w:eastAsiaTheme="minorEastAsia"/>
                      <w:color w:val="auto"/>
                      <w:kern w:val="0"/>
                      <w:szCs w:val="21"/>
                      <w:highlight w:val="none"/>
                    </w:rPr>
                  </w:pPr>
                </w:p>
              </w:tc>
              <w:tc>
                <w:tcPr>
                  <w:tcW w:w="4765" w:type="dxa"/>
                  <w:vAlign w:val="center"/>
                </w:tcPr>
                <w:p w14:paraId="1A28514E">
                  <w:pPr>
                    <w:widowControl/>
                    <w:snapToGrid w:val="0"/>
                    <w:rPr>
                      <w:rFonts w:hint="eastAsia" w:ascii="Times New Roman" w:hAnsi="Times New Roman" w:eastAsiaTheme="minorEastAsia"/>
                      <w:color w:val="auto"/>
                      <w:kern w:val="0"/>
                      <w:szCs w:val="21"/>
                      <w:highlight w:val="none"/>
                    </w:rPr>
                  </w:pPr>
                  <w:r>
                    <w:rPr>
                      <w:rFonts w:ascii="Times New Roman" w:hAnsi="Times New Roman" w:eastAsiaTheme="minorEastAsia"/>
                      <w:color w:val="auto"/>
                      <w:szCs w:val="21"/>
                      <w:highlight w:val="none"/>
                    </w:rPr>
                    <w:t>集中转运点贮存时间最长不超过1年，贮存规模应小于贮存场所的设计容量。</w:t>
                  </w:r>
                </w:p>
              </w:tc>
              <w:tc>
                <w:tcPr>
                  <w:tcW w:w="2481" w:type="dxa"/>
                  <w:vAlign w:val="center"/>
                </w:tcPr>
                <w:p w14:paraId="156C587A">
                  <w:pPr>
                    <w:rPr>
                      <w:rFonts w:hint="eastAsia" w:ascii="Times New Roman" w:hAnsi="Times New Roman" w:eastAsiaTheme="minorEastAsia"/>
                      <w:color w:val="auto"/>
                      <w:spacing w:val="-6"/>
                      <w:szCs w:val="21"/>
                      <w:highlight w:val="none"/>
                    </w:rPr>
                  </w:pPr>
                  <w:r>
                    <w:rPr>
                      <w:rFonts w:hint="eastAsia" w:ascii="Times New Roman" w:hAnsi="Times New Roman" w:eastAsiaTheme="minorEastAsia"/>
                      <w:color w:val="auto"/>
                      <w:szCs w:val="21"/>
                      <w:highlight w:val="none"/>
                    </w:rPr>
                    <w:t>本项目定时外委有资质单位处置，保证贮存时间不超过</w:t>
                  </w:r>
                  <w:r>
                    <w:rPr>
                      <w:rFonts w:hint="eastAsia" w:ascii="Times New Roman" w:hAnsi="Times New Roman" w:eastAsiaTheme="minorEastAsia"/>
                      <w:color w:val="auto"/>
                      <w:szCs w:val="21"/>
                      <w:highlight w:val="none"/>
                      <w:lang w:val="en-US" w:eastAsia="zh-CN"/>
                    </w:rPr>
                    <w:t>7d</w:t>
                  </w:r>
                  <w:r>
                    <w:rPr>
                      <w:rFonts w:hint="eastAsia" w:ascii="Times New Roman" w:hAnsi="Times New Roman" w:eastAsiaTheme="minorEastAsia"/>
                      <w:color w:val="auto"/>
                      <w:szCs w:val="21"/>
                      <w:highlight w:val="none"/>
                    </w:rPr>
                    <w:t>，及时交有资质的单位处置，不超过设计容量。</w:t>
                  </w:r>
                </w:p>
              </w:tc>
              <w:tc>
                <w:tcPr>
                  <w:tcW w:w="689" w:type="dxa"/>
                  <w:vAlign w:val="center"/>
                </w:tcPr>
                <w:p w14:paraId="525B92BD">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bl>
          <w:p w14:paraId="5D9396B9">
            <w:pPr>
              <w:tabs>
                <w:tab w:val="left" w:pos="0"/>
              </w:tabs>
              <w:snapToGrid w:val="0"/>
              <w:spacing w:line="480" w:lineRule="exact"/>
              <w:jc w:val="center"/>
              <w:rPr>
                <w:rFonts w:ascii="Times New Roman" w:hAnsi="Times New Roman" w:eastAsiaTheme="minorEastAsia"/>
                <w:bCs/>
                <w:color w:val="auto"/>
                <w:sz w:val="24"/>
                <w:szCs w:val="24"/>
                <w:highlight w:val="none"/>
              </w:rPr>
            </w:pPr>
          </w:p>
          <w:p w14:paraId="0D55CF69">
            <w:pPr>
              <w:tabs>
                <w:tab w:val="left" w:pos="0"/>
              </w:tabs>
              <w:snapToGrid w:val="0"/>
              <w:spacing w:line="480" w:lineRule="exact"/>
              <w:jc w:val="center"/>
              <w:rPr>
                <w:rFonts w:ascii="Times New Roman" w:hAnsi="Times New Roman" w:eastAsiaTheme="minorEastAsia"/>
                <w:bCs/>
                <w:color w:val="auto"/>
                <w:sz w:val="24"/>
                <w:szCs w:val="24"/>
                <w:highlight w:val="none"/>
              </w:rPr>
            </w:pPr>
          </w:p>
          <w:p w14:paraId="778B649D">
            <w:pPr>
              <w:tabs>
                <w:tab w:val="left" w:pos="0"/>
              </w:tabs>
              <w:snapToGrid w:val="0"/>
              <w:spacing w:line="480" w:lineRule="exact"/>
              <w:jc w:val="center"/>
              <w:rPr>
                <w:rFonts w:ascii="Times New Roman" w:hAnsi="Times New Roman" w:eastAsiaTheme="minorEastAsia"/>
                <w:bCs/>
                <w:color w:val="auto"/>
                <w:sz w:val="24"/>
                <w:szCs w:val="24"/>
                <w:highlight w:val="none"/>
              </w:rPr>
            </w:pPr>
          </w:p>
          <w:p w14:paraId="60E24FCF">
            <w:pPr>
              <w:tabs>
                <w:tab w:val="left" w:pos="0"/>
              </w:tabs>
              <w:snapToGrid w:val="0"/>
              <w:spacing w:line="480" w:lineRule="exact"/>
              <w:jc w:val="center"/>
              <w:rPr>
                <w:rFonts w:ascii="Times New Roman" w:hAnsi="Times New Roman" w:eastAsiaTheme="minorEastAsia"/>
                <w:bCs/>
                <w:color w:val="auto"/>
                <w:sz w:val="24"/>
                <w:szCs w:val="24"/>
                <w:highlight w:val="none"/>
              </w:rPr>
            </w:pPr>
            <w:r>
              <w:rPr>
                <w:rFonts w:ascii="Times New Roman" w:hAnsi="Times New Roman" w:eastAsiaTheme="minorEastAsia"/>
                <w:bCs/>
                <w:color w:val="auto"/>
                <w:sz w:val="24"/>
                <w:szCs w:val="24"/>
                <w:highlight w:val="none"/>
              </w:rPr>
              <w:t>续表1-6  与其他相关规划和环境管理符合性分析</w:t>
            </w:r>
          </w:p>
          <w:tbl>
            <w:tblPr>
              <w:tblStyle w:val="31"/>
              <w:tblW w:w="8393"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58"/>
              <w:gridCol w:w="3688"/>
              <w:gridCol w:w="3558"/>
              <w:gridCol w:w="689"/>
            </w:tblGrid>
            <w:tr w14:paraId="07D4996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3" w:hRule="atLeast"/>
                <w:jc w:val="center"/>
              </w:trPr>
              <w:tc>
                <w:tcPr>
                  <w:tcW w:w="4146" w:type="dxa"/>
                  <w:gridSpan w:val="2"/>
                  <w:tcMar>
                    <w:top w:w="57" w:type="dxa"/>
                    <w:left w:w="28" w:type="dxa"/>
                    <w:bottom w:w="57" w:type="dxa"/>
                    <w:right w:w="28" w:type="dxa"/>
                  </w:tcMar>
                  <w:vAlign w:val="center"/>
                </w:tcPr>
                <w:p w14:paraId="26D2264D">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与项目有关的条例、条文</w:t>
                  </w:r>
                </w:p>
              </w:tc>
              <w:tc>
                <w:tcPr>
                  <w:tcW w:w="3558" w:type="dxa"/>
                  <w:tcMar>
                    <w:top w:w="57" w:type="dxa"/>
                    <w:left w:w="28" w:type="dxa"/>
                    <w:bottom w:w="57" w:type="dxa"/>
                    <w:right w:w="28" w:type="dxa"/>
                  </w:tcMar>
                  <w:vAlign w:val="center"/>
                </w:tcPr>
                <w:p w14:paraId="440BB2B7">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本项目</w:t>
                  </w:r>
                </w:p>
              </w:tc>
              <w:tc>
                <w:tcPr>
                  <w:tcW w:w="689" w:type="dxa"/>
                  <w:tcMar>
                    <w:top w:w="57" w:type="dxa"/>
                    <w:left w:w="28" w:type="dxa"/>
                    <w:bottom w:w="57" w:type="dxa"/>
                    <w:right w:w="28" w:type="dxa"/>
                  </w:tcMar>
                  <w:vAlign w:val="center"/>
                </w:tcPr>
                <w:p w14:paraId="1BE7DDEF">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符合性</w:t>
                  </w:r>
                </w:p>
              </w:tc>
            </w:tr>
            <w:tr w14:paraId="45CBB07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Align w:val="center"/>
                </w:tcPr>
                <w:p w14:paraId="59AB9D11">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val="en-US" w:eastAsia="zh-CN"/>
                    </w:rPr>
                    <w:t>6</w:t>
                  </w:r>
                  <w:r>
                    <w:rPr>
                      <w:rFonts w:hint="eastAsia" w:ascii="Times New Roman" w:hAnsi="Times New Roman" w:eastAsiaTheme="minorEastAsia"/>
                      <w:color w:val="auto"/>
                      <w:kern w:val="0"/>
                      <w:szCs w:val="21"/>
                      <w:highlight w:val="none"/>
                    </w:rPr>
                    <w:t>.4贮存</w:t>
                  </w:r>
                </w:p>
              </w:tc>
              <w:tc>
                <w:tcPr>
                  <w:tcW w:w="3688" w:type="dxa"/>
                  <w:vAlign w:val="center"/>
                </w:tcPr>
                <w:p w14:paraId="5C992FB3">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集中转运点贮存设施应开展环境影响评价，并参照GB18597的有关要求进行建设和管理，符合以下要求：</w:t>
                  </w:r>
                </w:p>
                <w:p w14:paraId="63132C76">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①贮存点应防雨，必须远离其他水源和热源；②面积不少于30</w:t>
                  </w:r>
                  <w:r>
                    <w:rPr>
                      <w:rFonts w:hint="eastAsia" w:ascii="Times New Roman" w:hAnsi="Times New Roman" w:cs="Times New Roman" w:eastAsiaTheme="minorEastAsia"/>
                      <w:color w:val="auto"/>
                      <w:kern w:val="0"/>
                      <w:szCs w:val="21"/>
                      <w:highlight w:val="none"/>
                      <w:lang w:eastAsia="zh-CN"/>
                    </w:rPr>
                    <w:t>㎡</w:t>
                  </w:r>
                  <w:r>
                    <w:rPr>
                      <w:rFonts w:hint="eastAsia" w:ascii="Times New Roman" w:hAnsi="Times New Roman" w:eastAsiaTheme="minorEastAsia"/>
                      <w:color w:val="auto"/>
                      <w:kern w:val="0"/>
                      <w:szCs w:val="21"/>
                      <w:highlight w:val="none"/>
                    </w:rPr>
                    <w:t>，有硬化地面和必要的防渗措施；③应设有截流槽、导流沟、临时应急池和废液收集系统；④应配备通讯设备、计量设备、照明设施、视频监控设施。</w:t>
                  </w:r>
                </w:p>
                <w:p w14:paraId="1A38E508">
                  <w:pPr>
                    <w:widowControl/>
                    <w:snapToGrid w:val="0"/>
                    <w:rPr>
                      <w:rFonts w:ascii="Times New Roman" w:hAnsi="Times New Roman" w:eastAsiaTheme="minorEastAsia"/>
                      <w:color w:val="auto"/>
                      <w:szCs w:val="21"/>
                      <w:highlight w:val="none"/>
                    </w:rPr>
                  </w:pPr>
                  <w:r>
                    <w:rPr>
                      <w:rFonts w:hint="eastAsia" w:ascii="Times New Roman" w:hAnsi="Times New Roman" w:eastAsiaTheme="minorEastAsia"/>
                      <w:color w:val="auto"/>
                      <w:kern w:val="0"/>
                      <w:szCs w:val="21"/>
                      <w:highlight w:val="none"/>
                    </w:rPr>
                    <w:t>⑤应设立警示标志，只允许收集</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的专门人员进入；⑥应有排风换气系统，保证良好通风；⑦应配备耐腐蚀、不易破损变形的专用容器，用于单独分区存放开口式</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和破损的密闭式免维护</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；⑧禁止将</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堆放在露天场地，避免</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遭受雨淋水浸。</w:t>
                  </w:r>
                </w:p>
              </w:tc>
              <w:tc>
                <w:tcPr>
                  <w:tcW w:w="3558" w:type="dxa"/>
                  <w:vAlign w:val="center"/>
                </w:tcPr>
                <w:p w14:paraId="75BAA362">
                  <w:pPr>
                    <w:rPr>
                      <w:rFonts w:ascii="Times New Roman" w:hAnsi="Times New Roman" w:eastAsiaTheme="minorEastAsia"/>
                      <w:color w:val="auto"/>
                      <w:szCs w:val="21"/>
                      <w:highlight w:val="none"/>
                    </w:rPr>
                  </w:pPr>
                  <w:r>
                    <w:rPr>
                      <w:rFonts w:hint="eastAsia" w:ascii="Times New Roman" w:hAnsi="Times New Roman" w:eastAsiaTheme="minorEastAsia"/>
                      <w:color w:val="auto"/>
                      <w:spacing w:val="-6"/>
                      <w:szCs w:val="21"/>
                      <w:highlight w:val="none"/>
                    </w:rPr>
                    <w:t>本项目贮存面积</w:t>
                  </w:r>
                  <w:r>
                    <w:rPr>
                      <w:rFonts w:hint="eastAsia" w:ascii="Times New Roman" w:hAnsi="Times New Roman" w:eastAsiaTheme="minorEastAsia"/>
                      <w:color w:val="auto"/>
                      <w:spacing w:val="-6"/>
                      <w:szCs w:val="21"/>
                      <w:highlight w:val="none"/>
                      <w:lang w:eastAsia="zh-CN"/>
                    </w:rPr>
                    <w:t>1060</w:t>
                  </w:r>
                  <w:r>
                    <w:rPr>
                      <w:rFonts w:hint="default" w:ascii="Times New Roman" w:hAnsi="Times New Roman" w:cs="Times New Roman" w:eastAsiaTheme="minorEastAsia"/>
                      <w:color w:val="auto"/>
                      <w:spacing w:val="-6"/>
                      <w:szCs w:val="21"/>
                      <w:highlight w:val="none"/>
                      <w:lang w:eastAsia="zh-CN"/>
                    </w:rPr>
                    <w:t>㎡</w:t>
                  </w:r>
                  <w:r>
                    <w:rPr>
                      <w:rFonts w:hint="eastAsia" w:ascii="Times New Roman" w:hAnsi="Times New Roman" w:eastAsiaTheme="minorEastAsia"/>
                      <w:color w:val="auto"/>
                      <w:spacing w:val="-6"/>
                      <w:szCs w:val="21"/>
                      <w:highlight w:val="none"/>
                    </w:rPr>
                    <w:t>，防雨，远离水源和热源，设</w:t>
                  </w:r>
                  <w:r>
                    <w:rPr>
                      <w:rFonts w:hint="eastAsia" w:ascii="Times New Roman" w:hAnsi="Times New Roman" w:eastAsiaTheme="minorEastAsia"/>
                      <w:color w:val="auto"/>
                      <w:spacing w:val="-6"/>
                      <w:szCs w:val="21"/>
                      <w:highlight w:val="none"/>
                      <w:lang w:val="en-US" w:eastAsia="zh-CN"/>
                    </w:rPr>
                    <w:t>截留</w:t>
                  </w:r>
                  <w:r>
                    <w:rPr>
                      <w:rFonts w:hint="eastAsia" w:ascii="Times New Roman" w:hAnsi="Times New Roman" w:eastAsiaTheme="minorEastAsia"/>
                      <w:color w:val="auto"/>
                      <w:spacing w:val="-6"/>
                      <w:szCs w:val="21"/>
                      <w:highlight w:val="none"/>
                    </w:rPr>
                    <w:t>槽、导流沟、废液收集池，门口设置警示标志，车间内设有安全照明设施。厂区内设置移动式灭火器、石灰等消防设施。设有废气净化装置。本项目危废库内分区放置，分为完整废旧蓄电池暂存区、破损废旧铅蓄电池暂存区。破损</w:t>
                  </w:r>
                  <w:r>
                    <w:rPr>
                      <w:rFonts w:hint="eastAsia" w:ascii="Times New Roman" w:hAnsi="Times New Roman" w:eastAsiaTheme="minorEastAsia"/>
                      <w:color w:val="auto"/>
                      <w:spacing w:val="-6"/>
                      <w:szCs w:val="21"/>
                      <w:highlight w:val="none"/>
                      <w:lang w:eastAsia="zh-CN"/>
                    </w:rPr>
                    <w:t>废旧铅酸蓄电池</w:t>
                  </w:r>
                  <w:r>
                    <w:rPr>
                      <w:rFonts w:hint="eastAsia" w:ascii="Times New Roman" w:hAnsi="Times New Roman" w:eastAsiaTheme="minorEastAsia"/>
                      <w:color w:val="auto"/>
                      <w:spacing w:val="-6"/>
                      <w:szCs w:val="21"/>
                      <w:highlight w:val="none"/>
                    </w:rPr>
                    <w:t>入带盖的耐腐蚀且不易破损变形的PV塑料箱中。</w:t>
                  </w:r>
                </w:p>
              </w:tc>
              <w:tc>
                <w:tcPr>
                  <w:tcW w:w="689" w:type="dxa"/>
                  <w:vAlign w:val="center"/>
                </w:tcPr>
                <w:p w14:paraId="73DAAF83">
                  <w:pPr>
                    <w:widowControl/>
                    <w:snapToGrid w:val="0"/>
                    <w:spacing w:before="6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符合</w:t>
                  </w:r>
                </w:p>
              </w:tc>
            </w:tr>
            <w:tr w14:paraId="77F11BF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393" w:type="dxa"/>
                  <w:gridSpan w:val="4"/>
                  <w:vAlign w:val="center"/>
                </w:tcPr>
                <w:p w14:paraId="16622F93">
                  <w:pPr>
                    <w:widowControl/>
                    <w:snapToGrid w:val="0"/>
                    <w:spacing w:before="60"/>
                    <w:jc w:val="left"/>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val="en-US" w:eastAsia="zh-CN"/>
                    </w:rPr>
                    <w:t>7</w:t>
                  </w:r>
                  <w:r>
                    <w:rPr>
                      <w:rFonts w:hint="eastAsia" w:ascii="Times New Roman" w:hAnsi="Times New Roman" w:eastAsiaTheme="minorEastAsia"/>
                      <w:color w:val="auto"/>
                      <w:kern w:val="0"/>
                      <w:szCs w:val="21"/>
                      <w:highlight w:val="none"/>
                    </w:rPr>
                    <w:t>.</w:t>
                  </w:r>
                  <w:r>
                    <w:rPr>
                      <w:rFonts w:ascii="Times New Roman" w:hAnsi="Times New Roman" w:eastAsiaTheme="minorEastAsia"/>
                      <w:color w:val="auto"/>
                      <w:kern w:val="0"/>
                      <w:szCs w:val="21"/>
                      <w:highlight w:val="none"/>
                    </w:rPr>
                    <w:t>河北省土壤污染防治工作领导小组办公室《关于开展全省</w:t>
                  </w:r>
                  <w:r>
                    <w:rPr>
                      <w:rFonts w:hint="eastAsia" w:ascii="Times New Roman" w:hAnsi="Times New Roman" w:eastAsiaTheme="minorEastAsia"/>
                      <w:color w:val="auto"/>
                      <w:kern w:val="0"/>
                      <w:szCs w:val="21"/>
                      <w:highlight w:val="none"/>
                      <w:lang w:eastAsia="zh-CN"/>
                    </w:rPr>
                    <w:t>废旧铅酸蓄电池</w:t>
                  </w:r>
                  <w:r>
                    <w:rPr>
                      <w:rFonts w:ascii="Times New Roman" w:hAnsi="Times New Roman" w:eastAsiaTheme="minorEastAsia"/>
                      <w:color w:val="auto"/>
                      <w:kern w:val="0"/>
                      <w:szCs w:val="21"/>
                      <w:highlight w:val="none"/>
                    </w:rPr>
                    <w:t>相关行业固体废物污染专项整治工作的通知》（冀土领办[2019]1 号）的符合性分析</w:t>
                  </w:r>
                </w:p>
                <w:p w14:paraId="449C096F">
                  <w:pPr>
                    <w:pStyle w:val="5"/>
                    <w:rPr>
                      <w:color w:val="auto"/>
                      <w:highlight w:val="none"/>
                    </w:rPr>
                  </w:pPr>
                  <w:r>
                    <w:rPr>
                      <w:color w:val="auto"/>
                      <w:highlight w:val="none"/>
                    </w:rPr>
                    <w:t>申请领取</w:t>
                  </w:r>
                  <w:r>
                    <w:rPr>
                      <w:rFonts w:hint="eastAsia"/>
                      <w:color w:val="auto"/>
                      <w:highlight w:val="none"/>
                      <w:lang w:eastAsia="zh-CN"/>
                    </w:rPr>
                    <w:t>废旧铅酸蓄电池</w:t>
                  </w:r>
                  <w:r>
                    <w:rPr>
                      <w:color w:val="auto"/>
                      <w:highlight w:val="none"/>
                    </w:rPr>
                    <w:t>收集经营试点，贮存场所应当具备下列条件：</w:t>
                  </w:r>
                </w:p>
              </w:tc>
            </w:tr>
            <w:tr w14:paraId="296F4AC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Align w:val="center"/>
                </w:tcPr>
                <w:p w14:paraId="44385802">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val="en-US" w:eastAsia="zh-CN"/>
                    </w:rPr>
                    <w:t>7</w:t>
                  </w:r>
                  <w:r>
                    <w:rPr>
                      <w:rFonts w:hint="eastAsia" w:ascii="Times New Roman" w:hAnsi="Times New Roman" w:eastAsiaTheme="minorEastAsia"/>
                      <w:color w:val="auto"/>
                      <w:kern w:val="0"/>
                      <w:szCs w:val="21"/>
                      <w:highlight w:val="none"/>
                    </w:rPr>
                    <w:t>.1</w:t>
                  </w:r>
                </w:p>
              </w:tc>
              <w:tc>
                <w:tcPr>
                  <w:tcW w:w="3688" w:type="dxa"/>
                  <w:vAlign w:val="center"/>
                </w:tcPr>
                <w:p w14:paraId="67687866">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贮存场所按照GB18597有关要求建设和管理。</w:t>
                  </w:r>
                </w:p>
              </w:tc>
              <w:tc>
                <w:tcPr>
                  <w:tcW w:w="3558" w:type="dxa"/>
                  <w:vAlign w:val="center"/>
                </w:tcPr>
                <w:p w14:paraId="2D796052">
                  <w:pPr>
                    <w:rPr>
                      <w:rFonts w:ascii="Times New Roman" w:hAnsi="Times New Roman" w:eastAsiaTheme="minorEastAsia"/>
                      <w:color w:val="auto"/>
                      <w:spacing w:val="-6"/>
                      <w:szCs w:val="21"/>
                      <w:highlight w:val="none"/>
                    </w:rPr>
                  </w:pPr>
                  <w:r>
                    <w:rPr>
                      <w:rFonts w:hint="eastAsia" w:ascii="Times New Roman" w:hAnsi="Times New Roman" w:eastAsiaTheme="minorEastAsia"/>
                      <w:color w:val="auto"/>
                      <w:spacing w:val="-6"/>
                      <w:szCs w:val="21"/>
                      <w:highlight w:val="none"/>
                    </w:rPr>
                    <w:t>本项目贮存场所按照GB18597有关要求建设和管理。</w:t>
                  </w:r>
                </w:p>
              </w:tc>
              <w:tc>
                <w:tcPr>
                  <w:tcW w:w="689" w:type="dxa"/>
                  <w:vAlign w:val="center"/>
                </w:tcPr>
                <w:p w14:paraId="68943D37">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r w14:paraId="6A4A06D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Align w:val="center"/>
                </w:tcPr>
                <w:p w14:paraId="794D747F">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val="en-US" w:eastAsia="zh-CN"/>
                    </w:rPr>
                    <w:t>7</w:t>
                  </w:r>
                  <w:r>
                    <w:rPr>
                      <w:rFonts w:hint="eastAsia" w:ascii="Times New Roman" w:hAnsi="Times New Roman" w:eastAsiaTheme="minorEastAsia"/>
                      <w:color w:val="auto"/>
                      <w:kern w:val="0"/>
                      <w:szCs w:val="21"/>
                      <w:highlight w:val="none"/>
                    </w:rPr>
                    <w:t>.2</w:t>
                  </w:r>
                </w:p>
              </w:tc>
              <w:tc>
                <w:tcPr>
                  <w:tcW w:w="3688" w:type="dxa"/>
                  <w:vAlign w:val="center"/>
                </w:tcPr>
                <w:p w14:paraId="0A54AEB8">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选址符合区域发展规划和环保保护规划，新建设施应通过环境影响评价。</w:t>
                  </w:r>
                </w:p>
              </w:tc>
              <w:tc>
                <w:tcPr>
                  <w:tcW w:w="3558" w:type="dxa"/>
                  <w:vAlign w:val="center"/>
                </w:tcPr>
                <w:p w14:paraId="01383B0C">
                  <w:pPr>
                    <w:rPr>
                      <w:rFonts w:ascii="Times New Roman" w:hAnsi="Times New Roman" w:eastAsiaTheme="minorEastAsia"/>
                      <w:color w:val="auto"/>
                      <w:spacing w:val="-6"/>
                      <w:szCs w:val="21"/>
                      <w:highlight w:val="none"/>
                    </w:rPr>
                  </w:pPr>
                  <w:r>
                    <w:rPr>
                      <w:rFonts w:ascii="Times New Roman" w:hAnsi="Times New Roman" w:eastAsiaTheme="minorEastAsia"/>
                      <w:color w:val="auto"/>
                      <w:kern w:val="0"/>
                      <w:szCs w:val="21"/>
                      <w:highlight w:val="none"/>
                    </w:rPr>
                    <w:t>本项目位于</w:t>
                  </w:r>
                  <w:r>
                    <w:rPr>
                      <w:rFonts w:hint="eastAsia" w:ascii="Times New Roman" w:hAnsi="Times New Roman" w:eastAsiaTheme="minorEastAsia"/>
                      <w:color w:val="auto"/>
                      <w:kern w:val="0"/>
                      <w:szCs w:val="21"/>
                      <w:highlight w:val="none"/>
                      <w:lang w:val="en-US" w:eastAsia="zh-CN"/>
                    </w:rPr>
                    <w:t>河北</w:t>
                  </w:r>
                  <w:r>
                    <w:rPr>
                      <w:rFonts w:ascii="Times New Roman" w:hAnsi="Times New Roman" w:eastAsiaTheme="minorEastAsia"/>
                      <w:color w:val="auto"/>
                      <w:kern w:val="0"/>
                      <w:szCs w:val="21"/>
                      <w:highlight w:val="none"/>
                    </w:rPr>
                    <w:t>徐水经济开发区</w:t>
                  </w:r>
                  <w:r>
                    <w:rPr>
                      <w:rFonts w:hint="eastAsia" w:ascii="Times New Roman" w:hAnsi="Times New Roman" w:eastAsiaTheme="minorEastAsia"/>
                      <w:color w:val="auto"/>
                      <w:kern w:val="0"/>
                      <w:szCs w:val="21"/>
                      <w:highlight w:val="none"/>
                    </w:rPr>
                    <w:t>小微企业园，</w:t>
                  </w:r>
                  <w:r>
                    <w:rPr>
                      <w:rFonts w:hint="eastAsia" w:ascii="Times New Roman" w:hAnsi="Times New Roman" w:eastAsiaTheme="minorEastAsia"/>
                      <w:color w:val="auto"/>
                      <w:kern w:val="0"/>
                      <w:szCs w:val="21"/>
                      <w:highlight w:val="none"/>
                      <w:lang w:val="en-US" w:eastAsia="zh-CN"/>
                    </w:rPr>
                    <w:t>河北</w:t>
                  </w:r>
                  <w:r>
                    <w:rPr>
                      <w:rFonts w:hint="eastAsia" w:ascii="Times New Roman" w:hAnsi="Times New Roman" w:eastAsiaTheme="minorEastAsia"/>
                      <w:color w:val="auto"/>
                      <w:kern w:val="0"/>
                      <w:szCs w:val="21"/>
                      <w:highlight w:val="none"/>
                    </w:rPr>
                    <w:t>徐水经济开发区管理委员会出具了入园证明，同意本公司入驻园区。</w:t>
                  </w:r>
                  <w:r>
                    <w:rPr>
                      <w:rFonts w:hint="eastAsia" w:ascii="Times New Roman" w:hAnsi="Times New Roman" w:eastAsiaTheme="minorEastAsia"/>
                      <w:color w:val="auto"/>
                      <w:spacing w:val="-6"/>
                      <w:szCs w:val="21"/>
                      <w:highlight w:val="none"/>
                    </w:rPr>
                    <w:t>本项目为新建项目，目前正在环评阶段。</w:t>
                  </w:r>
                </w:p>
              </w:tc>
              <w:tc>
                <w:tcPr>
                  <w:tcW w:w="689" w:type="dxa"/>
                  <w:vAlign w:val="center"/>
                </w:tcPr>
                <w:p w14:paraId="4FC358BE">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r w14:paraId="0F0D3B9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Align w:val="center"/>
                </w:tcPr>
                <w:p w14:paraId="4610B263">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val="en-US" w:eastAsia="zh-CN"/>
                    </w:rPr>
                    <w:t>7</w:t>
                  </w:r>
                  <w:r>
                    <w:rPr>
                      <w:rFonts w:hint="eastAsia" w:ascii="Times New Roman" w:hAnsi="Times New Roman" w:eastAsiaTheme="minorEastAsia"/>
                      <w:color w:val="auto"/>
                      <w:kern w:val="0"/>
                      <w:szCs w:val="21"/>
                      <w:highlight w:val="none"/>
                    </w:rPr>
                    <w:t>.3</w:t>
                  </w:r>
                </w:p>
              </w:tc>
              <w:tc>
                <w:tcPr>
                  <w:tcW w:w="3688" w:type="dxa"/>
                  <w:vAlign w:val="center"/>
                </w:tcPr>
                <w:p w14:paraId="4BF5C84A">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贮存面积1000~1500平米，集中贮存时间不超过90天。</w:t>
                  </w:r>
                </w:p>
              </w:tc>
              <w:tc>
                <w:tcPr>
                  <w:tcW w:w="3558" w:type="dxa"/>
                  <w:vAlign w:val="center"/>
                </w:tcPr>
                <w:p w14:paraId="2448F02A">
                  <w:pPr>
                    <w:rPr>
                      <w:rFonts w:ascii="Times New Roman" w:hAnsi="Times New Roman" w:eastAsiaTheme="minorEastAsia"/>
                      <w:color w:val="auto"/>
                      <w:spacing w:val="-6"/>
                      <w:szCs w:val="21"/>
                      <w:highlight w:val="none"/>
                    </w:rPr>
                  </w:pPr>
                  <w:r>
                    <w:rPr>
                      <w:rFonts w:hint="eastAsia" w:ascii="Times New Roman" w:hAnsi="Times New Roman" w:eastAsiaTheme="minorEastAsia"/>
                      <w:color w:val="auto"/>
                      <w:spacing w:val="-6"/>
                      <w:szCs w:val="21"/>
                      <w:highlight w:val="none"/>
                    </w:rPr>
                    <w:t>本项目贮存面积</w:t>
                  </w:r>
                  <w:r>
                    <w:rPr>
                      <w:rFonts w:hint="eastAsia" w:ascii="Times New Roman" w:hAnsi="Times New Roman" w:eastAsiaTheme="minorEastAsia"/>
                      <w:color w:val="auto"/>
                      <w:spacing w:val="-6"/>
                      <w:szCs w:val="21"/>
                      <w:highlight w:val="none"/>
                      <w:lang w:eastAsia="zh-CN"/>
                    </w:rPr>
                    <w:t>1060</w:t>
                  </w:r>
                  <w:r>
                    <w:rPr>
                      <w:rFonts w:hint="eastAsia" w:ascii="Times New Roman" w:hAnsi="Times New Roman" w:cs="Times New Roman" w:eastAsiaTheme="minorEastAsia"/>
                      <w:color w:val="auto"/>
                      <w:spacing w:val="-6"/>
                      <w:szCs w:val="21"/>
                      <w:highlight w:val="none"/>
                      <w:lang w:val="en-US" w:eastAsia="zh-CN"/>
                    </w:rPr>
                    <w:t>m</w:t>
                  </w:r>
                  <w:r>
                    <w:rPr>
                      <w:rFonts w:hint="eastAsia" w:ascii="Times New Roman" w:hAnsi="Times New Roman" w:cs="Times New Roman" w:eastAsiaTheme="minorEastAsia"/>
                      <w:color w:val="auto"/>
                      <w:spacing w:val="-6"/>
                      <w:szCs w:val="21"/>
                      <w:highlight w:val="none"/>
                      <w:vertAlign w:val="superscript"/>
                      <w:lang w:val="en-US" w:eastAsia="zh-CN"/>
                    </w:rPr>
                    <w:t>2</w:t>
                  </w:r>
                  <w:r>
                    <w:rPr>
                      <w:rFonts w:hint="eastAsia" w:ascii="Times New Roman" w:hAnsi="Times New Roman" w:eastAsiaTheme="minorEastAsia"/>
                      <w:color w:val="auto"/>
                      <w:spacing w:val="-6"/>
                      <w:szCs w:val="21"/>
                      <w:highlight w:val="none"/>
                    </w:rPr>
                    <w:t>，集中贮存时间不超过</w:t>
                  </w:r>
                  <w:r>
                    <w:rPr>
                      <w:rFonts w:hint="eastAsia" w:ascii="Times New Roman" w:hAnsi="Times New Roman" w:eastAsiaTheme="minorEastAsia"/>
                      <w:color w:val="auto"/>
                      <w:spacing w:val="-6"/>
                      <w:szCs w:val="21"/>
                      <w:highlight w:val="none"/>
                      <w:lang w:val="en-US" w:eastAsia="zh-CN"/>
                    </w:rPr>
                    <w:t>7</w:t>
                  </w:r>
                  <w:r>
                    <w:rPr>
                      <w:rFonts w:hint="eastAsia" w:ascii="Times New Roman" w:hAnsi="Times New Roman" w:eastAsiaTheme="minorEastAsia"/>
                      <w:color w:val="auto"/>
                      <w:spacing w:val="-6"/>
                      <w:szCs w:val="21"/>
                      <w:highlight w:val="none"/>
                    </w:rPr>
                    <w:t>d。</w:t>
                  </w:r>
                </w:p>
              </w:tc>
              <w:tc>
                <w:tcPr>
                  <w:tcW w:w="689" w:type="dxa"/>
                  <w:vAlign w:val="center"/>
                </w:tcPr>
                <w:p w14:paraId="3BA8F9C7">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r w14:paraId="728F10A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Align w:val="center"/>
                </w:tcPr>
                <w:p w14:paraId="27C614E8">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val="en-US" w:eastAsia="zh-CN"/>
                    </w:rPr>
                    <w:t>7</w:t>
                  </w:r>
                  <w:r>
                    <w:rPr>
                      <w:rFonts w:hint="eastAsia" w:ascii="Times New Roman" w:hAnsi="Times New Roman" w:eastAsiaTheme="minorEastAsia"/>
                      <w:color w:val="auto"/>
                      <w:kern w:val="0"/>
                      <w:szCs w:val="21"/>
                      <w:highlight w:val="none"/>
                    </w:rPr>
                    <w:t>.4</w:t>
                  </w:r>
                </w:p>
              </w:tc>
              <w:tc>
                <w:tcPr>
                  <w:tcW w:w="3688" w:type="dxa"/>
                  <w:vAlign w:val="center"/>
                </w:tcPr>
                <w:p w14:paraId="2E12328F">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按GB15562.2规定设立警示标志，非专业人员禁入</w:t>
                  </w:r>
                </w:p>
              </w:tc>
              <w:tc>
                <w:tcPr>
                  <w:tcW w:w="3558" w:type="dxa"/>
                  <w:vAlign w:val="center"/>
                </w:tcPr>
                <w:p w14:paraId="1B9F635E">
                  <w:pPr>
                    <w:rPr>
                      <w:rFonts w:ascii="Times New Roman" w:hAnsi="Times New Roman" w:eastAsiaTheme="minorEastAsia"/>
                      <w:color w:val="auto"/>
                      <w:spacing w:val="-6"/>
                      <w:szCs w:val="21"/>
                      <w:highlight w:val="none"/>
                    </w:rPr>
                  </w:pPr>
                  <w:r>
                    <w:rPr>
                      <w:rFonts w:hint="eastAsia" w:ascii="Times New Roman" w:hAnsi="Times New Roman" w:eastAsiaTheme="minorEastAsia"/>
                      <w:color w:val="auto"/>
                      <w:spacing w:val="-6"/>
                      <w:szCs w:val="21"/>
                      <w:highlight w:val="none"/>
                    </w:rPr>
                    <w:t>本项目按照规定要求设立警示标志，非专业人员禁入。</w:t>
                  </w:r>
                </w:p>
              </w:tc>
              <w:tc>
                <w:tcPr>
                  <w:tcW w:w="689" w:type="dxa"/>
                  <w:vAlign w:val="center"/>
                </w:tcPr>
                <w:p w14:paraId="09DB9A7A">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r w14:paraId="7810FD5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Align w:val="center"/>
                </w:tcPr>
                <w:p w14:paraId="4E3763C7">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val="en-US" w:eastAsia="zh-CN"/>
                    </w:rPr>
                    <w:t>7</w:t>
                  </w:r>
                  <w:r>
                    <w:rPr>
                      <w:rFonts w:hint="eastAsia" w:ascii="Times New Roman" w:hAnsi="Times New Roman" w:eastAsiaTheme="minorEastAsia"/>
                      <w:color w:val="auto"/>
                      <w:kern w:val="0"/>
                      <w:szCs w:val="21"/>
                      <w:highlight w:val="none"/>
                    </w:rPr>
                    <w:t>.5</w:t>
                  </w:r>
                </w:p>
              </w:tc>
              <w:tc>
                <w:tcPr>
                  <w:tcW w:w="3688" w:type="dxa"/>
                  <w:vAlign w:val="center"/>
                </w:tcPr>
                <w:p w14:paraId="4AAF0617">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贮存场所划分装卸区、暂存区、完整废电瓶存放区和破损废电瓶存放区，并做好标识。</w:t>
                  </w:r>
                </w:p>
              </w:tc>
              <w:tc>
                <w:tcPr>
                  <w:tcW w:w="3558" w:type="dxa"/>
                  <w:vAlign w:val="center"/>
                </w:tcPr>
                <w:p w14:paraId="66956569">
                  <w:pPr>
                    <w:rPr>
                      <w:rFonts w:ascii="Times New Roman" w:hAnsi="Times New Roman" w:eastAsiaTheme="minorEastAsia"/>
                      <w:color w:val="auto"/>
                      <w:spacing w:val="-6"/>
                      <w:szCs w:val="21"/>
                      <w:highlight w:val="none"/>
                    </w:rPr>
                  </w:pPr>
                  <w:r>
                    <w:rPr>
                      <w:rFonts w:hint="eastAsia" w:ascii="Times New Roman" w:hAnsi="Times New Roman" w:eastAsiaTheme="minorEastAsia"/>
                      <w:color w:val="auto"/>
                      <w:spacing w:val="-6"/>
                      <w:szCs w:val="21"/>
                      <w:highlight w:val="none"/>
                    </w:rPr>
                    <w:t>本项目划分装卸区、暂存区、完整废电瓶存放区和破损废电瓶存放区，并按规定做好标识。</w:t>
                  </w:r>
                </w:p>
              </w:tc>
              <w:tc>
                <w:tcPr>
                  <w:tcW w:w="689" w:type="dxa"/>
                  <w:vAlign w:val="center"/>
                </w:tcPr>
                <w:p w14:paraId="0236FADB">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r w14:paraId="2658E4B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Align w:val="center"/>
                </w:tcPr>
                <w:p w14:paraId="251858F5">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val="en-US" w:eastAsia="zh-CN"/>
                    </w:rPr>
                    <w:t>7</w:t>
                  </w:r>
                  <w:r>
                    <w:rPr>
                      <w:rFonts w:hint="eastAsia" w:ascii="Times New Roman" w:hAnsi="Times New Roman" w:eastAsiaTheme="minorEastAsia"/>
                      <w:color w:val="auto"/>
                      <w:kern w:val="0"/>
                      <w:szCs w:val="21"/>
                      <w:highlight w:val="none"/>
                    </w:rPr>
                    <w:t>.6</w:t>
                  </w:r>
                </w:p>
              </w:tc>
              <w:tc>
                <w:tcPr>
                  <w:tcW w:w="3688" w:type="dxa"/>
                  <w:vAlign w:val="center"/>
                </w:tcPr>
                <w:p w14:paraId="789BB011">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贮存场所设有废水收集系统，具备符合相关技术规范要求的包装工具，中转和暂存设施和设备。内设专门的酸雾收集装置，避免酸雾的外泄。</w:t>
                  </w:r>
                </w:p>
              </w:tc>
              <w:tc>
                <w:tcPr>
                  <w:tcW w:w="3558" w:type="dxa"/>
                  <w:vAlign w:val="center"/>
                </w:tcPr>
                <w:p w14:paraId="610E7931">
                  <w:pPr>
                    <w:rPr>
                      <w:rFonts w:ascii="Times New Roman" w:hAnsi="Times New Roman" w:eastAsiaTheme="minorEastAsia"/>
                      <w:color w:val="auto"/>
                      <w:spacing w:val="-6"/>
                      <w:szCs w:val="21"/>
                      <w:highlight w:val="none"/>
                    </w:rPr>
                  </w:pPr>
                  <w:r>
                    <w:rPr>
                      <w:rFonts w:hint="eastAsia" w:ascii="Times New Roman" w:hAnsi="Times New Roman" w:eastAsiaTheme="minorEastAsia"/>
                      <w:color w:val="auto"/>
                      <w:spacing w:val="-6"/>
                      <w:szCs w:val="21"/>
                      <w:highlight w:val="none"/>
                    </w:rPr>
                    <w:t>本项目设置有废水收集系统，具备符合要求的包装工具，项目设置</w:t>
                  </w:r>
                  <w:r>
                    <w:rPr>
                      <w:rFonts w:hint="eastAsia" w:ascii="Times New Roman" w:hAnsi="Times New Roman" w:eastAsiaTheme="minorEastAsia"/>
                      <w:color w:val="auto"/>
                      <w:spacing w:val="-6"/>
                      <w:szCs w:val="21"/>
                      <w:highlight w:val="none"/>
                      <w:lang w:val="en-US" w:eastAsia="zh-CN"/>
                    </w:rPr>
                    <w:t>脱硫塔</w:t>
                  </w:r>
                  <w:r>
                    <w:rPr>
                      <w:rFonts w:hint="eastAsia" w:ascii="Times New Roman" w:hAnsi="Times New Roman" w:eastAsiaTheme="minorEastAsia"/>
                      <w:color w:val="auto"/>
                      <w:spacing w:val="-6"/>
                      <w:szCs w:val="21"/>
                      <w:highlight w:val="none"/>
                    </w:rPr>
                    <w:t>，用于</w:t>
                  </w:r>
                  <w:r>
                    <w:rPr>
                      <w:rFonts w:hint="eastAsia" w:ascii="Times New Roman" w:hAnsi="Times New Roman" w:eastAsiaTheme="minorEastAsia"/>
                      <w:color w:val="auto"/>
                      <w:spacing w:val="-6"/>
                      <w:szCs w:val="21"/>
                      <w:highlight w:val="none"/>
                      <w:lang w:val="en-US" w:eastAsia="zh-CN"/>
                    </w:rPr>
                    <w:t>吸收处理硫酸</w:t>
                  </w:r>
                  <w:r>
                    <w:rPr>
                      <w:rFonts w:hint="eastAsia" w:ascii="Times New Roman" w:hAnsi="Times New Roman" w:eastAsiaTheme="minorEastAsia"/>
                      <w:color w:val="auto"/>
                      <w:spacing w:val="-6"/>
                      <w:szCs w:val="21"/>
                      <w:highlight w:val="none"/>
                    </w:rPr>
                    <w:t>雾。</w:t>
                  </w:r>
                </w:p>
              </w:tc>
              <w:tc>
                <w:tcPr>
                  <w:tcW w:w="689" w:type="dxa"/>
                  <w:vAlign w:val="center"/>
                </w:tcPr>
                <w:p w14:paraId="0087304E">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r w14:paraId="606256A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Align w:val="center"/>
                </w:tcPr>
                <w:p w14:paraId="20E64CCD">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val="en-US" w:eastAsia="zh-CN"/>
                    </w:rPr>
                    <w:t>7</w:t>
                  </w:r>
                  <w:r>
                    <w:rPr>
                      <w:rFonts w:hint="eastAsia" w:ascii="Times New Roman" w:hAnsi="Times New Roman" w:eastAsiaTheme="minorEastAsia"/>
                      <w:color w:val="auto"/>
                      <w:kern w:val="0"/>
                      <w:szCs w:val="21"/>
                      <w:highlight w:val="none"/>
                    </w:rPr>
                    <w:t>.7</w:t>
                  </w:r>
                </w:p>
              </w:tc>
              <w:tc>
                <w:tcPr>
                  <w:tcW w:w="3688" w:type="dxa"/>
                  <w:vAlign w:val="center"/>
                </w:tcPr>
                <w:p w14:paraId="5233EBAE">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制定集中贮存管理办法、操作规程、污染防治措施、事故应急救援等相关制度和办法。作业人员配备防酸工作服等个人防护装备。</w:t>
                  </w:r>
                </w:p>
              </w:tc>
              <w:tc>
                <w:tcPr>
                  <w:tcW w:w="3558" w:type="dxa"/>
                  <w:vAlign w:val="center"/>
                </w:tcPr>
                <w:p w14:paraId="4F186BFA">
                  <w:pPr>
                    <w:rPr>
                      <w:rFonts w:ascii="Times New Roman" w:hAnsi="Times New Roman" w:eastAsiaTheme="minorEastAsia"/>
                      <w:color w:val="auto"/>
                      <w:spacing w:val="-6"/>
                      <w:szCs w:val="21"/>
                      <w:highlight w:val="none"/>
                    </w:rPr>
                  </w:pPr>
                  <w:r>
                    <w:rPr>
                      <w:rFonts w:hint="eastAsia" w:ascii="Times New Roman" w:hAnsi="Times New Roman" w:eastAsiaTheme="minorEastAsia"/>
                      <w:color w:val="auto"/>
                      <w:spacing w:val="-6"/>
                      <w:szCs w:val="21"/>
                      <w:highlight w:val="none"/>
                    </w:rPr>
                    <w:t>本项目制定集中贮存管理办法、操作规程、污染防治措施、事故应急救援等相关制度，作业人员配备防酸工作服。</w:t>
                  </w:r>
                </w:p>
              </w:tc>
              <w:tc>
                <w:tcPr>
                  <w:tcW w:w="689" w:type="dxa"/>
                  <w:vAlign w:val="center"/>
                </w:tcPr>
                <w:p w14:paraId="65F07437">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r w14:paraId="3761E87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Align w:val="center"/>
                </w:tcPr>
                <w:p w14:paraId="05A482E0">
                  <w:pPr>
                    <w:widowControl/>
                    <w:snapToGrid w:val="0"/>
                    <w:jc w:val="center"/>
                    <w:rPr>
                      <w:rFonts w:hint="eastAsia" w:ascii="Times New Roman" w:hAnsi="Times New Roman" w:eastAsiaTheme="minorEastAsia"/>
                      <w:color w:val="auto"/>
                      <w:kern w:val="0"/>
                      <w:szCs w:val="21"/>
                      <w:highlight w:val="none"/>
                      <w:lang w:val="en-US" w:eastAsia="zh-CN"/>
                    </w:rPr>
                  </w:pPr>
                  <w:r>
                    <w:rPr>
                      <w:rFonts w:hint="eastAsia" w:ascii="Times New Roman" w:hAnsi="Times New Roman" w:eastAsiaTheme="minorEastAsia"/>
                      <w:color w:val="auto"/>
                      <w:kern w:val="0"/>
                      <w:szCs w:val="21"/>
                      <w:highlight w:val="none"/>
                      <w:lang w:val="en-US" w:eastAsia="zh-CN"/>
                    </w:rPr>
                    <w:t>7</w:t>
                  </w:r>
                  <w:r>
                    <w:rPr>
                      <w:rFonts w:hint="eastAsia" w:ascii="Times New Roman" w:hAnsi="Times New Roman" w:eastAsiaTheme="minorEastAsia"/>
                      <w:color w:val="auto"/>
                      <w:kern w:val="0"/>
                      <w:szCs w:val="21"/>
                      <w:highlight w:val="none"/>
                    </w:rPr>
                    <w:t>.8</w:t>
                  </w:r>
                </w:p>
              </w:tc>
              <w:tc>
                <w:tcPr>
                  <w:tcW w:w="3688" w:type="dxa"/>
                  <w:vAlign w:val="center"/>
                </w:tcPr>
                <w:p w14:paraId="61A675FA">
                  <w:pPr>
                    <w:spacing w:before="48" w:beforeLines="20"/>
                    <w:rPr>
                      <w:rFonts w:hint="eastAsia" w:ascii="Times New Roman" w:hAnsi="Times New Roman" w:eastAsiaTheme="minorEastAsia"/>
                      <w:color w:val="auto"/>
                      <w:kern w:val="0"/>
                      <w:szCs w:val="21"/>
                      <w:highlight w:val="none"/>
                    </w:rPr>
                  </w:pPr>
                  <w:r>
                    <w:rPr>
                      <w:rFonts w:ascii="Times New Roman" w:hAnsi="Times New Roman" w:eastAsiaTheme="minorEastAsia"/>
                      <w:color w:val="auto"/>
                      <w:szCs w:val="21"/>
                      <w:highlight w:val="none"/>
                    </w:rPr>
                    <w:t>按GB/T26493相关规定，设置贮存标志、贮存记录、安全防护和污染控制等工作，贮存记录至少保存3年</w:t>
                  </w:r>
                  <w:r>
                    <w:rPr>
                      <w:rFonts w:hint="eastAsia" w:ascii="Times New Roman" w:hAnsi="Times New Roman" w:eastAsiaTheme="minorEastAsia"/>
                      <w:color w:val="auto"/>
                      <w:szCs w:val="21"/>
                      <w:highlight w:val="none"/>
                    </w:rPr>
                    <w:t>。</w:t>
                  </w:r>
                </w:p>
              </w:tc>
              <w:tc>
                <w:tcPr>
                  <w:tcW w:w="3558" w:type="dxa"/>
                  <w:vAlign w:val="center"/>
                </w:tcPr>
                <w:p w14:paraId="33380499">
                  <w:pPr>
                    <w:rPr>
                      <w:rFonts w:hint="eastAsia" w:ascii="Times New Roman" w:hAnsi="Times New Roman" w:eastAsiaTheme="minorEastAsia"/>
                      <w:color w:val="auto"/>
                      <w:spacing w:val="-6"/>
                      <w:szCs w:val="21"/>
                      <w:highlight w:val="none"/>
                    </w:rPr>
                  </w:pPr>
                  <w:r>
                    <w:rPr>
                      <w:rFonts w:ascii="Times New Roman" w:hAnsi="Times New Roman" w:eastAsiaTheme="minorEastAsia"/>
                      <w:color w:val="auto"/>
                      <w:szCs w:val="21"/>
                      <w:highlight w:val="none"/>
                    </w:rPr>
                    <w:t>本项目设置贮存标志、贮存记录、安全防护和污染控制等工作，贮存记录保存</w:t>
                  </w:r>
                  <w:r>
                    <w:rPr>
                      <w:rFonts w:hint="eastAsia" w:ascii="Times New Roman" w:hAnsi="Times New Roman" w:eastAsiaTheme="minorEastAsia"/>
                      <w:color w:val="auto"/>
                      <w:szCs w:val="21"/>
                      <w:highlight w:val="none"/>
                      <w:lang w:val="en-US" w:eastAsia="zh-CN"/>
                    </w:rPr>
                    <w:t>10</w:t>
                  </w:r>
                  <w:r>
                    <w:rPr>
                      <w:rFonts w:ascii="Times New Roman" w:hAnsi="Times New Roman" w:eastAsiaTheme="minorEastAsia"/>
                      <w:color w:val="auto"/>
                      <w:szCs w:val="21"/>
                      <w:highlight w:val="none"/>
                    </w:rPr>
                    <w:t>年</w:t>
                  </w:r>
                  <w:r>
                    <w:rPr>
                      <w:rFonts w:hint="eastAsia" w:ascii="Times New Roman" w:hAnsi="Times New Roman" w:eastAsiaTheme="minorEastAsia"/>
                      <w:color w:val="auto"/>
                      <w:szCs w:val="21"/>
                      <w:highlight w:val="none"/>
                    </w:rPr>
                    <w:t>。</w:t>
                  </w:r>
                </w:p>
              </w:tc>
              <w:tc>
                <w:tcPr>
                  <w:tcW w:w="689" w:type="dxa"/>
                  <w:vAlign w:val="center"/>
                </w:tcPr>
                <w:p w14:paraId="1D34BAA2">
                  <w:pPr>
                    <w:widowControl/>
                    <w:snapToGrid w:val="0"/>
                    <w:spacing w:before="60"/>
                    <w:jc w:val="center"/>
                    <w:rPr>
                      <w:rFonts w:hint="eastAsia"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bl>
          <w:p w14:paraId="7C3DD357">
            <w:pPr>
              <w:tabs>
                <w:tab w:val="left" w:pos="0"/>
              </w:tabs>
              <w:snapToGrid w:val="0"/>
              <w:spacing w:line="480" w:lineRule="exact"/>
              <w:jc w:val="center"/>
              <w:rPr>
                <w:rFonts w:ascii="Times New Roman" w:hAnsi="Times New Roman" w:eastAsiaTheme="minorEastAsia"/>
                <w:bCs/>
                <w:color w:val="auto"/>
                <w:sz w:val="24"/>
                <w:szCs w:val="24"/>
                <w:highlight w:val="none"/>
              </w:rPr>
            </w:pPr>
            <w:r>
              <w:rPr>
                <w:rFonts w:ascii="Times New Roman" w:hAnsi="Times New Roman" w:eastAsiaTheme="minorEastAsia"/>
                <w:bCs/>
                <w:color w:val="auto"/>
                <w:sz w:val="24"/>
                <w:szCs w:val="24"/>
                <w:highlight w:val="none"/>
              </w:rPr>
              <w:t>续表1-6  与其他相关规划和环境管理符合性分析</w:t>
            </w:r>
          </w:p>
          <w:tbl>
            <w:tblPr>
              <w:tblStyle w:val="31"/>
              <w:tblW w:w="8393"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58"/>
              <w:gridCol w:w="3988"/>
              <w:gridCol w:w="3258"/>
              <w:gridCol w:w="689"/>
            </w:tblGrid>
            <w:tr w14:paraId="02D0E4E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46" w:type="dxa"/>
                  <w:gridSpan w:val="2"/>
                  <w:tcMar>
                    <w:top w:w="57" w:type="dxa"/>
                    <w:left w:w="28" w:type="dxa"/>
                    <w:bottom w:w="57" w:type="dxa"/>
                    <w:right w:w="28" w:type="dxa"/>
                  </w:tcMar>
                  <w:vAlign w:val="center"/>
                </w:tcPr>
                <w:p w14:paraId="732CE8D1">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与项目有关的条例、条文</w:t>
                  </w:r>
                </w:p>
              </w:tc>
              <w:tc>
                <w:tcPr>
                  <w:tcW w:w="3258" w:type="dxa"/>
                  <w:tcMar>
                    <w:top w:w="57" w:type="dxa"/>
                    <w:left w:w="28" w:type="dxa"/>
                    <w:bottom w:w="57" w:type="dxa"/>
                    <w:right w:w="28" w:type="dxa"/>
                  </w:tcMar>
                  <w:vAlign w:val="center"/>
                </w:tcPr>
                <w:p w14:paraId="1A3868B8">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本项目</w:t>
                  </w:r>
                </w:p>
              </w:tc>
              <w:tc>
                <w:tcPr>
                  <w:tcW w:w="689" w:type="dxa"/>
                  <w:tcMar>
                    <w:top w:w="57" w:type="dxa"/>
                    <w:left w:w="28" w:type="dxa"/>
                    <w:bottom w:w="57" w:type="dxa"/>
                    <w:right w:w="28" w:type="dxa"/>
                  </w:tcMar>
                  <w:vAlign w:val="center"/>
                </w:tcPr>
                <w:p w14:paraId="0F708052">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符合性</w:t>
                  </w:r>
                </w:p>
              </w:tc>
            </w:tr>
            <w:tr w14:paraId="47ADF83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76" w:hRule="atLeast"/>
                <w:jc w:val="center"/>
              </w:trPr>
              <w:tc>
                <w:tcPr>
                  <w:tcW w:w="458" w:type="dxa"/>
                  <w:tcMar>
                    <w:top w:w="57" w:type="dxa"/>
                    <w:left w:w="28" w:type="dxa"/>
                    <w:bottom w:w="57" w:type="dxa"/>
                    <w:right w:w="28" w:type="dxa"/>
                  </w:tcMar>
                  <w:vAlign w:val="center"/>
                </w:tcPr>
                <w:p w14:paraId="1DAFF69F">
                  <w:pPr>
                    <w:widowControl/>
                    <w:snapToGrid w:val="0"/>
                    <w:jc w:val="center"/>
                    <w:rPr>
                      <w:rFonts w:ascii="Times New Roman" w:hAnsi="Times New Roman" w:eastAsiaTheme="minorEastAsia"/>
                      <w:bCs/>
                      <w:color w:val="auto"/>
                      <w:szCs w:val="21"/>
                      <w:highlight w:val="none"/>
                    </w:rPr>
                  </w:pPr>
                  <w:r>
                    <w:rPr>
                      <w:rFonts w:hint="eastAsia" w:ascii="Times New Roman" w:hAnsi="Times New Roman" w:eastAsiaTheme="minorEastAsia"/>
                      <w:color w:val="auto"/>
                      <w:kern w:val="0"/>
                      <w:szCs w:val="21"/>
                      <w:highlight w:val="none"/>
                      <w:lang w:val="en-US" w:eastAsia="zh-CN"/>
                    </w:rPr>
                    <w:t>7</w:t>
                  </w:r>
                  <w:r>
                    <w:rPr>
                      <w:rFonts w:hint="eastAsia" w:ascii="Times New Roman" w:hAnsi="Times New Roman" w:eastAsiaTheme="minorEastAsia"/>
                      <w:color w:val="auto"/>
                      <w:kern w:val="0"/>
                      <w:szCs w:val="21"/>
                      <w:highlight w:val="none"/>
                    </w:rPr>
                    <w:t>.9</w:t>
                  </w:r>
                </w:p>
              </w:tc>
              <w:tc>
                <w:tcPr>
                  <w:tcW w:w="3988" w:type="dxa"/>
                  <w:tcMar>
                    <w:top w:w="57" w:type="dxa"/>
                    <w:left w:w="28" w:type="dxa"/>
                    <w:bottom w:w="57" w:type="dxa"/>
                    <w:right w:w="28" w:type="dxa"/>
                  </w:tcMar>
                  <w:vAlign w:val="center"/>
                </w:tcPr>
                <w:p w14:paraId="40D386D5">
                  <w:pPr>
                    <w:widowControl/>
                    <w:snapToGrid w:val="0"/>
                    <w:rPr>
                      <w:rFonts w:ascii="Times New Roman" w:hAnsi="Times New Roman" w:eastAsiaTheme="minorEastAsia"/>
                      <w:bCs/>
                      <w:color w:val="auto"/>
                      <w:szCs w:val="21"/>
                      <w:highlight w:val="none"/>
                    </w:rPr>
                  </w:pPr>
                  <w:r>
                    <w:rPr>
                      <w:rFonts w:ascii="Times New Roman" w:hAnsi="Times New Roman" w:eastAsiaTheme="minorEastAsia"/>
                      <w:color w:val="auto"/>
                      <w:szCs w:val="21"/>
                      <w:highlight w:val="none"/>
                    </w:rPr>
                    <w:t>按照原省环保厅《关于建设全省危险废物智能监控体系的通知》要求，在集中贮存库的进出口处、地磅及磅称安置处设置监控设备，录像、数据及影响上传执行《通知》规定要求</w:t>
                  </w:r>
                  <w:r>
                    <w:rPr>
                      <w:rFonts w:hint="eastAsia" w:ascii="Times New Roman" w:hAnsi="Times New Roman" w:eastAsiaTheme="minorEastAsia"/>
                      <w:color w:val="auto"/>
                      <w:szCs w:val="21"/>
                      <w:highlight w:val="none"/>
                    </w:rPr>
                    <w:t>。</w:t>
                  </w:r>
                </w:p>
              </w:tc>
              <w:tc>
                <w:tcPr>
                  <w:tcW w:w="3258" w:type="dxa"/>
                  <w:tcMar>
                    <w:top w:w="57" w:type="dxa"/>
                    <w:left w:w="28" w:type="dxa"/>
                    <w:bottom w:w="57" w:type="dxa"/>
                    <w:right w:w="28" w:type="dxa"/>
                  </w:tcMar>
                  <w:vAlign w:val="center"/>
                </w:tcPr>
                <w:p w14:paraId="4D7DF5BD">
                  <w:pPr>
                    <w:rPr>
                      <w:rFonts w:ascii="Times New Roman" w:hAnsi="Times New Roman" w:eastAsiaTheme="minorEastAsia"/>
                      <w:bCs/>
                      <w:color w:val="auto"/>
                      <w:szCs w:val="21"/>
                      <w:highlight w:val="none"/>
                    </w:rPr>
                  </w:pPr>
                  <w:r>
                    <w:rPr>
                      <w:rFonts w:hint="eastAsia" w:ascii="Times New Roman" w:hAnsi="Times New Roman" w:eastAsiaTheme="minorEastAsia"/>
                      <w:color w:val="auto"/>
                      <w:szCs w:val="21"/>
                      <w:highlight w:val="none"/>
                      <w:lang w:val="en-US" w:eastAsia="zh-CN"/>
                    </w:rPr>
                    <w:t>本项目</w:t>
                  </w:r>
                  <w:r>
                    <w:rPr>
                      <w:rFonts w:hint="eastAsia" w:ascii="Times New Roman" w:hAnsi="Times New Roman" w:eastAsiaTheme="minorEastAsia"/>
                      <w:color w:val="auto"/>
                      <w:szCs w:val="21"/>
                      <w:highlight w:val="none"/>
                    </w:rPr>
                    <w:t>设置智能地磅、监控等相关设施并按要求上传。</w:t>
                  </w:r>
                </w:p>
              </w:tc>
              <w:tc>
                <w:tcPr>
                  <w:tcW w:w="689" w:type="dxa"/>
                  <w:tcMar>
                    <w:top w:w="57" w:type="dxa"/>
                    <w:left w:w="28" w:type="dxa"/>
                    <w:bottom w:w="57" w:type="dxa"/>
                    <w:right w:w="28" w:type="dxa"/>
                  </w:tcMar>
                  <w:vAlign w:val="center"/>
                </w:tcPr>
                <w:p w14:paraId="1728CAFF">
                  <w:pPr>
                    <w:widowControl/>
                    <w:snapToGrid w:val="0"/>
                    <w:spacing w:before="60"/>
                    <w:jc w:val="center"/>
                    <w:rPr>
                      <w:rFonts w:ascii="Times New Roman" w:hAnsi="Times New Roman" w:eastAsiaTheme="minorEastAsia"/>
                      <w:bCs/>
                      <w:color w:val="auto"/>
                      <w:szCs w:val="21"/>
                      <w:highlight w:val="none"/>
                    </w:rPr>
                  </w:pPr>
                  <w:r>
                    <w:rPr>
                      <w:rFonts w:ascii="Times New Roman" w:hAnsi="Times New Roman" w:eastAsiaTheme="minorEastAsia"/>
                      <w:color w:val="auto"/>
                      <w:kern w:val="0"/>
                      <w:szCs w:val="21"/>
                      <w:highlight w:val="none"/>
                    </w:rPr>
                    <w:t>符合</w:t>
                  </w:r>
                </w:p>
              </w:tc>
            </w:tr>
            <w:tr w14:paraId="72BB0BC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393" w:type="dxa"/>
                  <w:gridSpan w:val="4"/>
                  <w:vAlign w:val="center"/>
                </w:tcPr>
                <w:p w14:paraId="42B478CD">
                  <w:pPr>
                    <w:widowControl/>
                    <w:snapToGrid w:val="0"/>
                    <w:spacing w:before="60"/>
                    <w:jc w:val="left"/>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val="en-US" w:eastAsia="zh-CN"/>
                    </w:rPr>
                    <w:t>8</w:t>
                  </w:r>
                  <w:r>
                    <w:rPr>
                      <w:rFonts w:hint="eastAsia" w:ascii="Times New Roman" w:hAnsi="Times New Roman" w:eastAsiaTheme="minorEastAsia"/>
                      <w:color w:val="auto"/>
                      <w:kern w:val="0"/>
                      <w:szCs w:val="21"/>
                      <w:highlight w:val="none"/>
                    </w:rPr>
                    <w:t>.</w:t>
                  </w:r>
                  <w:r>
                    <w:rPr>
                      <w:rFonts w:ascii="Times New Roman" w:hAnsi="Times New Roman" w:eastAsiaTheme="minorEastAsia"/>
                      <w:color w:val="auto"/>
                      <w:kern w:val="0"/>
                      <w:szCs w:val="21"/>
                      <w:highlight w:val="none"/>
                    </w:rPr>
                    <w:t>《关于加强全省危险废物收集利用处置能力建设的紧急通知》（冀土领办[2020]21号）符合性分析</w:t>
                  </w:r>
                </w:p>
              </w:tc>
            </w:tr>
            <w:tr w14:paraId="42E724A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Align w:val="center"/>
                </w:tcPr>
                <w:p w14:paraId="5947E247">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val="en-US" w:eastAsia="zh-CN"/>
                    </w:rPr>
                    <w:t>8</w:t>
                  </w:r>
                  <w:r>
                    <w:rPr>
                      <w:rFonts w:hint="eastAsia" w:ascii="Times New Roman" w:hAnsi="Times New Roman" w:eastAsiaTheme="minorEastAsia"/>
                      <w:color w:val="auto"/>
                      <w:kern w:val="0"/>
                      <w:szCs w:val="21"/>
                      <w:highlight w:val="none"/>
                    </w:rPr>
                    <w:t>.1</w:t>
                  </w:r>
                </w:p>
              </w:tc>
              <w:tc>
                <w:tcPr>
                  <w:tcW w:w="3988" w:type="dxa"/>
                  <w:vAlign w:val="center"/>
                </w:tcPr>
                <w:p w14:paraId="12F6531B">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贯彻落实关于“加快补齐医疗废物、危险废物收集处理设施方面短板”的精神。</w:t>
                  </w:r>
                </w:p>
              </w:tc>
              <w:tc>
                <w:tcPr>
                  <w:tcW w:w="3258" w:type="dxa"/>
                  <w:vAlign w:val="center"/>
                </w:tcPr>
                <w:p w14:paraId="27D12D57">
                  <w:pPr>
                    <w:rPr>
                      <w:rFonts w:ascii="Times New Roman" w:hAnsi="Times New Roman" w:eastAsiaTheme="minorEastAsia"/>
                      <w:color w:val="auto"/>
                      <w:spacing w:val="-6"/>
                      <w:szCs w:val="21"/>
                      <w:highlight w:val="none"/>
                    </w:rPr>
                  </w:pPr>
                  <w:r>
                    <w:rPr>
                      <w:rFonts w:hint="eastAsia" w:ascii="Times New Roman" w:hAnsi="Times New Roman" w:eastAsiaTheme="minorEastAsia"/>
                      <w:color w:val="auto"/>
                      <w:spacing w:val="-6"/>
                      <w:szCs w:val="21"/>
                      <w:highlight w:val="none"/>
                    </w:rPr>
                    <w:t>本项目为</w:t>
                  </w:r>
                  <w:r>
                    <w:rPr>
                      <w:rFonts w:hint="eastAsia" w:ascii="Times New Roman" w:hAnsi="Times New Roman" w:eastAsiaTheme="minorEastAsia"/>
                      <w:color w:val="auto"/>
                      <w:spacing w:val="-6"/>
                      <w:szCs w:val="21"/>
                      <w:highlight w:val="none"/>
                      <w:lang w:eastAsia="zh-CN"/>
                    </w:rPr>
                    <w:t>废旧铅酸蓄电池</w:t>
                  </w:r>
                  <w:r>
                    <w:rPr>
                      <w:rFonts w:hint="eastAsia" w:ascii="Times New Roman" w:hAnsi="Times New Roman" w:eastAsiaTheme="minorEastAsia"/>
                      <w:color w:val="auto"/>
                      <w:spacing w:val="-6"/>
                      <w:szCs w:val="21"/>
                      <w:highlight w:val="none"/>
                    </w:rPr>
                    <w:t>收集项目，项目建成后有利于河北省区域内危险废物的收集与转运，符合关于“加快补齐医疗废物、危险废物收集处理设施方面短板”的精神要求。</w:t>
                  </w:r>
                </w:p>
              </w:tc>
              <w:tc>
                <w:tcPr>
                  <w:tcW w:w="689" w:type="dxa"/>
                  <w:vAlign w:val="center"/>
                </w:tcPr>
                <w:p w14:paraId="22358224">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r w14:paraId="19B7ABB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Align w:val="center"/>
                </w:tcPr>
                <w:p w14:paraId="7592CFB0">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val="en-US" w:eastAsia="zh-CN"/>
                    </w:rPr>
                    <w:t>8</w:t>
                  </w:r>
                  <w:r>
                    <w:rPr>
                      <w:rFonts w:hint="eastAsia" w:ascii="Times New Roman" w:hAnsi="Times New Roman" w:eastAsiaTheme="minorEastAsia"/>
                      <w:color w:val="auto"/>
                      <w:kern w:val="0"/>
                      <w:szCs w:val="21"/>
                      <w:highlight w:val="none"/>
                    </w:rPr>
                    <w:t>.2</w:t>
                  </w:r>
                </w:p>
              </w:tc>
              <w:tc>
                <w:tcPr>
                  <w:tcW w:w="3988" w:type="dxa"/>
                  <w:vAlign w:val="center"/>
                </w:tcPr>
                <w:p w14:paraId="659FA447">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立足于补齐完善危险废物收集利用处置体系，提升全省危险废物规范化管理水平。</w:t>
                  </w:r>
                </w:p>
              </w:tc>
              <w:tc>
                <w:tcPr>
                  <w:tcW w:w="3258" w:type="dxa"/>
                  <w:vAlign w:val="center"/>
                </w:tcPr>
                <w:p w14:paraId="1F6135BA">
                  <w:pPr>
                    <w:rPr>
                      <w:rFonts w:ascii="Times New Roman" w:hAnsi="Times New Roman" w:eastAsiaTheme="minorEastAsia"/>
                      <w:color w:val="auto"/>
                      <w:spacing w:val="-6"/>
                      <w:szCs w:val="21"/>
                      <w:highlight w:val="none"/>
                    </w:rPr>
                  </w:pPr>
                  <w:r>
                    <w:rPr>
                      <w:rFonts w:hint="eastAsia" w:ascii="Times New Roman" w:hAnsi="Times New Roman" w:eastAsiaTheme="minorEastAsia"/>
                      <w:color w:val="auto"/>
                      <w:spacing w:val="-6"/>
                      <w:szCs w:val="21"/>
                      <w:highlight w:val="none"/>
                    </w:rPr>
                    <w:t>本项目的建设加强了区域危险废物的收集转运能力，有利于完善河北省区域内危废收集利用体系。</w:t>
                  </w:r>
                </w:p>
              </w:tc>
              <w:tc>
                <w:tcPr>
                  <w:tcW w:w="689" w:type="dxa"/>
                  <w:vAlign w:val="center"/>
                </w:tcPr>
                <w:p w14:paraId="67BC05CB">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r w14:paraId="7DA807F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Align w:val="center"/>
                </w:tcPr>
                <w:p w14:paraId="5AE51738">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val="en-US" w:eastAsia="zh-CN"/>
                    </w:rPr>
                    <w:t>8</w:t>
                  </w:r>
                  <w:r>
                    <w:rPr>
                      <w:rFonts w:hint="eastAsia" w:ascii="Times New Roman" w:hAnsi="Times New Roman" w:eastAsiaTheme="minorEastAsia"/>
                      <w:color w:val="auto"/>
                      <w:kern w:val="0"/>
                      <w:szCs w:val="21"/>
                      <w:highlight w:val="none"/>
                    </w:rPr>
                    <w:t>.3</w:t>
                  </w:r>
                </w:p>
              </w:tc>
              <w:tc>
                <w:tcPr>
                  <w:tcW w:w="3988" w:type="dxa"/>
                  <w:vAlign w:val="center"/>
                </w:tcPr>
                <w:p w14:paraId="7386900D">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鼓励社会力量多元参与。</w:t>
                  </w:r>
                </w:p>
              </w:tc>
              <w:tc>
                <w:tcPr>
                  <w:tcW w:w="3258" w:type="dxa"/>
                  <w:vAlign w:val="center"/>
                </w:tcPr>
                <w:p w14:paraId="33609C2C">
                  <w:pPr>
                    <w:rPr>
                      <w:rFonts w:ascii="Times New Roman" w:hAnsi="Times New Roman" w:eastAsiaTheme="minorEastAsia"/>
                      <w:color w:val="auto"/>
                      <w:spacing w:val="-6"/>
                      <w:szCs w:val="21"/>
                      <w:highlight w:val="none"/>
                    </w:rPr>
                  </w:pPr>
                  <w:r>
                    <w:rPr>
                      <w:rFonts w:hint="eastAsia" w:ascii="Times New Roman" w:hAnsi="Times New Roman" w:eastAsiaTheme="minorEastAsia"/>
                      <w:color w:val="auto"/>
                      <w:spacing w:val="-6"/>
                      <w:szCs w:val="21"/>
                      <w:highlight w:val="none"/>
                    </w:rPr>
                    <w:t>危废试点项目为目前鼓励参与项目</w:t>
                  </w:r>
                </w:p>
              </w:tc>
              <w:tc>
                <w:tcPr>
                  <w:tcW w:w="689" w:type="dxa"/>
                  <w:vAlign w:val="center"/>
                </w:tcPr>
                <w:p w14:paraId="332ED2F1">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r w14:paraId="3E4EBDC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393" w:type="dxa"/>
                  <w:gridSpan w:val="4"/>
                  <w:vAlign w:val="center"/>
                </w:tcPr>
                <w:p w14:paraId="640E5AF3">
                  <w:pPr>
                    <w:widowControl/>
                    <w:snapToGrid w:val="0"/>
                    <w:spacing w:before="60"/>
                    <w:jc w:val="left"/>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val="en-US" w:eastAsia="zh-CN"/>
                    </w:rPr>
                    <w:t>9</w:t>
                  </w:r>
                  <w:r>
                    <w:rPr>
                      <w:rFonts w:hint="eastAsia" w:ascii="Times New Roman" w:hAnsi="Times New Roman" w:eastAsiaTheme="minorEastAsia"/>
                      <w:color w:val="auto"/>
                      <w:kern w:val="0"/>
                      <w:szCs w:val="21"/>
                      <w:highlight w:val="none"/>
                    </w:rPr>
                    <w:t>.</w:t>
                  </w:r>
                  <w:r>
                    <w:rPr>
                      <w:rFonts w:ascii="Times New Roman" w:hAnsi="Times New Roman" w:eastAsiaTheme="minorEastAsia"/>
                      <w:color w:val="auto"/>
                      <w:kern w:val="0"/>
                      <w:szCs w:val="21"/>
                      <w:highlight w:val="none"/>
                    </w:rPr>
                    <w:t>《关于进一步加强全省</w:t>
                  </w:r>
                  <w:r>
                    <w:rPr>
                      <w:rFonts w:hint="eastAsia" w:ascii="Times New Roman" w:hAnsi="Times New Roman" w:eastAsiaTheme="minorEastAsia"/>
                      <w:color w:val="auto"/>
                      <w:kern w:val="0"/>
                      <w:szCs w:val="21"/>
                      <w:highlight w:val="none"/>
                      <w:lang w:eastAsia="zh-CN"/>
                    </w:rPr>
                    <w:t>废旧铅酸蓄电池</w:t>
                  </w:r>
                  <w:r>
                    <w:rPr>
                      <w:rFonts w:ascii="Times New Roman" w:hAnsi="Times New Roman" w:eastAsiaTheme="minorEastAsia"/>
                      <w:color w:val="auto"/>
                      <w:kern w:val="0"/>
                      <w:szCs w:val="21"/>
                      <w:highlight w:val="none"/>
                    </w:rPr>
                    <w:t>环境管理工作的指导意见》（冀环固体[2021]368号）要求符合性分析见下表</w:t>
                  </w:r>
                </w:p>
              </w:tc>
            </w:tr>
            <w:tr w14:paraId="1FDCEED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Align w:val="center"/>
                </w:tcPr>
                <w:p w14:paraId="1927C351">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val="en-US" w:eastAsia="zh-CN"/>
                    </w:rPr>
                    <w:t>9</w:t>
                  </w:r>
                  <w:r>
                    <w:rPr>
                      <w:rFonts w:hint="eastAsia" w:ascii="Times New Roman" w:hAnsi="Times New Roman" w:eastAsiaTheme="minorEastAsia"/>
                      <w:color w:val="auto"/>
                      <w:kern w:val="0"/>
                      <w:szCs w:val="21"/>
                      <w:highlight w:val="none"/>
                    </w:rPr>
                    <w:t>.1.</w:t>
                  </w:r>
                  <w:r>
                    <w:rPr>
                      <w:rFonts w:ascii="Times New Roman" w:hAnsi="Times New Roman" w:eastAsiaTheme="minorEastAsia"/>
                      <w:color w:val="auto"/>
                      <w:kern w:val="0"/>
                      <w:szCs w:val="21"/>
                      <w:highlight w:val="none"/>
                    </w:rPr>
                    <w:t>积极推进收集体系建设</w:t>
                  </w:r>
                </w:p>
              </w:tc>
              <w:tc>
                <w:tcPr>
                  <w:tcW w:w="3988" w:type="dxa"/>
                  <w:vAlign w:val="center"/>
                </w:tcPr>
                <w:p w14:paraId="2EC7539A">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（一）强化收集试点主体功能。</w:t>
                  </w:r>
                  <w:r>
                    <w:rPr>
                      <w:rFonts w:hint="eastAsia" w:ascii="Times New Roman" w:hAnsi="Times New Roman" w:eastAsiaTheme="minorEastAsia"/>
                      <w:color w:val="auto"/>
                      <w:kern w:val="0"/>
                      <w:szCs w:val="21"/>
                      <w:highlight w:val="none"/>
                      <w:lang w:val="en-US" w:eastAsia="zh-CN"/>
                    </w:rPr>
                    <w:t>发挥</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集中收集试点单位回收市场的主体作用，规范回收行为，推进回收市场健康发展。严格完善管理制度。</w:t>
                  </w:r>
                  <w:r>
                    <w:rPr>
                      <w:rFonts w:hint="eastAsia" w:ascii="Times New Roman" w:hAnsi="Times New Roman" w:eastAsiaTheme="minorEastAsia"/>
                      <w:color w:val="auto"/>
                      <w:kern w:val="0"/>
                      <w:szCs w:val="21"/>
                      <w:highlight w:val="none"/>
                      <w:lang w:val="en-US" w:eastAsia="zh-CN"/>
                    </w:rPr>
                    <w:t>督促试点</w:t>
                  </w:r>
                  <w:r>
                    <w:rPr>
                      <w:rFonts w:hint="eastAsia" w:ascii="Times New Roman" w:hAnsi="Times New Roman" w:eastAsiaTheme="minorEastAsia"/>
                      <w:color w:val="auto"/>
                      <w:kern w:val="0"/>
                      <w:szCs w:val="21"/>
                      <w:highlight w:val="none"/>
                    </w:rPr>
                    <w:t>制定管理应急预案和管理计划，建立管理台账，严格执行转移联单，建立完善制度体系，强化制度刚性约束。规范市场收集行为。</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收集试点单位要</w:t>
                  </w:r>
                  <w:r>
                    <w:rPr>
                      <w:rFonts w:hint="eastAsia" w:ascii="Times New Roman" w:hAnsi="Times New Roman" w:eastAsiaTheme="minorEastAsia"/>
                      <w:color w:val="auto"/>
                      <w:kern w:val="0"/>
                      <w:szCs w:val="21"/>
                      <w:highlight w:val="none"/>
                      <w:lang w:val="en-US" w:eastAsia="zh-CN"/>
                    </w:rPr>
                    <w:t>严格遵守市场规则，依法依规开展收集活动，强化行业自律，严禁操纵市场价格、私下倒买倒卖</w:t>
                  </w:r>
                  <w:r>
                    <w:rPr>
                      <w:rFonts w:hint="eastAsia" w:ascii="Times New Roman" w:hAnsi="Times New Roman" w:eastAsiaTheme="minorEastAsia"/>
                      <w:color w:val="auto"/>
                      <w:kern w:val="0"/>
                      <w:szCs w:val="21"/>
                      <w:highlight w:val="none"/>
                    </w:rPr>
                    <w:t>；收集社会源的，应当做好</w:t>
                  </w:r>
                  <w:r>
                    <w:rPr>
                      <w:rFonts w:hint="eastAsia" w:ascii="Times New Roman" w:hAnsi="Times New Roman" w:eastAsiaTheme="minorEastAsia"/>
                      <w:color w:val="auto"/>
                      <w:kern w:val="0"/>
                      <w:szCs w:val="21"/>
                      <w:highlight w:val="none"/>
                      <w:lang w:val="en-US" w:eastAsia="zh-CN"/>
                    </w:rPr>
                    <w:t>接收转运</w:t>
                  </w:r>
                  <w:r>
                    <w:rPr>
                      <w:rFonts w:hint="eastAsia" w:ascii="Times New Roman" w:hAnsi="Times New Roman" w:eastAsiaTheme="minorEastAsia"/>
                      <w:color w:val="auto"/>
                      <w:kern w:val="0"/>
                      <w:szCs w:val="21"/>
                      <w:highlight w:val="none"/>
                    </w:rPr>
                    <w:t>台账，记录来源、种类、数量等信息</w:t>
                  </w:r>
                  <w:r>
                    <w:rPr>
                      <w:rFonts w:hint="eastAsia" w:ascii="Times New Roman" w:hAnsi="Times New Roman" w:eastAsiaTheme="minorEastAsia"/>
                      <w:color w:val="auto"/>
                      <w:kern w:val="0"/>
                      <w:szCs w:val="21"/>
                      <w:highlight w:val="none"/>
                      <w:lang w:eastAsia="zh-CN"/>
                    </w:rPr>
                    <w:t>，</w:t>
                  </w:r>
                  <w:r>
                    <w:rPr>
                      <w:rFonts w:hint="eastAsia" w:ascii="Times New Roman" w:hAnsi="Times New Roman" w:eastAsiaTheme="minorEastAsia"/>
                      <w:color w:val="auto"/>
                      <w:kern w:val="0"/>
                      <w:szCs w:val="21"/>
                      <w:highlight w:val="none"/>
                    </w:rPr>
                    <w:t>不得收集来源不明、人为破损排空酸液的</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。建立收集统计制度。试点单位要品牌对</w:t>
                  </w:r>
                  <w:r>
                    <w:rPr>
                      <w:rFonts w:hint="eastAsia" w:ascii="Times New Roman" w:hAnsi="Times New Roman" w:eastAsiaTheme="minorEastAsia"/>
                      <w:color w:val="auto"/>
                      <w:kern w:val="0"/>
                      <w:szCs w:val="21"/>
                      <w:highlight w:val="none"/>
                      <w:lang w:val="en-US" w:eastAsia="zh-CN"/>
                    </w:rPr>
                    <w:t>回收废旧铅酸蓄电池分类统计，并在省、市固体废物管理信息平台如实申报</w:t>
                  </w:r>
                  <w:r>
                    <w:rPr>
                      <w:rFonts w:hint="eastAsia" w:ascii="Times New Roman" w:hAnsi="Times New Roman" w:eastAsiaTheme="minorEastAsia"/>
                      <w:color w:val="auto"/>
                      <w:kern w:val="0"/>
                      <w:szCs w:val="21"/>
                      <w:highlight w:val="none"/>
                      <w:lang w:eastAsia="zh-CN"/>
                    </w:rPr>
                    <w:t>。</w:t>
                  </w:r>
                  <w:r>
                    <w:rPr>
                      <w:rFonts w:hint="eastAsia" w:ascii="Times New Roman" w:hAnsi="Times New Roman" w:eastAsiaTheme="minorEastAsia"/>
                      <w:color w:val="auto"/>
                      <w:kern w:val="0"/>
                      <w:szCs w:val="21"/>
                      <w:highlight w:val="none"/>
                      <w:lang w:val="en-US" w:eastAsia="zh-CN"/>
                    </w:rPr>
                    <w:t>各地生态环境部门</w:t>
                  </w:r>
                  <w:r>
                    <w:rPr>
                      <w:rFonts w:hint="eastAsia" w:ascii="Times New Roman" w:hAnsi="Times New Roman" w:eastAsiaTheme="minorEastAsia"/>
                      <w:color w:val="auto"/>
                      <w:kern w:val="0"/>
                      <w:szCs w:val="21"/>
                      <w:highlight w:val="none"/>
                    </w:rPr>
                    <w:t>每季度第一个月5日前将上季度收集信息汇总后，</w:t>
                  </w:r>
                  <w:r>
                    <w:rPr>
                      <w:rFonts w:hint="eastAsia" w:ascii="Times New Roman" w:hAnsi="Times New Roman" w:eastAsiaTheme="minorEastAsia"/>
                      <w:color w:val="auto"/>
                      <w:kern w:val="0"/>
                      <w:szCs w:val="21"/>
                      <w:highlight w:val="none"/>
                      <w:lang w:val="en-US" w:eastAsia="zh-CN"/>
                    </w:rPr>
                    <w:t>上</w:t>
                  </w:r>
                  <w:r>
                    <w:rPr>
                      <w:rFonts w:hint="eastAsia" w:ascii="Times New Roman" w:hAnsi="Times New Roman" w:eastAsiaTheme="minorEastAsia"/>
                      <w:color w:val="auto"/>
                      <w:kern w:val="0"/>
                      <w:szCs w:val="21"/>
                      <w:highlight w:val="none"/>
                    </w:rPr>
                    <w:t>报省生态环境厅；各地年度收集统计报告，应于次年 1 月 10 日前上报省生态环境厅。</w:t>
                  </w:r>
                </w:p>
              </w:tc>
              <w:tc>
                <w:tcPr>
                  <w:tcW w:w="3258" w:type="dxa"/>
                  <w:vAlign w:val="center"/>
                </w:tcPr>
                <w:p w14:paraId="56AC79E7">
                  <w:pPr>
                    <w:rPr>
                      <w:rFonts w:hint="default" w:ascii="Times New Roman" w:hAnsi="Times New Roman" w:eastAsiaTheme="minorEastAsia"/>
                      <w:color w:val="auto"/>
                      <w:spacing w:val="-6"/>
                      <w:szCs w:val="21"/>
                      <w:highlight w:val="none"/>
                    </w:rPr>
                  </w:pPr>
                  <w:r>
                    <w:rPr>
                      <w:rFonts w:hint="eastAsia" w:ascii="Times New Roman" w:hAnsi="Times New Roman" w:eastAsiaTheme="minorEastAsia"/>
                      <w:color w:val="auto"/>
                      <w:spacing w:val="-6"/>
                      <w:szCs w:val="21"/>
                      <w:highlight w:val="none"/>
                    </w:rPr>
                    <w:t>本项目建设后</w:t>
                  </w:r>
                  <w:r>
                    <w:rPr>
                      <w:rFonts w:hint="eastAsia" w:ascii="Times New Roman" w:hAnsi="Times New Roman" w:eastAsiaTheme="minorEastAsia"/>
                      <w:color w:val="auto"/>
                      <w:spacing w:val="-6"/>
                      <w:szCs w:val="21"/>
                      <w:highlight w:val="none"/>
                      <w:lang w:val="en-US" w:eastAsia="zh-CN"/>
                    </w:rPr>
                    <w:t>建立</w:t>
                  </w:r>
                  <w:r>
                    <w:rPr>
                      <w:rFonts w:hint="eastAsia" w:ascii="Times New Roman" w:hAnsi="Times New Roman" w:eastAsiaTheme="minorEastAsia"/>
                      <w:color w:val="auto"/>
                      <w:spacing w:val="-6"/>
                      <w:szCs w:val="21"/>
                      <w:highlight w:val="none"/>
                    </w:rPr>
                    <w:t>完善</w:t>
                  </w:r>
                  <w:r>
                    <w:rPr>
                      <w:rFonts w:hint="eastAsia" w:ascii="Times New Roman" w:hAnsi="Times New Roman" w:eastAsiaTheme="minorEastAsia"/>
                      <w:color w:val="auto"/>
                      <w:spacing w:val="-6"/>
                      <w:szCs w:val="21"/>
                      <w:highlight w:val="none"/>
                      <w:lang w:val="en-US" w:eastAsia="zh-CN"/>
                    </w:rPr>
                    <w:t>的</w:t>
                  </w:r>
                  <w:r>
                    <w:rPr>
                      <w:rFonts w:hint="eastAsia" w:ascii="Times New Roman" w:hAnsi="Times New Roman" w:eastAsiaTheme="minorEastAsia"/>
                      <w:color w:val="auto"/>
                      <w:spacing w:val="-6"/>
                      <w:szCs w:val="21"/>
                      <w:highlight w:val="none"/>
                    </w:rPr>
                    <w:t>管理制度，制定</w:t>
                  </w:r>
                  <w:r>
                    <w:rPr>
                      <w:rFonts w:hint="eastAsia" w:ascii="Times New Roman" w:hAnsi="Times New Roman" w:eastAsiaTheme="minorEastAsia"/>
                      <w:color w:val="auto"/>
                      <w:spacing w:val="-6"/>
                      <w:szCs w:val="21"/>
                      <w:highlight w:val="none"/>
                      <w:lang w:eastAsia="zh-CN"/>
                    </w:rPr>
                    <w:t>废旧铅酸蓄电池</w:t>
                  </w:r>
                  <w:r>
                    <w:rPr>
                      <w:rFonts w:hint="eastAsia" w:ascii="Times New Roman" w:hAnsi="Times New Roman" w:eastAsiaTheme="minorEastAsia"/>
                      <w:color w:val="auto"/>
                      <w:spacing w:val="-6"/>
                      <w:szCs w:val="21"/>
                      <w:highlight w:val="none"/>
                    </w:rPr>
                    <w:t>管理应急预案和管理计划</w:t>
                  </w:r>
                  <w:r>
                    <w:rPr>
                      <w:rFonts w:hint="eastAsia" w:ascii="Times New Roman" w:hAnsi="Times New Roman" w:eastAsiaTheme="minorEastAsia"/>
                      <w:color w:val="auto"/>
                      <w:spacing w:val="-6"/>
                      <w:szCs w:val="21"/>
                      <w:highlight w:val="none"/>
                      <w:lang w:eastAsia="zh-CN"/>
                    </w:rPr>
                    <w:t>，</w:t>
                  </w:r>
                  <w:r>
                    <w:rPr>
                      <w:rFonts w:hint="eastAsia" w:ascii="Times New Roman" w:hAnsi="Times New Roman" w:eastAsiaTheme="minorEastAsia"/>
                      <w:color w:val="auto"/>
                      <w:spacing w:val="-6"/>
                      <w:szCs w:val="21"/>
                      <w:highlight w:val="none"/>
                      <w:lang w:val="en-US" w:eastAsia="zh-CN"/>
                    </w:rPr>
                    <w:t>建立管理台账</w:t>
                  </w:r>
                  <w:r>
                    <w:rPr>
                      <w:rFonts w:hint="eastAsia" w:ascii="Times New Roman" w:hAnsi="Times New Roman" w:eastAsiaTheme="minorEastAsia"/>
                      <w:color w:val="auto"/>
                      <w:spacing w:val="-6"/>
                      <w:szCs w:val="21"/>
                      <w:highlight w:val="none"/>
                    </w:rPr>
                    <w:t>。依照经营许可范围开展经营活动，不跨区域经营。收集社会源的，做好转运登记台账，记录来源、种类、数量等信息。不收集来源不明、人为破损排空酸液的</w:t>
                  </w:r>
                  <w:r>
                    <w:rPr>
                      <w:rFonts w:hint="eastAsia" w:ascii="Times New Roman" w:hAnsi="Times New Roman" w:eastAsiaTheme="minorEastAsia"/>
                      <w:color w:val="auto"/>
                      <w:spacing w:val="-6"/>
                      <w:szCs w:val="21"/>
                      <w:highlight w:val="none"/>
                      <w:lang w:eastAsia="zh-CN"/>
                    </w:rPr>
                    <w:t>废旧铅酸蓄电池</w:t>
                  </w:r>
                  <w:r>
                    <w:rPr>
                      <w:rFonts w:hint="eastAsia" w:ascii="Times New Roman" w:hAnsi="Times New Roman" w:eastAsiaTheme="minorEastAsia"/>
                      <w:color w:val="auto"/>
                      <w:spacing w:val="-6"/>
                      <w:szCs w:val="21"/>
                      <w:highlight w:val="none"/>
                    </w:rPr>
                    <w:t>。</w:t>
                  </w:r>
                  <w:r>
                    <w:rPr>
                      <w:rFonts w:hint="eastAsia" w:ascii="Times New Roman" w:hAnsi="Times New Roman" w:eastAsiaTheme="minorEastAsia"/>
                      <w:color w:val="auto"/>
                      <w:kern w:val="0"/>
                      <w:szCs w:val="21"/>
                      <w:highlight w:val="none"/>
                    </w:rPr>
                    <w:t>建立收集统计制度</w:t>
                  </w:r>
                  <w:r>
                    <w:rPr>
                      <w:rFonts w:hint="default" w:ascii="Times New Roman" w:hAnsi="Times New Roman" w:eastAsiaTheme="minorEastAsia"/>
                      <w:color w:val="auto"/>
                      <w:kern w:val="0"/>
                      <w:szCs w:val="21"/>
                      <w:highlight w:val="none"/>
                    </w:rPr>
                    <w:t>，</w:t>
                  </w:r>
                  <w:r>
                    <w:rPr>
                      <w:rFonts w:hint="eastAsia" w:ascii="Times New Roman" w:hAnsi="Times New Roman" w:eastAsiaTheme="minorEastAsia"/>
                      <w:color w:val="auto"/>
                      <w:kern w:val="0"/>
                      <w:szCs w:val="21"/>
                      <w:highlight w:val="none"/>
                    </w:rPr>
                    <w:t>对</w:t>
                  </w:r>
                  <w:r>
                    <w:rPr>
                      <w:rFonts w:hint="eastAsia" w:ascii="Times New Roman" w:hAnsi="Times New Roman" w:eastAsiaTheme="minorEastAsia"/>
                      <w:color w:val="auto"/>
                      <w:kern w:val="0"/>
                      <w:szCs w:val="21"/>
                      <w:highlight w:val="none"/>
                      <w:lang w:val="en-US" w:eastAsia="zh-CN"/>
                    </w:rPr>
                    <w:t>回收废旧铅酸蓄电池分类统计，并在省、市固体废物管理信息平台如实申报</w:t>
                  </w:r>
                  <w:r>
                    <w:rPr>
                      <w:rFonts w:hint="default" w:ascii="Times New Roman" w:hAnsi="Times New Roman" w:eastAsiaTheme="minorEastAsia"/>
                      <w:color w:val="auto"/>
                      <w:kern w:val="0"/>
                      <w:szCs w:val="21"/>
                      <w:highlight w:val="none"/>
                      <w:lang w:eastAsia="zh-CN"/>
                    </w:rPr>
                    <w:t>。</w:t>
                  </w:r>
                </w:p>
              </w:tc>
              <w:tc>
                <w:tcPr>
                  <w:tcW w:w="689" w:type="dxa"/>
                  <w:vAlign w:val="center"/>
                </w:tcPr>
                <w:p w14:paraId="0E876862">
                  <w:pPr>
                    <w:widowControl/>
                    <w:snapToGrid w:val="0"/>
                    <w:spacing w:before="60"/>
                    <w:jc w:val="center"/>
                    <w:rPr>
                      <w:rFonts w:hint="eastAsia" w:ascii="Times New Roman" w:hAnsi="Times New Roman" w:eastAsiaTheme="minorEastAsia"/>
                      <w:color w:val="auto"/>
                      <w:kern w:val="0"/>
                      <w:szCs w:val="21"/>
                      <w:highlight w:val="none"/>
                      <w:lang w:val="en-US" w:eastAsia="zh-CN"/>
                    </w:rPr>
                  </w:pPr>
                  <w:r>
                    <w:rPr>
                      <w:rFonts w:hint="eastAsia" w:ascii="Times New Roman" w:hAnsi="Times New Roman" w:eastAsiaTheme="minorEastAsia"/>
                      <w:color w:val="auto"/>
                      <w:kern w:val="0"/>
                      <w:szCs w:val="21"/>
                      <w:highlight w:val="none"/>
                      <w:lang w:val="en-US" w:eastAsia="zh-CN"/>
                    </w:rPr>
                    <w:t>符合</w:t>
                  </w:r>
                </w:p>
              </w:tc>
            </w:tr>
          </w:tbl>
          <w:p w14:paraId="7622E21E">
            <w:pPr>
              <w:tabs>
                <w:tab w:val="left" w:pos="0"/>
              </w:tabs>
              <w:snapToGrid w:val="0"/>
              <w:spacing w:line="480" w:lineRule="exact"/>
              <w:jc w:val="center"/>
              <w:rPr>
                <w:rFonts w:ascii="Times New Roman" w:hAnsi="Times New Roman" w:eastAsiaTheme="minorEastAsia"/>
                <w:bCs/>
                <w:color w:val="auto"/>
                <w:sz w:val="24"/>
                <w:szCs w:val="24"/>
                <w:highlight w:val="none"/>
              </w:rPr>
            </w:pPr>
          </w:p>
          <w:p w14:paraId="2BAE5903">
            <w:pPr>
              <w:tabs>
                <w:tab w:val="left" w:pos="0"/>
              </w:tabs>
              <w:snapToGrid w:val="0"/>
              <w:spacing w:line="480" w:lineRule="exact"/>
              <w:jc w:val="center"/>
              <w:rPr>
                <w:rFonts w:ascii="Times New Roman" w:hAnsi="Times New Roman" w:eastAsiaTheme="minorEastAsia"/>
                <w:bCs/>
                <w:color w:val="auto"/>
                <w:sz w:val="24"/>
                <w:szCs w:val="24"/>
                <w:highlight w:val="none"/>
              </w:rPr>
            </w:pPr>
          </w:p>
          <w:p w14:paraId="20A33C81">
            <w:pPr>
              <w:tabs>
                <w:tab w:val="left" w:pos="0"/>
              </w:tabs>
              <w:snapToGrid w:val="0"/>
              <w:spacing w:line="480" w:lineRule="exact"/>
              <w:jc w:val="center"/>
              <w:rPr>
                <w:rFonts w:ascii="Times New Roman" w:hAnsi="Times New Roman" w:eastAsiaTheme="minorEastAsia"/>
                <w:bCs/>
                <w:color w:val="auto"/>
                <w:sz w:val="24"/>
                <w:szCs w:val="24"/>
                <w:highlight w:val="none"/>
              </w:rPr>
            </w:pPr>
          </w:p>
          <w:p w14:paraId="3512FB77">
            <w:pPr>
              <w:tabs>
                <w:tab w:val="left" w:pos="0"/>
              </w:tabs>
              <w:snapToGrid w:val="0"/>
              <w:spacing w:line="480" w:lineRule="exact"/>
              <w:jc w:val="center"/>
              <w:rPr>
                <w:rFonts w:ascii="Times New Roman" w:hAnsi="Times New Roman" w:eastAsiaTheme="minorEastAsia"/>
                <w:bCs/>
                <w:color w:val="auto"/>
                <w:sz w:val="24"/>
                <w:szCs w:val="24"/>
                <w:highlight w:val="none"/>
              </w:rPr>
            </w:pPr>
          </w:p>
          <w:p w14:paraId="0351C9A7">
            <w:pPr>
              <w:tabs>
                <w:tab w:val="left" w:pos="0"/>
              </w:tabs>
              <w:snapToGrid w:val="0"/>
              <w:spacing w:line="480" w:lineRule="exact"/>
              <w:jc w:val="center"/>
              <w:rPr>
                <w:rFonts w:ascii="Times New Roman" w:hAnsi="Times New Roman" w:eastAsiaTheme="minorEastAsia"/>
                <w:bCs/>
                <w:color w:val="auto"/>
                <w:sz w:val="24"/>
                <w:szCs w:val="24"/>
                <w:highlight w:val="none"/>
              </w:rPr>
            </w:pPr>
            <w:r>
              <w:rPr>
                <w:rFonts w:ascii="Times New Roman" w:hAnsi="Times New Roman" w:eastAsiaTheme="minorEastAsia"/>
                <w:bCs/>
                <w:color w:val="auto"/>
                <w:sz w:val="24"/>
                <w:szCs w:val="24"/>
                <w:highlight w:val="none"/>
              </w:rPr>
              <w:t>续表1-6  与其他相关规划和环境管理符合性分析</w:t>
            </w:r>
          </w:p>
          <w:tbl>
            <w:tblPr>
              <w:tblStyle w:val="31"/>
              <w:tblW w:w="8393"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58"/>
              <w:gridCol w:w="4723"/>
              <w:gridCol w:w="2523"/>
              <w:gridCol w:w="689"/>
            </w:tblGrid>
            <w:tr w14:paraId="325AD6F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81" w:type="dxa"/>
                  <w:gridSpan w:val="2"/>
                  <w:tcMar>
                    <w:top w:w="57" w:type="dxa"/>
                    <w:left w:w="28" w:type="dxa"/>
                    <w:bottom w:w="57" w:type="dxa"/>
                    <w:right w:w="28" w:type="dxa"/>
                  </w:tcMar>
                  <w:vAlign w:val="center"/>
                </w:tcPr>
                <w:p w14:paraId="020C33D3">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与项目有关的条例、条文</w:t>
                  </w:r>
                </w:p>
              </w:tc>
              <w:tc>
                <w:tcPr>
                  <w:tcW w:w="2523" w:type="dxa"/>
                  <w:tcMar>
                    <w:top w:w="57" w:type="dxa"/>
                    <w:left w:w="28" w:type="dxa"/>
                    <w:bottom w:w="57" w:type="dxa"/>
                    <w:right w:w="28" w:type="dxa"/>
                  </w:tcMar>
                  <w:vAlign w:val="center"/>
                </w:tcPr>
                <w:p w14:paraId="6747776C">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本项目</w:t>
                  </w:r>
                </w:p>
              </w:tc>
              <w:tc>
                <w:tcPr>
                  <w:tcW w:w="689" w:type="dxa"/>
                  <w:tcMar>
                    <w:top w:w="57" w:type="dxa"/>
                    <w:left w:w="28" w:type="dxa"/>
                    <w:bottom w:w="57" w:type="dxa"/>
                    <w:right w:w="28" w:type="dxa"/>
                  </w:tcMar>
                  <w:vAlign w:val="center"/>
                </w:tcPr>
                <w:p w14:paraId="4929FD2A">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符合性</w:t>
                  </w:r>
                </w:p>
              </w:tc>
            </w:tr>
            <w:tr w14:paraId="6FE980D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Align w:val="center"/>
                </w:tcPr>
                <w:p w14:paraId="56421C4E">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val="en-US" w:eastAsia="zh-CN"/>
                    </w:rPr>
                    <w:t>9</w:t>
                  </w:r>
                  <w:r>
                    <w:rPr>
                      <w:rFonts w:hint="eastAsia" w:ascii="Times New Roman" w:hAnsi="Times New Roman" w:eastAsiaTheme="minorEastAsia"/>
                      <w:color w:val="auto"/>
                      <w:kern w:val="0"/>
                      <w:szCs w:val="21"/>
                      <w:highlight w:val="none"/>
                    </w:rPr>
                    <w:t>.1.</w:t>
                  </w:r>
                  <w:r>
                    <w:rPr>
                      <w:rFonts w:ascii="Times New Roman" w:hAnsi="Times New Roman" w:eastAsiaTheme="minorEastAsia"/>
                      <w:color w:val="auto"/>
                      <w:kern w:val="0"/>
                      <w:szCs w:val="21"/>
                      <w:highlight w:val="none"/>
                    </w:rPr>
                    <w:t>积极推进收集体系建设</w:t>
                  </w:r>
                </w:p>
              </w:tc>
              <w:tc>
                <w:tcPr>
                  <w:tcW w:w="4723" w:type="dxa"/>
                  <w:vAlign w:val="center"/>
                </w:tcPr>
                <w:p w14:paraId="61CEDC71">
                  <w:pPr>
                    <w:spacing w:before="48" w:beforeLines="20"/>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（二）</w:t>
                  </w:r>
                  <w:r>
                    <w:rPr>
                      <w:rFonts w:hint="eastAsia" w:ascii="Times New Roman" w:hAnsi="Times New Roman" w:eastAsiaTheme="minorEastAsia"/>
                      <w:color w:val="auto"/>
                      <w:szCs w:val="21"/>
                      <w:highlight w:val="none"/>
                      <w:lang w:val="en-US" w:eastAsia="zh-CN"/>
                    </w:rPr>
                    <w:t>规范集中转运点建设</w:t>
                  </w:r>
                  <w:r>
                    <w:rPr>
                      <w:rFonts w:hint="eastAsia" w:ascii="Times New Roman" w:hAnsi="Times New Roman" w:eastAsiaTheme="minorEastAsia"/>
                      <w:color w:val="auto"/>
                      <w:szCs w:val="21"/>
                      <w:highlight w:val="none"/>
                    </w:rPr>
                    <w:t>。标准建设。集中转运点贮存场所按照GB18597 要求建设，贮存面积1000—1500m</w:t>
                  </w:r>
                  <w:r>
                    <w:rPr>
                      <w:rFonts w:hint="eastAsia" w:ascii="Times New Roman" w:hAnsi="Times New Roman" w:eastAsiaTheme="minorEastAsia"/>
                      <w:color w:val="auto"/>
                      <w:szCs w:val="21"/>
                      <w:highlight w:val="none"/>
                      <w:vertAlign w:val="superscript"/>
                    </w:rPr>
                    <w:t>2</w:t>
                  </w:r>
                  <w:r>
                    <w:rPr>
                      <w:rFonts w:hint="eastAsia" w:ascii="Times New Roman" w:hAnsi="Times New Roman" w:eastAsiaTheme="minorEastAsia"/>
                      <w:color w:val="auto"/>
                      <w:szCs w:val="21"/>
                      <w:highlight w:val="none"/>
                      <w:vertAlign w:val="baseline"/>
                      <w:lang w:eastAsia="zh-CN"/>
                    </w:rPr>
                    <w:t>，</w:t>
                  </w:r>
                  <w:r>
                    <w:rPr>
                      <w:rFonts w:hint="eastAsia" w:ascii="Times New Roman" w:hAnsi="Times New Roman" w:eastAsiaTheme="minorEastAsia"/>
                      <w:color w:val="auto"/>
                      <w:szCs w:val="21"/>
                      <w:highlight w:val="none"/>
                      <w:vertAlign w:val="baseline"/>
                      <w:lang w:val="en-US" w:eastAsia="zh-CN"/>
                    </w:rPr>
                    <w:t>要专门设置储存破损废旧铅酸蓄电池的封闭场所。</w:t>
                  </w:r>
                  <w:r>
                    <w:rPr>
                      <w:rFonts w:hint="eastAsia" w:ascii="Times New Roman" w:hAnsi="Times New Roman" w:eastAsiaTheme="minorEastAsia"/>
                      <w:color w:val="auto"/>
                      <w:szCs w:val="21"/>
                      <w:highlight w:val="none"/>
                    </w:rPr>
                    <w:t>规范贮存。划分装卸区、Ⅰ类、Ⅱ类</w:t>
                  </w:r>
                  <w:r>
                    <w:rPr>
                      <w:rFonts w:hint="eastAsia" w:ascii="Times New Roman" w:hAnsi="Times New Roman" w:eastAsiaTheme="minorEastAsia"/>
                      <w:color w:val="auto"/>
                      <w:szCs w:val="21"/>
                      <w:highlight w:val="none"/>
                      <w:lang w:eastAsia="zh-CN"/>
                    </w:rPr>
                    <w:t>废旧铅酸蓄电池</w:t>
                  </w:r>
                  <w:r>
                    <w:rPr>
                      <w:rFonts w:hint="eastAsia" w:ascii="Times New Roman" w:hAnsi="Times New Roman" w:eastAsiaTheme="minorEastAsia"/>
                      <w:color w:val="auto"/>
                      <w:szCs w:val="21"/>
                      <w:highlight w:val="none"/>
                    </w:rPr>
                    <w:t>存放区，严禁混存混放；贮存量不得超过5000吨，贮存时间不得超过 90天。</w:t>
                  </w:r>
                  <w:r>
                    <w:rPr>
                      <w:rFonts w:hint="eastAsia" w:ascii="Times New Roman" w:hAnsi="Times New Roman" w:eastAsiaTheme="minorEastAsia"/>
                      <w:color w:val="auto"/>
                      <w:szCs w:val="21"/>
                      <w:highlight w:val="none"/>
                      <w:lang w:val="en-US" w:eastAsia="zh-CN"/>
                    </w:rPr>
                    <w:t>实时</w:t>
                  </w:r>
                  <w:r>
                    <w:rPr>
                      <w:rFonts w:hint="eastAsia" w:ascii="Times New Roman" w:hAnsi="Times New Roman" w:eastAsiaTheme="minorEastAsia"/>
                      <w:color w:val="auto"/>
                      <w:szCs w:val="21"/>
                      <w:highlight w:val="none"/>
                    </w:rPr>
                    <w:t>监控。要在集中贮存场所内、厂区出入口安装完毕视频监控、智能称重设备，并与生态环境部门固体废物信息平台链接，实时上传相关影像、称重数据信息。</w:t>
                  </w:r>
                </w:p>
              </w:tc>
              <w:tc>
                <w:tcPr>
                  <w:tcW w:w="2523" w:type="dxa"/>
                  <w:vAlign w:val="center"/>
                </w:tcPr>
                <w:p w14:paraId="295D9E2B">
                  <w:pP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本项目贮存面积</w:t>
                  </w:r>
                  <w:r>
                    <w:rPr>
                      <w:rFonts w:hint="eastAsia" w:ascii="Times New Roman" w:hAnsi="Times New Roman" w:eastAsiaTheme="minorEastAsia"/>
                      <w:color w:val="auto"/>
                      <w:szCs w:val="21"/>
                      <w:highlight w:val="none"/>
                      <w:lang w:eastAsia="zh-CN"/>
                    </w:rPr>
                    <w:t>1060</w:t>
                  </w:r>
                  <w:r>
                    <w:rPr>
                      <w:rFonts w:hint="eastAsia" w:ascii="Times New Roman" w:hAnsi="Times New Roman" w:eastAsiaTheme="minorEastAsia"/>
                      <w:color w:val="auto"/>
                      <w:szCs w:val="21"/>
                      <w:highlight w:val="none"/>
                    </w:rPr>
                    <w:t>m</w:t>
                  </w:r>
                  <w:r>
                    <w:rPr>
                      <w:rFonts w:hint="eastAsia" w:ascii="Times New Roman" w:hAnsi="Times New Roman" w:eastAsiaTheme="minorEastAsia"/>
                      <w:color w:val="auto"/>
                      <w:szCs w:val="21"/>
                      <w:highlight w:val="none"/>
                      <w:vertAlign w:val="superscript"/>
                    </w:rPr>
                    <w:t>2</w:t>
                  </w:r>
                  <w:r>
                    <w:rPr>
                      <w:rFonts w:hint="eastAsia" w:ascii="Times New Roman" w:hAnsi="Times New Roman" w:eastAsiaTheme="minorEastAsia"/>
                      <w:color w:val="auto"/>
                      <w:szCs w:val="21"/>
                      <w:highlight w:val="none"/>
                    </w:rPr>
                    <w:t>，</w:t>
                  </w:r>
                  <w:r>
                    <w:rPr>
                      <w:rFonts w:hint="eastAsia" w:ascii="Times New Roman" w:hAnsi="Times New Roman" w:eastAsiaTheme="minorEastAsia"/>
                      <w:color w:val="auto"/>
                      <w:szCs w:val="21"/>
                      <w:highlight w:val="none"/>
                      <w:vertAlign w:val="baseline"/>
                      <w:lang w:val="en-US" w:eastAsia="zh-CN"/>
                    </w:rPr>
                    <w:t>设置储存破损废旧铅酸蓄电池的封闭场所</w:t>
                  </w:r>
                  <w:r>
                    <w:rPr>
                      <w:rFonts w:hint="eastAsia" w:ascii="Times New Roman" w:hAnsi="Times New Roman" w:eastAsiaTheme="minorEastAsia"/>
                      <w:color w:val="auto"/>
                      <w:szCs w:val="21"/>
                      <w:highlight w:val="none"/>
                    </w:rPr>
                    <w:t>。划分装卸区、Ⅰ类、Ⅱ类</w:t>
                  </w:r>
                  <w:r>
                    <w:rPr>
                      <w:rFonts w:hint="eastAsia" w:ascii="Times New Roman" w:hAnsi="Times New Roman" w:eastAsiaTheme="minorEastAsia"/>
                      <w:color w:val="auto"/>
                      <w:szCs w:val="21"/>
                      <w:highlight w:val="none"/>
                      <w:lang w:eastAsia="zh-CN"/>
                    </w:rPr>
                    <w:t>废旧铅酸蓄电池</w:t>
                  </w:r>
                  <w:r>
                    <w:rPr>
                      <w:rFonts w:hint="eastAsia" w:ascii="Times New Roman" w:hAnsi="Times New Roman" w:eastAsiaTheme="minorEastAsia"/>
                      <w:color w:val="auto"/>
                      <w:szCs w:val="21"/>
                      <w:highlight w:val="none"/>
                    </w:rPr>
                    <w:t>存放区。贮存量</w:t>
                  </w:r>
                  <w:r>
                    <w:rPr>
                      <w:rFonts w:hint="eastAsia" w:ascii="Times New Roman" w:hAnsi="Times New Roman" w:eastAsiaTheme="minorEastAsia"/>
                      <w:color w:val="auto"/>
                      <w:szCs w:val="21"/>
                      <w:highlight w:val="none"/>
                      <w:lang w:val="en-US" w:eastAsia="zh-CN"/>
                    </w:rPr>
                    <w:t>最大为7</w:t>
                  </w:r>
                  <w:r>
                    <w:rPr>
                      <w:rFonts w:hint="eastAsia" w:ascii="Times New Roman" w:hAnsi="Times New Roman" w:eastAsiaTheme="minorEastAsia"/>
                      <w:color w:val="auto"/>
                      <w:szCs w:val="21"/>
                      <w:highlight w:val="none"/>
                    </w:rPr>
                    <w:t>0吨，集中贮存时间不超过</w:t>
                  </w:r>
                  <w:r>
                    <w:rPr>
                      <w:rFonts w:hint="eastAsia" w:ascii="Times New Roman" w:hAnsi="Times New Roman" w:eastAsiaTheme="minorEastAsia"/>
                      <w:color w:val="auto"/>
                      <w:szCs w:val="21"/>
                      <w:highlight w:val="none"/>
                      <w:lang w:val="en-US" w:eastAsia="zh-CN"/>
                    </w:rPr>
                    <w:t>7</w:t>
                  </w:r>
                  <w:r>
                    <w:rPr>
                      <w:rFonts w:hint="eastAsia" w:ascii="Times New Roman" w:hAnsi="Times New Roman" w:eastAsiaTheme="minorEastAsia"/>
                      <w:color w:val="auto"/>
                      <w:szCs w:val="21"/>
                      <w:highlight w:val="none"/>
                    </w:rPr>
                    <w:t>天。本项目安装视频监控，并与生态环境部门固体废物信息平台链接。</w:t>
                  </w:r>
                </w:p>
              </w:tc>
              <w:tc>
                <w:tcPr>
                  <w:tcW w:w="689" w:type="dxa"/>
                  <w:vAlign w:val="center"/>
                </w:tcPr>
                <w:p w14:paraId="4EBE5E17">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r w14:paraId="49B2215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84" w:hRule="atLeast"/>
                <w:jc w:val="center"/>
              </w:trPr>
              <w:tc>
                <w:tcPr>
                  <w:tcW w:w="458" w:type="dxa"/>
                  <w:vMerge w:val="restart"/>
                  <w:vAlign w:val="center"/>
                </w:tcPr>
                <w:p w14:paraId="5789ECA4">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val="en-US" w:eastAsia="zh-CN"/>
                    </w:rPr>
                    <w:t>9</w:t>
                  </w:r>
                  <w:r>
                    <w:rPr>
                      <w:rFonts w:hint="eastAsia" w:ascii="Times New Roman" w:hAnsi="Times New Roman" w:eastAsiaTheme="minorEastAsia"/>
                      <w:color w:val="auto"/>
                      <w:kern w:val="0"/>
                      <w:szCs w:val="21"/>
                      <w:highlight w:val="none"/>
                    </w:rPr>
                    <w:t>.2</w:t>
                  </w:r>
                  <w:r>
                    <w:rPr>
                      <w:rFonts w:ascii="Times New Roman" w:hAnsi="Times New Roman" w:eastAsiaTheme="minorEastAsia"/>
                      <w:color w:val="auto"/>
                      <w:kern w:val="0"/>
                      <w:szCs w:val="21"/>
                      <w:highlight w:val="none"/>
                    </w:rPr>
                    <w:t>切实强化转运环节规范管理</w:t>
                  </w:r>
                </w:p>
              </w:tc>
              <w:tc>
                <w:tcPr>
                  <w:tcW w:w="4723" w:type="dxa"/>
                  <w:shd w:val="clear" w:color="auto" w:fill="auto"/>
                  <w:vAlign w:val="center"/>
                </w:tcPr>
                <w:p w14:paraId="1A8DC7A6">
                  <w:pPr>
                    <w:widowControl/>
                    <w:snapToGrid w:val="0"/>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eastAsiaTheme="minorEastAsia"/>
                      <w:color w:val="auto"/>
                      <w:kern w:val="0"/>
                      <w:szCs w:val="21"/>
                      <w:highlight w:val="none"/>
                    </w:rPr>
                    <w:t>（</w:t>
                  </w:r>
                  <w:r>
                    <w:rPr>
                      <w:rFonts w:hint="eastAsia" w:ascii="Times New Roman" w:hAnsi="Times New Roman" w:eastAsiaTheme="minorEastAsia"/>
                      <w:color w:val="auto"/>
                      <w:kern w:val="0"/>
                      <w:szCs w:val="21"/>
                      <w:highlight w:val="none"/>
                      <w:lang w:val="en-US" w:eastAsia="zh-CN"/>
                    </w:rPr>
                    <w:t>一</w:t>
                  </w:r>
                  <w:r>
                    <w:rPr>
                      <w:rFonts w:hint="eastAsia" w:ascii="Times New Roman" w:hAnsi="Times New Roman" w:eastAsiaTheme="minorEastAsia"/>
                      <w:color w:val="auto"/>
                      <w:kern w:val="0"/>
                      <w:szCs w:val="21"/>
                      <w:highlight w:val="none"/>
                    </w:rPr>
                    <w:t>）严格</w:t>
                  </w:r>
                  <w:r>
                    <w:rPr>
                      <w:rFonts w:hint="eastAsia" w:ascii="Times New Roman" w:hAnsi="Times New Roman" w:eastAsiaTheme="minorEastAsia"/>
                      <w:color w:val="auto"/>
                      <w:kern w:val="0"/>
                      <w:szCs w:val="21"/>
                      <w:highlight w:val="none"/>
                      <w:lang w:val="en-US" w:eastAsia="zh-CN"/>
                    </w:rPr>
                    <w:t>转移登记和</w:t>
                  </w:r>
                  <w:r>
                    <w:rPr>
                      <w:rFonts w:hint="eastAsia" w:ascii="Times New Roman" w:hAnsi="Times New Roman" w:eastAsiaTheme="minorEastAsia"/>
                      <w:color w:val="auto"/>
                      <w:kern w:val="0"/>
                      <w:szCs w:val="21"/>
                      <w:highlight w:val="none"/>
                    </w:rPr>
                    <w:t>联单</w:t>
                  </w:r>
                  <w:r>
                    <w:rPr>
                      <w:rFonts w:hint="eastAsia" w:ascii="Times New Roman" w:hAnsi="Times New Roman" w:eastAsiaTheme="minorEastAsia"/>
                      <w:color w:val="auto"/>
                      <w:kern w:val="0"/>
                      <w:szCs w:val="21"/>
                      <w:highlight w:val="none"/>
                      <w:lang w:val="en-US" w:eastAsia="zh-CN"/>
                    </w:rPr>
                    <w:t>制度</w:t>
                  </w:r>
                  <w:r>
                    <w:rPr>
                      <w:rFonts w:hint="eastAsia" w:ascii="Times New Roman" w:hAnsi="Times New Roman" w:eastAsiaTheme="minorEastAsia"/>
                      <w:color w:val="auto"/>
                      <w:kern w:val="0"/>
                      <w:szCs w:val="21"/>
                      <w:highlight w:val="none"/>
                    </w:rPr>
                    <w:t>。收集网点向集中转运点转移</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，同一行政区域内运输实行转运交接登记管理。省内和跨省转移</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执行危险废物转移联单制度，</w:t>
                  </w:r>
                  <w:r>
                    <w:rPr>
                      <w:rFonts w:hint="eastAsia" w:ascii="Times New Roman" w:hAnsi="Times New Roman" w:eastAsiaTheme="minorEastAsia"/>
                      <w:color w:val="auto"/>
                      <w:kern w:val="0"/>
                      <w:szCs w:val="21"/>
                      <w:highlight w:val="none"/>
                      <w:lang w:val="en-US" w:eastAsia="zh-CN"/>
                    </w:rPr>
                    <w:t>要通</w:t>
                  </w:r>
                  <w:r>
                    <w:rPr>
                      <w:rFonts w:hint="eastAsia" w:ascii="Times New Roman" w:hAnsi="Times New Roman" w:eastAsiaTheme="minorEastAsia"/>
                      <w:color w:val="auto"/>
                      <w:kern w:val="0"/>
                      <w:szCs w:val="21"/>
                      <w:highlight w:val="none"/>
                    </w:rPr>
                    <w:t>过省</w:t>
                  </w:r>
                  <w:r>
                    <w:rPr>
                      <w:rFonts w:hint="eastAsia" w:ascii="Times New Roman" w:hAnsi="Times New Roman" w:eastAsiaTheme="minorEastAsia"/>
                      <w:color w:val="auto"/>
                      <w:kern w:val="0"/>
                      <w:szCs w:val="21"/>
                      <w:highlight w:val="none"/>
                      <w:lang w:eastAsia="zh-CN"/>
                    </w:rPr>
                    <w:t>、</w:t>
                  </w:r>
                  <w:r>
                    <w:rPr>
                      <w:rFonts w:hint="eastAsia" w:ascii="Times New Roman" w:hAnsi="Times New Roman" w:eastAsiaTheme="minorEastAsia"/>
                      <w:color w:val="auto"/>
                      <w:kern w:val="0"/>
                      <w:szCs w:val="21"/>
                      <w:highlight w:val="none"/>
                      <w:lang w:val="en-US" w:eastAsia="zh-CN"/>
                    </w:rPr>
                    <w:t>市</w:t>
                  </w:r>
                  <w:r>
                    <w:rPr>
                      <w:rFonts w:hint="eastAsia" w:ascii="Times New Roman" w:hAnsi="Times New Roman" w:eastAsiaTheme="minorEastAsia"/>
                      <w:color w:val="auto"/>
                      <w:kern w:val="0"/>
                      <w:szCs w:val="21"/>
                      <w:highlight w:val="none"/>
                    </w:rPr>
                    <w:t>固体废物信息管理平台</w:t>
                  </w:r>
                  <w:r>
                    <w:rPr>
                      <w:rFonts w:hint="eastAsia" w:ascii="Times New Roman" w:hAnsi="Times New Roman" w:eastAsiaTheme="minorEastAsia"/>
                      <w:color w:val="auto"/>
                      <w:kern w:val="0"/>
                      <w:szCs w:val="21"/>
                      <w:highlight w:val="none"/>
                      <w:lang w:eastAsia="zh-CN"/>
                    </w:rPr>
                    <w:t>，</w:t>
                  </w:r>
                  <w:r>
                    <w:rPr>
                      <w:rFonts w:hint="eastAsia" w:ascii="Times New Roman" w:hAnsi="Times New Roman" w:eastAsiaTheme="minorEastAsia"/>
                      <w:color w:val="auto"/>
                      <w:kern w:val="0"/>
                      <w:szCs w:val="21"/>
                      <w:highlight w:val="none"/>
                      <w:lang w:val="en-US" w:eastAsia="zh-CN"/>
                    </w:rPr>
                    <w:t>执行</w:t>
                  </w:r>
                  <w:r>
                    <w:rPr>
                      <w:rFonts w:hint="eastAsia" w:ascii="Times New Roman" w:hAnsi="Times New Roman" w:eastAsiaTheme="minorEastAsia"/>
                      <w:color w:val="auto"/>
                      <w:kern w:val="0"/>
                      <w:szCs w:val="21"/>
                      <w:highlight w:val="none"/>
                    </w:rPr>
                    <w:t>危险废物电子转移联单。</w:t>
                  </w:r>
                </w:p>
              </w:tc>
              <w:tc>
                <w:tcPr>
                  <w:tcW w:w="2523" w:type="dxa"/>
                  <w:shd w:val="clear" w:color="auto" w:fill="auto"/>
                  <w:vAlign w:val="center"/>
                </w:tcPr>
                <w:p w14:paraId="504D9B82">
                  <w:pPr>
                    <w:rPr>
                      <w:rFonts w:hint="eastAsia" w:ascii="Times New Roman" w:hAnsi="Times New Roman" w:cs="Times New Roman" w:eastAsiaTheme="minorEastAsia"/>
                      <w:color w:val="auto"/>
                      <w:spacing w:val="-6"/>
                      <w:kern w:val="2"/>
                      <w:sz w:val="21"/>
                      <w:szCs w:val="21"/>
                      <w:highlight w:val="none"/>
                      <w:lang w:val="en-US" w:eastAsia="zh-CN" w:bidi="ar-SA"/>
                    </w:rPr>
                  </w:pPr>
                  <w:r>
                    <w:rPr>
                      <w:rFonts w:hint="eastAsia" w:ascii="Times New Roman" w:hAnsi="Times New Roman" w:eastAsiaTheme="minorEastAsia"/>
                      <w:color w:val="auto"/>
                      <w:spacing w:val="-6"/>
                      <w:szCs w:val="21"/>
                      <w:highlight w:val="none"/>
                    </w:rPr>
                    <w:t>本项目收集网点向集中转运点转移</w:t>
                  </w:r>
                  <w:r>
                    <w:rPr>
                      <w:rFonts w:hint="eastAsia" w:ascii="Times New Roman" w:hAnsi="Times New Roman" w:eastAsiaTheme="minorEastAsia"/>
                      <w:color w:val="auto"/>
                      <w:spacing w:val="-6"/>
                      <w:szCs w:val="21"/>
                      <w:highlight w:val="none"/>
                      <w:lang w:eastAsia="zh-CN"/>
                    </w:rPr>
                    <w:t>废旧铅酸蓄电池</w:t>
                  </w:r>
                  <w:r>
                    <w:rPr>
                      <w:rFonts w:hint="eastAsia" w:ascii="Times New Roman" w:hAnsi="Times New Roman" w:eastAsiaTheme="minorEastAsia"/>
                      <w:color w:val="auto"/>
                      <w:spacing w:val="-6"/>
                      <w:szCs w:val="21"/>
                      <w:highlight w:val="none"/>
                    </w:rPr>
                    <w:t>，进行转运交接登记管理。</w:t>
                  </w:r>
                </w:p>
              </w:tc>
              <w:tc>
                <w:tcPr>
                  <w:tcW w:w="689" w:type="dxa"/>
                  <w:shd w:val="clear" w:color="auto" w:fill="auto"/>
                  <w:vAlign w:val="center"/>
                </w:tcPr>
                <w:p w14:paraId="17A10341">
                  <w:pPr>
                    <w:widowControl/>
                    <w:snapToGrid w:val="0"/>
                    <w:spacing w:before="60"/>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eastAsiaTheme="minorEastAsia"/>
                      <w:color w:val="auto"/>
                      <w:kern w:val="0"/>
                      <w:szCs w:val="21"/>
                      <w:highlight w:val="none"/>
                    </w:rPr>
                    <w:t>符合</w:t>
                  </w:r>
                </w:p>
              </w:tc>
            </w:tr>
            <w:tr w14:paraId="3DFF282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57" w:hRule="atLeast"/>
                <w:jc w:val="center"/>
              </w:trPr>
              <w:tc>
                <w:tcPr>
                  <w:tcW w:w="458" w:type="dxa"/>
                  <w:vMerge w:val="continue"/>
                  <w:vAlign w:val="center"/>
                </w:tcPr>
                <w:p w14:paraId="17BFAE2C">
                  <w:pPr>
                    <w:widowControl/>
                    <w:snapToGrid w:val="0"/>
                    <w:jc w:val="center"/>
                    <w:rPr>
                      <w:rFonts w:ascii="Times New Roman" w:hAnsi="Times New Roman" w:eastAsiaTheme="minorEastAsia"/>
                      <w:color w:val="auto"/>
                      <w:kern w:val="0"/>
                      <w:szCs w:val="21"/>
                      <w:highlight w:val="none"/>
                    </w:rPr>
                  </w:pPr>
                </w:p>
              </w:tc>
              <w:tc>
                <w:tcPr>
                  <w:tcW w:w="4723" w:type="dxa"/>
                  <w:vAlign w:val="center"/>
                </w:tcPr>
                <w:p w14:paraId="18A07AF7">
                  <w:pPr>
                    <w:widowControl/>
                    <w:snapToGrid w:val="0"/>
                    <w:rPr>
                      <w:rFonts w:hint="default"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（一）</w:t>
                  </w:r>
                  <w:r>
                    <w:rPr>
                      <w:rFonts w:hint="eastAsia" w:ascii="Times New Roman" w:hAnsi="Times New Roman" w:eastAsiaTheme="minorEastAsia"/>
                      <w:color w:val="auto"/>
                      <w:kern w:val="0"/>
                      <w:szCs w:val="21"/>
                      <w:highlight w:val="none"/>
                      <w:lang w:val="en-US" w:eastAsia="zh-CN"/>
                    </w:rPr>
                    <w:t>规范</w:t>
                  </w:r>
                  <w:r>
                    <w:rPr>
                      <w:rFonts w:hint="eastAsia" w:ascii="Times New Roman" w:hAnsi="Times New Roman" w:eastAsiaTheme="minorEastAsia"/>
                      <w:color w:val="auto"/>
                      <w:kern w:val="0"/>
                      <w:szCs w:val="21"/>
                      <w:highlight w:val="none"/>
                    </w:rPr>
                    <w:t>运输车辆规定。运输</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车辆必须</w:t>
                  </w:r>
                  <w:r>
                    <w:rPr>
                      <w:rFonts w:hint="eastAsia" w:ascii="Times New Roman" w:hAnsi="Times New Roman" w:eastAsiaTheme="minorEastAsia"/>
                      <w:color w:val="auto"/>
                      <w:kern w:val="0"/>
                      <w:szCs w:val="21"/>
                      <w:highlight w:val="none"/>
                      <w:lang w:val="en-US" w:eastAsia="zh-CN"/>
                    </w:rPr>
                    <w:t>要在省、市固体废物管理信息平台</w:t>
                  </w:r>
                  <w:r>
                    <w:rPr>
                      <w:rFonts w:hint="eastAsia" w:ascii="Times New Roman" w:hAnsi="Times New Roman" w:eastAsiaTheme="minorEastAsia"/>
                      <w:color w:val="auto"/>
                      <w:kern w:val="0"/>
                      <w:szCs w:val="21"/>
                      <w:highlight w:val="none"/>
                    </w:rPr>
                    <w:t>注册。符合交通运输、环境保护规定的危险货物豁免运输管理条件时，豁免运输企业资质、车辆、从业人员资格等危险货物道路运输管理要求</w:t>
                  </w:r>
                  <w:r>
                    <w:rPr>
                      <w:rFonts w:hint="eastAsia" w:ascii="Times New Roman" w:hAnsi="Times New Roman" w:eastAsiaTheme="minorEastAsia"/>
                      <w:color w:val="auto"/>
                      <w:kern w:val="0"/>
                      <w:szCs w:val="21"/>
                      <w:highlight w:val="none"/>
                      <w:lang w:eastAsia="zh-CN"/>
                    </w:rPr>
                    <w:t>。</w:t>
                  </w:r>
                  <w:r>
                    <w:rPr>
                      <w:rFonts w:hint="eastAsia" w:ascii="Times New Roman" w:hAnsi="Times New Roman" w:eastAsiaTheme="minorEastAsia"/>
                      <w:color w:val="auto"/>
                      <w:kern w:val="0"/>
                      <w:szCs w:val="21"/>
                      <w:highlight w:val="none"/>
                      <w:lang w:val="en-US" w:eastAsia="zh-CN"/>
                    </w:rPr>
                    <w:t>转移破损的废旧铅酸蓄电池，要严格执行《道路危险货物运输管理规定》和《危险货物道路运输</w:t>
                  </w:r>
                  <w:r>
                    <w:rPr>
                      <w:rFonts w:hint="default" w:ascii="Times New Roman" w:hAnsi="Times New Roman" w:eastAsiaTheme="minorEastAsia"/>
                      <w:color w:val="auto"/>
                      <w:kern w:val="0"/>
                      <w:szCs w:val="21"/>
                      <w:highlight w:val="none"/>
                      <w:lang w:eastAsia="zh-CN"/>
                    </w:rPr>
                    <w:t>规则</w:t>
                  </w:r>
                  <w:r>
                    <w:rPr>
                      <w:rFonts w:hint="eastAsia" w:ascii="Times New Roman" w:hAnsi="Times New Roman" w:eastAsiaTheme="minorEastAsia"/>
                      <w:color w:val="auto"/>
                      <w:kern w:val="0"/>
                      <w:szCs w:val="21"/>
                      <w:highlight w:val="none"/>
                      <w:lang w:val="en-US" w:eastAsia="zh-CN"/>
                    </w:rPr>
                    <w:t>》</w:t>
                  </w:r>
                  <w:r>
                    <w:rPr>
                      <w:rFonts w:hint="default" w:ascii="Times New Roman" w:hAnsi="Times New Roman" w:eastAsiaTheme="minorEastAsia"/>
                      <w:color w:val="auto"/>
                      <w:kern w:val="0"/>
                      <w:szCs w:val="21"/>
                      <w:highlight w:val="none"/>
                      <w:lang w:eastAsia="zh-CN"/>
                    </w:rPr>
                    <w:t>委托具有资质的企业运输。</w:t>
                  </w:r>
                </w:p>
              </w:tc>
              <w:tc>
                <w:tcPr>
                  <w:tcW w:w="2523" w:type="dxa"/>
                  <w:vAlign w:val="center"/>
                </w:tcPr>
                <w:p w14:paraId="2E2851B3">
                  <w:pPr>
                    <w:rPr>
                      <w:rFonts w:ascii="Times New Roman" w:hAnsi="Times New Roman" w:eastAsiaTheme="minorEastAsia"/>
                      <w:color w:val="auto"/>
                      <w:spacing w:val="-6"/>
                      <w:szCs w:val="21"/>
                      <w:highlight w:val="none"/>
                    </w:rPr>
                  </w:pPr>
                  <w:r>
                    <w:rPr>
                      <w:rFonts w:hint="eastAsia" w:ascii="Times New Roman" w:hAnsi="Times New Roman" w:eastAsiaTheme="minorEastAsia"/>
                      <w:color w:val="auto"/>
                      <w:spacing w:val="-6"/>
                      <w:szCs w:val="21"/>
                      <w:highlight w:val="none"/>
                    </w:rPr>
                    <w:t>本项目运输</w:t>
                  </w:r>
                  <w:r>
                    <w:rPr>
                      <w:rFonts w:hint="eastAsia" w:ascii="Times New Roman" w:hAnsi="Times New Roman" w:eastAsiaTheme="minorEastAsia"/>
                      <w:color w:val="auto"/>
                      <w:spacing w:val="-6"/>
                      <w:szCs w:val="21"/>
                      <w:highlight w:val="none"/>
                      <w:lang w:eastAsia="zh-CN"/>
                    </w:rPr>
                    <w:t>废旧铅酸蓄电池</w:t>
                  </w:r>
                  <w:r>
                    <w:rPr>
                      <w:rFonts w:hint="eastAsia" w:ascii="Times New Roman" w:hAnsi="Times New Roman" w:eastAsiaTheme="minorEastAsia"/>
                      <w:color w:val="auto"/>
                      <w:spacing w:val="-6"/>
                      <w:szCs w:val="21"/>
                      <w:highlight w:val="none"/>
                    </w:rPr>
                    <w:t>车辆采取防止污染环境的措施，并在固体废物管理信息平台注册。</w:t>
                  </w:r>
                </w:p>
              </w:tc>
              <w:tc>
                <w:tcPr>
                  <w:tcW w:w="689" w:type="dxa"/>
                  <w:vAlign w:val="center"/>
                </w:tcPr>
                <w:p w14:paraId="1E810605">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r w14:paraId="617CC3F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Merge w:val="continue"/>
                  <w:vAlign w:val="center"/>
                </w:tcPr>
                <w:p w14:paraId="35F88945">
                  <w:pPr>
                    <w:widowControl/>
                    <w:snapToGrid w:val="0"/>
                    <w:jc w:val="center"/>
                    <w:rPr>
                      <w:rFonts w:ascii="Times New Roman" w:hAnsi="Times New Roman" w:eastAsiaTheme="minorEastAsia"/>
                      <w:color w:val="auto"/>
                      <w:kern w:val="0"/>
                      <w:szCs w:val="21"/>
                      <w:highlight w:val="none"/>
                    </w:rPr>
                  </w:pPr>
                </w:p>
              </w:tc>
              <w:tc>
                <w:tcPr>
                  <w:tcW w:w="4723" w:type="dxa"/>
                  <w:vAlign w:val="center"/>
                </w:tcPr>
                <w:p w14:paraId="3E04E489">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（三）</w:t>
                  </w:r>
                  <w:r>
                    <w:rPr>
                      <w:rFonts w:hint="default" w:ascii="Times New Roman" w:hAnsi="Times New Roman" w:eastAsiaTheme="minorEastAsia"/>
                      <w:color w:val="auto"/>
                      <w:kern w:val="0"/>
                      <w:szCs w:val="21"/>
                      <w:highlight w:val="none"/>
                    </w:rPr>
                    <w:t>严密风险防范措施</w:t>
                  </w:r>
                  <w:r>
                    <w:rPr>
                      <w:rFonts w:hint="eastAsia" w:ascii="Times New Roman" w:hAnsi="Times New Roman" w:eastAsiaTheme="minorEastAsia"/>
                      <w:color w:val="auto"/>
                      <w:kern w:val="0"/>
                      <w:szCs w:val="21"/>
                      <w:highlight w:val="none"/>
                    </w:rPr>
                    <w:t>。运输企业</w:t>
                  </w:r>
                  <w:r>
                    <w:rPr>
                      <w:rFonts w:hint="default" w:ascii="Times New Roman" w:hAnsi="Times New Roman" w:eastAsiaTheme="minorEastAsia"/>
                      <w:color w:val="auto"/>
                      <w:kern w:val="0"/>
                      <w:szCs w:val="21"/>
                      <w:highlight w:val="none"/>
                    </w:rPr>
                    <w:t>要按照危险废物转移有关规定，合理规划路线，落实</w:t>
                  </w:r>
                  <w:r>
                    <w:rPr>
                      <w:rFonts w:hint="eastAsia" w:ascii="Times New Roman" w:hAnsi="Times New Roman" w:eastAsiaTheme="minorEastAsia"/>
                      <w:color w:val="auto"/>
                      <w:kern w:val="0"/>
                      <w:szCs w:val="21"/>
                      <w:highlight w:val="none"/>
                    </w:rPr>
                    <w:t>防雨、防渗漏、防遗撒措施，</w:t>
                  </w:r>
                  <w:r>
                    <w:rPr>
                      <w:rFonts w:hint="default" w:ascii="Times New Roman" w:hAnsi="Times New Roman" w:eastAsiaTheme="minorEastAsia"/>
                      <w:color w:val="auto"/>
                      <w:kern w:val="0"/>
                      <w:szCs w:val="21"/>
                      <w:highlight w:val="none"/>
                    </w:rPr>
                    <w:t>破损的</w:t>
                  </w:r>
                  <w:r>
                    <w:rPr>
                      <w:rFonts w:hint="eastAsia" w:ascii="Times New Roman" w:hAnsi="Times New Roman" w:eastAsiaTheme="minorEastAsia"/>
                      <w:color w:val="auto"/>
                      <w:kern w:val="0"/>
                      <w:szCs w:val="21"/>
                      <w:highlight w:val="none"/>
                      <w:lang w:eastAsia="zh-CN"/>
                    </w:rPr>
                    <w:t>废旧铅酸蓄电池</w:t>
                  </w:r>
                  <w:r>
                    <w:rPr>
                      <w:rFonts w:hint="default" w:ascii="Times New Roman" w:hAnsi="Times New Roman" w:eastAsiaTheme="minorEastAsia"/>
                      <w:color w:val="auto"/>
                      <w:kern w:val="0"/>
                      <w:szCs w:val="21"/>
                      <w:highlight w:val="none"/>
                    </w:rPr>
                    <w:t>要置于耐腐蚀的容器内。要制定事故应急预案，配备事故应急及个人防护设备，确保有效处置事故，最大限度减少环境风险。</w:t>
                  </w:r>
                </w:p>
              </w:tc>
              <w:tc>
                <w:tcPr>
                  <w:tcW w:w="2523" w:type="dxa"/>
                  <w:vAlign w:val="center"/>
                </w:tcPr>
                <w:p w14:paraId="79D7564D">
                  <w:pPr>
                    <w:rPr>
                      <w:rFonts w:ascii="Times New Roman" w:hAnsi="Times New Roman" w:eastAsiaTheme="minorEastAsia"/>
                      <w:color w:val="auto"/>
                      <w:spacing w:val="-6"/>
                      <w:szCs w:val="21"/>
                      <w:highlight w:val="none"/>
                    </w:rPr>
                  </w:pPr>
                  <w:r>
                    <w:rPr>
                      <w:rFonts w:hint="eastAsia" w:ascii="Times New Roman" w:hAnsi="Times New Roman" w:eastAsiaTheme="minorEastAsia"/>
                      <w:color w:val="auto"/>
                      <w:spacing w:val="-6"/>
                      <w:szCs w:val="21"/>
                      <w:highlight w:val="none"/>
                    </w:rPr>
                    <w:t>本项目建设后落实详细的运输方案及路线，制定事故应急预案，配备事故应急及个人防护设备。采取有效包装措施，破损的</w:t>
                  </w:r>
                  <w:r>
                    <w:rPr>
                      <w:rFonts w:hint="eastAsia" w:ascii="Times New Roman" w:hAnsi="Times New Roman" w:eastAsiaTheme="minorEastAsia"/>
                      <w:color w:val="auto"/>
                      <w:spacing w:val="-6"/>
                      <w:szCs w:val="21"/>
                      <w:highlight w:val="none"/>
                      <w:lang w:eastAsia="zh-CN"/>
                    </w:rPr>
                    <w:t>废旧铅酸蓄电池</w:t>
                  </w:r>
                  <w:r>
                    <w:rPr>
                      <w:rFonts w:hint="eastAsia" w:ascii="Times New Roman" w:hAnsi="Times New Roman" w:eastAsiaTheme="minorEastAsia"/>
                      <w:color w:val="auto"/>
                      <w:spacing w:val="-6"/>
                      <w:szCs w:val="21"/>
                      <w:highlight w:val="none"/>
                    </w:rPr>
                    <w:t>置于耐腐蚀的容器内，并采取必要防风、防雨、防渗漏、防遗撒措施。</w:t>
                  </w:r>
                </w:p>
              </w:tc>
              <w:tc>
                <w:tcPr>
                  <w:tcW w:w="689" w:type="dxa"/>
                  <w:vAlign w:val="center"/>
                </w:tcPr>
                <w:p w14:paraId="18A7F172">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bl>
          <w:p w14:paraId="3A09A267">
            <w:pPr>
              <w:tabs>
                <w:tab w:val="left" w:pos="0"/>
              </w:tabs>
              <w:snapToGrid w:val="0"/>
              <w:spacing w:line="480" w:lineRule="exact"/>
              <w:jc w:val="center"/>
              <w:rPr>
                <w:rFonts w:ascii="Times New Roman" w:hAnsi="Times New Roman" w:eastAsiaTheme="minorEastAsia"/>
                <w:bCs/>
                <w:color w:val="auto"/>
                <w:sz w:val="24"/>
                <w:szCs w:val="24"/>
                <w:highlight w:val="none"/>
              </w:rPr>
            </w:pPr>
          </w:p>
          <w:p w14:paraId="545B3A12">
            <w:pPr>
              <w:tabs>
                <w:tab w:val="left" w:pos="0"/>
              </w:tabs>
              <w:snapToGrid w:val="0"/>
              <w:spacing w:line="480" w:lineRule="exact"/>
              <w:jc w:val="center"/>
              <w:rPr>
                <w:rFonts w:ascii="Times New Roman" w:hAnsi="Times New Roman" w:eastAsiaTheme="minorEastAsia"/>
                <w:bCs/>
                <w:color w:val="auto"/>
                <w:sz w:val="24"/>
                <w:szCs w:val="24"/>
                <w:highlight w:val="none"/>
              </w:rPr>
            </w:pPr>
          </w:p>
          <w:p w14:paraId="75F1578C">
            <w:pPr>
              <w:tabs>
                <w:tab w:val="left" w:pos="0"/>
              </w:tabs>
              <w:snapToGrid w:val="0"/>
              <w:spacing w:line="480" w:lineRule="exact"/>
              <w:jc w:val="center"/>
              <w:rPr>
                <w:rFonts w:ascii="Times New Roman" w:hAnsi="Times New Roman" w:eastAsiaTheme="minorEastAsia"/>
                <w:bCs/>
                <w:color w:val="auto"/>
                <w:sz w:val="24"/>
                <w:szCs w:val="24"/>
                <w:highlight w:val="none"/>
              </w:rPr>
            </w:pPr>
          </w:p>
          <w:p w14:paraId="58B7E57A">
            <w:pPr>
              <w:tabs>
                <w:tab w:val="left" w:pos="0"/>
              </w:tabs>
              <w:snapToGrid w:val="0"/>
              <w:spacing w:line="480" w:lineRule="exact"/>
              <w:jc w:val="center"/>
              <w:rPr>
                <w:rFonts w:ascii="Times New Roman" w:hAnsi="Times New Roman" w:eastAsiaTheme="minorEastAsia"/>
                <w:bCs/>
                <w:color w:val="auto"/>
                <w:sz w:val="24"/>
                <w:szCs w:val="24"/>
                <w:highlight w:val="none"/>
              </w:rPr>
            </w:pPr>
          </w:p>
          <w:p w14:paraId="0199D164">
            <w:pPr>
              <w:tabs>
                <w:tab w:val="left" w:pos="0"/>
              </w:tabs>
              <w:snapToGrid w:val="0"/>
              <w:spacing w:line="480" w:lineRule="exact"/>
              <w:jc w:val="center"/>
              <w:rPr>
                <w:rFonts w:ascii="Times New Roman" w:hAnsi="Times New Roman" w:eastAsiaTheme="minorEastAsia"/>
                <w:bCs/>
                <w:color w:val="auto"/>
                <w:sz w:val="24"/>
                <w:szCs w:val="24"/>
                <w:highlight w:val="none"/>
              </w:rPr>
            </w:pPr>
          </w:p>
          <w:p w14:paraId="63588D14">
            <w:pPr>
              <w:tabs>
                <w:tab w:val="left" w:pos="0"/>
              </w:tabs>
              <w:snapToGrid w:val="0"/>
              <w:spacing w:line="480" w:lineRule="exact"/>
              <w:jc w:val="center"/>
              <w:rPr>
                <w:rFonts w:ascii="Times New Roman" w:hAnsi="Times New Roman" w:eastAsiaTheme="minorEastAsia"/>
                <w:bCs/>
                <w:color w:val="auto"/>
                <w:sz w:val="24"/>
                <w:szCs w:val="24"/>
                <w:highlight w:val="none"/>
              </w:rPr>
            </w:pPr>
          </w:p>
          <w:p w14:paraId="043CCF9E">
            <w:pPr>
              <w:tabs>
                <w:tab w:val="left" w:pos="0"/>
              </w:tabs>
              <w:snapToGrid w:val="0"/>
              <w:spacing w:line="480" w:lineRule="exact"/>
              <w:jc w:val="center"/>
              <w:rPr>
                <w:rFonts w:ascii="Times New Roman" w:hAnsi="Times New Roman" w:eastAsiaTheme="minorEastAsia"/>
                <w:bCs/>
                <w:color w:val="auto"/>
                <w:sz w:val="24"/>
                <w:szCs w:val="24"/>
                <w:highlight w:val="none"/>
              </w:rPr>
            </w:pPr>
          </w:p>
          <w:p w14:paraId="62E998F6">
            <w:pPr>
              <w:tabs>
                <w:tab w:val="left" w:pos="0"/>
              </w:tabs>
              <w:snapToGrid w:val="0"/>
              <w:spacing w:line="480" w:lineRule="exact"/>
              <w:jc w:val="center"/>
              <w:rPr>
                <w:rFonts w:ascii="Times New Roman" w:hAnsi="Times New Roman" w:eastAsiaTheme="minorEastAsia"/>
                <w:bCs/>
                <w:color w:val="auto"/>
                <w:sz w:val="24"/>
                <w:szCs w:val="24"/>
                <w:highlight w:val="none"/>
              </w:rPr>
            </w:pPr>
          </w:p>
          <w:p w14:paraId="09261A4D">
            <w:pPr>
              <w:tabs>
                <w:tab w:val="left" w:pos="0"/>
              </w:tabs>
              <w:snapToGrid w:val="0"/>
              <w:spacing w:line="480" w:lineRule="exact"/>
              <w:jc w:val="center"/>
              <w:rPr>
                <w:rFonts w:ascii="Times New Roman" w:hAnsi="Times New Roman" w:eastAsiaTheme="minorEastAsia"/>
                <w:bCs/>
                <w:color w:val="auto"/>
                <w:sz w:val="24"/>
                <w:szCs w:val="24"/>
                <w:highlight w:val="none"/>
              </w:rPr>
            </w:pPr>
          </w:p>
          <w:p w14:paraId="45DCE04A">
            <w:pPr>
              <w:tabs>
                <w:tab w:val="left" w:pos="0"/>
              </w:tabs>
              <w:snapToGrid w:val="0"/>
              <w:spacing w:line="480" w:lineRule="exact"/>
              <w:jc w:val="center"/>
              <w:rPr>
                <w:rFonts w:ascii="Times New Roman" w:hAnsi="Times New Roman" w:eastAsiaTheme="minorEastAsia"/>
                <w:bCs/>
                <w:color w:val="auto"/>
                <w:sz w:val="24"/>
                <w:szCs w:val="24"/>
                <w:highlight w:val="none"/>
              </w:rPr>
            </w:pPr>
            <w:r>
              <w:rPr>
                <w:rFonts w:ascii="Times New Roman" w:hAnsi="Times New Roman" w:eastAsiaTheme="minorEastAsia"/>
                <w:bCs/>
                <w:color w:val="auto"/>
                <w:sz w:val="24"/>
                <w:szCs w:val="24"/>
                <w:highlight w:val="none"/>
              </w:rPr>
              <w:t>续表1-6  与其他相关规划和环境管理符合性分析</w:t>
            </w:r>
          </w:p>
          <w:tbl>
            <w:tblPr>
              <w:tblStyle w:val="31"/>
              <w:tblW w:w="8393"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58"/>
              <w:gridCol w:w="4325"/>
              <w:gridCol w:w="2921"/>
              <w:gridCol w:w="689"/>
            </w:tblGrid>
            <w:tr w14:paraId="3067683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4" w:hRule="atLeast"/>
                <w:jc w:val="center"/>
              </w:trPr>
              <w:tc>
                <w:tcPr>
                  <w:tcW w:w="4783" w:type="dxa"/>
                  <w:gridSpan w:val="2"/>
                  <w:tcMar>
                    <w:top w:w="57" w:type="dxa"/>
                    <w:left w:w="28" w:type="dxa"/>
                    <w:bottom w:w="57" w:type="dxa"/>
                    <w:right w:w="28" w:type="dxa"/>
                  </w:tcMar>
                  <w:vAlign w:val="center"/>
                </w:tcPr>
                <w:p w14:paraId="780EB637">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与项目有关的条例、条文</w:t>
                  </w:r>
                </w:p>
              </w:tc>
              <w:tc>
                <w:tcPr>
                  <w:tcW w:w="2921" w:type="dxa"/>
                  <w:tcMar>
                    <w:top w:w="57" w:type="dxa"/>
                    <w:left w:w="28" w:type="dxa"/>
                    <w:bottom w:w="57" w:type="dxa"/>
                    <w:right w:w="28" w:type="dxa"/>
                  </w:tcMar>
                  <w:vAlign w:val="center"/>
                </w:tcPr>
                <w:p w14:paraId="4F2FE26E">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本项目</w:t>
                  </w:r>
                </w:p>
              </w:tc>
              <w:tc>
                <w:tcPr>
                  <w:tcW w:w="689" w:type="dxa"/>
                  <w:tcMar>
                    <w:top w:w="57" w:type="dxa"/>
                    <w:left w:w="28" w:type="dxa"/>
                    <w:bottom w:w="57" w:type="dxa"/>
                    <w:right w:w="28" w:type="dxa"/>
                  </w:tcMar>
                  <w:vAlign w:val="center"/>
                </w:tcPr>
                <w:p w14:paraId="745C9FD5">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符合性</w:t>
                  </w:r>
                </w:p>
              </w:tc>
            </w:tr>
            <w:tr w14:paraId="788F6C0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393" w:type="dxa"/>
                  <w:gridSpan w:val="4"/>
                  <w:vAlign w:val="center"/>
                </w:tcPr>
                <w:p w14:paraId="4BB8E868">
                  <w:pPr>
                    <w:widowControl/>
                    <w:snapToGrid w:val="0"/>
                    <w:spacing w:before="60"/>
                    <w:jc w:val="left"/>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val="en-US" w:eastAsia="zh-CN"/>
                    </w:rPr>
                    <w:t>10</w:t>
                  </w:r>
                  <w:r>
                    <w:rPr>
                      <w:rFonts w:hint="eastAsia" w:ascii="Times New Roman" w:hAnsi="Times New Roman" w:eastAsiaTheme="minorEastAsia"/>
                      <w:color w:val="auto"/>
                      <w:kern w:val="0"/>
                      <w:szCs w:val="21"/>
                      <w:highlight w:val="none"/>
                    </w:rPr>
                    <w:t>.《生态环境部关于发布&lt;</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危险废物经营单位审查和许可指南（试行）&gt;的公告》（公告2020年第30号，2020年5月19日）符合性分析</w:t>
                  </w:r>
                </w:p>
              </w:tc>
            </w:tr>
            <w:tr w14:paraId="6369816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Merge w:val="restart"/>
                  <w:vAlign w:val="center"/>
                </w:tcPr>
                <w:p w14:paraId="45FA7531">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val="en-US" w:eastAsia="zh-CN"/>
                    </w:rPr>
                    <w:t>10</w:t>
                  </w:r>
                  <w:r>
                    <w:rPr>
                      <w:rFonts w:hint="eastAsia" w:ascii="Times New Roman" w:hAnsi="Times New Roman" w:eastAsiaTheme="minorEastAsia"/>
                      <w:color w:val="auto"/>
                      <w:kern w:val="0"/>
                      <w:szCs w:val="21"/>
                      <w:highlight w:val="none"/>
                    </w:rPr>
                    <w:t>.1总体要求</w:t>
                  </w:r>
                </w:p>
              </w:tc>
              <w:tc>
                <w:tcPr>
                  <w:tcW w:w="4325" w:type="dxa"/>
                  <w:vAlign w:val="center"/>
                </w:tcPr>
                <w:p w14:paraId="6C083C82">
                  <w:pPr>
                    <w:widowControl/>
                    <w:snapToGrid w:val="0"/>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本指南适用于生态环境主管部门对从事</w:t>
                  </w:r>
                  <w:r>
                    <w:rPr>
                      <w:rFonts w:hint="eastAsia" w:ascii="Times New Roman" w:hAnsi="Times New Roman" w:eastAsiaTheme="minorEastAsia"/>
                      <w:color w:val="auto"/>
                      <w:szCs w:val="21"/>
                      <w:highlight w:val="none"/>
                      <w:lang w:eastAsia="zh-CN"/>
                    </w:rPr>
                    <w:t>废旧铅酸蓄电池</w:t>
                  </w:r>
                  <w:r>
                    <w:rPr>
                      <w:rFonts w:hint="eastAsia" w:ascii="Times New Roman" w:hAnsi="Times New Roman" w:eastAsiaTheme="minorEastAsia"/>
                      <w:color w:val="auto"/>
                      <w:szCs w:val="21"/>
                      <w:highlight w:val="none"/>
                    </w:rPr>
                    <w:t>收集、贮存、利用、处置经营活动的单位申请危险废物经营许可证（包括首次申请、重新申请和换证申请）的审查。</w:t>
                  </w:r>
                </w:p>
              </w:tc>
              <w:tc>
                <w:tcPr>
                  <w:tcW w:w="2921" w:type="dxa"/>
                  <w:vMerge w:val="restart"/>
                  <w:vAlign w:val="center"/>
                </w:tcPr>
                <w:p w14:paraId="36AD2175">
                  <w:pP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项目将按《</w:t>
                  </w:r>
                  <w:r>
                    <w:rPr>
                      <w:rFonts w:hint="eastAsia" w:ascii="Times New Roman" w:hAnsi="Times New Roman" w:eastAsiaTheme="minorEastAsia"/>
                      <w:color w:val="auto"/>
                      <w:szCs w:val="21"/>
                      <w:highlight w:val="none"/>
                      <w:lang w:eastAsia="zh-CN"/>
                    </w:rPr>
                    <w:t>废旧铅酸蓄电池</w:t>
                  </w:r>
                  <w:r>
                    <w:rPr>
                      <w:rFonts w:hint="eastAsia" w:ascii="Times New Roman" w:hAnsi="Times New Roman" w:eastAsiaTheme="minorEastAsia"/>
                      <w:color w:val="auto"/>
                      <w:szCs w:val="21"/>
                      <w:highlight w:val="none"/>
                    </w:rPr>
                    <w:t>处理污染控制技术规范》（HJ519</w:t>
                  </w:r>
                  <w:r>
                    <w:rPr>
                      <w:rFonts w:hint="eastAsia" w:ascii="Times New Roman" w:hAnsi="Times New Roman" w:eastAsiaTheme="minorEastAsia"/>
                      <w:color w:val="auto"/>
                      <w:szCs w:val="21"/>
                      <w:highlight w:val="none"/>
                      <w:lang w:val="en-US" w:eastAsia="zh-CN"/>
                    </w:rPr>
                    <w:t>-2020</w:t>
                  </w:r>
                  <w:r>
                    <w:rPr>
                      <w:rFonts w:hint="eastAsia" w:ascii="Times New Roman" w:hAnsi="Times New Roman" w:eastAsiaTheme="minorEastAsia"/>
                      <w:color w:val="auto"/>
                      <w:szCs w:val="21"/>
                      <w:highlight w:val="none"/>
                    </w:rPr>
                    <w:t>）有关要求，依法符合依规申请领取危险废物经营许可证。</w:t>
                  </w:r>
                </w:p>
              </w:tc>
              <w:tc>
                <w:tcPr>
                  <w:tcW w:w="689" w:type="dxa"/>
                  <w:vAlign w:val="center"/>
                </w:tcPr>
                <w:p w14:paraId="420C1588">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r w14:paraId="5737F28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62" w:hRule="atLeast"/>
                <w:jc w:val="center"/>
              </w:trPr>
              <w:tc>
                <w:tcPr>
                  <w:tcW w:w="458" w:type="dxa"/>
                  <w:vMerge w:val="continue"/>
                  <w:vAlign w:val="center"/>
                </w:tcPr>
                <w:p w14:paraId="63897AAE">
                  <w:pPr>
                    <w:widowControl/>
                    <w:snapToGrid w:val="0"/>
                    <w:jc w:val="center"/>
                    <w:rPr>
                      <w:rFonts w:ascii="Times New Roman" w:hAnsi="Times New Roman" w:eastAsiaTheme="minorEastAsia"/>
                      <w:color w:val="auto"/>
                      <w:kern w:val="0"/>
                      <w:szCs w:val="21"/>
                      <w:highlight w:val="none"/>
                    </w:rPr>
                  </w:pPr>
                </w:p>
              </w:tc>
              <w:tc>
                <w:tcPr>
                  <w:tcW w:w="4325" w:type="dxa"/>
                  <w:vAlign w:val="center"/>
                </w:tcPr>
                <w:p w14:paraId="2D11EB15">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从事</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收集、贮存、利用、处置经营活动的单位应符合《</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处理污染控制技术规范》（HJ519）有关要求，并依法依规申请领取危险废物经营许可证。</w:t>
                  </w:r>
                </w:p>
              </w:tc>
              <w:tc>
                <w:tcPr>
                  <w:tcW w:w="2921" w:type="dxa"/>
                  <w:vMerge w:val="continue"/>
                  <w:vAlign w:val="center"/>
                </w:tcPr>
                <w:p w14:paraId="7043E769">
                  <w:pPr>
                    <w:rPr>
                      <w:rFonts w:ascii="Times New Roman" w:hAnsi="Times New Roman" w:eastAsiaTheme="minorEastAsia"/>
                      <w:color w:val="auto"/>
                      <w:spacing w:val="-6"/>
                      <w:szCs w:val="21"/>
                      <w:highlight w:val="none"/>
                    </w:rPr>
                  </w:pPr>
                </w:p>
              </w:tc>
              <w:tc>
                <w:tcPr>
                  <w:tcW w:w="689" w:type="dxa"/>
                  <w:vAlign w:val="center"/>
                </w:tcPr>
                <w:p w14:paraId="3BFD0E0B">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r w14:paraId="7A04977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Merge w:val="restart"/>
                  <w:vAlign w:val="center"/>
                </w:tcPr>
                <w:p w14:paraId="3CE0505A">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val="en-US" w:eastAsia="zh-CN"/>
                    </w:rPr>
                    <w:t>10</w:t>
                  </w:r>
                  <w:r>
                    <w:rPr>
                      <w:rFonts w:hint="eastAsia" w:ascii="Times New Roman" w:hAnsi="Times New Roman" w:eastAsiaTheme="minorEastAsia"/>
                      <w:color w:val="auto"/>
                      <w:kern w:val="0"/>
                      <w:szCs w:val="21"/>
                      <w:highlight w:val="none"/>
                    </w:rPr>
                    <w:t>.2运输要求</w:t>
                  </w:r>
                </w:p>
              </w:tc>
              <w:tc>
                <w:tcPr>
                  <w:tcW w:w="4325" w:type="dxa"/>
                  <w:vAlign w:val="center"/>
                </w:tcPr>
                <w:p w14:paraId="68F85BF7">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运输</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，必须采取防止污染环境的措施，并遵守国家有关危险货物运输管理的规定。自行运输的，应具有符合国务院交通运输主管部门有关危险货物运输管理要求的运输工具。</w:t>
                  </w:r>
                </w:p>
              </w:tc>
              <w:tc>
                <w:tcPr>
                  <w:tcW w:w="2921" w:type="dxa"/>
                  <w:vAlign w:val="center"/>
                </w:tcPr>
                <w:p w14:paraId="63C7BF3F">
                  <w:pPr>
                    <w:rPr>
                      <w:rFonts w:ascii="Times New Roman" w:hAnsi="Times New Roman" w:eastAsiaTheme="minorEastAsia"/>
                      <w:color w:val="auto"/>
                      <w:spacing w:val="-6"/>
                      <w:szCs w:val="21"/>
                      <w:highlight w:val="none"/>
                    </w:rPr>
                  </w:pPr>
                  <w:r>
                    <w:rPr>
                      <w:rFonts w:hint="eastAsia" w:ascii="Times New Roman" w:hAnsi="Times New Roman" w:eastAsiaTheme="minorEastAsia"/>
                      <w:color w:val="auto"/>
                      <w:spacing w:val="-6"/>
                      <w:szCs w:val="21"/>
                      <w:highlight w:val="none"/>
                    </w:rPr>
                    <w:t>项目运营期将委托有资质的三方运输公司进行运输，并按照危险废物运输管理要求进行运输。</w:t>
                  </w:r>
                </w:p>
              </w:tc>
              <w:tc>
                <w:tcPr>
                  <w:tcW w:w="689" w:type="dxa"/>
                  <w:vAlign w:val="center"/>
                </w:tcPr>
                <w:p w14:paraId="523F9AFA">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r w14:paraId="1EC9030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Merge w:val="continue"/>
                  <w:vAlign w:val="center"/>
                </w:tcPr>
                <w:p w14:paraId="3E5AB5F1">
                  <w:pPr>
                    <w:widowControl/>
                    <w:snapToGrid w:val="0"/>
                    <w:jc w:val="center"/>
                    <w:rPr>
                      <w:rFonts w:ascii="Times New Roman" w:hAnsi="Times New Roman" w:eastAsiaTheme="minorEastAsia"/>
                      <w:color w:val="auto"/>
                      <w:kern w:val="0"/>
                      <w:szCs w:val="21"/>
                      <w:highlight w:val="none"/>
                    </w:rPr>
                  </w:pPr>
                </w:p>
              </w:tc>
              <w:tc>
                <w:tcPr>
                  <w:tcW w:w="4325" w:type="dxa"/>
                  <w:vAlign w:val="center"/>
                </w:tcPr>
                <w:p w14:paraId="464A8AB1">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当</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符合交通运输、环境保护相关法规规定的豁免危险货物运输管理要求条件时，按照普通货物运输要求进行管理。豁免危险货物运输资质的运输车辆应当统一涂装标注所属单位名称、服务电话。</w:t>
                  </w:r>
                </w:p>
              </w:tc>
              <w:tc>
                <w:tcPr>
                  <w:tcW w:w="2921" w:type="dxa"/>
                  <w:vAlign w:val="center"/>
                </w:tcPr>
                <w:p w14:paraId="371229E0">
                  <w:pPr>
                    <w:rPr>
                      <w:rFonts w:ascii="Times New Roman" w:hAnsi="Times New Roman" w:eastAsiaTheme="minorEastAsia"/>
                      <w:color w:val="auto"/>
                      <w:spacing w:val="-6"/>
                      <w:szCs w:val="21"/>
                      <w:highlight w:val="none"/>
                    </w:rPr>
                  </w:pPr>
                  <w:r>
                    <w:rPr>
                      <w:rFonts w:hint="eastAsia" w:ascii="Times New Roman" w:hAnsi="Times New Roman" w:eastAsiaTheme="minorEastAsia"/>
                      <w:color w:val="auto"/>
                      <w:spacing w:val="-6"/>
                      <w:szCs w:val="21"/>
                      <w:highlight w:val="none"/>
                    </w:rPr>
                    <w:t>根据《国家危险废物名录》（202</w:t>
                  </w:r>
                  <w:r>
                    <w:rPr>
                      <w:rFonts w:hint="eastAsia" w:ascii="Times New Roman" w:hAnsi="Times New Roman" w:eastAsiaTheme="minorEastAsia"/>
                      <w:color w:val="auto"/>
                      <w:spacing w:val="-6"/>
                      <w:szCs w:val="21"/>
                      <w:highlight w:val="none"/>
                      <w:lang w:val="en-US" w:eastAsia="zh-CN"/>
                    </w:rPr>
                    <w:t>5</w:t>
                  </w:r>
                  <w:r>
                    <w:rPr>
                      <w:rFonts w:hint="eastAsia" w:ascii="Times New Roman" w:hAnsi="Times New Roman" w:eastAsiaTheme="minorEastAsia"/>
                      <w:color w:val="auto"/>
                      <w:spacing w:val="-6"/>
                      <w:szCs w:val="21"/>
                      <w:highlight w:val="none"/>
                    </w:rPr>
                    <w:t>年版）中危险废物豁免管理清单，未破损的</w:t>
                  </w:r>
                  <w:r>
                    <w:rPr>
                      <w:rFonts w:hint="eastAsia" w:ascii="Times New Roman" w:hAnsi="Times New Roman" w:eastAsiaTheme="minorEastAsia"/>
                      <w:color w:val="auto"/>
                      <w:spacing w:val="-6"/>
                      <w:szCs w:val="21"/>
                      <w:highlight w:val="none"/>
                      <w:lang w:eastAsia="zh-CN"/>
                    </w:rPr>
                    <w:t>废旧铅酸蓄电池</w:t>
                  </w:r>
                  <w:r>
                    <w:rPr>
                      <w:rFonts w:hint="eastAsia" w:ascii="Times New Roman" w:hAnsi="Times New Roman" w:eastAsiaTheme="minorEastAsia"/>
                      <w:color w:val="auto"/>
                      <w:spacing w:val="-6"/>
                      <w:szCs w:val="21"/>
                      <w:highlight w:val="none"/>
                    </w:rPr>
                    <w:t>，在运输工具满足防雨、防渗漏、防遗撒要求时，不按危险废物进行运输。按照普通货物运输要求进行管理，运输车辆按要求涂装标注。</w:t>
                  </w:r>
                </w:p>
              </w:tc>
              <w:tc>
                <w:tcPr>
                  <w:tcW w:w="689" w:type="dxa"/>
                  <w:vAlign w:val="center"/>
                </w:tcPr>
                <w:p w14:paraId="7B6BCE7E">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r w14:paraId="34F310D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Merge w:val="continue"/>
                  <w:vAlign w:val="center"/>
                </w:tcPr>
                <w:p w14:paraId="4415BD97">
                  <w:pPr>
                    <w:widowControl/>
                    <w:snapToGrid w:val="0"/>
                    <w:jc w:val="center"/>
                    <w:rPr>
                      <w:rFonts w:ascii="Times New Roman" w:hAnsi="Times New Roman" w:eastAsiaTheme="minorEastAsia"/>
                      <w:color w:val="auto"/>
                      <w:kern w:val="0"/>
                      <w:szCs w:val="21"/>
                      <w:highlight w:val="none"/>
                    </w:rPr>
                  </w:pPr>
                </w:p>
              </w:tc>
              <w:tc>
                <w:tcPr>
                  <w:tcW w:w="4325" w:type="dxa"/>
                  <w:vAlign w:val="center"/>
                </w:tcPr>
                <w:p w14:paraId="1543053C">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制定环境应急预案，配备环境应急装备及个人防护设备。</w:t>
                  </w:r>
                </w:p>
              </w:tc>
              <w:tc>
                <w:tcPr>
                  <w:tcW w:w="2921" w:type="dxa"/>
                  <w:vAlign w:val="center"/>
                </w:tcPr>
                <w:p w14:paraId="4C84AED3">
                  <w:pPr>
                    <w:rPr>
                      <w:rFonts w:ascii="Times New Roman" w:hAnsi="Times New Roman" w:eastAsiaTheme="minorEastAsia"/>
                      <w:color w:val="auto"/>
                      <w:spacing w:val="-6"/>
                      <w:szCs w:val="21"/>
                      <w:highlight w:val="none"/>
                    </w:rPr>
                  </w:pPr>
                  <w:r>
                    <w:rPr>
                      <w:rFonts w:hint="eastAsia" w:ascii="Times New Roman" w:hAnsi="Times New Roman" w:eastAsiaTheme="minorEastAsia"/>
                      <w:color w:val="auto"/>
                      <w:spacing w:val="-6"/>
                      <w:szCs w:val="21"/>
                      <w:highlight w:val="none"/>
                    </w:rPr>
                    <w:t>项目将按要求制定环境应急预案，配备环境应急装备及个人防护设备。</w:t>
                  </w:r>
                </w:p>
              </w:tc>
              <w:tc>
                <w:tcPr>
                  <w:tcW w:w="689" w:type="dxa"/>
                  <w:vAlign w:val="center"/>
                </w:tcPr>
                <w:p w14:paraId="04D5DF1E">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r w14:paraId="25F4207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Merge w:val="restart"/>
                  <w:vAlign w:val="center"/>
                </w:tcPr>
                <w:p w14:paraId="4B29288D">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val="en-US" w:eastAsia="zh-CN"/>
                    </w:rPr>
                    <w:t>10</w:t>
                  </w:r>
                  <w:r>
                    <w:rPr>
                      <w:rFonts w:hint="eastAsia" w:ascii="Times New Roman" w:hAnsi="Times New Roman" w:eastAsiaTheme="minorEastAsia"/>
                      <w:color w:val="auto"/>
                      <w:kern w:val="0"/>
                      <w:szCs w:val="21"/>
                      <w:highlight w:val="none"/>
                    </w:rPr>
                    <w:t>.3包装和台账要求</w:t>
                  </w:r>
                </w:p>
              </w:tc>
              <w:tc>
                <w:tcPr>
                  <w:tcW w:w="4325" w:type="dxa"/>
                  <w:vAlign w:val="center"/>
                </w:tcPr>
                <w:p w14:paraId="66CFECC5">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收集、运输、贮存</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的容器或托盘应根据</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的特性而设计，不易破损、变形，其所用材料能有效地防止渗漏、扩散，并耐腐蚀。</w:t>
                  </w:r>
                </w:p>
              </w:tc>
              <w:tc>
                <w:tcPr>
                  <w:tcW w:w="2921" w:type="dxa"/>
                  <w:vAlign w:val="center"/>
                </w:tcPr>
                <w:p w14:paraId="5CF514DB">
                  <w:pPr>
                    <w:rPr>
                      <w:rFonts w:ascii="Times New Roman" w:hAnsi="Times New Roman" w:eastAsiaTheme="minorEastAsia"/>
                      <w:color w:val="auto"/>
                      <w:spacing w:val="-6"/>
                      <w:szCs w:val="21"/>
                      <w:highlight w:val="none"/>
                    </w:rPr>
                  </w:pPr>
                  <w:r>
                    <w:rPr>
                      <w:rFonts w:hint="eastAsia" w:ascii="Times New Roman" w:hAnsi="Times New Roman" w:eastAsiaTheme="minorEastAsia"/>
                      <w:color w:val="auto"/>
                      <w:spacing w:val="-6"/>
                      <w:szCs w:val="21"/>
                      <w:highlight w:val="none"/>
                    </w:rPr>
                    <w:t>本项目收集、运输、贮存</w:t>
                  </w:r>
                  <w:r>
                    <w:rPr>
                      <w:rFonts w:hint="eastAsia" w:ascii="Times New Roman" w:hAnsi="Times New Roman" w:eastAsiaTheme="minorEastAsia"/>
                      <w:color w:val="auto"/>
                      <w:spacing w:val="-6"/>
                      <w:szCs w:val="21"/>
                      <w:highlight w:val="none"/>
                      <w:lang w:eastAsia="zh-CN"/>
                    </w:rPr>
                    <w:t>废旧铅酸蓄电池</w:t>
                  </w:r>
                  <w:r>
                    <w:rPr>
                      <w:rFonts w:hint="eastAsia" w:ascii="Times New Roman" w:hAnsi="Times New Roman" w:eastAsiaTheme="minorEastAsia"/>
                      <w:color w:val="auto"/>
                      <w:spacing w:val="-6"/>
                      <w:szCs w:val="21"/>
                      <w:highlight w:val="none"/>
                    </w:rPr>
                    <w:t>容器为防渗防腐的塑料箱和托盘，材质不易破损、变形。</w:t>
                  </w:r>
                </w:p>
              </w:tc>
              <w:tc>
                <w:tcPr>
                  <w:tcW w:w="689" w:type="dxa"/>
                  <w:vAlign w:val="center"/>
                </w:tcPr>
                <w:p w14:paraId="3388BE8C">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r w14:paraId="2278A48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Merge w:val="continue"/>
                  <w:vAlign w:val="center"/>
                </w:tcPr>
                <w:p w14:paraId="4646C403">
                  <w:pPr>
                    <w:widowControl/>
                    <w:snapToGrid w:val="0"/>
                    <w:jc w:val="center"/>
                    <w:rPr>
                      <w:rFonts w:ascii="Times New Roman" w:hAnsi="Times New Roman" w:eastAsiaTheme="minorEastAsia"/>
                      <w:color w:val="auto"/>
                      <w:kern w:val="0"/>
                      <w:szCs w:val="21"/>
                      <w:highlight w:val="none"/>
                    </w:rPr>
                  </w:pPr>
                </w:p>
              </w:tc>
              <w:tc>
                <w:tcPr>
                  <w:tcW w:w="4325" w:type="dxa"/>
                  <w:vAlign w:val="center"/>
                </w:tcPr>
                <w:p w14:paraId="4E7FEFB7">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通过信息系统如实记录每批次收集、贮存、利用、处置</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的数量、重量、来源、去向等信息。使用自建</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收集处理信息系统的集中转运点，应实现其与全国固体废物管理信息系统的数据对接。</w:t>
                  </w:r>
                </w:p>
              </w:tc>
              <w:tc>
                <w:tcPr>
                  <w:tcW w:w="2921" w:type="dxa"/>
                  <w:vAlign w:val="center"/>
                </w:tcPr>
                <w:p w14:paraId="0065F0B7">
                  <w:pPr>
                    <w:rPr>
                      <w:rFonts w:ascii="Times New Roman" w:hAnsi="Times New Roman" w:eastAsiaTheme="minorEastAsia"/>
                      <w:color w:val="auto"/>
                      <w:spacing w:val="-6"/>
                      <w:szCs w:val="21"/>
                      <w:highlight w:val="none"/>
                    </w:rPr>
                  </w:pPr>
                  <w:r>
                    <w:rPr>
                      <w:rFonts w:hint="eastAsia" w:ascii="Times New Roman" w:hAnsi="Times New Roman" w:eastAsiaTheme="minorEastAsia"/>
                      <w:color w:val="auto"/>
                      <w:spacing w:val="-6"/>
                      <w:szCs w:val="21"/>
                      <w:highlight w:val="none"/>
                    </w:rPr>
                    <w:t>本项目通过信息系统如实记录每批次收集、贮存、利用、处置</w:t>
                  </w:r>
                  <w:r>
                    <w:rPr>
                      <w:rFonts w:hint="eastAsia" w:ascii="Times New Roman" w:hAnsi="Times New Roman" w:eastAsiaTheme="minorEastAsia"/>
                      <w:color w:val="auto"/>
                      <w:spacing w:val="-6"/>
                      <w:szCs w:val="21"/>
                      <w:highlight w:val="none"/>
                      <w:lang w:eastAsia="zh-CN"/>
                    </w:rPr>
                    <w:t>废旧铅酸蓄电池</w:t>
                  </w:r>
                  <w:r>
                    <w:rPr>
                      <w:rFonts w:hint="eastAsia" w:ascii="Times New Roman" w:hAnsi="Times New Roman" w:eastAsiaTheme="minorEastAsia"/>
                      <w:color w:val="auto"/>
                      <w:spacing w:val="-6"/>
                      <w:szCs w:val="21"/>
                      <w:highlight w:val="none"/>
                    </w:rPr>
                    <w:t>的数量、重量、来源、去向等信息，</w:t>
                  </w:r>
                  <w:r>
                    <w:rPr>
                      <w:rFonts w:hint="eastAsia" w:ascii="Times New Roman" w:hAnsi="Times New Roman" w:eastAsiaTheme="minorEastAsia"/>
                      <w:color w:val="auto"/>
                      <w:kern w:val="0"/>
                      <w:szCs w:val="21"/>
                      <w:highlight w:val="none"/>
                    </w:rPr>
                    <w:t>与全国固体废物管理信息系统的数据对接。</w:t>
                  </w:r>
                </w:p>
              </w:tc>
              <w:tc>
                <w:tcPr>
                  <w:tcW w:w="689" w:type="dxa"/>
                  <w:vAlign w:val="center"/>
                </w:tcPr>
                <w:p w14:paraId="2FA09F15">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r w14:paraId="24821D7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Align w:val="center"/>
                </w:tcPr>
                <w:p w14:paraId="0F5EB951">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val="en-US" w:eastAsia="zh-CN"/>
                    </w:rPr>
                    <w:t>10</w:t>
                  </w:r>
                  <w:r>
                    <w:rPr>
                      <w:rFonts w:hint="eastAsia" w:ascii="Times New Roman" w:hAnsi="Times New Roman" w:eastAsiaTheme="minorEastAsia"/>
                      <w:color w:val="auto"/>
                      <w:kern w:val="0"/>
                      <w:szCs w:val="21"/>
                      <w:highlight w:val="none"/>
                    </w:rPr>
                    <w:t>.4贮存设施要求</w:t>
                  </w:r>
                </w:p>
              </w:tc>
              <w:tc>
                <w:tcPr>
                  <w:tcW w:w="4325" w:type="dxa"/>
                  <w:vAlign w:val="center"/>
                </w:tcPr>
                <w:p w14:paraId="749692D5">
                  <w:pPr>
                    <w:widowControl/>
                    <w:snapToGrid w:val="0"/>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集中转运点、再生铅企业的贮存设施应符合《</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处理污染控制技术规范》（HJ 519）的有关要求。</w:t>
                  </w:r>
                </w:p>
              </w:tc>
              <w:tc>
                <w:tcPr>
                  <w:tcW w:w="2921" w:type="dxa"/>
                  <w:vAlign w:val="center"/>
                </w:tcPr>
                <w:p w14:paraId="383538D3">
                  <w:pPr>
                    <w:rPr>
                      <w:rFonts w:ascii="Times New Roman" w:hAnsi="Times New Roman" w:eastAsiaTheme="minorEastAsia"/>
                      <w:color w:val="auto"/>
                      <w:spacing w:val="-6"/>
                      <w:szCs w:val="21"/>
                      <w:highlight w:val="none"/>
                    </w:rPr>
                  </w:pPr>
                  <w:r>
                    <w:rPr>
                      <w:rFonts w:hint="eastAsia" w:ascii="Times New Roman" w:hAnsi="Times New Roman" w:eastAsiaTheme="minorEastAsia"/>
                      <w:color w:val="auto"/>
                      <w:spacing w:val="-6"/>
                      <w:szCs w:val="21"/>
                      <w:highlight w:val="none"/>
                    </w:rPr>
                    <w:t>项目按照规范要求建设。</w:t>
                  </w:r>
                </w:p>
              </w:tc>
              <w:tc>
                <w:tcPr>
                  <w:tcW w:w="689" w:type="dxa"/>
                  <w:vAlign w:val="center"/>
                </w:tcPr>
                <w:p w14:paraId="3AC8994E">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r w14:paraId="0B5EBC8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393" w:type="dxa"/>
                  <w:gridSpan w:val="4"/>
                  <w:vAlign w:val="center"/>
                </w:tcPr>
                <w:p w14:paraId="317827DA">
                  <w:pPr>
                    <w:keepNext w:val="0"/>
                    <w:keepLines w:val="0"/>
                    <w:pageBreakBefore w:val="0"/>
                    <w:widowControl/>
                    <w:kinsoku/>
                    <w:wordWrap/>
                    <w:overflowPunct/>
                    <w:topLinePunct w:val="0"/>
                    <w:autoSpaceDE/>
                    <w:autoSpaceDN/>
                    <w:bidi w:val="0"/>
                    <w:adjustRightInd/>
                    <w:snapToGrid w:val="0"/>
                    <w:spacing w:before="60" w:line="0" w:lineRule="atLeast"/>
                    <w:jc w:val="left"/>
                    <w:textAlignment w:val="auto"/>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1</w:t>
                  </w:r>
                  <w:r>
                    <w:rPr>
                      <w:rFonts w:hint="eastAsia" w:ascii="Times New Roman" w:hAnsi="Times New Roman" w:eastAsiaTheme="minorEastAsia"/>
                      <w:color w:val="auto"/>
                      <w:kern w:val="0"/>
                      <w:szCs w:val="21"/>
                      <w:highlight w:val="none"/>
                      <w:lang w:val="en-US" w:eastAsia="zh-CN"/>
                    </w:rPr>
                    <w:t>1</w:t>
                  </w:r>
                  <w:r>
                    <w:rPr>
                      <w:rFonts w:hint="eastAsia" w:ascii="Times New Roman" w:hAnsi="Times New Roman" w:eastAsiaTheme="minorEastAsia"/>
                      <w:color w:val="auto"/>
                      <w:kern w:val="0"/>
                      <w:szCs w:val="21"/>
                      <w:highlight w:val="none"/>
                    </w:rPr>
                    <w:t>.《关于加强全省危险废物收集利用处置能力建设的紧急通知》（冀土领办[2020]21号）</w:t>
                  </w:r>
                </w:p>
                <w:p w14:paraId="685693C1">
                  <w:pPr>
                    <w:keepNext w:val="0"/>
                    <w:keepLines w:val="0"/>
                    <w:pageBreakBefore w:val="0"/>
                    <w:widowControl/>
                    <w:kinsoku/>
                    <w:wordWrap/>
                    <w:overflowPunct/>
                    <w:topLinePunct w:val="0"/>
                    <w:autoSpaceDE/>
                    <w:autoSpaceDN/>
                    <w:bidi w:val="0"/>
                    <w:adjustRightInd/>
                    <w:snapToGrid w:val="0"/>
                    <w:spacing w:before="60" w:line="0" w:lineRule="atLeast"/>
                    <w:jc w:val="left"/>
                    <w:textAlignment w:val="auto"/>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符合性分析</w:t>
                  </w:r>
                </w:p>
              </w:tc>
            </w:tr>
            <w:tr w14:paraId="35DF1B0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Align w:val="center"/>
                </w:tcPr>
                <w:p w14:paraId="06E92CBE">
                  <w:pPr>
                    <w:widowControl/>
                    <w:snapToGrid w:val="0"/>
                    <w:spacing w:before="60"/>
                    <w:jc w:val="left"/>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1</w:t>
                  </w:r>
                  <w:r>
                    <w:rPr>
                      <w:rFonts w:hint="eastAsia" w:ascii="Times New Roman" w:hAnsi="Times New Roman" w:eastAsiaTheme="minorEastAsia"/>
                      <w:color w:val="auto"/>
                      <w:kern w:val="0"/>
                      <w:szCs w:val="21"/>
                      <w:highlight w:val="none"/>
                      <w:lang w:val="en-US" w:eastAsia="zh-CN"/>
                    </w:rPr>
                    <w:t>1</w:t>
                  </w:r>
                  <w:r>
                    <w:rPr>
                      <w:rFonts w:hint="eastAsia" w:ascii="Times New Roman" w:hAnsi="Times New Roman" w:eastAsiaTheme="minorEastAsia"/>
                      <w:color w:val="auto"/>
                      <w:kern w:val="0"/>
                      <w:szCs w:val="21"/>
                      <w:highlight w:val="none"/>
                    </w:rPr>
                    <w:t>.1</w:t>
                  </w:r>
                </w:p>
              </w:tc>
              <w:tc>
                <w:tcPr>
                  <w:tcW w:w="4325" w:type="dxa"/>
                  <w:vAlign w:val="center"/>
                </w:tcPr>
                <w:p w14:paraId="3EA0D389">
                  <w:pPr>
                    <w:widowControl/>
                    <w:snapToGrid w:val="0"/>
                    <w:spacing w:before="60"/>
                    <w:jc w:val="left"/>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贯彻落实关于“加快补齐医疗废物、危险废物收集处理设施方面短板”的精神。</w:t>
                  </w:r>
                </w:p>
              </w:tc>
              <w:tc>
                <w:tcPr>
                  <w:tcW w:w="2921" w:type="dxa"/>
                  <w:vAlign w:val="center"/>
                </w:tcPr>
                <w:p w14:paraId="0F99F3D5">
                  <w:pPr>
                    <w:widowControl/>
                    <w:snapToGrid w:val="0"/>
                    <w:spacing w:before="60"/>
                    <w:jc w:val="left"/>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本项目为</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收集项目，项目建成后有利于河北省区域内危险废物的收集与转运。</w:t>
                  </w:r>
                </w:p>
              </w:tc>
              <w:tc>
                <w:tcPr>
                  <w:tcW w:w="689" w:type="dxa"/>
                  <w:vAlign w:val="center"/>
                </w:tcPr>
                <w:p w14:paraId="7BD81C10">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r w14:paraId="3A8AA6C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Align w:val="center"/>
                </w:tcPr>
                <w:p w14:paraId="58833F32">
                  <w:pPr>
                    <w:widowControl/>
                    <w:snapToGrid w:val="0"/>
                    <w:spacing w:before="60"/>
                    <w:jc w:val="left"/>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1</w:t>
                  </w:r>
                  <w:r>
                    <w:rPr>
                      <w:rFonts w:hint="eastAsia" w:ascii="Times New Roman" w:hAnsi="Times New Roman" w:eastAsiaTheme="minorEastAsia"/>
                      <w:color w:val="auto"/>
                      <w:kern w:val="0"/>
                      <w:szCs w:val="21"/>
                      <w:highlight w:val="none"/>
                      <w:lang w:val="en-US" w:eastAsia="zh-CN"/>
                    </w:rPr>
                    <w:t>1</w:t>
                  </w:r>
                  <w:r>
                    <w:rPr>
                      <w:rFonts w:hint="eastAsia" w:ascii="Times New Roman" w:hAnsi="Times New Roman" w:eastAsiaTheme="minorEastAsia"/>
                      <w:color w:val="auto"/>
                      <w:kern w:val="0"/>
                      <w:szCs w:val="21"/>
                      <w:highlight w:val="none"/>
                    </w:rPr>
                    <w:t>.2</w:t>
                  </w:r>
                </w:p>
              </w:tc>
              <w:tc>
                <w:tcPr>
                  <w:tcW w:w="4325" w:type="dxa"/>
                  <w:vAlign w:val="center"/>
                </w:tcPr>
                <w:p w14:paraId="1FC4EC87">
                  <w:pPr>
                    <w:widowControl/>
                    <w:snapToGrid w:val="0"/>
                    <w:spacing w:before="60"/>
                    <w:jc w:val="left"/>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立足于补齐完善危险废物收集利用处置体系，提升全省危险废物规范化管理鼓励社会力量多元参与。</w:t>
                  </w:r>
                </w:p>
              </w:tc>
              <w:tc>
                <w:tcPr>
                  <w:tcW w:w="2921" w:type="dxa"/>
                  <w:vAlign w:val="center"/>
                </w:tcPr>
                <w:p w14:paraId="7E08C27A">
                  <w:pPr>
                    <w:widowControl/>
                    <w:snapToGrid w:val="0"/>
                    <w:spacing w:before="60"/>
                    <w:jc w:val="left"/>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本项目的建设加强了区域危险废物的收集转运能力，有利于完善河北省区域内</w:t>
                  </w:r>
                  <w:r>
                    <w:rPr>
                      <w:rFonts w:hint="eastAsia" w:ascii="Times New Roman" w:hAnsi="Times New Roman" w:eastAsiaTheme="minorEastAsia"/>
                      <w:color w:val="auto"/>
                      <w:kern w:val="0"/>
                      <w:szCs w:val="21"/>
                      <w:highlight w:val="none"/>
                      <w:lang w:val="en-US" w:eastAsia="zh-CN"/>
                    </w:rPr>
                    <w:t>危险废物</w:t>
                  </w:r>
                  <w:r>
                    <w:rPr>
                      <w:rFonts w:hint="eastAsia" w:ascii="Times New Roman" w:hAnsi="Times New Roman" w:eastAsiaTheme="minorEastAsia"/>
                      <w:color w:val="auto"/>
                      <w:kern w:val="0"/>
                      <w:szCs w:val="21"/>
                      <w:highlight w:val="none"/>
                    </w:rPr>
                    <w:t>收集利用体系。</w:t>
                  </w:r>
                </w:p>
              </w:tc>
              <w:tc>
                <w:tcPr>
                  <w:tcW w:w="689" w:type="dxa"/>
                  <w:vAlign w:val="center"/>
                </w:tcPr>
                <w:p w14:paraId="77ED2B1C">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bl>
          <w:p w14:paraId="154465DB">
            <w:pPr>
              <w:tabs>
                <w:tab w:val="left" w:pos="0"/>
              </w:tabs>
              <w:snapToGrid w:val="0"/>
              <w:spacing w:line="480" w:lineRule="exact"/>
              <w:jc w:val="center"/>
              <w:rPr>
                <w:rFonts w:ascii="Times New Roman" w:hAnsi="Times New Roman" w:eastAsiaTheme="minorEastAsia"/>
                <w:bCs/>
                <w:color w:val="auto"/>
                <w:sz w:val="24"/>
                <w:szCs w:val="24"/>
                <w:highlight w:val="none"/>
              </w:rPr>
            </w:pPr>
            <w:r>
              <w:rPr>
                <w:rFonts w:ascii="Times New Roman" w:hAnsi="Times New Roman" w:eastAsiaTheme="minorEastAsia"/>
                <w:bCs/>
                <w:color w:val="auto"/>
                <w:sz w:val="24"/>
                <w:szCs w:val="24"/>
                <w:highlight w:val="none"/>
              </w:rPr>
              <w:t>续表1-6  与其他相关规划和环境管理符合性分析</w:t>
            </w:r>
          </w:p>
          <w:tbl>
            <w:tblPr>
              <w:tblStyle w:val="31"/>
              <w:tblW w:w="8393"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58"/>
              <w:gridCol w:w="3524"/>
              <w:gridCol w:w="3722"/>
              <w:gridCol w:w="689"/>
            </w:tblGrid>
            <w:tr w14:paraId="1399DDB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82" w:type="dxa"/>
                  <w:gridSpan w:val="2"/>
                  <w:tcMar>
                    <w:top w:w="57" w:type="dxa"/>
                    <w:left w:w="28" w:type="dxa"/>
                    <w:bottom w:w="57" w:type="dxa"/>
                    <w:right w:w="28" w:type="dxa"/>
                  </w:tcMar>
                  <w:vAlign w:val="center"/>
                </w:tcPr>
                <w:p w14:paraId="728CFAC7">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与项目有关的条例、条文</w:t>
                  </w:r>
                </w:p>
              </w:tc>
              <w:tc>
                <w:tcPr>
                  <w:tcW w:w="3722" w:type="dxa"/>
                  <w:tcMar>
                    <w:top w:w="57" w:type="dxa"/>
                    <w:left w:w="28" w:type="dxa"/>
                    <w:bottom w:w="57" w:type="dxa"/>
                    <w:right w:w="28" w:type="dxa"/>
                  </w:tcMar>
                  <w:vAlign w:val="center"/>
                </w:tcPr>
                <w:p w14:paraId="52A16D27">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本项目</w:t>
                  </w:r>
                </w:p>
              </w:tc>
              <w:tc>
                <w:tcPr>
                  <w:tcW w:w="689" w:type="dxa"/>
                  <w:tcMar>
                    <w:top w:w="57" w:type="dxa"/>
                    <w:left w:w="28" w:type="dxa"/>
                    <w:bottom w:w="57" w:type="dxa"/>
                    <w:right w:w="28" w:type="dxa"/>
                  </w:tcMar>
                  <w:vAlign w:val="center"/>
                </w:tcPr>
                <w:p w14:paraId="3794C81E">
                  <w:pPr>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符合性</w:t>
                  </w:r>
                </w:p>
              </w:tc>
            </w:tr>
            <w:tr w14:paraId="41D3E79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393" w:type="dxa"/>
                  <w:gridSpan w:val="4"/>
                  <w:vAlign w:val="center"/>
                </w:tcPr>
                <w:p w14:paraId="0D4B9623">
                  <w:pPr>
                    <w:widowControl/>
                    <w:snapToGrid w:val="0"/>
                    <w:spacing w:before="60"/>
                    <w:jc w:val="left"/>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1</w:t>
                  </w:r>
                  <w:r>
                    <w:rPr>
                      <w:rFonts w:hint="eastAsia" w:ascii="Times New Roman" w:hAnsi="Times New Roman" w:eastAsiaTheme="minorEastAsia"/>
                      <w:color w:val="auto"/>
                      <w:kern w:val="0"/>
                      <w:szCs w:val="21"/>
                      <w:highlight w:val="none"/>
                      <w:lang w:val="en-US" w:eastAsia="zh-CN"/>
                    </w:rPr>
                    <w:t>2</w:t>
                  </w:r>
                  <w:r>
                    <w:rPr>
                      <w:rFonts w:hint="eastAsia" w:ascii="Times New Roman" w:hAnsi="Times New Roman" w:eastAsiaTheme="minorEastAsia"/>
                      <w:color w:val="auto"/>
                      <w:kern w:val="0"/>
                      <w:szCs w:val="21"/>
                      <w:highlight w:val="none"/>
                    </w:rPr>
                    <w:t>.河北省环境保护厅办公室《关于建设全省危险废物智能监控体系的通知》（冀环办发[2017]112号）符合性分析。</w:t>
                  </w:r>
                </w:p>
              </w:tc>
            </w:tr>
            <w:tr w14:paraId="4557574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dxa"/>
                  <w:vAlign w:val="center"/>
                </w:tcPr>
                <w:p w14:paraId="00157950">
                  <w:pPr>
                    <w:widowControl/>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1</w:t>
                  </w:r>
                  <w:r>
                    <w:rPr>
                      <w:rFonts w:hint="eastAsia" w:ascii="Times New Roman" w:hAnsi="Times New Roman" w:eastAsiaTheme="minorEastAsia"/>
                      <w:color w:val="auto"/>
                      <w:kern w:val="0"/>
                      <w:szCs w:val="21"/>
                      <w:highlight w:val="none"/>
                      <w:lang w:val="en-US" w:eastAsia="zh-CN"/>
                    </w:rPr>
                    <w:t>2</w:t>
                  </w:r>
                  <w:r>
                    <w:rPr>
                      <w:rFonts w:hint="eastAsia" w:ascii="Times New Roman" w:hAnsi="Times New Roman" w:eastAsiaTheme="minorEastAsia"/>
                      <w:color w:val="auto"/>
                      <w:kern w:val="0"/>
                      <w:szCs w:val="21"/>
                      <w:highlight w:val="none"/>
                    </w:rPr>
                    <w:t>.1</w:t>
                  </w:r>
                </w:p>
              </w:tc>
              <w:tc>
                <w:tcPr>
                  <w:tcW w:w="3524" w:type="dxa"/>
                  <w:vAlign w:val="center"/>
                </w:tcPr>
                <w:p w14:paraId="3C431254">
                  <w:pPr>
                    <w:widowControl/>
                    <w:snapToGrid w:val="0"/>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安装内容：在重点产废单位的产生、贮存、物流通道等重点部位，以及经营单位（含收集单位）、自行利用处置单位和豁免管理经营单位的人车通道、贮存设施、经营设施和污染物排放口等重点部位，安视频监控、智能地磅、电子液位计等设备，集成视频、称重、贮存、工况和排放等数据，将有关数据实时传输至河北省固体废物动态管理信息平台。其中，视频 数据通过市环环保部门的全省环保专网上传至省固废平台。</w:t>
                  </w:r>
                </w:p>
              </w:tc>
              <w:tc>
                <w:tcPr>
                  <w:tcW w:w="3722" w:type="dxa"/>
                  <w:vAlign w:val="center"/>
                </w:tcPr>
                <w:p w14:paraId="366F6FEA">
                  <w:pP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本项目属于危险废物收集项目，将按照该通知要求在人车通道、贮存设施、经营设施和污染物排放口等重点部位，安装视频监控、智能地磅、电子液位计等设备，并按照《关于印发全省危险废物智能监控体系数据联网规范的通知》（冀环办字函[2018]203号）中的&lt;河北省危险废物智能监控体系视频接入端口及联网规范&gt;及&lt;河北省危险废物智能监控体系电子地磅接口规范及工况数据规范&gt;的要求进行数据联网，将相关数据上传省固废平台。</w:t>
                  </w:r>
                </w:p>
              </w:tc>
              <w:tc>
                <w:tcPr>
                  <w:tcW w:w="689" w:type="dxa"/>
                  <w:vAlign w:val="center"/>
                </w:tcPr>
                <w:p w14:paraId="4A9DB41A">
                  <w:pPr>
                    <w:widowControl/>
                    <w:snapToGrid w:val="0"/>
                    <w:spacing w:before="6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符合</w:t>
                  </w:r>
                </w:p>
              </w:tc>
            </w:tr>
          </w:tbl>
          <w:p w14:paraId="0232B725">
            <w:pPr>
              <w:spacing w:line="500" w:lineRule="exact"/>
              <w:ind w:firstLine="480" w:firstLineChars="200"/>
              <w:rPr>
                <w:rFonts w:ascii="Times New Roman" w:hAnsi="Times New Roman" w:eastAsiaTheme="minorEastAsia"/>
                <w:color w:val="auto"/>
                <w:sz w:val="24"/>
                <w:highlight w:val="none"/>
              </w:rPr>
            </w:pPr>
            <w:r>
              <w:rPr>
                <w:rFonts w:ascii="Times New Roman" w:hAnsi="Times New Roman" w:eastAsiaTheme="minorEastAsia"/>
                <w:color w:val="auto"/>
                <w:sz w:val="24"/>
                <w:highlight w:val="none"/>
              </w:rPr>
              <w:t>5、选址符合性分析</w:t>
            </w:r>
          </w:p>
          <w:p w14:paraId="1725E34E">
            <w:pPr>
              <w:pStyle w:val="64"/>
              <w:spacing w:line="500" w:lineRule="exact"/>
              <w:ind w:firstLine="480"/>
              <w:jc w:val="left"/>
              <w:rPr>
                <w:rFonts w:eastAsiaTheme="minorEastAsia"/>
                <w:color w:val="auto"/>
                <w:sz w:val="24"/>
                <w:highlight w:val="none"/>
              </w:rPr>
            </w:pPr>
            <w:r>
              <w:rPr>
                <w:rFonts w:eastAsiaTheme="minorEastAsia"/>
                <w:color w:val="auto"/>
                <w:sz w:val="24"/>
                <w:highlight w:val="none"/>
              </w:rPr>
              <w:t>（1）土地利用符合性分析</w:t>
            </w:r>
          </w:p>
          <w:p w14:paraId="1991F63A">
            <w:pPr>
              <w:adjustRightInd w:val="0"/>
              <w:spacing w:line="500" w:lineRule="exact"/>
              <w:ind w:firstLine="480" w:firstLineChars="200"/>
              <w:rPr>
                <w:rFonts w:hint="eastAsia"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本项目位于</w:t>
            </w:r>
            <w:r>
              <w:rPr>
                <w:rFonts w:hint="eastAsia" w:ascii="Times New Roman" w:hAnsi="Times New Roman" w:eastAsiaTheme="minorEastAsia"/>
                <w:color w:val="auto"/>
                <w:sz w:val="24"/>
                <w:szCs w:val="24"/>
                <w:highlight w:val="none"/>
                <w:lang w:val="en-US" w:eastAsia="zh-CN"/>
              </w:rPr>
              <w:t>河北</w:t>
            </w:r>
            <w:r>
              <w:rPr>
                <w:rFonts w:ascii="Times New Roman" w:hAnsi="Times New Roman" w:eastAsiaTheme="minorEastAsia"/>
                <w:color w:val="auto"/>
                <w:sz w:val="24"/>
                <w:szCs w:val="24"/>
                <w:highlight w:val="none"/>
              </w:rPr>
              <w:t>徐水经济开发区</w:t>
            </w:r>
            <w:r>
              <w:rPr>
                <w:rFonts w:hint="eastAsia" w:ascii="Times New Roman" w:hAnsi="Times New Roman" w:eastAsiaTheme="minorEastAsia"/>
                <w:color w:val="auto"/>
                <w:sz w:val="24"/>
                <w:szCs w:val="24"/>
                <w:highlight w:val="none"/>
              </w:rPr>
              <w:t>小微企业园，租赁河北天福重工阀门有限公司现有车间</w:t>
            </w:r>
            <w:r>
              <w:rPr>
                <w:rFonts w:hint="eastAsia" w:ascii="Times New Roman" w:hAnsi="Times New Roman" w:eastAsiaTheme="minorEastAsia"/>
                <w:color w:val="auto"/>
                <w:sz w:val="24"/>
                <w:szCs w:val="24"/>
                <w:highlight w:val="none"/>
                <w:lang w:eastAsia="zh-CN"/>
              </w:rPr>
              <w:t>（</w:t>
            </w:r>
            <w:r>
              <w:rPr>
                <w:rFonts w:hint="eastAsia" w:ascii="Times New Roman" w:hAnsi="Times New Roman" w:eastAsiaTheme="minorEastAsia"/>
                <w:color w:val="auto"/>
                <w:sz w:val="24"/>
                <w:szCs w:val="24"/>
                <w:highlight w:val="none"/>
                <w:lang w:val="en-US" w:eastAsia="zh-CN"/>
              </w:rPr>
              <w:t>租赁协议见附件</w:t>
            </w:r>
            <w:r>
              <w:rPr>
                <w:rFonts w:hint="eastAsia" w:ascii="Times New Roman" w:hAnsi="Times New Roman" w:eastAsiaTheme="minorEastAsia"/>
                <w:color w:val="auto"/>
                <w:sz w:val="24"/>
                <w:szCs w:val="24"/>
                <w:highlight w:val="none"/>
                <w:lang w:eastAsia="zh-CN"/>
              </w:rPr>
              <w:t>）</w:t>
            </w:r>
            <w:r>
              <w:rPr>
                <w:rFonts w:ascii="Times New Roman" w:hAnsi="Times New Roman" w:eastAsiaTheme="minorEastAsia"/>
                <w:color w:val="auto"/>
                <w:sz w:val="24"/>
                <w:szCs w:val="24"/>
                <w:highlight w:val="none"/>
              </w:rPr>
              <w:t>，不新增占地及构筑物。</w:t>
            </w:r>
            <w:r>
              <w:rPr>
                <w:rFonts w:hint="eastAsia" w:ascii="Times New Roman" w:hAnsi="Times New Roman" w:eastAsiaTheme="minorEastAsia"/>
                <w:color w:val="auto"/>
                <w:sz w:val="24"/>
                <w:szCs w:val="24"/>
                <w:highlight w:val="none"/>
              </w:rPr>
              <w:t>河北天福重工阀门有限公司</w:t>
            </w:r>
            <w:r>
              <w:rPr>
                <w:rFonts w:hint="eastAsia" w:ascii="Times New Roman" w:hAnsi="Times New Roman" w:eastAsiaTheme="minorEastAsia"/>
                <w:color w:val="auto"/>
                <w:sz w:val="24"/>
                <w:szCs w:val="24"/>
                <w:highlight w:val="none"/>
                <w:lang w:val="en-US" w:eastAsia="zh-CN"/>
              </w:rPr>
              <w:t>已取得土地证（见附件）</w:t>
            </w:r>
            <w:r>
              <w:rPr>
                <w:rFonts w:hint="eastAsia" w:ascii="Times New Roman" w:hAnsi="Times New Roman" w:eastAsiaTheme="minorEastAsia"/>
                <w:color w:val="auto"/>
                <w:sz w:val="24"/>
                <w:szCs w:val="24"/>
                <w:highlight w:val="none"/>
              </w:rPr>
              <w:t>。</w:t>
            </w:r>
          </w:p>
          <w:p w14:paraId="065C053D">
            <w:pPr>
              <w:adjustRightInd w:val="0"/>
              <w:spacing w:line="500" w:lineRule="exact"/>
              <w:ind w:firstLine="480" w:firstLineChars="200"/>
              <w:rPr>
                <w:rFonts w:ascii="Times New Roman" w:hAnsi="Times New Roman" w:eastAsiaTheme="minorEastAsia"/>
                <w:color w:val="auto"/>
                <w:sz w:val="24"/>
                <w:highlight w:val="none"/>
              </w:rPr>
            </w:pPr>
            <w:r>
              <w:rPr>
                <w:rFonts w:ascii="Times New Roman" w:hAnsi="Times New Roman" w:eastAsiaTheme="minorEastAsia"/>
                <w:color w:val="auto"/>
                <w:sz w:val="24"/>
                <w:highlight w:val="none"/>
              </w:rPr>
              <w:t>（</w:t>
            </w:r>
            <w:r>
              <w:rPr>
                <w:rFonts w:hint="eastAsia" w:ascii="Times New Roman" w:hAnsi="Times New Roman" w:eastAsiaTheme="minorEastAsia"/>
                <w:color w:val="auto"/>
                <w:sz w:val="24"/>
                <w:highlight w:val="none"/>
                <w:lang w:val="en-US" w:eastAsia="zh-CN"/>
              </w:rPr>
              <w:t>2</w:t>
            </w:r>
            <w:r>
              <w:rPr>
                <w:rFonts w:ascii="Times New Roman" w:hAnsi="Times New Roman" w:eastAsiaTheme="minorEastAsia"/>
                <w:color w:val="auto"/>
                <w:sz w:val="24"/>
                <w:highlight w:val="none"/>
              </w:rPr>
              <w:t>）</w:t>
            </w:r>
            <w:r>
              <w:rPr>
                <w:rFonts w:hint="eastAsia" w:ascii="Times New Roman" w:hAnsi="Times New Roman" w:eastAsiaTheme="minorEastAsia"/>
                <w:color w:val="auto"/>
                <w:sz w:val="24"/>
                <w:highlight w:val="none"/>
                <w:lang w:val="en-US" w:eastAsia="zh-CN"/>
              </w:rPr>
              <w:t>选址政策符合性</w:t>
            </w:r>
            <w:r>
              <w:rPr>
                <w:rFonts w:ascii="Times New Roman" w:hAnsi="Times New Roman" w:eastAsiaTheme="minorEastAsia"/>
                <w:color w:val="auto"/>
                <w:sz w:val="24"/>
                <w:highlight w:val="none"/>
              </w:rPr>
              <w:t>分析</w:t>
            </w:r>
          </w:p>
          <w:p w14:paraId="564EA30B">
            <w:pPr>
              <w:adjustRightInd w:val="0"/>
              <w:spacing w:line="500" w:lineRule="exact"/>
              <w:ind w:firstLine="480" w:firstLineChars="200"/>
              <w:rPr>
                <w:rFonts w:hint="eastAsia" w:ascii="Times New Roman" w:hAnsi="Times New Roman" w:eastAsiaTheme="minorEastAsia"/>
                <w:color w:val="auto"/>
                <w:sz w:val="24"/>
                <w:szCs w:val="24"/>
                <w:highlight w:val="none"/>
                <w:lang w:eastAsia="zh-CN"/>
              </w:rPr>
            </w:pPr>
            <w:r>
              <w:rPr>
                <w:rFonts w:hint="eastAsia" w:ascii="Times New Roman" w:hAnsi="Times New Roman" w:eastAsiaTheme="minorEastAsia"/>
                <w:color w:val="auto"/>
                <w:sz w:val="24"/>
                <w:szCs w:val="24"/>
                <w:highlight w:val="none"/>
                <w:lang w:val="en-US" w:eastAsia="zh-CN"/>
              </w:rPr>
              <w:t>本项目对铅蓄电池进行分拣、贮存、转运，</w:t>
            </w:r>
            <w:r>
              <w:rPr>
                <w:rFonts w:hint="default" w:ascii="Times New Roman" w:hAnsi="Times New Roman" w:eastAsiaTheme="minorEastAsia"/>
                <w:color w:val="auto"/>
                <w:sz w:val="24"/>
                <w:szCs w:val="24"/>
                <w:highlight w:val="none"/>
              </w:rPr>
              <w:t>项目所在区域地形平坦开阔，工程地质条件良好，不在生态保护红线区域、永久基本农田和其他需要特别保护的区域内，不在溶洞区或易遭受严重自然灾害影响的地区；设施底部高于地下水最高水位；选址满足</w:t>
            </w:r>
            <w:r>
              <w:rPr>
                <w:rFonts w:hint="eastAsia" w:ascii="Times New Roman" w:hAnsi="Times New Roman" w:eastAsia="宋体" w:cs="Times New Roman"/>
                <w:color w:val="auto"/>
                <w:sz w:val="24"/>
                <w:szCs w:val="24"/>
                <w:highlight w:val="none"/>
                <w:lang w:val="en-US" w:eastAsia="zh-CN"/>
              </w:rPr>
              <w:t>《危险废物贮存污染控制标准》和相关选址要求</w:t>
            </w:r>
            <w:r>
              <w:rPr>
                <w:rFonts w:hint="eastAsia" w:ascii="Times New Roman" w:hAnsi="Times New Roman" w:eastAsiaTheme="minorEastAsia"/>
                <w:color w:val="auto"/>
                <w:sz w:val="24"/>
                <w:szCs w:val="24"/>
                <w:highlight w:val="none"/>
                <w:lang w:val="en-US" w:eastAsia="zh-CN"/>
              </w:rPr>
              <w:t>、</w:t>
            </w:r>
            <w:r>
              <w:rPr>
                <w:rFonts w:hint="default" w:ascii="Times New Roman" w:hAnsi="Times New Roman" w:eastAsiaTheme="minorEastAsia"/>
                <w:color w:val="auto"/>
                <w:sz w:val="24"/>
                <w:szCs w:val="24"/>
                <w:highlight w:val="none"/>
              </w:rPr>
              <w:t>生态环境保护法律法规、规划和“三线一单”生态环境分区管控的要求</w:t>
            </w:r>
            <w:r>
              <w:rPr>
                <w:rFonts w:hint="eastAsia" w:ascii="Times New Roman" w:hAnsi="Times New Roman" w:eastAsiaTheme="minorEastAsia"/>
                <w:color w:val="auto"/>
                <w:sz w:val="24"/>
                <w:szCs w:val="24"/>
                <w:highlight w:val="none"/>
                <w:lang w:eastAsia="zh-CN"/>
              </w:rPr>
              <w:t>。</w:t>
            </w:r>
          </w:p>
          <w:p w14:paraId="37881CC7">
            <w:pPr>
              <w:adjustRightInd w:val="0"/>
              <w:spacing w:line="50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w:t>
            </w:r>
            <w:r>
              <w:rPr>
                <w:rFonts w:hint="eastAsia" w:ascii="Times New Roman" w:hAnsi="Times New Roman" w:eastAsiaTheme="minorEastAsia"/>
                <w:color w:val="auto"/>
                <w:sz w:val="24"/>
                <w:szCs w:val="24"/>
                <w:highlight w:val="none"/>
                <w:lang w:val="en-US" w:eastAsia="zh-CN"/>
              </w:rPr>
              <w:t>3</w:t>
            </w:r>
            <w:r>
              <w:rPr>
                <w:rFonts w:ascii="Times New Roman" w:hAnsi="Times New Roman" w:eastAsiaTheme="minorEastAsia"/>
                <w:color w:val="auto"/>
                <w:sz w:val="24"/>
                <w:szCs w:val="24"/>
                <w:highlight w:val="none"/>
              </w:rPr>
              <w:t>）环境敏感性分析</w:t>
            </w:r>
          </w:p>
          <w:p w14:paraId="668DEAED">
            <w:pPr>
              <w:adjustRightInd w:val="0"/>
              <w:spacing w:line="500" w:lineRule="exact"/>
              <w:ind w:firstLine="480" w:firstLineChars="200"/>
              <w:rPr>
                <w:rFonts w:ascii="Times New Roman" w:hAnsi="Times New Roman" w:eastAsiaTheme="minorEastAsia"/>
                <w:color w:val="auto"/>
                <w:kern w:val="0"/>
                <w:sz w:val="24"/>
                <w:highlight w:val="none"/>
              </w:rPr>
            </w:pPr>
            <w:r>
              <w:rPr>
                <w:rFonts w:ascii="Times New Roman" w:hAnsi="Times New Roman" w:eastAsiaTheme="minorEastAsia"/>
                <w:color w:val="auto"/>
                <w:sz w:val="24"/>
                <w:szCs w:val="24"/>
                <w:highlight w:val="none"/>
              </w:rPr>
              <w:t>本项目位于</w:t>
            </w:r>
            <w:r>
              <w:rPr>
                <w:rFonts w:hint="eastAsia" w:ascii="Times New Roman" w:hAnsi="Times New Roman" w:eastAsiaTheme="minorEastAsia"/>
                <w:color w:val="auto"/>
                <w:sz w:val="24"/>
                <w:szCs w:val="24"/>
                <w:highlight w:val="none"/>
                <w:lang w:val="en-US" w:eastAsia="zh-CN"/>
              </w:rPr>
              <w:t>河北</w:t>
            </w:r>
            <w:r>
              <w:rPr>
                <w:rFonts w:ascii="Times New Roman" w:hAnsi="Times New Roman" w:eastAsiaTheme="minorEastAsia"/>
                <w:color w:val="auto"/>
                <w:sz w:val="24"/>
                <w:szCs w:val="24"/>
                <w:highlight w:val="none"/>
              </w:rPr>
              <w:t>徐水经济开发区</w:t>
            </w:r>
            <w:r>
              <w:rPr>
                <w:rFonts w:hint="eastAsia" w:ascii="Times New Roman" w:hAnsi="Times New Roman" w:eastAsiaTheme="minorEastAsia"/>
                <w:color w:val="auto"/>
                <w:sz w:val="24"/>
                <w:szCs w:val="24"/>
                <w:highlight w:val="none"/>
              </w:rPr>
              <w:t>小微企业园</w:t>
            </w:r>
            <w:r>
              <w:rPr>
                <w:rFonts w:ascii="Times New Roman" w:hAnsi="Times New Roman" w:eastAsiaTheme="minorEastAsia"/>
                <w:color w:val="auto"/>
                <w:sz w:val="24"/>
                <w:szCs w:val="24"/>
                <w:highlight w:val="none"/>
              </w:rPr>
              <w:t>，</w:t>
            </w:r>
            <w:r>
              <w:rPr>
                <w:rFonts w:ascii="Times New Roman" w:hAnsi="Times New Roman" w:eastAsiaTheme="minorEastAsia"/>
                <w:color w:val="auto"/>
                <w:kern w:val="0"/>
                <w:sz w:val="24"/>
                <w:highlight w:val="none"/>
              </w:rPr>
              <w:t>中心地理坐标为东经115°2</w:t>
            </w:r>
            <w:r>
              <w:rPr>
                <w:rFonts w:hint="eastAsia" w:ascii="Times New Roman" w:hAnsi="Times New Roman" w:eastAsiaTheme="minorEastAsia"/>
                <w:color w:val="auto"/>
                <w:kern w:val="0"/>
                <w:sz w:val="24"/>
                <w:highlight w:val="none"/>
              </w:rPr>
              <w:t>7</w:t>
            </w:r>
            <w:r>
              <w:rPr>
                <w:rFonts w:ascii="Times New Roman" w:hAnsi="Times New Roman" w:eastAsiaTheme="minorEastAsia"/>
                <w:color w:val="auto"/>
                <w:kern w:val="0"/>
                <w:sz w:val="24"/>
                <w:highlight w:val="none"/>
              </w:rPr>
              <w:t>′</w:t>
            </w:r>
            <w:r>
              <w:rPr>
                <w:rFonts w:hint="eastAsia" w:ascii="Times New Roman" w:hAnsi="Times New Roman" w:eastAsiaTheme="minorEastAsia"/>
                <w:color w:val="auto"/>
                <w:kern w:val="0"/>
                <w:sz w:val="24"/>
                <w:highlight w:val="none"/>
              </w:rPr>
              <w:t>58.833</w:t>
            </w:r>
            <w:r>
              <w:rPr>
                <w:rFonts w:ascii="Times New Roman" w:hAnsi="Times New Roman" w:eastAsiaTheme="minorEastAsia"/>
                <w:color w:val="auto"/>
                <w:kern w:val="0"/>
                <w:sz w:val="24"/>
                <w:highlight w:val="none"/>
              </w:rPr>
              <w:t>″，北纬39°</w:t>
            </w:r>
            <w:r>
              <w:rPr>
                <w:rFonts w:hint="eastAsia" w:ascii="Times New Roman" w:hAnsi="Times New Roman" w:eastAsiaTheme="minorEastAsia"/>
                <w:color w:val="auto"/>
                <w:kern w:val="0"/>
                <w:sz w:val="24"/>
                <w:highlight w:val="none"/>
              </w:rPr>
              <w:t>3</w:t>
            </w:r>
            <w:r>
              <w:rPr>
                <w:rFonts w:ascii="Times New Roman" w:hAnsi="Times New Roman" w:eastAsiaTheme="minorEastAsia"/>
                <w:color w:val="auto"/>
                <w:kern w:val="0"/>
                <w:sz w:val="24"/>
                <w:highlight w:val="none"/>
              </w:rPr>
              <w:t>′</w:t>
            </w:r>
            <w:r>
              <w:rPr>
                <w:rFonts w:hint="eastAsia" w:ascii="Times New Roman" w:hAnsi="Times New Roman" w:eastAsiaTheme="minorEastAsia"/>
                <w:color w:val="auto"/>
                <w:kern w:val="0"/>
                <w:sz w:val="24"/>
                <w:highlight w:val="none"/>
              </w:rPr>
              <w:t>3.310</w:t>
            </w:r>
            <w:r>
              <w:rPr>
                <w:rFonts w:ascii="Times New Roman" w:hAnsi="Times New Roman" w:eastAsiaTheme="minorEastAsia"/>
                <w:color w:val="auto"/>
                <w:kern w:val="0"/>
                <w:sz w:val="24"/>
                <w:highlight w:val="none"/>
              </w:rPr>
              <w:t>″，项目东侧为</w:t>
            </w:r>
            <w:r>
              <w:rPr>
                <w:rFonts w:hint="eastAsia" w:ascii="Times New Roman" w:hAnsi="Times New Roman" w:eastAsiaTheme="minorEastAsia"/>
                <w:color w:val="auto"/>
                <w:sz w:val="24"/>
                <w:szCs w:val="24"/>
                <w:highlight w:val="none"/>
              </w:rPr>
              <w:t>河北天福重工阀门有限公司厂区道路</w:t>
            </w:r>
            <w:r>
              <w:rPr>
                <w:rFonts w:ascii="Times New Roman" w:hAnsi="Times New Roman" w:eastAsiaTheme="minorEastAsia"/>
                <w:color w:val="auto"/>
                <w:kern w:val="0"/>
                <w:sz w:val="24"/>
                <w:highlight w:val="none"/>
              </w:rPr>
              <w:t>；</w:t>
            </w:r>
            <w:r>
              <w:rPr>
                <w:rFonts w:hint="eastAsia" w:ascii="Times New Roman" w:hAnsi="Times New Roman" w:eastAsiaTheme="minorEastAsia"/>
                <w:color w:val="auto"/>
                <w:kern w:val="0"/>
                <w:sz w:val="24"/>
                <w:highlight w:val="none"/>
              </w:rPr>
              <w:t>西侧和南侧为</w:t>
            </w:r>
            <w:r>
              <w:rPr>
                <w:rFonts w:hint="eastAsia" w:ascii="Times New Roman" w:hAnsi="Times New Roman" w:eastAsiaTheme="minorEastAsia"/>
                <w:color w:val="auto"/>
                <w:sz w:val="24"/>
                <w:szCs w:val="24"/>
                <w:highlight w:val="none"/>
              </w:rPr>
              <w:t>河北天福重工阀门有限公司生产区；北侧为河北天福重工阀门有限公司</w:t>
            </w:r>
            <w:r>
              <w:rPr>
                <w:rFonts w:ascii="Times New Roman" w:hAnsi="Times New Roman" w:eastAsiaTheme="minorEastAsia"/>
                <w:color w:val="auto"/>
                <w:sz w:val="24"/>
                <w:szCs w:val="24"/>
                <w:highlight w:val="none"/>
              </w:rPr>
              <w:t>库房</w:t>
            </w:r>
            <w:r>
              <w:rPr>
                <w:rFonts w:hint="eastAsia" w:ascii="Times New Roman" w:hAnsi="Times New Roman" w:eastAsiaTheme="minorEastAsia"/>
                <w:color w:val="auto"/>
                <w:sz w:val="24"/>
                <w:szCs w:val="24"/>
                <w:highlight w:val="none"/>
              </w:rPr>
              <w:t>和空地</w:t>
            </w:r>
            <w:r>
              <w:rPr>
                <w:rFonts w:ascii="Times New Roman" w:hAnsi="Times New Roman" w:eastAsiaTheme="minorEastAsia"/>
                <w:color w:val="auto"/>
                <w:kern w:val="0"/>
                <w:sz w:val="24"/>
                <w:highlight w:val="none"/>
              </w:rPr>
              <w:t>。</w:t>
            </w:r>
          </w:p>
          <w:p w14:paraId="55AC6053">
            <w:pPr>
              <w:pStyle w:val="23"/>
              <w:adjustRightInd w:val="0"/>
              <w:snapToGrid w:val="0"/>
              <w:spacing w:before="0" w:beforeAutospacing="0" w:after="0" w:afterAutospacing="0" w:line="500" w:lineRule="exact"/>
              <w:ind w:firstLine="480" w:firstLineChars="200"/>
              <w:rPr>
                <w:rFonts w:ascii="Times New Roman" w:hAnsi="Times New Roman"/>
                <w:color w:val="auto"/>
                <w:highlight w:val="none"/>
              </w:rPr>
            </w:pPr>
            <w:r>
              <w:rPr>
                <w:rFonts w:ascii="Times New Roman" w:hAnsi="Times New Roman"/>
                <w:color w:val="auto"/>
                <w:highlight w:val="none"/>
              </w:rPr>
              <w:t>根据河北省生态环境厅办公室《关于进一步做好沙区建设项目环境影响评价工作的通知》，本项目位于</w:t>
            </w:r>
            <w:r>
              <w:rPr>
                <w:rFonts w:hint="eastAsia" w:ascii="Times New Roman" w:hAnsi="Times New Roman"/>
                <w:color w:val="auto"/>
                <w:highlight w:val="none"/>
                <w:lang w:val="en-US" w:eastAsia="zh-CN"/>
              </w:rPr>
              <w:t>河北</w:t>
            </w:r>
            <w:r>
              <w:rPr>
                <w:rFonts w:ascii="Times New Roman" w:hAnsi="Times New Roman" w:eastAsiaTheme="minorEastAsia"/>
                <w:color w:val="auto"/>
                <w:highlight w:val="none"/>
              </w:rPr>
              <w:t>徐水经济开发区</w:t>
            </w:r>
            <w:r>
              <w:rPr>
                <w:rFonts w:ascii="Times New Roman" w:hAnsi="Times New Roman"/>
                <w:bCs/>
                <w:color w:val="auto"/>
                <w:highlight w:val="none"/>
              </w:rPr>
              <w:t>，</w:t>
            </w:r>
            <w:r>
              <w:rPr>
                <w:rFonts w:ascii="Times New Roman" w:hAnsi="Times New Roman"/>
                <w:color w:val="auto"/>
                <w:highlight w:val="none"/>
              </w:rPr>
              <w:t>不在保定市沙区范围内。</w:t>
            </w:r>
          </w:p>
          <w:p w14:paraId="7D46AD76">
            <w:pPr>
              <w:spacing w:line="500" w:lineRule="exact"/>
              <w:ind w:firstLine="480" w:firstLineChars="200"/>
              <w:rPr>
                <w:rFonts w:ascii="Times New Roman" w:hAnsi="Times New Roman" w:eastAsiaTheme="minorEastAsia"/>
                <w:color w:val="auto"/>
                <w:sz w:val="24"/>
                <w:highlight w:val="none"/>
              </w:rPr>
            </w:pPr>
            <w:r>
              <w:rPr>
                <w:rFonts w:ascii="Times New Roman" w:hAnsi="Times New Roman" w:eastAsiaTheme="minorEastAsia"/>
                <w:color w:val="auto"/>
                <w:sz w:val="24"/>
                <w:highlight w:val="none"/>
              </w:rPr>
              <w:t>本项目边界外500m范围内无环境敏感点。项目周边无自然保护区、风景名胜区、饮用水源保护区、生态保护红线等其他重要环境敏感目标。项目建设不存在明显环境制约因素，与周边环境相容。</w:t>
            </w:r>
          </w:p>
          <w:p w14:paraId="6460F4B3">
            <w:pPr>
              <w:adjustRightInd w:val="0"/>
              <w:spacing w:line="500" w:lineRule="exact"/>
              <w:ind w:firstLine="480" w:firstLineChars="200"/>
              <w:rPr>
                <w:rFonts w:ascii="Times New Roman" w:hAnsi="Times New Roman" w:eastAsiaTheme="minorEastAsia"/>
                <w:color w:val="auto"/>
                <w:sz w:val="24"/>
                <w:highlight w:val="none"/>
              </w:rPr>
            </w:pPr>
            <w:r>
              <w:rPr>
                <w:rFonts w:ascii="Times New Roman" w:hAnsi="Times New Roman" w:eastAsiaTheme="minorEastAsia"/>
                <w:color w:val="auto"/>
                <w:sz w:val="24"/>
                <w:highlight w:val="none"/>
              </w:rPr>
              <w:t>（</w:t>
            </w:r>
            <w:r>
              <w:rPr>
                <w:rFonts w:hint="eastAsia" w:ascii="Times New Roman" w:hAnsi="Times New Roman" w:eastAsiaTheme="minorEastAsia"/>
                <w:color w:val="auto"/>
                <w:sz w:val="24"/>
                <w:highlight w:val="none"/>
                <w:lang w:val="en-US" w:eastAsia="zh-CN"/>
              </w:rPr>
              <w:t>4</w:t>
            </w:r>
            <w:r>
              <w:rPr>
                <w:rFonts w:ascii="Times New Roman" w:hAnsi="Times New Roman" w:eastAsiaTheme="minorEastAsia"/>
                <w:color w:val="auto"/>
                <w:sz w:val="24"/>
                <w:highlight w:val="none"/>
              </w:rPr>
              <w:t>）环境影响评价结果分析</w:t>
            </w:r>
          </w:p>
          <w:p w14:paraId="38C352EB">
            <w:pPr>
              <w:adjustRightInd w:val="0"/>
              <w:spacing w:line="500" w:lineRule="exact"/>
              <w:ind w:firstLine="480" w:firstLineChars="200"/>
              <w:rPr>
                <w:rFonts w:ascii="Times New Roman" w:hAnsi="Times New Roman" w:eastAsiaTheme="minorEastAsia"/>
                <w:color w:val="auto"/>
                <w:kern w:val="0"/>
                <w:sz w:val="24"/>
                <w:highlight w:val="none"/>
              </w:rPr>
            </w:pPr>
            <w:r>
              <w:rPr>
                <w:rFonts w:ascii="Times New Roman" w:hAnsi="Times New Roman" w:eastAsiaTheme="minorEastAsia"/>
                <w:color w:val="auto"/>
                <w:kern w:val="0"/>
                <w:sz w:val="24"/>
                <w:highlight w:val="none"/>
              </w:rPr>
              <w:t>环境影响分析结果表明，项目认真落实各项污染治理措施和本报告提出的各项环保对策建议后，项目能够实现废气稳定达标排放，噪声排放和固废堆存、管理分别达到相应标准要求，</w:t>
            </w:r>
            <w:r>
              <w:rPr>
                <w:rFonts w:hint="eastAsia" w:ascii="Times New Roman" w:hAnsi="Times New Roman" w:eastAsiaTheme="minorEastAsia"/>
                <w:color w:val="auto"/>
                <w:kern w:val="0"/>
                <w:sz w:val="24"/>
                <w:highlight w:val="none"/>
                <w:lang w:val="en-US" w:eastAsia="zh-CN"/>
              </w:rPr>
              <w:t>环境风险可控，</w:t>
            </w:r>
            <w:r>
              <w:rPr>
                <w:rFonts w:ascii="Times New Roman" w:hAnsi="Times New Roman" w:eastAsiaTheme="minorEastAsia"/>
                <w:color w:val="auto"/>
                <w:kern w:val="0"/>
                <w:sz w:val="24"/>
                <w:highlight w:val="none"/>
              </w:rPr>
              <w:t>拟建项目对周围环境影响不大。</w:t>
            </w:r>
          </w:p>
          <w:p w14:paraId="5628F2AC">
            <w:pPr>
              <w:spacing w:line="500" w:lineRule="exact"/>
              <w:ind w:firstLine="480" w:firstLineChars="200"/>
              <w:rPr>
                <w:rFonts w:ascii="Times New Roman" w:hAnsi="Times New Roman" w:eastAsiaTheme="minorEastAsia"/>
                <w:color w:val="auto"/>
                <w:highlight w:val="none"/>
              </w:rPr>
            </w:pPr>
            <w:r>
              <w:rPr>
                <w:rFonts w:ascii="Times New Roman" w:hAnsi="Times New Roman" w:eastAsiaTheme="minorEastAsia"/>
                <w:color w:val="auto"/>
                <w:sz w:val="24"/>
                <w:highlight w:val="none"/>
              </w:rPr>
              <w:t>综上所述，项目选址从环保角度考虑可行。</w:t>
            </w:r>
          </w:p>
          <w:p w14:paraId="7EBEE993">
            <w:pPr>
              <w:pStyle w:val="5"/>
              <w:rPr>
                <w:rFonts w:ascii="Times New Roman" w:hAnsi="Times New Roman"/>
                <w:color w:val="auto"/>
                <w:highlight w:val="none"/>
              </w:rPr>
            </w:pPr>
          </w:p>
          <w:p w14:paraId="64C4B7A0">
            <w:pPr>
              <w:rPr>
                <w:rFonts w:ascii="Times New Roman" w:hAnsi="Times New Roman"/>
                <w:color w:val="auto"/>
                <w:highlight w:val="none"/>
              </w:rPr>
            </w:pPr>
          </w:p>
          <w:p w14:paraId="316678C4">
            <w:pPr>
              <w:pStyle w:val="5"/>
              <w:rPr>
                <w:rFonts w:ascii="Times New Roman" w:hAnsi="Times New Roman"/>
                <w:color w:val="auto"/>
                <w:highlight w:val="none"/>
              </w:rPr>
            </w:pPr>
          </w:p>
          <w:p w14:paraId="53D88443">
            <w:pPr>
              <w:rPr>
                <w:rFonts w:ascii="Times New Roman" w:hAnsi="Times New Roman"/>
                <w:color w:val="auto"/>
                <w:highlight w:val="none"/>
              </w:rPr>
            </w:pPr>
          </w:p>
          <w:p w14:paraId="431A2221">
            <w:pPr>
              <w:pStyle w:val="5"/>
              <w:rPr>
                <w:rFonts w:ascii="Times New Roman" w:hAnsi="Times New Roman"/>
                <w:color w:val="auto"/>
                <w:highlight w:val="none"/>
              </w:rPr>
            </w:pPr>
          </w:p>
          <w:p w14:paraId="700B2F16">
            <w:pPr>
              <w:rPr>
                <w:rFonts w:ascii="Times New Roman" w:hAnsi="Times New Roman"/>
                <w:color w:val="auto"/>
                <w:highlight w:val="none"/>
              </w:rPr>
            </w:pPr>
          </w:p>
          <w:p w14:paraId="4C99AA41">
            <w:pPr>
              <w:pStyle w:val="5"/>
              <w:rPr>
                <w:rFonts w:ascii="Times New Roman" w:hAnsi="Times New Roman"/>
                <w:color w:val="auto"/>
                <w:highlight w:val="none"/>
              </w:rPr>
            </w:pPr>
          </w:p>
          <w:p w14:paraId="074E81F7">
            <w:pPr>
              <w:rPr>
                <w:rFonts w:ascii="Times New Roman" w:hAnsi="Times New Roman"/>
                <w:color w:val="auto"/>
                <w:highlight w:val="none"/>
              </w:rPr>
            </w:pPr>
          </w:p>
          <w:p w14:paraId="7E92392C">
            <w:pPr>
              <w:pStyle w:val="5"/>
              <w:rPr>
                <w:rFonts w:ascii="Times New Roman" w:hAnsi="Times New Roman"/>
                <w:color w:val="auto"/>
                <w:highlight w:val="none"/>
              </w:rPr>
            </w:pPr>
          </w:p>
          <w:p w14:paraId="583F0E5A">
            <w:pPr>
              <w:rPr>
                <w:rFonts w:ascii="Times New Roman" w:hAnsi="Times New Roman"/>
                <w:color w:val="auto"/>
                <w:highlight w:val="none"/>
              </w:rPr>
            </w:pPr>
          </w:p>
          <w:p w14:paraId="3F36B004">
            <w:pPr>
              <w:pStyle w:val="5"/>
              <w:rPr>
                <w:rFonts w:ascii="Times New Roman" w:hAnsi="Times New Roman"/>
                <w:color w:val="auto"/>
                <w:highlight w:val="none"/>
              </w:rPr>
            </w:pPr>
          </w:p>
          <w:p w14:paraId="43FF0421">
            <w:pPr>
              <w:rPr>
                <w:rFonts w:ascii="Times New Roman" w:hAnsi="Times New Roman"/>
                <w:color w:val="auto"/>
                <w:highlight w:val="none"/>
              </w:rPr>
            </w:pPr>
          </w:p>
          <w:p w14:paraId="35E91C8E">
            <w:pPr>
              <w:pStyle w:val="5"/>
              <w:rPr>
                <w:rFonts w:ascii="Times New Roman" w:hAnsi="Times New Roman"/>
                <w:color w:val="auto"/>
                <w:highlight w:val="none"/>
              </w:rPr>
            </w:pPr>
          </w:p>
          <w:p w14:paraId="4D524F05">
            <w:pPr>
              <w:rPr>
                <w:rFonts w:ascii="Times New Roman" w:hAnsi="Times New Roman"/>
                <w:color w:val="auto"/>
                <w:highlight w:val="none"/>
              </w:rPr>
            </w:pPr>
          </w:p>
          <w:p w14:paraId="6EB47D97">
            <w:pPr>
              <w:pStyle w:val="5"/>
              <w:rPr>
                <w:rFonts w:ascii="Times New Roman" w:hAnsi="Times New Roman"/>
                <w:color w:val="auto"/>
                <w:highlight w:val="none"/>
              </w:rPr>
            </w:pPr>
          </w:p>
          <w:p w14:paraId="256EC07F">
            <w:pPr>
              <w:rPr>
                <w:rFonts w:ascii="Times New Roman" w:hAnsi="Times New Roman"/>
                <w:color w:val="auto"/>
                <w:highlight w:val="none"/>
              </w:rPr>
            </w:pPr>
          </w:p>
          <w:p w14:paraId="113C43F9">
            <w:pPr>
              <w:pStyle w:val="5"/>
              <w:rPr>
                <w:rFonts w:ascii="Times New Roman" w:hAnsi="Times New Roman"/>
                <w:color w:val="auto"/>
                <w:highlight w:val="none"/>
              </w:rPr>
            </w:pPr>
          </w:p>
          <w:p w14:paraId="5544B52B">
            <w:pPr>
              <w:pStyle w:val="5"/>
              <w:rPr>
                <w:rFonts w:ascii="Times New Roman" w:hAnsi="Times New Roman"/>
                <w:color w:val="auto"/>
                <w:highlight w:val="none"/>
              </w:rPr>
            </w:pPr>
          </w:p>
          <w:p w14:paraId="0C154F93">
            <w:pPr>
              <w:pStyle w:val="5"/>
              <w:rPr>
                <w:rFonts w:ascii="Times New Roman" w:hAnsi="Times New Roman"/>
                <w:color w:val="auto"/>
                <w:highlight w:val="none"/>
              </w:rPr>
            </w:pPr>
          </w:p>
          <w:p w14:paraId="13F77913">
            <w:pPr>
              <w:pStyle w:val="5"/>
              <w:rPr>
                <w:rFonts w:ascii="Times New Roman" w:hAnsi="Times New Roman"/>
                <w:color w:val="auto"/>
                <w:highlight w:val="none"/>
              </w:rPr>
            </w:pPr>
          </w:p>
          <w:p w14:paraId="446A91BC">
            <w:pPr>
              <w:pStyle w:val="5"/>
              <w:tabs>
                <w:tab w:val="left" w:pos="1386"/>
              </w:tabs>
              <w:rPr>
                <w:rFonts w:hint="eastAsia" w:ascii="Times New Roman" w:hAnsi="Times New Roman"/>
                <w:color w:val="auto"/>
                <w:highlight w:val="none"/>
                <w:lang w:eastAsia="zh-CN"/>
              </w:rPr>
            </w:pPr>
            <w:r>
              <w:rPr>
                <w:rFonts w:hint="eastAsia" w:ascii="Times New Roman" w:hAnsi="Times New Roman"/>
                <w:color w:val="auto"/>
                <w:highlight w:val="none"/>
                <w:lang w:eastAsia="zh-CN"/>
              </w:rPr>
              <w:tab/>
            </w:r>
          </w:p>
          <w:p w14:paraId="4193D91E">
            <w:pPr>
              <w:pStyle w:val="6"/>
            </w:pPr>
          </w:p>
          <w:p w14:paraId="1DF3AE8C">
            <w:pPr>
              <w:rPr>
                <w:rFonts w:ascii="Times New Roman" w:hAnsi="Times New Roman"/>
                <w:color w:val="auto"/>
                <w:highlight w:val="none"/>
              </w:rPr>
            </w:pPr>
          </w:p>
          <w:p w14:paraId="1AF3A947">
            <w:pPr>
              <w:rPr>
                <w:rFonts w:ascii="Times New Roman" w:hAnsi="Times New Roman"/>
                <w:color w:val="auto"/>
                <w:highlight w:val="none"/>
              </w:rPr>
            </w:pPr>
          </w:p>
          <w:p w14:paraId="1312BBE8">
            <w:pPr>
              <w:rPr>
                <w:rFonts w:ascii="Times New Roman" w:hAnsi="Times New Roman"/>
                <w:color w:val="auto"/>
                <w:highlight w:val="none"/>
              </w:rPr>
            </w:pPr>
          </w:p>
          <w:p w14:paraId="697B56F9">
            <w:pPr>
              <w:ind w:firstLine="468" w:firstLineChars="0"/>
              <w:rPr>
                <w:rFonts w:ascii="Times New Roman" w:hAnsi="Times New Roman"/>
                <w:color w:val="auto"/>
                <w:highlight w:val="none"/>
              </w:rPr>
            </w:pPr>
          </w:p>
          <w:p w14:paraId="3698D5AC">
            <w:pPr>
              <w:ind w:firstLine="468" w:firstLineChars="0"/>
              <w:rPr>
                <w:rFonts w:ascii="Times New Roman" w:hAnsi="Times New Roman"/>
                <w:color w:val="auto"/>
                <w:highlight w:val="none"/>
              </w:rPr>
            </w:pPr>
          </w:p>
          <w:p w14:paraId="020691DF">
            <w:pPr>
              <w:ind w:firstLine="468" w:firstLineChars="0"/>
              <w:rPr>
                <w:rFonts w:ascii="Times New Roman" w:hAnsi="Times New Roman"/>
                <w:color w:val="auto"/>
                <w:highlight w:val="none"/>
              </w:rPr>
            </w:pPr>
          </w:p>
          <w:p w14:paraId="1D0B25BC">
            <w:pPr>
              <w:ind w:firstLine="468" w:firstLineChars="0"/>
              <w:rPr>
                <w:rFonts w:ascii="Times New Roman" w:hAnsi="Times New Roman"/>
                <w:color w:val="auto"/>
                <w:highlight w:val="none"/>
              </w:rPr>
            </w:pPr>
          </w:p>
          <w:p w14:paraId="7EC72BAE">
            <w:pPr>
              <w:ind w:firstLine="468" w:firstLineChars="0"/>
              <w:rPr>
                <w:rFonts w:ascii="Times New Roman" w:hAnsi="Times New Roman"/>
                <w:color w:val="auto"/>
                <w:highlight w:val="none"/>
              </w:rPr>
            </w:pPr>
          </w:p>
          <w:p w14:paraId="3653B02E">
            <w:pPr>
              <w:ind w:firstLine="468" w:firstLineChars="0"/>
              <w:rPr>
                <w:rFonts w:ascii="Times New Roman" w:hAnsi="Times New Roman"/>
                <w:color w:val="auto"/>
                <w:highlight w:val="none"/>
              </w:rPr>
            </w:pPr>
          </w:p>
          <w:p w14:paraId="22A12B43">
            <w:pPr>
              <w:ind w:firstLine="468" w:firstLineChars="0"/>
              <w:rPr>
                <w:rFonts w:ascii="Times New Roman" w:hAnsi="Times New Roman"/>
                <w:color w:val="auto"/>
                <w:highlight w:val="none"/>
              </w:rPr>
            </w:pPr>
          </w:p>
          <w:p w14:paraId="1F3171FC">
            <w:pPr>
              <w:ind w:firstLine="468" w:firstLineChars="0"/>
              <w:rPr>
                <w:rFonts w:ascii="Times New Roman" w:hAnsi="Times New Roman"/>
                <w:color w:val="auto"/>
                <w:highlight w:val="none"/>
              </w:rPr>
            </w:pPr>
          </w:p>
          <w:p w14:paraId="07DE786B">
            <w:pPr>
              <w:ind w:firstLine="468" w:firstLineChars="0"/>
              <w:rPr>
                <w:rFonts w:ascii="Times New Roman" w:hAnsi="Times New Roman"/>
                <w:color w:val="auto"/>
                <w:highlight w:val="none"/>
              </w:rPr>
            </w:pPr>
          </w:p>
          <w:p w14:paraId="03FE75A1">
            <w:pPr>
              <w:ind w:firstLine="468" w:firstLineChars="0"/>
              <w:rPr>
                <w:rFonts w:ascii="Times New Roman" w:hAnsi="Times New Roman"/>
                <w:color w:val="auto"/>
                <w:highlight w:val="none"/>
              </w:rPr>
            </w:pPr>
          </w:p>
          <w:p w14:paraId="23168058">
            <w:pPr>
              <w:ind w:firstLine="468" w:firstLineChars="0"/>
              <w:rPr>
                <w:rFonts w:ascii="Times New Roman" w:hAnsi="Times New Roman"/>
                <w:color w:val="auto"/>
                <w:highlight w:val="none"/>
              </w:rPr>
            </w:pPr>
          </w:p>
          <w:p w14:paraId="03E80BFD">
            <w:pPr>
              <w:rPr>
                <w:rFonts w:ascii="Times New Roman" w:hAnsi="Times New Roman"/>
                <w:color w:val="auto"/>
                <w:highlight w:val="none"/>
              </w:rPr>
            </w:pPr>
          </w:p>
        </w:tc>
      </w:tr>
    </w:tbl>
    <w:p w14:paraId="2AB0833F">
      <w:pPr>
        <w:spacing w:line="360" w:lineRule="auto"/>
        <w:rPr>
          <w:rFonts w:ascii="Times New Roman" w:hAnsi="Times New Roman" w:eastAsiaTheme="minorEastAsia"/>
          <w:color w:val="auto"/>
          <w:sz w:val="30"/>
          <w:highlight w:val="none"/>
        </w:rPr>
        <w:sectPr>
          <w:footerReference r:id="rId8" w:type="default"/>
          <w:pgSz w:w="11906" w:h="16838"/>
          <w:pgMar w:top="1440" w:right="1531" w:bottom="1440"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59F204DA">
      <w:pPr>
        <w:widowControl/>
        <w:jc w:val="center"/>
        <w:outlineLvl w:val="0"/>
        <w:rPr>
          <w:rFonts w:ascii="Times New Roman" w:hAnsi="Times New Roman"/>
          <w:color w:val="auto"/>
          <w:highlight w:val="none"/>
        </w:rPr>
      </w:pPr>
      <w:bookmarkStart w:id="9" w:name="_Toc4429"/>
      <w:bookmarkStart w:id="10" w:name="_Toc25168"/>
      <w:r>
        <w:rPr>
          <w:rFonts w:ascii="Times New Roman" w:hAnsi="Times New Roman" w:eastAsiaTheme="minorEastAsia"/>
          <w:b/>
          <w:snapToGrid w:val="0"/>
          <w:color w:val="auto"/>
          <w:kern w:val="0"/>
          <w:sz w:val="30"/>
          <w:szCs w:val="30"/>
          <w:highlight w:val="none"/>
        </w:rPr>
        <w:t>二、建设项目工程分析</w:t>
      </w:r>
      <w:bookmarkEnd w:id="9"/>
      <w:bookmarkEnd w:id="10"/>
    </w:p>
    <w:tbl>
      <w:tblPr>
        <w:tblStyle w:val="31"/>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3"/>
        <w:gridCol w:w="8524"/>
      </w:tblGrid>
      <w:tr w14:paraId="31BC29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294" w:type="pct"/>
            <w:vAlign w:val="center"/>
          </w:tcPr>
          <w:p w14:paraId="53C2F665">
            <w:pPr>
              <w:pStyle w:val="5"/>
              <w:rPr>
                <w:rFonts w:ascii="Times New Roman" w:hAnsi="Times New Roman" w:eastAsiaTheme="minorEastAsia"/>
                <w:color w:val="auto"/>
                <w:highlight w:val="none"/>
              </w:rPr>
            </w:pPr>
          </w:p>
          <w:p w14:paraId="0D49DBF2">
            <w:pPr>
              <w:widowControl/>
              <w:adjustRightInd w:val="0"/>
              <w:snapToGrid w:val="0"/>
              <w:jc w:val="center"/>
              <w:rPr>
                <w:rFonts w:ascii="Times New Roman" w:hAnsi="Times New Roman" w:eastAsiaTheme="minorEastAsia"/>
                <w:color w:val="auto"/>
                <w:kern w:val="0"/>
                <w:sz w:val="24"/>
                <w:szCs w:val="20"/>
                <w:highlight w:val="none"/>
              </w:rPr>
            </w:pPr>
            <w:r>
              <w:rPr>
                <w:rFonts w:ascii="Times New Roman" w:hAnsi="Times New Roman" w:eastAsiaTheme="minorEastAsia"/>
                <w:b/>
                <w:bCs/>
                <w:color w:val="auto"/>
                <w:kern w:val="0"/>
                <w:sz w:val="24"/>
                <w:szCs w:val="20"/>
                <w:highlight w:val="none"/>
              </w:rPr>
              <w:t>建设内容</w:t>
            </w:r>
          </w:p>
          <w:p w14:paraId="660B5F37">
            <w:pPr>
              <w:pStyle w:val="5"/>
              <w:rPr>
                <w:rFonts w:ascii="Times New Roman" w:hAnsi="Times New Roman" w:eastAsiaTheme="minorEastAsia"/>
                <w:color w:val="auto"/>
                <w:szCs w:val="24"/>
                <w:highlight w:val="none"/>
              </w:rPr>
            </w:pPr>
          </w:p>
        </w:tc>
        <w:tc>
          <w:tcPr>
            <w:tcW w:w="4705" w:type="pct"/>
            <w:vAlign w:val="center"/>
          </w:tcPr>
          <w:p w14:paraId="171239AB">
            <w:pPr>
              <w:spacing w:line="360" w:lineRule="auto"/>
              <w:ind w:firstLine="480" w:firstLineChars="200"/>
              <w:rPr>
                <w:rFonts w:ascii="Times New Roman" w:hAnsi="Times New Roman" w:eastAsiaTheme="minorEastAsia"/>
                <w:color w:val="auto"/>
                <w:kern w:val="0"/>
                <w:sz w:val="24"/>
                <w:highlight w:val="none"/>
              </w:rPr>
            </w:pPr>
            <w:r>
              <w:rPr>
                <w:rFonts w:ascii="Times New Roman" w:hAnsi="Times New Roman" w:eastAsiaTheme="minorEastAsia"/>
                <w:color w:val="auto"/>
                <w:kern w:val="0"/>
                <w:sz w:val="24"/>
                <w:highlight w:val="none"/>
              </w:rPr>
              <w:t>1、项目由来</w:t>
            </w:r>
          </w:p>
          <w:p w14:paraId="796BEFEE">
            <w:pPr>
              <w:spacing w:line="360" w:lineRule="auto"/>
              <w:ind w:firstLine="480" w:firstLineChars="200"/>
              <w:rPr>
                <w:rFonts w:ascii="Times New Roman" w:hAnsi="Times New Roman" w:eastAsiaTheme="minorEastAsia"/>
                <w:color w:val="auto"/>
                <w:kern w:val="0"/>
                <w:sz w:val="24"/>
                <w:highlight w:val="none"/>
              </w:rPr>
            </w:pPr>
            <w:r>
              <w:rPr>
                <w:rFonts w:ascii="Times New Roman" w:hAnsi="Times New Roman" w:eastAsiaTheme="minorEastAsia"/>
                <w:color w:val="auto"/>
                <w:kern w:val="0"/>
                <w:sz w:val="24"/>
                <w:highlight w:val="none"/>
              </w:rPr>
              <w:t>河北良鋆环保科技有限公司成立于202</w:t>
            </w:r>
            <w:r>
              <w:rPr>
                <w:rFonts w:hint="eastAsia" w:ascii="Times New Roman" w:hAnsi="Times New Roman" w:eastAsiaTheme="minorEastAsia"/>
                <w:color w:val="auto"/>
                <w:kern w:val="0"/>
                <w:sz w:val="24"/>
                <w:highlight w:val="none"/>
              </w:rPr>
              <w:t>3</w:t>
            </w:r>
            <w:r>
              <w:rPr>
                <w:rFonts w:ascii="Times New Roman" w:hAnsi="Times New Roman" w:eastAsiaTheme="minorEastAsia"/>
                <w:color w:val="auto"/>
                <w:kern w:val="0"/>
                <w:sz w:val="24"/>
                <w:highlight w:val="none"/>
              </w:rPr>
              <w:t>年</w:t>
            </w:r>
            <w:r>
              <w:rPr>
                <w:rFonts w:hint="eastAsia" w:ascii="Times New Roman" w:hAnsi="Times New Roman" w:eastAsiaTheme="minorEastAsia"/>
                <w:color w:val="auto"/>
                <w:kern w:val="0"/>
                <w:sz w:val="24"/>
                <w:highlight w:val="none"/>
              </w:rPr>
              <w:t>3</w:t>
            </w:r>
            <w:r>
              <w:rPr>
                <w:rFonts w:ascii="Times New Roman" w:hAnsi="Times New Roman" w:eastAsiaTheme="minorEastAsia"/>
                <w:color w:val="auto"/>
                <w:kern w:val="0"/>
                <w:sz w:val="24"/>
                <w:highlight w:val="none"/>
              </w:rPr>
              <w:t>月</w:t>
            </w:r>
            <w:r>
              <w:rPr>
                <w:rFonts w:hint="eastAsia" w:ascii="Times New Roman" w:hAnsi="Times New Roman" w:eastAsiaTheme="minorEastAsia"/>
                <w:color w:val="auto"/>
                <w:kern w:val="0"/>
                <w:sz w:val="24"/>
                <w:highlight w:val="none"/>
              </w:rPr>
              <w:t>31</w:t>
            </w:r>
            <w:r>
              <w:rPr>
                <w:rFonts w:ascii="Times New Roman" w:hAnsi="Times New Roman" w:eastAsiaTheme="minorEastAsia"/>
                <w:color w:val="auto"/>
                <w:kern w:val="0"/>
                <w:sz w:val="24"/>
                <w:highlight w:val="none"/>
              </w:rPr>
              <w:t>日，位于保定市徐水区徐水经济开发区</w:t>
            </w:r>
            <w:r>
              <w:rPr>
                <w:rFonts w:hint="eastAsia" w:ascii="Times New Roman" w:hAnsi="Times New Roman" w:eastAsiaTheme="minorEastAsia"/>
                <w:color w:val="auto"/>
                <w:kern w:val="0"/>
                <w:sz w:val="24"/>
                <w:highlight w:val="none"/>
              </w:rPr>
              <w:t>小微企业园，是一家专业从事危险废物的收集、贮存工作的</w:t>
            </w:r>
            <w:r>
              <w:rPr>
                <w:rFonts w:hint="eastAsia" w:ascii="Times New Roman" w:hAnsi="Times New Roman" w:eastAsiaTheme="minorEastAsia"/>
                <w:color w:val="auto"/>
                <w:kern w:val="0"/>
                <w:sz w:val="24"/>
                <w:highlight w:val="none"/>
                <w:lang w:val="en-US" w:eastAsia="zh-CN"/>
              </w:rPr>
              <w:t>公司</w:t>
            </w:r>
            <w:r>
              <w:rPr>
                <w:rFonts w:hint="eastAsia" w:ascii="Times New Roman" w:hAnsi="Times New Roman" w:eastAsiaTheme="minorEastAsia"/>
                <w:color w:val="auto"/>
                <w:kern w:val="0"/>
                <w:sz w:val="24"/>
                <w:highlight w:val="none"/>
              </w:rPr>
              <w:t>。</w:t>
            </w:r>
          </w:p>
          <w:p w14:paraId="3E6D3DC9">
            <w:pPr>
              <w:spacing w:line="360" w:lineRule="auto"/>
              <w:ind w:firstLine="480" w:firstLineChars="200"/>
              <w:rPr>
                <w:rFonts w:ascii="Times New Roman" w:hAnsi="Times New Roman" w:eastAsiaTheme="minorEastAsia"/>
                <w:color w:val="auto"/>
                <w:kern w:val="0"/>
                <w:sz w:val="24"/>
                <w:highlight w:val="none"/>
              </w:rPr>
            </w:pPr>
            <w:r>
              <w:rPr>
                <w:rFonts w:ascii="Times New Roman" w:hAnsi="Times New Roman" w:eastAsiaTheme="minorEastAsia"/>
                <w:color w:val="auto"/>
                <w:kern w:val="0"/>
                <w:sz w:val="24"/>
                <w:highlight w:val="none"/>
              </w:rPr>
              <w:t xml:space="preserve">2020 </w:t>
            </w:r>
            <w:r>
              <w:rPr>
                <w:rFonts w:hint="eastAsia" w:ascii="Times New Roman" w:hAnsi="Times New Roman" w:eastAsiaTheme="minorEastAsia"/>
                <w:color w:val="auto"/>
                <w:kern w:val="0"/>
                <w:sz w:val="24"/>
                <w:highlight w:val="none"/>
              </w:rPr>
              <w:t>年</w:t>
            </w:r>
            <w:r>
              <w:rPr>
                <w:rFonts w:ascii="Times New Roman" w:hAnsi="Times New Roman" w:eastAsiaTheme="minorEastAsia"/>
                <w:color w:val="auto"/>
                <w:kern w:val="0"/>
                <w:sz w:val="24"/>
                <w:highlight w:val="none"/>
              </w:rPr>
              <w:t xml:space="preserve">4 </w:t>
            </w:r>
            <w:r>
              <w:rPr>
                <w:rFonts w:hint="eastAsia" w:ascii="Times New Roman" w:hAnsi="Times New Roman" w:eastAsiaTheme="minorEastAsia"/>
                <w:color w:val="auto"/>
                <w:kern w:val="0"/>
                <w:sz w:val="24"/>
                <w:highlight w:val="none"/>
              </w:rPr>
              <w:t>月</w:t>
            </w:r>
            <w:r>
              <w:rPr>
                <w:rFonts w:ascii="Times New Roman" w:hAnsi="Times New Roman" w:eastAsiaTheme="minorEastAsia"/>
                <w:color w:val="auto"/>
                <w:kern w:val="0"/>
                <w:sz w:val="24"/>
                <w:highlight w:val="none"/>
              </w:rPr>
              <w:t xml:space="preserve">29 </w:t>
            </w:r>
            <w:r>
              <w:rPr>
                <w:rFonts w:hint="eastAsia" w:ascii="Times New Roman" w:hAnsi="Times New Roman" w:eastAsiaTheme="minorEastAsia"/>
                <w:color w:val="auto"/>
                <w:kern w:val="0"/>
                <w:sz w:val="24"/>
                <w:highlight w:val="none"/>
              </w:rPr>
              <w:t>日，十三届全国人大常委会第十七次会议审议通过了修订后的《固体废物污染环境防治法》，该防治法自</w:t>
            </w:r>
            <w:r>
              <w:rPr>
                <w:rFonts w:ascii="Times New Roman" w:hAnsi="Times New Roman" w:eastAsiaTheme="minorEastAsia"/>
                <w:color w:val="auto"/>
                <w:kern w:val="0"/>
                <w:sz w:val="24"/>
                <w:highlight w:val="none"/>
              </w:rPr>
              <w:t>2020</w:t>
            </w:r>
            <w:r>
              <w:rPr>
                <w:rFonts w:hint="eastAsia" w:ascii="Times New Roman" w:hAnsi="Times New Roman" w:eastAsiaTheme="minorEastAsia"/>
                <w:color w:val="auto"/>
                <w:kern w:val="0"/>
                <w:sz w:val="24"/>
                <w:highlight w:val="none"/>
              </w:rPr>
              <w:t>年</w:t>
            </w:r>
            <w:r>
              <w:rPr>
                <w:rFonts w:ascii="Times New Roman" w:hAnsi="Times New Roman" w:eastAsiaTheme="minorEastAsia"/>
                <w:color w:val="auto"/>
                <w:kern w:val="0"/>
                <w:sz w:val="24"/>
                <w:highlight w:val="none"/>
              </w:rPr>
              <w:t>9</w:t>
            </w:r>
            <w:r>
              <w:rPr>
                <w:rFonts w:hint="eastAsia" w:ascii="Times New Roman" w:hAnsi="Times New Roman" w:eastAsiaTheme="minorEastAsia"/>
                <w:color w:val="auto"/>
                <w:kern w:val="0"/>
                <w:sz w:val="24"/>
                <w:highlight w:val="none"/>
              </w:rPr>
              <w:t>月</w:t>
            </w:r>
            <w:r>
              <w:rPr>
                <w:rFonts w:ascii="Times New Roman" w:hAnsi="Times New Roman" w:eastAsiaTheme="minorEastAsia"/>
                <w:color w:val="auto"/>
                <w:kern w:val="0"/>
                <w:sz w:val="24"/>
                <w:highlight w:val="none"/>
              </w:rPr>
              <w:t>1</w:t>
            </w:r>
            <w:r>
              <w:rPr>
                <w:rFonts w:hint="eastAsia" w:ascii="Times New Roman" w:hAnsi="Times New Roman" w:eastAsiaTheme="minorEastAsia"/>
                <w:color w:val="auto"/>
                <w:kern w:val="0"/>
                <w:sz w:val="24"/>
                <w:highlight w:val="none"/>
              </w:rPr>
              <w:t>日起施行，防治法的实施进一步加强了对危险废物的管理要求，同时根据《河北省人民政府办公厅关于印发河北省工业废料废液等危险废物排查整治实施方案的通知》，各企事业单位产生的危险废物均需规范化收集及处置。</w:t>
            </w:r>
          </w:p>
          <w:p w14:paraId="71060B81">
            <w:pPr>
              <w:spacing w:line="360" w:lineRule="auto"/>
              <w:ind w:firstLine="480" w:firstLineChars="200"/>
              <w:rPr>
                <w:rFonts w:ascii="Times New Roman" w:hAnsi="Times New Roman" w:eastAsiaTheme="minorEastAsia"/>
                <w:color w:val="auto"/>
                <w:kern w:val="0"/>
                <w:sz w:val="24"/>
                <w:highlight w:val="none"/>
              </w:rPr>
            </w:pPr>
            <w:r>
              <w:rPr>
                <w:rFonts w:hint="eastAsia" w:ascii="Times New Roman" w:hAnsi="Times New Roman" w:eastAsiaTheme="minorEastAsia"/>
                <w:color w:val="auto"/>
                <w:kern w:val="0"/>
                <w:sz w:val="24"/>
                <w:highlight w:val="none"/>
              </w:rPr>
              <w:t>根据河北省土壤污染防治工作领导小组办公室文件《关于加强全省危险废物收集利用处置能力建设的紧急通知》（冀土领办</w:t>
            </w:r>
            <w:r>
              <w:rPr>
                <w:rFonts w:ascii="Times New Roman" w:hAnsi="Times New Roman" w:eastAsiaTheme="minorEastAsia"/>
                <w:color w:val="auto"/>
                <w:kern w:val="0"/>
                <w:sz w:val="24"/>
                <w:highlight w:val="none"/>
              </w:rPr>
              <w:t>[2020]21</w:t>
            </w:r>
            <w:r>
              <w:rPr>
                <w:rFonts w:hint="eastAsia" w:ascii="Times New Roman" w:hAnsi="Times New Roman" w:eastAsiaTheme="minorEastAsia"/>
                <w:color w:val="auto"/>
                <w:kern w:val="0"/>
                <w:sz w:val="24"/>
                <w:highlight w:val="none"/>
              </w:rPr>
              <w:t>号）要求：为贯彻落实关于“加快补齐医疗废物、危险废物收集处理设施方面短板”的精神，立足于补齐完善危险废物收集利用处置体系，提升全省危险废物规范化管理水平，堵塞危险废物非法处置漏洞，有效降低环境风险，各地加快推进危险废物收集转运试点建设，可在现有废矿物油收集点、</w:t>
            </w:r>
            <w:r>
              <w:rPr>
                <w:rFonts w:hint="eastAsia" w:ascii="Times New Roman" w:hAnsi="Times New Roman" w:eastAsiaTheme="minorEastAsia"/>
                <w:color w:val="auto"/>
                <w:kern w:val="0"/>
                <w:sz w:val="24"/>
                <w:highlight w:val="none"/>
                <w:lang w:eastAsia="zh-CN"/>
              </w:rPr>
              <w:t>废旧铅酸蓄电池</w:t>
            </w:r>
            <w:r>
              <w:rPr>
                <w:rFonts w:hint="eastAsia" w:ascii="Times New Roman" w:hAnsi="Times New Roman" w:eastAsiaTheme="minorEastAsia"/>
                <w:color w:val="auto"/>
                <w:kern w:val="0"/>
                <w:sz w:val="24"/>
                <w:highlight w:val="none"/>
              </w:rPr>
              <w:t>收集试点、机动车维修行业收集试点基础上提升改造后增加收集种类，建设收集站点。</w:t>
            </w:r>
          </w:p>
          <w:p w14:paraId="3BEB32FB">
            <w:pPr>
              <w:spacing w:line="360" w:lineRule="auto"/>
              <w:ind w:firstLine="480" w:firstLineChars="200"/>
              <w:rPr>
                <w:rFonts w:asciiTheme="minorEastAsia" w:hAnsiTheme="minorEastAsia" w:eastAsiaTheme="minorEastAsia"/>
                <w:color w:val="auto"/>
                <w:sz w:val="24"/>
                <w:szCs w:val="24"/>
                <w:highlight w:val="none"/>
              </w:rPr>
            </w:pPr>
            <w:r>
              <w:rPr>
                <w:rFonts w:hint="eastAsia" w:ascii="Times New Roman" w:hAnsi="Times New Roman" w:eastAsiaTheme="minorEastAsia"/>
                <w:color w:val="auto"/>
                <w:kern w:val="0"/>
                <w:sz w:val="24"/>
                <w:highlight w:val="none"/>
              </w:rPr>
              <w:t>在此危险废物管理要求越来越严格的背景下，</w:t>
            </w:r>
            <w:r>
              <w:rPr>
                <w:rFonts w:ascii="Times New Roman" w:hAnsi="Times New Roman" w:eastAsiaTheme="minorEastAsia"/>
                <w:color w:val="auto"/>
                <w:kern w:val="0"/>
                <w:sz w:val="24"/>
                <w:highlight w:val="none"/>
              </w:rPr>
              <w:t>河北良鋆环保科技有限公司</w:t>
            </w:r>
            <w:r>
              <w:rPr>
                <w:rFonts w:hint="eastAsia" w:ascii="Times New Roman" w:hAnsi="Times New Roman" w:eastAsiaTheme="minorEastAsia"/>
                <w:color w:val="auto"/>
                <w:kern w:val="0"/>
                <w:sz w:val="24"/>
                <w:highlight w:val="none"/>
              </w:rPr>
              <w:t>抓住此次机遇，拟建设本项目，</w:t>
            </w:r>
            <w:r>
              <w:rPr>
                <w:rFonts w:hint="eastAsia" w:asciiTheme="minorEastAsia" w:hAnsiTheme="minorEastAsia" w:eastAsiaTheme="minorEastAsia"/>
                <w:color w:val="auto"/>
                <w:sz w:val="24"/>
                <w:szCs w:val="24"/>
                <w:highlight w:val="none"/>
              </w:rPr>
              <w:t>收集</w:t>
            </w:r>
            <w:r>
              <w:rPr>
                <w:rFonts w:hint="eastAsia" w:asciiTheme="minorEastAsia" w:hAnsiTheme="minorEastAsia" w:eastAsiaTheme="minorEastAsia"/>
                <w:color w:val="auto"/>
                <w:sz w:val="24"/>
                <w:szCs w:val="24"/>
                <w:highlight w:val="none"/>
                <w:lang w:val="en-US" w:eastAsia="zh-CN"/>
              </w:rPr>
              <w:t>徐水经济开发区及周边</w:t>
            </w:r>
            <w:r>
              <w:rPr>
                <w:rFonts w:hint="eastAsia" w:asciiTheme="minorEastAsia" w:hAnsiTheme="minorEastAsia" w:eastAsiaTheme="minorEastAsia"/>
                <w:color w:val="auto"/>
                <w:sz w:val="24"/>
                <w:szCs w:val="24"/>
                <w:highlight w:val="none"/>
              </w:rPr>
              <w:t>河北省内企业产生的</w:t>
            </w:r>
            <w:r>
              <w:rPr>
                <w:rFonts w:hint="eastAsia" w:asciiTheme="minorEastAsia" w:hAnsiTheme="minorEastAsia" w:eastAsiaTheme="minorEastAsia"/>
                <w:color w:val="auto"/>
                <w:sz w:val="24"/>
                <w:szCs w:val="24"/>
                <w:highlight w:val="none"/>
                <w:lang w:eastAsia="zh-CN"/>
              </w:rPr>
              <w:t>废旧铅酸蓄电池</w:t>
            </w:r>
            <w:r>
              <w:rPr>
                <w:rFonts w:hint="eastAsia" w:asciiTheme="minorEastAsia" w:hAnsiTheme="minorEastAsia" w:eastAsiaTheme="minorEastAsia"/>
                <w:color w:val="auto"/>
                <w:sz w:val="24"/>
                <w:szCs w:val="24"/>
                <w:highlight w:val="none"/>
              </w:rPr>
              <w:t>。</w:t>
            </w:r>
          </w:p>
          <w:p w14:paraId="47C5E9EA">
            <w:pPr>
              <w:spacing w:line="360" w:lineRule="auto"/>
              <w:ind w:firstLine="480" w:firstLineChars="200"/>
              <w:rPr>
                <w:rFonts w:ascii="Times New Roman" w:hAnsi="Times New Roman" w:eastAsiaTheme="minorEastAsia"/>
                <w:color w:val="auto"/>
                <w:kern w:val="0"/>
                <w:sz w:val="24"/>
                <w:highlight w:val="none"/>
              </w:rPr>
            </w:pPr>
            <w:r>
              <w:rPr>
                <w:rFonts w:ascii="Times New Roman" w:hAnsi="Times New Roman" w:eastAsiaTheme="minorEastAsia"/>
                <w:color w:val="auto"/>
                <w:kern w:val="0"/>
                <w:sz w:val="24"/>
                <w:highlight w:val="none"/>
              </w:rPr>
              <w:t>2、工程概况</w:t>
            </w:r>
          </w:p>
          <w:p w14:paraId="14F40B26">
            <w:pPr>
              <w:spacing w:line="360" w:lineRule="auto"/>
              <w:ind w:firstLine="480" w:firstLineChars="200"/>
              <w:rPr>
                <w:rFonts w:ascii="Times New Roman" w:hAnsi="Times New Roman" w:eastAsiaTheme="minorEastAsia"/>
                <w:color w:val="auto"/>
                <w:kern w:val="0"/>
                <w:sz w:val="24"/>
                <w:highlight w:val="none"/>
              </w:rPr>
            </w:pPr>
            <w:r>
              <w:rPr>
                <w:rFonts w:ascii="Times New Roman" w:hAnsi="Times New Roman" w:eastAsiaTheme="minorEastAsia"/>
                <w:color w:val="auto"/>
                <w:kern w:val="0"/>
                <w:sz w:val="24"/>
                <w:highlight w:val="none"/>
              </w:rPr>
              <w:t>本项目位于保定市徐水区徐水经济开发区</w:t>
            </w:r>
            <w:r>
              <w:rPr>
                <w:rFonts w:hint="eastAsia" w:ascii="Times New Roman" w:hAnsi="Times New Roman" w:eastAsiaTheme="minorEastAsia"/>
                <w:color w:val="auto"/>
                <w:kern w:val="0"/>
                <w:sz w:val="24"/>
                <w:highlight w:val="none"/>
              </w:rPr>
              <w:t>小微企业园</w:t>
            </w:r>
            <w:r>
              <w:rPr>
                <w:rFonts w:ascii="Times New Roman" w:hAnsi="Times New Roman" w:eastAsiaTheme="minorEastAsia"/>
                <w:color w:val="auto"/>
                <w:kern w:val="0"/>
                <w:sz w:val="24"/>
                <w:highlight w:val="none"/>
              </w:rPr>
              <w:t>，中心地理坐标为东经115°2</w:t>
            </w:r>
            <w:r>
              <w:rPr>
                <w:rFonts w:hint="eastAsia" w:ascii="Times New Roman" w:hAnsi="Times New Roman" w:eastAsiaTheme="minorEastAsia"/>
                <w:color w:val="auto"/>
                <w:kern w:val="0"/>
                <w:sz w:val="24"/>
                <w:highlight w:val="none"/>
              </w:rPr>
              <w:t>7</w:t>
            </w:r>
            <w:r>
              <w:rPr>
                <w:rFonts w:ascii="Times New Roman" w:hAnsi="Times New Roman" w:eastAsiaTheme="minorEastAsia"/>
                <w:color w:val="auto"/>
                <w:kern w:val="0"/>
                <w:sz w:val="24"/>
                <w:highlight w:val="none"/>
              </w:rPr>
              <w:t>′</w:t>
            </w:r>
            <w:r>
              <w:rPr>
                <w:rFonts w:hint="eastAsia" w:ascii="Times New Roman" w:hAnsi="Times New Roman" w:eastAsiaTheme="minorEastAsia"/>
                <w:color w:val="auto"/>
                <w:kern w:val="0"/>
                <w:sz w:val="24"/>
                <w:highlight w:val="none"/>
              </w:rPr>
              <w:t>58.833</w:t>
            </w:r>
            <w:r>
              <w:rPr>
                <w:rFonts w:ascii="Times New Roman" w:hAnsi="Times New Roman" w:eastAsiaTheme="minorEastAsia"/>
                <w:color w:val="auto"/>
                <w:kern w:val="0"/>
                <w:sz w:val="24"/>
                <w:highlight w:val="none"/>
              </w:rPr>
              <w:t>″，北纬39°</w:t>
            </w:r>
            <w:r>
              <w:rPr>
                <w:rFonts w:hint="eastAsia" w:ascii="Times New Roman" w:hAnsi="Times New Roman" w:eastAsiaTheme="minorEastAsia"/>
                <w:color w:val="auto"/>
                <w:kern w:val="0"/>
                <w:sz w:val="24"/>
                <w:highlight w:val="none"/>
              </w:rPr>
              <w:t>3</w:t>
            </w:r>
            <w:r>
              <w:rPr>
                <w:rFonts w:ascii="Times New Roman" w:hAnsi="Times New Roman" w:eastAsiaTheme="minorEastAsia"/>
                <w:color w:val="auto"/>
                <w:kern w:val="0"/>
                <w:sz w:val="24"/>
                <w:highlight w:val="none"/>
              </w:rPr>
              <w:t>′</w:t>
            </w:r>
            <w:r>
              <w:rPr>
                <w:rFonts w:hint="eastAsia" w:ascii="Times New Roman" w:hAnsi="Times New Roman" w:eastAsiaTheme="minorEastAsia"/>
                <w:color w:val="auto"/>
                <w:kern w:val="0"/>
                <w:sz w:val="24"/>
                <w:highlight w:val="none"/>
              </w:rPr>
              <w:t>3.310</w:t>
            </w:r>
            <w:r>
              <w:rPr>
                <w:rFonts w:ascii="Times New Roman" w:hAnsi="Times New Roman" w:eastAsiaTheme="minorEastAsia"/>
                <w:color w:val="auto"/>
                <w:kern w:val="0"/>
                <w:sz w:val="24"/>
                <w:highlight w:val="none"/>
              </w:rPr>
              <w:t>″，租赁</w:t>
            </w:r>
            <w:r>
              <w:rPr>
                <w:rFonts w:hint="eastAsia" w:ascii="Times New Roman" w:hAnsi="Times New Roman" w:eastAsiaTheme="minorEastAsia"/>
                <w:color w:val="auto"/>
                <w:kern w:val="0"/>
                <w:sz w:val="24"/>
                <w:highlight w:val="none"/>
              </w:rPr>
              <w:t>河北天福重工阀门有限公司现有厂房进行建设，</w:t>
            </w:r>
            <w:r>
              <w:rPr>
                <w:rFonts w:hint="eastAsia" w:ascii="Times New Roman" w:hAnsi="Times New Roman" w:eastAsiaTheme="minorEastAsia"/>
                <w:color w:val="auto"/>
                <w:kern w:val="0"/>
                <w:sz w:val="24"/>
                <w:highlight w:val="none"/>
                <w:lang w:val="en-US" w:eastAsia="zh-CN"/>
              </w:rPr>
              <w:t>占地面积1200</w:t>
            </w:r>
            <w:r>
              <w:rPr>
                <w:rFonts w:ascii="Times New Roman" w:hAnsi="Times New Roman" w:eastAsiaTheme="minorEastAsia"/>
                <w:color w:val="auto"/>
                <w:kern w:val="0"/>
                <w:sz w:val="24"/>
                <w:highlight w:val="none"/>
              </w:rPr>
              <w:t>m</w:t>
            </w:r>
            <w:r>
              <w:rPr>
                <w:rFonts w:ascii="Times New Roman" w:hAnsi="Times New Roman" w:eastAsiaTheme="minorEastAsia"/>
                <w:color w:val="auto"/>
                <w:kern w:val="0"/>
                <w:sz w:val="24"/>
                <w:highlight w:val="none"/>
                <w:vertAlign w:val="superscript"/>
              </w:rPr>
              <w:t>2</w:t>
            </w:r>
            <w:r>
              <w:rPr>
                <w:rFonts w:hint="eastAsia" w:ascii="Times New Roman" w:hAnsi="Times New Roman" w:eastAsiaTheme="minorEastAsia"/>
                <w:color w:val="auto"/>
                <w:kern w:val="0"/>
                <w:sz w:val="24"/>
                <w:highlight w:val="none"/>
                <w:vertAlign w:val="baseline"/>
                <w:lang w:eastAsia="zh-CN"/>
              </w:rPr>
              <w:t>，</w:t>
            </w:r>
            <w:r>
              <w:rPr>
                <w:rFonts w:hint="eastAsia" w:ascii="Times New Roman" w:hAnsi="Times New Roman" w:eastAsiaTheme="minorEastAsia"/>
                <w:color w:val="auto"/>
                <w:kern w:val="0"/>
                <w:sz w:val="24"/>
                <w:highlight w:val="none"/>
              </w:rPr>
              <w:t>建筑面积</w:t>
            </w:r>
            <w:r>
              <w:rPr>
                <w:rFonts w:hint="eastAsia" w:ascii="Times New Roman" w:hAnsi="Times New Roman" w:eastAsiaTheme="minorEastAsia"/>
                <w:color w:val="auto"/>
                <w:kern w:val="0"/>
                <w:sz w:val="24"/>
                <w:highlight w:val="none"/>
                <w:lang w:val="en-US" w:eastAsia="zh-CN"/>
              </w:rPr>
              <w:t>1100</w:t>
            </w:r>
            <w:r>
              <w:rPr>
                <w:rFonts w:ascii="Times New Roman" w:hAnsi="Times New Roman" w:eastAsiaTheme="minorEastAsia"/>
                <w:color w:val="auto"/>
                <w:kern w:val="0"/>
                <w:sz w:val="24"/>
                <w:highlight w:val="none"/>
              </w:rPr>
              <w:t>m</w:t>
            </w:r>
            <w:r>
              <w:rPr>
                <w:rFonts w:ascii="Times New Roman" w:hAnsi="Times New Roman" w:eastAsiaTheme="minorEastAsia"/>
                <w:color w:val="auto"/>
                <w:kern w:val="0"/>
                <w:sz w:val="24"/>
                <w:highlight w:val="none"/>
                <w:vertAlign w:val="superscript"/>
              </w:rPr>
              <w:t>2</w:t>
            </w:r>
            <w:r>
              <w:rPr>
                <w:rFonts w:hint="eastAsia" w:ascii="Times New Roman" w:hAnsi="Times New Roman" w:eastAsiaTheme="minorEastAsia"/>
                <w:color w:val="auto"/>
                <w:kern w:val="0"/>
                <w:sz w:val="24"/>
                <w:highlight w:val="none"/>
              </w:rPr>
              <w:t>，</w:t>
            </w:r>
            <w:r>
              <w:rPr>
                <w:rFonts w:hint="eastAsia" w:ascii="Times New Roman" w:hAnsi="Times New Roman" w:eastAsiaTheme="minorEastAsia"/>
                <w:color w:val="auto"/>
                <w:kern w:val="0"/>
                <w:sz w:val="24"/>
                <w:highlight w:val="none"/>
                <w:lang w:eastAsia="zh-CN"/>
              </w:rPr>
              <w:t>废旧铅酸蓄电池</w:t>
            </w:r>
            <w:r>
              <w:rPr>
                <w:rFonts w:hint="eastAsia" w:ascii="Times New Roman" w:hAnsi="Times New Roman" w:eastAsiaTheme="minorEastAsia"/>
                <w:color w:val="auto"/>
                <w:kern w:val="0"/>
                <w:sz w:val="24"/>
                <w:highlight w:val="none"/>
              </w:rPr>
              <w:t>年周转存储能力为</w:t>
            </w:r>
            <w:r>
              <w:rPr>
                <w:rFonts w:ascii="Times New Roman" w:hAnsi="Times New Roman" w:eastAsiaTheme="minorEastAsia"/>
                <w:color w:val="auto"/>
                <w:kern w:val="0"/>
                <w:sz w:val="24"/>
                <w:highlight w:val="none"/>
              </w:rPr>
              <w:t>300</w:t>
            </w:r>
            <w:r>
              <w:rPr>
                <w:rFonts w:hint="eastAsia" w:ascii="Times New Roman" w:hAnsi="Times New Roman" w:eastAsiaTheme="minorEastAsia"/>
                <w:color w:val="auto"/>
                <w:kern w:val="0"/>
                <w:sz w:val="24"/>
                <w:highlight w:val="none"/>
                <w:lang w:val="en-US" w:eastAsia="zh-CN"/>
              </w:rPr>
              <w:t>0</w:t>
            </w:r>
            <w:r>
              <w:rPr>
                <w:rFonts w:ascii="Times New Roman" w:hAnsi="Times New Roman" w:eastAsiaTheme="minorEastAsia"/>
                <w:color w:val="auto"/>
                <w:kern w:val="0"/>
                <w:sz w:val="24"/>
                <w:highlight w:val="none"/>
              </w:rPr>
              <w:t>t</w:t>
            </w:r>
            <w:r>
              <w:rPr>
                <w:rFonts w:hint="eastAsia" w:ascii="Times New Roman" w:hAnsi="Times New Roman" w:eastAsiaTheme="minorEastAsia"/>
                <w:color w:val="auto"/>
                <w:kern w:val="0"/>
                <w:sz w:val="24"/>
                <w:highlight w:val="none"/>
              </w:rPr>
              <w:t>。</w:t>
            </w:r>
          </w:p>
          <w:p w14:paraId="4AB44C35">
            <w:pPr>
              <w:spacing w:line="360" w:lineRule="auto"/>
              <w:ind w:firstLine="480" w:firstLineChars="200"/>
              <w:rPr>
                <w:rFonts w:ascii="Times New Roman" w:hAnsi="Times New Roman" w:eastAsiaTheme="minorEastAsia"/>
                <w:bCs/>
                <w:color w:val="auto"/>
                <w:sz w:val="24"/>
                <w:szCs w:val="24"/>
                <w:highlight w:val="none"/>
              </w:rPr>
            </w:pPr>
            <w:r>
              <w:rPr>
                <w:rFonts w:ascii="Times New Roman" w:hAnsi="Times New Roman" w:eastAsiaTheme="minorEastAsia"/>
                <w:bCs/>
                <w:color w:val="auto"/>
                <w:sz w:val="24"/>
                <w:szCs w:val="24"/>
                <w:highlight w:val="none"/>
              </w:rPr>
              <w:t>具体建设内容见下表：</w:t>
            </w:r>
          </w:p>
          <w:p w14:paraId="455FCEA8">
            <w:pPr>
              <w:spacing w:line="360" w:lineRule="auto"/>
              <w:ind w:firstLine="480" w:firstLineChars="200"/>
              <w:jc w:val="center"/>
              <w:rPr>
                <w:rFonts w:ascii="Times New Roman" w:hAnsi="Times New Roman" w:eastAsiaTheme="minorEastAsia"/>
                <w:bCs/>
                <w:color w:val="auto"/>
                <w:sz w:val="24"/>
                <w:szCs w:val="24"/>
                <w:highlight w:val="none"/>
              </w:rPr>
            </w:pPr>
            <w:r>
              <w:rPr>
                <w:rFonts w:ascii="Times New Roman" w:hAnsi="Times New Roman" w:eastAsiaTheme="minorEastAsia"/>
                <w:bCs/>
                <w:color w:val="auto"/>
                <w:sz w:val="24"/>
                <w:szCs w:val="24"/>
                <w:highlight w:val="none"/>
              </w:rPr>
              <w:t>表2-1  项目工程组成一览表</w:t>
            </w:r>
          </w:p>
          <w:tbl>
            <w:tblPr>
              <w:tblStyle w:val="31"/>
              <w:tblW w:w="493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0"/>
              <w:gridCol w:w="1414"/>
              <w:gridCol w:w="5808"/>
            </w:tblGrid>
            <w:tr w14:paraId="065565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pct"/>
                  <w:vAlign w:val="center"/>
                </w:tcPr>
                <w:p w14:paraId="559C5F46">
                  <w:pPr>
                    <w:pStyle w:val="50"/>
                    <w:spacing w:beforeLines="0" w:afterLines="0" w:line="280" w:lineRule="exact"/>
                    <w:rPr>
                      <w:rFonts w:ascii="Times New Roman" w:hAnsi="Times New Roman" w:eastAsiaTheme="minorEastAsia"/>
                      <w:color w:val="auto"/>
                      <w:kern w:val="21"/>
                      <w:szCs w:val="21"/>
                      <w:highlight w:val="none"/>
                    </w:rPr>
                  </w:pPr>
                  <w:r>
                    <w:rPr>
                      <w:rFonts w:ascii="Times New Roman" w:hAnsi="Times New Roman" w:eastAsiaTheme="minorEastAsia"/>
                      <w:color w:val="auto"/>
                      <w:kern w:val="21"/>
                      <w:szCs w:val="21"/>
                      <w:highlight w:val="none"/>
                    </w:rPr>
                    <w:t>项目</w:t>
                  </w:r>
                </w:p>
              </w:tc>
              <w:tc>
                <w:tcPr>
                  <w:tcW w:w="861" w:type="pct"/>
                  <w:vAlign w:val="center"/>
                </w:tcPr>
                <w:p w14:paraId="58E5508A">
                  <w:pPr>
                    <w:pStyle w:val="50"/>
                    <w:spacing w:beforeLines="0" w:afterLines="0" w:line="280" w:lineRule="exact"/>
                    <w:rPr>
                      <w:rFonts w:ascii="Times New Roman" w:hAnsi="Times New Roman" w:eastAsiaTheme="minorEastAsia"/>
                      <w:color w:val="auto"/>
                      <w:kern w:val="21"/>
                      <w:szCs w:val="21"/>
                      <w:highlight w:val="none"/>
                    </w:rPr>
                  </w:pPr>
                  <w:r>
                    <w:rPr>
                      <w:rFonts w:ascii="Times New Roman" w:hAnsi="Times New Roman" w:eastAsiaTheme="minorEastAsia"/>
                      <w:color w:val="auto"/>
                      <w:kern w:val="21"/>
                      <w:szCs w:val="21"/>
                      <w:highlight w:val="none"/>
                    </w:rPr>
                    <w:t>建设名称</w:t>
                  </w:r>
                </w:p>
              </w:tc>
              <w:tc>
                <w:tcPr>
                  <w:tcW w:w="3540" w:type="pct"/>
                  <w:vAlign w:val="center"/>
                </w:tcPr>
                <w:p w14:paraId="7DA1517D">
                  <w:pPr>
                    <w:pStyle w:val="50"/>
                    <w:spacing w:beforeLines="0" w:afterLines="0" w:line="280" w:lineRule="exact"/>
                    <w:rPr>
                      <w:rFonts w:ascii="Times New Roman" w:hAnsi="Times New Roman" w:eastAsiaTheme="minorEastAsia"/>
                      <w:color w:val="auto"/>
                      <w:kern w:val="21"/>
                      <w:szCs w:val="21"/>
                      <w:highlight w:val="none"/>
                    </w:rPr>
                  </w:pPr>
                  <w:r>
                    <w:rPr>
                      <w:rFonts w:ascii="Times New Roman" w:hAnsi="Times New Roman" w:eastAsiaTheme="minorEastAsia"/>
                      <w:color w:val="auto"/>
                      <w:kern w:val="21"/>
                      <w:szCs w:val="21"/>
                      <w:highlight w:val="none"/>
                    </w:rPr>
                    <w:t>内容和规模</w:t>
                  </w:r>
                </w:p>
              </w:tc>
            </w:tr>
            <w:tr w14:paraId="0C57CB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pct"/>
                  <w:vAlign w:val="center"/>
                </w:tcPr>
                <w:p w14:paraId="1E1DACBA">
                  <w:pPr>
                    <w:pStyle w:val="50"/>
                    <w:spacing w:beforeLines="0" w:afterLines="0" w:line="280" w:lineRule="exact"/>
                    <w:rPr>
                      <w:rFonts w:ascii="Times New Roman" w:hAnsi="Times New Roman" w:eastAsiaTheme="minorEastAsia"/>
                      <w:color w:val="auto"/>
                      <w:kern w:val="21"/>
                      <w:szCs w:val="21"/>
                      <w:highlight w:val="none"/>
                    </w:rPr>
                  </w:pPr>
                  <w:r>
                    <w:rPr>
                      <w:rFonts w:ascii="Times New Roman" w:hAnsi="Times New Roman" w:eastAsiaTheme="minorEastAsia"/>
                      <w:color w:val="auto"/>
                      <w:kern w:val="21"/>
                      <w:szCs w:val="21"/>
                      <w:highlight w:val="none"/>
                    </w:rPr>
                    <w:t>主体工程</w:t>
                  </w:r>
                </w:p>
              </w:tc>
              <w:tc>
                <w:tcPr>
                  <w:tcW w:w="861" w:type="pct"/>
                  <w:vAlign w:val="center"/>
                </w:tcPr>
                <w:p w14:paraId="16CC6ABF">
                  <w:pPr>
                    <w:pStyle w:val="50"/>
                    <w:spacing w:beforeLines="0" w:afterLines="0" w:line="280" w:lineRule="exact"/>
                    <w:rPr>
                      <w:rFonts w:ascii="Times New Roman" w:hAnsi="Times New Roman" w:eastAsiaTheme="minorEastAsia"/>
                      <w:color w:val="auto"/>
                      <w:kern w:val="21"/>
                      <w:szCs w:val="21"/>
                      <w:highlight w:val="none"/>
                    </w:rPr>
                  </w:pPr>
                  <w:r>
                    <w:rPr>
                      <w:rFonts w:hint="eastAsia" w:hAnsi="Times New Roman" w:cs="宋体"/>
                      <w:color w:val="auto"/>
                      <w:szCs w:val="21"/>
                      <w:highlight w:val="none"/>
                      <w:lang w:val="en-US" w:eastAsia="zh-CN"/>
                    </w:rPr>
                    <w:t>废旧</w:t>
                  </w:r>
                  <w:r>
                    <w:rPr>
                      <w:rFonts w:hint="eastAsia" w:hAnsi="Times New Roman" w:cs="宋体"/>
                      <w:color w:val="auto"/>
                      <w:szCs w:val="21"/>
                      <w:highlight w:val="none"/>
                    </w:rPr>
                    <w:t>铅蓄电池存储车间</w:t>
                  </w:r>
                </w:p>
              </w:tc>
              <w:tc>
                <w:tcPr>
                  <w:tcW w:w="3540" w:type="pct"/>
                  <w:vAlign w:val="center"/>
                </w:tcPr>
                <w:p w14:paraId="4EC57DB9">
                  <w:pPr>
                    <w:autoSpaceDE w:val="0"/>
                    <w:autoSpaceDN w:val="0"/>
                    <w:adjustRightInd w:val="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1座，存储车间占地面积1100</w:t>
                  </w:r>
                  <w:r>
                    <w:rPr>
                      <w:rFonts w:hint="default" w:ascii="Times New Roman" w:hAnsi="Times New Roman" w:cs="Times New Roman" w:eastAsiaTheme="minorEastAsia"/>
                      <w:color w:val="auto"/>
                      <w:kern w:val="0"/>
                      <w:szCs w:val="21"/>
                      <w:highlight w:val="none"/>
                    </w:rPr>
                    <w:t>m</w:t>
                  </w:r>
                  <w:r>
                    <w:rPr>
                      <w:rFonts w:hint="default" w:ascii="Times New Roman" w:hAnsi="Times New Roman" w:cs="Times New Roman" w:eastAsiaTheme="minorEastAsia"/>
                      <w:color w:val="auto"/>
                      <w:kern w:val="0"/>
                      <w:szCs w:val="21"/>
                      <w:highlight w:val="none"/>
                      <w:vertAlign w:val="superscript"/>
                    </w:rPr>
                    <w:t>2</w:t>
                  </w:r>
                  <w:r>
                    <w:rPr>
                      <w:rFonts w:hint="default" w:ascii="Times New Roman" w:hAnsi="Times New Roman" w:cs="Times New Roman"/>
                      <w:color w:val="auto"/>
                      <w:kern w:val="0"/>
                      <w:szCs w:val="21"/>
                      <w:highlight w:val="none"/>
                    </w:rPr>
                    <w:t>。车辆入口和人员专用入口位于项目北部，车间内</w:t>
                  </w:r>
                  <w:r>
                    <w:rPr>
                      <w:rFonts w:hint="eastAsia" w:ascii="Times New Roman" w:hAnsi="Times New Roman" w:cs="Times New Roman"/>
                      <w:color w:val="auto"/>
                      <w:kern w:val="0"/>
                      <w:szCs w:val="21"/>
                      <w:highlight w:val="none"/>
                      <w:lang w:val="en-US" w:eastAsia="zh-CN"/>
                    </w:rPr>
                    <w:t>存储区域共计1060</w:t>
                  </w:r>
                  <w:r>
                    <w:rPr>
                      <w:rFonts w:hint="default" w:ascii="Times New Roman" w:hAnsi="Times New Roman" w:cs="Times New Roman" w:eastAsiaTheme="minorEastAsia"/>
                      <w:color w:val="auto"/>
                      <w:kern w:val="0"/>
                      <w:szCs w:val="21"/>
                      <w:highlight w:val="none"/>
                    </w:rPr>
                    <w:t>m</w:t>
                  </w:r>
                  <w:r>
                    <w:rPr>
                      <w:rFonts w:hint="default" w:ascii="Times New Roman" w:hAnsi="Times New Roman" w:cs="Times New Roman" w:eastAsiaTheme="minorEastAsia"/>
                      <w:color w:val="auto"/>
                      <w:kern w:val="0"/>
                      <w:szCs w:val="21"/>
                      <w:highlight w:val="none"/>
                      <w:vertAlign w:val="superscript"/>
                    </w:rPr>
                    <w:t>2</w:t>
                  </w:r>
                  <w:r>
                    <w:rPr>
                      <w:rFonts w:hint="eastAsia" w:ascii="Times New Roman" w:hAnsi="Times New Roman" w:cs="Times New Roman" w:eastAsiaTheme="minorEastAsia"/>
                      <w:color w:val="auto"/>
                      <w:kern w:val="0"/>
                      <w:szCs w:val="21"/>
                      <w:highlight w:val="none"/>
                      <w:vertAlign w:val="baseline"/>
                      <w:lang w:eastAsia="zh-CN"/>
                    </w:rPr>
                    <w:t>，</w:t>
                  </w:r>
                  <w:r>
                    <w:rPr>
                      <w:rFonts w:hint="default" w:ascii="Times New Roman" w:hAnsi="Times New Roman" w:cs="Times New Roman"/>
                      <w:color w:val="auto"/>
                      <w:kern w:val="0"/>
                      <w:szCs w:val="21"/>
                      <w:highlight w:val="none"/>
                    </w:rPr>
                    <w:t>包括装卸区、暂存区、完整电池存储区和破损电池存储区。</w:t>
                  </w:r>
                </w:p>
                <w:p w14:paraId="0F0DE8B4">
                  <w:pPr>
                    <w:autoSpaceDE w:val="0"/>
                    <w:autoSpaceDN w:val="0"/>
                    <w:adjustRightInd w:val="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本项目贮存危险废物均分区分类存放，各区均设有围堰。</w:t>
                  </w:r>
                </w:p>
                <w:p w14:paraId="0AEB243A">
                  <w:pPr>
                    <w:autoSpaceDE w:val="0"/>
                    <w:autoSpaceDN w:val="0"/>
                    <w:adjustRightInd w:val="0"/>
                    <w:jc w:val="left"/>
                    <w:rPr>
                      <w:rFonts w:hint="default" w:ascii="Times New Roman" w:hAnsi="Times New Roman" w:cs="Times New Roman" w:eastAsiaTheme="minorEastAsia"/>
                      <w:color w:val="auto"/>
                      <w:kern w:val="21"/>
                      <w:szCs w:val="21"/>
                      <w:highlight w:val="none"/>
                    </w:rPr>
                  </w:pPr>
                  <w:r>
                    <w:rPr>
                      <w:rFonts w:hint="default" w:ascii="Times New Roman" w:hAnsi="Times New Roman" w:cs="Times New Roman"/>
                      <w:color w:val="auto"/>
                      <w:kern w:val="0"/>
                      <w:szCs w:val="21"/>
                      <w:highlight w:val="none"/>
                    </w:rPr>
                    <w:t>车间内设导流沟</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导流</w:t>
                  </w:r>
                  <w:r>
                    <w:rPr>
                      <w:rFonts w:hint="eastAsia" w:ascii="Times New Roman" w:hAnsi="Times New Roman" w:cs="Times New Roman"/>
                      <w:color w:val="auto"/>
                      <w:kern w:val="0"/>
                      <w:szCs w:val="21"/>
                      <w:highlight w:val="none"/>
                      <w:lang w:val="en-US" w:eastAsia="zh-CN"/>
                    </w:rPr>
                    <w:t>沟</w:t>
                  </w:r>
                  <w:r>
                    <w:rPr>
                      <w:rFonts w:hint="default" w:ascii="Times New Roman" w:hAnsi="Times New Roman" w:cs="Times New Roman"/>
                      <w:color w:val="auto"/>
                      <w:kern w:val="0"/>
                      <w:szCs w:val="21"/>
                      <w:highlight w:val="none"/>
                      <w:lang w:val="en-US" w:eastAsia="zh-CN"/>
                    </w:rPr>
                    <w:t>连接进入收集池</w:t>
                  </w:r>
                  <w:r>
                    <w:rPr>
                      <w:rFonts w:hint="default" w:ascii="Times New Roman" w:hAnsi="Times New Roman" w:cs="Times New Roman"/>
                      <w:color w:val="auto"/>
                      <w:kern w:val="0"/>
                      <w:szCs w:val="21"/>
                      <w:highlight w:val="none"/>
                    </w:rPr>
                    <w:t>（2</w:t>
                  </w:r>
                  <w:r>
                    <w:rPr>
                      <w:rFonts w:hint="default" w:ascii="Times New Roman" w:hAnsi="Times New Roman" w:cs="Times New Roman" w:eastAsiaTheme="minorEastAsia"/>
                      <w:color w:val="auto"/>
                      <w:kern w:val="0"/>
                      <w:szCs w:val="21"/>
                      <w:highlight w:val="none"/>
                    </w:rPr>
                    <w:t>m</w:t>
                  </w:r>
                  <w:r>
                    <w:rPr>
                      <w:rFonts w:hint="default" w:ascii="Times New Roman" w:hAnsi="Times New Roman" w:cs="Times New Roman" w:eastAsiaTheme="minorEastAsia"/>
                      <w:color w:val="auto"/>
                      <w:kern w:val="0"/>
                      <w:szCs w:val="21"/>
                      <w:highlight w:val="none"/>
                      <w:vertAlign w:val="superscript"/>
                      <w:lang w:val="en-US" w:eastAsia="zh-CN"/>
                    </w:rPr>
                    <w:t>3</w:t>
                  </w:r>
                  <w:r>
                    <w:rPr>
                      <w:rFonts w:hint="default" w:ascii="Times New Roman" w:hAnsi="Times New Roman" w:cs="Times New Roman"/>
                      <w:color w:val="auto"/>
                      <w:kern w:val="0"/>
                      <w:szCs w:val="21"/>
                      <w:highlight w:val="none"/>
                    </w:rPr>
                    <w:t>）。</w:t>
                  </w:r>
                </w:p>
              </w:tc>
            </w:tr>
          </w:tbl>
          <w:p w14:paraId="75854FA6">
            <w:pPr>
              <w:spacing w:line="360" w:lineRule="auto"/>
              <w:ind w:firstLine="480" w:firstLineChars="200"/>
              <w:jc w:val="center"/>
              <w:rPr>
                <w:rFonts w:ascii="Times New Roman" w:hAnsi="Times New Roman" w:eastAsiaTheme="minorEastAsia"/>
                <w:bCs/>
                <w:color w:val="auto"/>
                <w:sz w:val="24"/>
                <w:szCs w:val="24"/>
                <w:highlight w:val="none"/>
              </w:rPr>
            </w:pPr>
            <w:r>
              <w:rPr>
                <w:rFonts w:hint="eastAsia" w:ascii="Times New Roman" w:hAnsi="Times New Roman" w:eastAsiaTheme="minorEastAsia"/>
                <w:bCs/>
                <w:color w:val="auto"/>
                <w:sz w:val="24"/>
                <w:szCs w:val="24"/>
                <w:highlight w:val="none"/>
                <w:lang w:val="en-US" w:eastAsia="zh-CN"/>
              </w:rPr>
              <w:t>续</w:t>
            </w:r>
            <w:r>
              <w:rPr>
                <w:rFonts w:ascii="Times New Roman" w:hAnsi="Times New Roman" w:eastAsiaTheme="minorEastAsia"/>
                <w:bCs/>
                <w:color w:val="auto"/>
                <w:sz w:val="24"/>
                <w:szCs w:val="24"/>
                <w:highlight w:val="none"/>
              </w:rPr>
              <w:t>表2-1  项目工程组成一览表</w:t>
            </w:r>
          </w:p>
          <w:tbl>
            <w:tblPr>
              <w:tblStyle w:val="31"/>
              <w:tblW w:w="493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0"/>
              <w:gridCol w:w="707"/>
              <w:gridCol w:w="715"/>
              <w:gridCol w:w="5800"/>
            </w:tblGrid>
            <w:tr w14:paraId="072858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pct"/>
                  <w:vAlign w:val="center"/>
                </w:tcPr>
                <w:p w14:paraId="3CF50E68">
                  <w:pPr>
                    <w:pStyle w:val="50"/>
                    <w:spacing w:beforeLines="0" w:afterLines="0" w:line="280" w:lineRule="exact"/>
                    <w:rPr>
                      <w:rFonts w:ascii="Times New Roman" w:hAnsi="Times New Roman" w:eastAsiaTheme="minorEastAsia"/>
                      <w:color w:val="auto"/>
                      <w:kern w:val="21"/>
                      <w:szCs w:val="21"/>
                      <w:highlight w:val="none"/>
                    </w:rPr>
                  </w:pPr>
                  <w:r>
                    <w:rPr>
                      <w:rFonts w:ascii="Times New Roman" w:hAnsi="Times New Roman" w:eastAsiaTheme="minorEastAsia"/>
                      <w:color w:val="auto"/>
                      <w:kern w:val="21"/>
                      <w:szCs w:val="21"/>
                      <w:highlight w:val="none"/>
                    </w:rPr>
                    <w:t>项目</w:t>
                  </w:r>
                </w:p>
              </w:tc>
              <w:tc>
                <w:tcPr>
                  <w:tcW w:w="866" w:type="pct"/>
                  <w:gridSpan w:val="2"/>
                  <w:vAlign w:val="center"/>
                </w:tcPr>
                <w:p w14:paraId="12978D52">
                  <w:pPr>
                    <w:pStyle w:val="50"/>
                    <w:spacing w:beforeLines="0" w:afterLines="0" w:line="280" w:lineRule="exact"/>
                    <w:rPr>
                      <w:rFonts w:ascii="Times New Roman" w:hAnsi="Times New Roman" w:eastAsiaTheme="minorEastAsia"/>
                      <w:color w:val="auto"/>
                      <w:kern w:val="21"/>
                      <w:szCs w:val="21"/>
                      <w:highlight w:val="none"/>
                    </w:rPr>
                  </w:pPr>
                  <w:r>
                    <w:rPr>
                      <w:rFonts w:ascii="Times New Roman" w:hAnsi="Times New Roman" w:eastAsiaTheme="minorEastAsia"/>
                      <w:color w:val="auto"/>
                      <w:kern w:val="21"/>
                      <w:szCs w:val="21"/>
                      <w:highlight w:val="none"/>
                    </w:rPr>
                    <w:t>建设名称</w:t>
                  </w:r>
                </w:p>
              </w:tc>
              <w:tc>
                <w:tcPr>
                  <w:tcW w:w="3535" w:type="pct"/>
                  <w:vAlign w:val="center"/>
                </w:tcPr>
                <w:p w14:paraId="33EC834A">
                  <w:pPr>
                    <w:pStyle w:val="50"/>
                    <w:spacing w:beforeLines="0" w:afterLines="0" w:line="280" w:lineRule="exact"/>
                    <w:rPr>
                      <w:rFonts w:ascii="Times New Roman" w:hAnsi="Times New Roman" w:eastAsiaTheme="minorEastAsia"/>
                      <w:color w:val="auto"/>
                      <w:kern w:val="21"/>
                      <w:szCs w:val="21"/>
                      <w:highlight w:val="none"/>
                    </w:rPr>
                  </w:pPr>
                  <w:r>
                    <w:rPr>
                      <w:rFonts w:ascii="Times New Roman" w:hAnsi="Times New Roman" w:eastAsiaTheme="minorEastAsia"/>
                      <w:color w:val="auto"/>
                      <w:kern w:val="21"/>
                      <w:szCs w:val="21"/>
                      <w:highlight w:val="none"/>
                    </w:rPr>
                    <w:t>内容和规模</w:t>
                  </w:r>
                </w:p>
              </w:tc>
            </w:tr>
            <w:tr w14:paraId="21A852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pct"/>
                  <w:vMerge w:val="restart"/>
                  <w:vAlign w:val="center"/>
                </w:tcPr>
                <w:p w14:paraId="796DC87E">
                  <w:pPr>
                    <w:pStyle w:val="50"/>
                    <w:spacing w:beforeLines="0" w:afterLines="0" w:line="280" w:lineRule="exact"/>
                    <w:rPr>
                      <w:rFonts w:ascii="Times New Roman" w:hAnsi="Times New Roman" w:eastAsiaTheme="minorEastAsia"/>
                      <w:color w:val="auto"/>
                      <w:kern w:val="21"/>
                      <w:szCs w:val="21"/>
                      <w:highlight w:val="none"/>
                    </w:rPr>
                  </w:pPr>
                  <w:r>
                    <w:rPr>
                      <w:rFonts w:ascii="Times New Roman" w:hAnsi="Times New Roman" w:eastAsiaTheme="minorEastAsia"/>
                      <w:color w:val="auto"/>
                      <w:kern w:val="21"/>
                      <w:szCs w:val="21"/>
                      <w:highlight w:val="none"/>
                    </w:rPr>
                    <w:t>运输工程</w:t>
                  </w:r>
                </w:p>
              </w:tc>
              <w:tc>
                <w:tcPr>
                  <w:tcW w:w="866" w:type="pct"/>
                  <w:gridSpan w:val="2"/>
                  <w:vAlign w:val="center"/>
                </w:tcPr>
                <w:p w14:paraId="7F69E9D1">
                  <w:pPr>
                    <w:pStyle w:val="50"/>
                    <w:spacing w:beforeLines="0" w:afterLines="0" w:line="280" w:lineRule="exact"/>
                    <w:rPr>
                      <w:rFonts w:ascii="Times New Roman" w:hAnsi="Times New Roman" w:eastAsiaTheme="minorEastAsia"/>
                      <w:color w:val="auto"/>
                      <w:kern w:val="21"/>
                      <w:szCs w:val="21"/>
                      <w:highlight w:val="none"/>
                    </w:rPr>
                  </w:pPr>
                  <w:r>
                    <w:rPr>
                      <w:rFonts w:ascii="Times New Roman" w:hAnsi="Times New Roman" w:eastAsiaTheme="minorEastAsia"/>
                      <w:color w:val="auto"/>
                      <w:kern w:val="21"/>
                      <w:szCs w:val="21"/>
                      <w:highlight w:val="none"/>
                    </w:rPr>
                    <w:t>厂内搬卸</w:t>
                  </w:r>
                </w:p>
              </w:tc>
              <w:tc>
                <w:tcPr>
                  <w:tcW w:w="3535" w:type="pct"/>
                  <w:vAlign w:val="center"/>
                </w:tcPr>
                <w:p w14:paraId="48FA826F">
                  <w:pPr>
                    <w:pStyle w:val="50"/>
                    <w:spacing w:beforeLines="0" w:afterLines="0" w:line="280" w:lineRule="exact"/>
                    <w:jc w:val="both"/>
                    <w:rPr>
                      <w:rFonts w:ascii="Times New Roman" w:hAnsi="Times New Roman" w:eastAsiaTheme="minorEastAsia"/>
                      <w:color w:val="auto"/>
                      <w:kern w:val="21"/>
                      <w:szCs w:val="21"/>
                      <w:highlight w:val="none"/>
                    </w:rPr>
                  </w:pPr>
                  <w:r>
                    <w:rPr>
                      <w:rFonts w:hint="eastAsia" w:hAnsi="Times New Roman" w:cs="宋体"/>
                      <w:color w:val="auto"/>
                      <w:szCs w:val="21"/>
                      <w:highlight w:val="none"/>
                    </w:rPr>
                    <w:t>采取叉车。</w:t>
                  </w:r>
                </w:p>
              </w:tc>
            </w:tr>
            <w:tr w14:paraId="1AE57D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pct"/>
                  <w:vMerge w:val="continue"/>
                  <w:vAlign w:val="center"/>
                </w:tcPr>
                <w:p w14:paraId="2D128522">
                  <w:pPr>
                    <w:pStyle w:val="50"/>
                    <w:spacing w:beforeLines="0" w:afterLines="0" w:line="280" w:lineRule="exact"/>
                    <w:rPr>
                      <w:rFonts w:ascii="Times New Roman" w:hAnsi="Times New Roman" w:eastAsiaTheme="minorEastAsia"/>
                      <w:color w:val="auto"/>
                      <w:kern w:val="21"/>
                      <w:szCs w:val="21"/>
                      <w:highlight w:val="none"/>
                    </w:rPr>
                  </w:pPr>
                </w:p>
              </w:tc>
              <w:tc>
                <w:tcPr>
                  <w:tcW w:w="866" w:type="pct"/>
                  <w:gridSpan w:val="2"/>
                  <w:vAlign w:val="center"/>
                </w:tcPr>
                <w:p w14:paraId="53329655">
                  <w:pPr>
                    <w:pStyle w:val="50"/>
                    <w:spacing w:beforeLines="0" w:afterLines="0" w:line="280" w:lineRule="exact"/>
                    <w:rPr>
                      <w:rFonts w:ascii="Times New Roman" w:hAnsi="Times New Roman" w:eastAsiaTheme="minorEastAsia"/>
                      <w:color w:val="auto"/>
                      <w:kern w:val="21"/>
                      <w:szCs w:val="21"/>
                      <w:highlight w:val="none"/>
                    </w:rPr>
                  </w:pPr>
                  <w:r>
                    <w:rPr>
                      <w:rFonts w:ascii="Times New Roman" w:hAnsi="Times New Roman" w:eastAsiaTheme="minorEastAsia"/>
                      <w:color w:val="auto"/>
                      <w:kern w:val="21"/>
                      <w:szCs w:val="21"/>
                      <w:highlight w:val="none"/>
                    </w:rPr>
                    <w:t>厂外运输</w:t>
                  </w:r>
                </w:p>
              </w:tc>
              <w:tc>
                <w:tcPr>
                  <w:tcW w:w="3535" w:type="pct"/>
                  <w:vAlign w:val="center"/>
                </w:tcPr>
                <w:p w14:paraId="5348AD53">
                  <w:pPr>
                    <w:autoSpaceDE w:val="0"/>
                    <w:autoSpaceDN w:val="0"/>
                    <w:adjustRightInd w:val="0"/>
                    <w:jc w:val="left"/>
                    <w:rPr>
                      <w:rFonts w:ascii="Times New Roman" w:hAnsi="Times New Roman" w:eastAsiaTheme="minorEastAsia"/>
                      <w:color w:val="auto"/>
                      <w:kern w:val="21"/>
                      <w:szCs w:val="21"/>
                      <w:highlight w:val="none"/>
                      <w:u w:val="single"/>
                    </w:rPr>
                  </w:pPr>
                  <w:r>
                    <w:rPr>
                      <w:rFonts w:hint="eastAsia" w:ascii="宋体" w:hAnsi="Times New Roman" w:cs="宋体"/>
                      <w:color w:val="auto"/>
                      <w:kern w:val="0"/>
                      <w:szCs w:val="21"/>
                      <w:highlight w:val="none"/>
                      <w:lang w:val="en-US" w:eastAsia="zh-CN"/>
                    </w:rPr>
                    <w:t>委托</w:t>
                  </w:r>
                  <w:r>
                    <w:rPr>
                      <w:rFonts w:hint="eastAsia" w:ascii="宋体" w:hAnsi="Times New Roman" w:cs="宋体"/>
                      <w:color w:val="auto"/>
                      <w:kern w:val="0"/>
                      <w:szCs w:val="21"/>
                      <w:highlight w:val="none"/>
                    </w:rPr>
                    <w:t>专用车辆运输，运输车辆设置防淋</w:t>
                  </w:r>
                  <w:r>
                    <w:rPr>
                      <w:rFonts w:hint="eastAsia" w:ascii="宋体" w:hAnsi="Times New Roman" w:cs="宋体"/>
                      <w:color w:val="auto"/>
                      <w:kern w:val="0"/>
                      <w:szCs w:val="21"/>
                      <w:highlight w:val="none"/>
                      <w:lang w:val="en-US" w:eastAsia="zh-CN"/>
                    </w:rPr>
                    <w:t>苫布</w:t>
                  </w:r>
                  <w:r>
                    <w:rPr>
                      <w:rFonts w:hint="eastAsia" w:ascii="宋体" w:hAnsi="Times New Roman" w:cs="宋体"/>
                      <w:color w:val="auto"/>
                      <w:kern w:val="0"/>
                      <w:szCs w:val="21"/>
                      <w:highlight w:val="none"/>
                    </w:rPr>
                    <w:t>，车辆上</w:t>
                  </w:r>
                  <w:r>
                    <w:rPr>
                      <w:rFonts w:hint="eastAsia" w:ascii="宋体" w:hAnsi="Times New Roman" w:cs="宋体"/>
                      <w:color w:val="auto"/>
                      <w:kern w:val="0"/>
                      <w:szCs w:val="21"/>
                      <w:highlight w:val="none"/>
                      <w:lang w:val="en-US" w:eastAsia="zh-CN"/>
                    </w:rPr>
                    <w:t>放置</w:t>
                  </w:r>
                  <w:r>
                    <w:rPr>
                      <w:rFonts w:hint="eastAsia" w:ascii="宋体" w:hAnsi="Times New Roman" w:cs="宋体"/>
                      <w:color w:val="auto"/>
                      <w:kern w:val="0"/>
                      <w:szCs w:val="21"/>
                      <w:highlight w:val="none"/>
                    </w:rPr>
                    <w:t>存放电池的托盘、塑料箱。</w:t>
                  </w:r>
                </w:p>
              </w:tc>
            </w:tr>
            <w:tr w14:paraId="072928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pct"/>
                  <w:vMerge w:val="restart"/>
                  <w:vAlign w:val="center"/>
                </w:tcPr>
                <w:p w14:paraId="7F91E89C">
                  <w:pPr>
                    <w:pStyle w:val="50"/>
                    <w:spacing w:beforeLines="0" w:afterLines="0" w:line="280" w:lineRule="exact"/>
                    <w:rPr>
                      <w:rFonts w:ascii="Times New Roman" w:hAnsi="Times New Roman" w:eastAsiaTheme="minorEastAsia"/>
                      <w:color w:val="auto"/>
                      <w:kern w:val="21"/>
                      <w:szCs w:val="21"/>
                      <w:highlight w:val="none"/>
                    </w:rPr>
                  </w:pPr>
                  <w:r>
                    <w:rPr>
                      <w:rFonts w:ascii="Times New Roman" w:hAnsi="Times New Roman" w:eastAsiaTheme="minorEastAsia"/>
                      <w:color w:val="auto"/>
                      <w:kern w:val="21"/>
                      <w:szCs w:val="21"/>
                      <w:highlight w:val="none"/>
                    </w:rPr>
                    <w:t>辅助工程</w:t>
                  </w:r>
                </w:p>
              </w:tc>
              <w:tc>
                <w:tcPr>
                  <w:tcW w:w="866" w:type="pct"/>
                  <w:gridSpan w:val="2"/>
                  <w:vAlign w:val="center"/>
                </w:tcPr>
                <w:p w14:paraId="6119D546">
                  <w:pPr>
                    <w:pStyle w:val="50"/>
                    <w:spacing w:beforeLines="0" w:afterLines="0" w:line="280" w:lineRule="exact"/>
                    <w:rPr>
                      <w:rFonts w:ascii="Times New Roman" w:hAnsi="Times New Roman" w:eastAsiaTheme="minorEastAsia"/>
                      <w:color w:val="auto"/>
                      <w:kern w:val="21"/>
                      <w:szCs w:val="21"/>
                      <w:highlight w:val="none"/>
                    </w:rPr>
                  </w:pPr>
                  <w:r>
                    <w:rPr>
                      <w:rFonts w:ascii="Times New Roman" w:hAnsi="Times New Roman" w:eastAsiaTheme="minorEastAsia"/>
                      <w:color w:val="auto"/>
                      <w:kern w:val="21"/>
                      <w:szCs w:val="21"/>
                      <w:highlight w:val="none"/>
                    </w:rPr>
                    <w:t>办公区</w:t>
                  </w:r>
                </w:p>
              </w:tc>
              <w:tc>
                <w:tcPr>
                  <w:tcW w:w="3535" w:type="pct"/>
                  <w:vAlign w:val="center"/>
                </w:tcPr>
                <w:p w14:paraId="7995E270">
                  <w:pPr>
                    <w:pStyle w:val="50"/>
                    <w:spacing w:beforeLines="0" w:afterLines="0" w:line="280" w:lineRule="exact"/>
                    <w:jc w:val="both"/>
                    <w:rPr>
                      <w:rFonts w:ascii="Times New Roman" w:hAnsi="Times New Roman" w:eastAsiaTheme="minorEastAsia"/>
                      <w:color w:val="auto"/>
                      <w:kern w:val="21"/>
                      <w:szCs w:val="21"/>
                      <w:highlight w:val="none"/>
                    </w:rPr>
                  </w:pPr>
                  <w:r>
                    <w:rPr>
                      <w:rFonts w:ascii="Times New Roman" w:hAnsi="Times New Roman" w:eastAsiaTheme="minorEastAsia"/>
                      <w:color w:val="auto"/>
                      <w:kern w:val="21"/>
                      <w:szCs w:val="21"/>
                      <w:highlight w:val="none"/>
                    </w:rPr>
                    <w:t>在租赁车间</w:t>
                  </w:r>
                  <w:r>
                    <w:rPr>
                      <w:rFonts w:hint="eastAsia" w:ascii="Times New Roman" w:hAnsi="Times New Roman" w:eastAsiaTheme="minorEastAsia"/>
                      <w:color w:val="auto"/>
                      <w:kern w:val="21"/>
                      <w:szCs w:val="21"/>
                      <w:highlight w:val="none"/>
                      <w:lang w:val="en-US" w:eastAsia="zh-CN"/>
                    </w:rPr>
                    <w:t>东北</w:t>
                  </w:r>
                  <w:r>
                    <w:rPr>
                      <w:rFonts w:ascii="Times New Roman" w:hAnsi="Times New Roman" w:eastAsiaTheme="minorEastAsia"/>
                      <w:color w:val="auto"/>
                      <w:kern w:val="21"/>
                      <w:szCs w:val="21"/>
                      <w:highlight w:val="none"/>
                    </w:rPr>
                    <w:t>部建设办公室，建筑面积</w:t>
                  </w:r>
                  <w:r>
                    <w:rPr>
                      <w:rFonts w:hint="eastAsia" w:ascii="Times New Roman" w:hAnsi="Times New Roman" w:eastAsiaTheme="minorEastAsia"/>
                      <w:color w:val="auto"/>
                      <w:kern w:val="21"/>
                      <w:szCs w:val="21"/>
                      <w:highlight w:val="none"/>
                      <w:lang w:val="en-US" w:eastAsia="zh-CN"/>
                    </w:rPr>
                    <w:t>40</w:t>
                  </w:r>
                  <w:r>
                    <w:rPr>
                      <w:rFonts w:ascii="Times New Roman" w:hAnsi="Times New Roman" w:eastAsiaTheme="minorEastAsia"/>
                      <w:color w:val="auto"/>
                      <w:szCs w:val="21"/>
                      <w:highlight w:val="none"/>
                    </w:rPr>
                    <w:t>m</w:t>
                  </w:r>
                  <w:r>
                    <w:rPr>
                      <w:rFonts w:ascii="Times New Roman" w:hAnsi="Times New Roman" w:eastAsiaTheme="minorEastAsia"/>
                      <w:color w:val="auto"/>
                      <w:szCs w:val="21"/>
                      <w:highlight w:val="none"/>
                      <w:vertAlign w:val="superscript"/>
                    </w:rPr>
                    <w:t>2</w:t>
                  </w:r>
                  <w:r>
                    <w:rPr>
                      <w:rFonts w:ascii="Times New Roman" w:hAnsi="Times New Roman" w:eastAsiaTheme="minorEastAsia"/>
                      <w:color w:val="auto"/>
                      <w:szCs w:val="21"/>
                      <w:highlight w:val="none"/>
                    </w:rPr>
                    <w:t>。</w:t>
                  </w:r>
                </w:p>
              </w:tc>
            </w:tr>
            <w:tr w14:paraId="08A834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pct"/>
                  <w:vMerge w:val="continue"/>
                  <w:vAlign w:val="center"/>
                </w:tcPr>
                <w:p w14:paraId="437E303D">
                  <w:pPr>
                    <w:pStyle w:val="50"/>
                    <w:spacing w:beforeLines="0" w:afterLines="0" w:line="280" w:lineRule="exact"/>
                    <w:rPr>
                      <w:rFonts w:ascii="Times New Roman" w:hAnsi="Times New Roman" w:eastAsiaTheme="minorEastAsia"/>
                      <w:color w:val="auto"/>
                      <w:kern w:val="21"/>
                      <w:szCs w:val="21"/>
                      <w:highlight w:val="none"/>
                    </w:rPr>
                  </w:pPr>
                </w:p>
              </w:tc>
              <w:tc>
                <w:tcPr>
                  <w:tcW w:w="866" w:type="pct"/>
                  <w:gridSpan w:val="2"/>
                  <w:vAlign w:val="center"/>
                </w:tcPr>
                <w:p w14:paraId="05931163">
                  <w:pPr>
                    <w:pStyle w:val="50"/>
                    <w:spacing w:beforeLines="0" w:afterLines="0" w:line="280" w:lineRule="exact"/>
                    <w:rPr>
                      <w:rFonts w:ascii="Times New Roman" w:hAnsi="Times New Roman" w:eastAsiaTheme="minorEastAsia"/>
                      <w:color w:val="auto"/>
                      <w:kern w:val="21"/>
                      <w:szCs w:val="21"/>
                      <w:highlight w:val="none"/>
                    </w:rPr>
                  </w:pPr>
                  <w:r>
                    <w:rPr>
                      <w:rFonts w:ascii="Times New Roman" w:hAnsi="Times New Roman" w:eastAsiaTheme="minorEastAsia"/>
                      <w:color w:val="auto"/>
                      <w:kern w:val="21"/>
                      <w:szCs w:val="21"/>
                      <w:highlight w:val="none"/>
                    </w:rPr>
                    <w:t>地磅</w:t>
                  </w:r>
                </w:p>
              </w:tc>
              <w:tc>
                <w:tcPr>
                  <w:tcW w:w="3535" w:type="pct"/>
                  <w:vAlign w:val="center"/>
                </w:tcPr>
                <w:p w14:paraId="1E9D5741">
                  <w:pPr>
                    <w:pStyle w:val="50"/>
                    <w:spacing w:beforeLines="0" w:afterLines="0" w:line="280" w:lineRule="exact"/>
                    <w:jc w:val="both"/>
                    <w:rPr>
                      <w:rFonts w:ascii="Times New Roman" w:hAnsi="Times New Roman" w:eastAsiaTheme="minorEastAsia"/>
                      <w:color w:val="auto"/>
                      <w:kern w:val="21"/>
                      <w:szCs w:val="21"/>
                      <w:highlight w:val="none"/>
                    </w:rPr>
                  </w:pPr>
                  <w:r>
                    <w:rPr>
                      <w:rFonts w:hint="eastAsia" w:hAnsi="Times New Roman" w:cs="宋体"/>
                      <w:color w:val="auto"/>
                      <w:szCs w:val="21"/>
                      <w:highlight w:val="none"/>
                    </w:rPr>
                    <w:t>项目设置</w:t>
                  </w:r>
                  <w:r>
                    <w:rPr>
                      <w:rFonts w:ascii="TimesNewRomanPSMT" w:hAnsi="Times New Roman" w:eastAsia="TimesNewRomanPSMT" w:cs="TimesNewRomanPSMT"/>
                      <w:color w:val="auto"/>
                      <w:szCs w:val="21"/>
                      <w:highlight w:val="none"/>
                    </w:rPr>
                    <w:t>1</w:t>
                  </w:r>
                  <w:r>
                    <w:rPr>
                      <w:rFonts w:hint="eastAsia" w:hAnsi="Times New Roman" w:cs="宋体"/>
                      <w:color w:val="auto"/>
                      <w:szCs w:val="21"/>
                      <w:highlight w:val="none"/>
                    </w:rPr>
                    <w:t>个地磅，位于</w:t>
                  </w:r>
                  <w:r>
                    <w:rPr>
                      <w:rFonts w:hint="eastAsia" w:hAnsi="Times New Roman" w:cs="宋体"/>
                      <w:color w:val="auto"/>
                      <w:szCs w:val="21"/>
                      <w:highlight w:val="none"/>
                      <w:lang w:val="en-US" w:eastAsia="zh-CN"/>
                    </w:rPr>
                    <w:t>车间西南侧</w:t>
                  </w:r>
                  <w:r>
                    <w:rPr>
                      <w:rFonts w:hint="eastAsia" w:hAnsi="Times New Roman" w:cs="宋体"/>
                      <w:color w:val="auto"/>
                      <w:szCs w:val="21"/>
                      <w:highlight w:val="none"/>
                    </w:rPr>
                    <w:t>。</w:t>
                  </w:r>
                </w:p>
              </w:tc>
            </w:tr>
            <w:tr w14:paraId="29CF5B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pct"/>
                  <w:vMerge w:val="restart"/>
                  <w:vAlign w:val="center"/>
                </w:tcPr>
                <w:p w14:paraId="68875621">
                  <w:pPr>
                    <w:pStyle w:val="50"/>
                    <w:spacing w:before="24" w:after="24" w:line="280" w:lineRule="exact"/>
                    <w:rPr>
                      <w:rFonts w:ascii="Times New Roman" w:hAnsi="Times New Roman" w:eastAsiaTheme="minorEastAsia"/>
                      <w:color w:val="auto"/>
                      <w:kern w:val="21"/>
                      <w:szCs w:val="21"/>
                      <w:highlight w:val="none"/>
                    </w:rPr>
                  </w:pPr>
                  <w:r>
                    <w:rPr>
                      <w:rFonts w:ascii="Times New Roman" w:hAnsi="Times New Roman" w:eastAsiaTheme="minorEastAsia"/>
                      <w:color w:val="auto"/>
                      <w:kern w:val="21"/>
                      <w:szCs w:val="21"/>
                      <w:highlight w:val="none"/>
                    </w:rPr>
                    <w:t>公用工程</w:t>
                  </w:r>
                </w:p>
              </w:tc>
              <w:tc>
                <w:tcPr>
                  <w:tcW w:w="866" w:type="pct"/>
                  <w:gridSpan w:val="2"/>
                  <w:vAlign w:val="center"/>
                </w:tcPr>
                <w:p w14:paraId="517125C3">
                  <w:pPr>
                    <w:spacing w:line="280" w:lineRule="exact"/>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供水</w:t>
                  </w:r>
                </w:p>
              </w:tc>
              <w:tc>
                <w:tcPr>
                  <w:tcW w:w="3535" w:type="pct"/>
                  <w:vAlign w:val="center"/>
                </w:tcPr>
                <w:p w14:paraId="488B57CC">
                  <w:pPr>
                    <w:spacing w:line="280" w:lineRule="exact"/>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租赁车间内现有供水系统，由河北徐水经济开发区地表水厂供给。</w:t>
                  </w:r>
                </w:p>
              </w:tc>
            </w:tr>
            <w:tr w14:paraId="64C3CE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pct"/>
                  <w:vMerge w:val="continue"/>
                  <w:vAlign w:val="center"/>
                </w:tcPr>
                <w:p w14:paraId="1B28F666">
                  <w:pPr>
                    <w:pStyle w:val="50"/>
                    <w:spacing w:beforeLines="0" w:afterLines="0" w:line="280" w:lineRule="exact"/>
                    <w:rPr>
                      <w:rFonts w:ascii="Times New Roman" w:hAnsi="Times New Roman" w:eastAsiaTheme="minorEastAsia"/>
                      <w:color w:val="auto"/>
                      <w:kern w:val="21"/>
                      <w:szCs w:val="21"/>
                      <w:highlight w:val="none"/>
                    </w:rPr>
                  </w:pPr>
                </w:p>
              </w:tc>
              <w:tc>
                <w:tcPr>
                  <w:tcW w:w="866" w:type="pct"/>
                  <w:gridSpan w:val="2"/>
                  <w:vAlign w:val="center"/>
                </w:tcPr>
                <w:p w14:paraId="03CD7DD9">
                  <w:pPr>
                    <w:spacing w:line="280" w:lineRule="exact"/>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排水</w:t>
                  </w:r>
                </w:p>
              </w:tc>
              <w:tc>
                <w:tcPr>
                  <w:tcW w:w="3535" w:type="pct"/>
                  <w:vAlign w:val="center"/>
                </w:tcPr>
                <w:p w14:paraId="0028FD40">
                  <w:pPr>
                    <w:spacing w:line="280" w:lineRule="exact"/>
                    <w:rPr>
                      <w:rFonts w:ascii="Times New Roman" w:hAnsi="Times New Roman" w:eastAsiaTheme="minorEastAsia"/>
                      <w:color w:val="auto"/>
                      <w:szCs w:val="21"/>
                      <w:highlight w:val="none"/>
                    </w:rPr>
                  </w:pPr>
                  <w:r>
                    <w:rPr>
                      <w:rFonts w:ascii="Times New Roman" w:hAnsi="Times New Roman" w:eastAsiaTheme="minorEastAsia"/>
                      <w:color w:val="auto"/>
                      <w:spacing w:val="-6"/>
                      <w:szCs w:val="21"/>
                      <w:highlight w:val="none"/>
                    </w:rPr>
                    <w:t>本项目劳动定员</w:t>
                  </w:r>
                  <w:r>
                    <w:rPr>
                      <w:rFonts w:hint="eastAsia" w:ascii="Times New Roman" w:hAnsi="Times New Roman" w:eastAsiaTheme="minorEastAsia"/>
                      <w:color w:val="auto"/>
                      <w:spacing w:val="-6"/>
                      <w:szCs w:val="21"/>
                      <w:highlight w:val="none"/>
                    </w:rPr>
                    <w:t>6人</w:t>
                  </w:r>
                  <w:r>
                    <w:rPr>
                      <w:rFonts w:ascii="Times New Roman" w:hAnsi="Times New Roman" w:eastAsiaTheme="minorEastAsia"/>
                      <w:color w:val="auto"/>
                      <w:spacing w:val="-6"/>
                      <w:szCs w:val="21"/>
                      <w:highlight w:val="none"/>
                    </w:rPr>
                    <w:t>，生活污水依托现有排水</w:t>
                  </w:r>
                  <w:r>
                    <w:rPr>
                      <w:rFonts w:hint="eastAsia" w:ascii="Times New Roman" w:hAnsi="Times New Roman" w:eastAsiaTheme="minorEastAsia"/>
                      <w:color w:val="auto"/>
                      <w:spacing w:val="-6"/>
                      <w:szCs w:val="21"/>
                      <w:highlight w:val="none"/>
                      <w:lang w:val="en-US" w:eastAsia="zh-CN"/>
                    </w:rPr>
                    <w:t>管网</w:t>
                  </w:r>
                  <w:r>
                    <w:rPr>
                      <w:rFonts w:ascii="Times New Roman" w:hAnsi="Times New Roman" w:eastAsiaTheme="minorEastAsia"/>
                      <w:color w:val="auto"/>
                      <w:spacing w:val="-6"/>
                      <w:szCs w:val="21"/>
                      <w:highlight w:val="none"/>
                    </w:rPr>
                    <w:t>排至徐水区大王店污水处理厂进一步处理；本项目无生产废水外排。</w:t>
                  </w:r>
                </w:p>
              </w:tc>
            </w:tr>
            <w:tr w14:paraId="4D1EF1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597" w:type="pct"/>
                  <w:vMerge w:val="continue"/>
                  <w:vAlign w:val="center"/>
                </w:tcPr>
                <w:p w14:paraId="66541640">
                  <w:pPr>
                    <w:pStyle w:val="50"/>
                    <w:spacing w:beforeLines="0" w:afterLines="0" w:line="280" w:lineRule="exact"/>
                    <w:rPr>
                      <w:rFonts w:ascii="Times New Roman" w:hAnsi="Times New Roman" w:eastAsiaTheme="minorEastAsia"/>
                      <w:color w:val="auto"/>
                      <w:kern w:val="21"/>
                      <w:szCs w:val="21"/>
                      <w:highlight w:val="none"/>
                    </w:rPr>
                  </w:pPr>
                </w:p>
              </w:tc>
              <w:tc>
                <w:tcPr>
                  <w:tcW w:w="866" w:type="pct"/>
                  <w:gridSpan w:val="2"/>
                  <w:vAlign w:val="center"/>
                </w:tcPr>
                <w:p w14:paraId="518DBD05">
                  <w:pPr>
                    <w:spacing w:line="280" w:lineRule="exact"/>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供电</w:t>
                  </w:r>
                </w:p>
              </w:tc>
              <w:tc>
                <w:tcPr>
                  <w:tcW w:w="3535" w:type="pct"/>
                  <w:vAlign w:val="center"/>
                </w:tcPr>
                <w:p w14:paraId="2999073B">
                  <w:pPr>
                    <w:spacing w:line="280" w:lineRule="exact"/>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依托租赁车间内现有供电系统供给。</w:t>
                  </w:r>
                </w:p>
              </w:tc>
            </w:tr>
            <w:tr w14:paraId="7BEF82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pct"/>
                  <w:vMerge w:val="continue"/>
                  <w:vAlign w:val="center"/>
                </w:tcPr>
                <w:p w14:paraId="1FA07B12">
                  <w:pPr>
                    <w:pStyle w:val="50"/>
                    <w:spacing w:beforeLines="0" w:afterLines="0" w:line="280" w:lineRule="exact"/>
                    <w:rPr>
                      <w:rFonts w:ascii="Times New Roman" w:hAnsi="Times New Roman" w:eastAsiaTheme="minorEastAsia"/>
                      <w:color w:val="auto"/>
                      <w:kern w:val="21"/>
                      <w:szCs w:val="21"/>
                      <w:highlight w:val="none"/>
                    </w:rPr>
                  </w:pPr>
                </w:p>
              </w:tc>
              <w:tc>
                <w:tcPr>
                  <w:tcW w:w="866" w:type="pct"/>
                  <w:gridSpan w:val="2"/>
                  <w:vAlign w:val="center"/>
                </w:tcPr>
                <w:p w14:paraId="344FABE8">
                  <w:pPr>
                    <w:spacing w:line="280" w:lineRule="exact"/>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供热</w:t>
                  </w:r>
                </w:p>
              </w:tc>
              <w:tc>
                <w:tcPr>
                  <w:tcW w:w="3535" w:type="pct"/>
                  <w:vAlign w:val="center"/>
                </w:tcPr>
                <w:p w14:paraId="190454D5">
                  <w:pPr>
                    <w:autoSpaceDE w:val="0"/>
                    <w:autoSpaceDN w:val="0"/>
                    <w:adjustRightInd w:val="0"/>
                    <w:jc w:val="left"/>
                    <w:rPr>
                      <w:rFonts w:ascii="Times New Roman" w:hAnsi="Times New Roman" w:eastAsiaTheme="minorEastAsia"/>
                      <w:color w:val="auto"/>
                      <w:szCs w:val="21"/>
                      <w:highlight w:val="none"/>
                    </w:rPr>
                  </w:pPr>
                  <w:r>
                    <w:rPr>
                      <w:rFonts w:hint="eastAsia" w:ascii="宋体" w:hAnsi="Times New Roman" w:cs="宋体"/>
                      <w:color w:val="auto"/>
                      <w:kern w:val="0"/>
                      <w:szCs w:val="21"/>
                      <w:highlight w:val="none"/>
                    </w:rPr>
                    <w:t>办公室冬季采用空调取暖。</w:t>
                  </w:r>
                </w:p>
              </w:tc>
            </w:tr>
            <w:tr w14:paraId="185130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pct"/>
                  <w:vMerge w:val="restart"/>
                  <w:vAlign w:val="center"/>
                </w:tcPr>
                <w:p w14:paraId="151C5780">
                  <w:pPr>
                    <w:pStyle w:val="50"/>
                    <w:spacing w:beforeLines="0" w:afterLines="0" w:line="280" w:lineRule="exact"/>
                    <w:rPr>
                      <w:rFonts w:ascii="Times New Roman" w:hAnsi="Times New Roman" w:eastAsiaTheme="minorEastAsia"/>
                      <w:color w:val="auto"/>
                      <w:kern w:val="21"/>
                      <w:szCs w:val="21"/>
                      <w:highlight w:val="none"/>
                    </w:rPr>
                  </w:pPr>
                  <w:r>
                    <w:rPr>
                      <w:rFonts w:ascii="Times New Roman" w:hAnsi="Times New Roman" w:eastAsiaTheme="minorEastAsia"/>
                      <w:color w:val="auto"/>
                      <w:kern w:val="21"/>
                      <w:szCs w:val="21"/>
                      <w:highlight w:val="none"/>
                    </w:rPr>
                    <w:t>环保工程</w:t>
                  </w:r>
                </w:p>
              </w:tc>
              <w:tc>
                <w:tcPr>
                  <w:tcW w:w="866" w:type="pct"/>
                  <w:gridSpan w:val="2"/>
                  <w:vAlign w:val="center"/>
                </w:tcPr>
                <w:p w14:paraId="4F9137F8">
                  <w:pPr>
                    <w:autoSpaceDE w:val="0"/>
                    <w:autoSpaceDN w:val="0"/>
                    <w:adjustRightInd w:val="0"/>
                    <w:jc w:val="center"/>
                    <w:rPr>
                      <w:rFonts w:ascii="Times New Roman" w:hAnsi="Times New Roman" w:eastAsiaTheme="minorEastAsia"/>
                      <w:color w:val="auto"/>
                      <w:kern w:val="21"/>
                      <w:szCs w:val="21"/>
                      <w:highlight w:val="none"/>
                    </w:rPr>
                  </w:pPr>
                  <w:r>
                    <w:rPr>
                      <w:rFonts w:ascii="Times New Roman" w:hAnsi="Times New Roman" w:eastAsiaTheme="minorEastAsia"/>
                      <w:color w:val="auto"/>
                      <w:kern w:val="21"/>
                      <w:szCs w:val="21"/>
                      <w:highlight w:val="none"/>
                    </w:rPr>
                    <w:t>废气</w:t>
                  </w:r>
                </w:p>
              </w:tc>
              <w:tc>
                <w:tcPr>
                  <w:tcW w:w="3535" w:type="pct"/>
                  <w:vAlign w:val="center"/>
                </w:tcPr>
                <w:p w14:paraId="497F1028">
                  <w:pPr>
                    <w:autoSpaceDE w:val="0"/>
                    <w:autoSpaceDN w:val="0"/>
                    <w:adjustRightInd w:val="0"/>
                    <w:jc w:val="left"/>
                    <w:rPr>
                      <w:rFonts w:ascii="Times New Roman" w:hAnsi="Times New Roman" w:eastAsiaTheme="minorEastAsia"/>
                      <w:color w:val="auto"/>
                      <w:kern w:val="21"/>
                      <w:szCs w:val="21"/>
                      <w:highlight w:val="none"/>
                    </w:rPr>
                  </w:pPr>
                  <w:r>
                    <w:rPr>
                      <w:rFonts w:hint="eastAsia" w:ascii="Times New Roman" w:hAnsi="Times New Roman" w:eastAsiaTheme="minorEastAsia"/>
                      <w:color w:val="auto"/>
                      <w:spacing w:val="-6"/>
                      <w:szCs w:val="21"/>
                      <w:highlight w:val="none"/>
                    </w:rPr>
                    <w:t>破损铅蓄电池贮存间密闭</w:t>
                  </w:r>
                  <w:r>
                    <w:rPr>
                      <w:rFonts w:ascii="Times New Roman" w:hAnsi="Times New Roman" w:eastAsiaTheme="minorEastAsia"/>
                      <w:color w:val="auto"/>
                      <w:spacing w:val="-6"/>
                      <w:szCs w:val="21"/>
                      <w:highlight w:val="none"/>
                    </w:rPr>
                    <w:t>+</w:t>
                  </w:r>
                  <w:r>
                    <w:rPr>
                      <w:rFonts w:hint="eastAsia" w:ascii="Times New Roman" w:hAnsi="Times New Roman" w:eastAsiaTheme="minorEastAsia"/>
                      <w:color w:val="auto"/>
                      <w:spacing w:val="-6"/>
                      <w:szCs w:val="21"/>
                      <w:highlight w:val="none"/>
                    </w:rPr>
                    <w:t>风机</w:t>
                  </w:r>
                  <w:r>
                    <w:rPr>
                      <w:rFonts w:ascii="Times New Roman" w:hAnsi="Times New Roman" w:eastAsiaTheme="minorEastAsia"/>
                      <w:color w:val="auto"/>
                      <w:spacing w:val="-6"/>
                      <w:szCs w:val="21"/>
                      <w:highlight w:val="none"/>
                    </w:rPr>
                    <w:t>+</w:t>
                  </w:r>
                  <w:r>
                    <w:rPr>
                      <w:rFonts w:hint="eastAsia" w:ascii="Times New Roman" w:hAnsi="Times New Roman" w:eastAsiaTheme="minorEastAsia"/>
                      <w:color w:val="auto"/>
                      <w:spacing w:val="-6"/>
                      <w:szCs w:val="21"/>
                      <w:highlight w:val="none"/>
                    </w:rPr>
                    <w:t>脱硫塔（</w:t>
                  </w:r>
                  <w:r>
                    <w:rPr>
                      <w:rFonts w:ascii="Times New Roman" w:hAnsi="Times New Roman" w:eastAsiaTheme="minorEastAsia"/>
                      <w:color w:val="auto"/>
                      <w:spacing w:val="-6"/>
                      <w:szCs w:val="21"/>
                      <w:highlight w:val="none"/>
                    </w:rPr>
                    <w:t>TA001</w:t>
                  </w:r>
                  <w:r>
                    <w:rPr>
                      <w:rFonts w:hint="eastAsia" w:ascii="Times New Roman" w:hAnsi="Times New Roman" w:eastAsiaTheme="minorEastAsia"/>
                      <w:color w:val="auto"/>
                      <w:spacing w:val="-6"/>
                      <w:szCs w:val="21"/>
                      <w:highlight w:val="none"/>
                    </w:rPr>
                    <w:t>）</w:t>
                  </w:r>
                  <w:r>
                    <w:rPr>
                      <w:rFonts w:ascii="Times New Roman" w:hAnsi="Times New Roman" w:eastAsiaTheme="minorEastAsia"/>
                      <w:color w:val="auto"/>
                      <w:spacing w:val="-6"/>
                      <w:szCs w:val="21"/>
                      <w:highlight w:val="none"/>
                    </w:rPr>
                    <w:t>+15m</w:t>
                  </w:r>
                  <w:r>
                    <w:rPr>
                      <w:rFonts w:hint="eastAsia" w:ascii="Times New Roman" w:hAnsi="Times New Roman" w:eastAsiaTheme="minorEastAsia"/>
                      <w:color w:val="auto"/>
                      <w:spacing w:val="-6"/>
                      <w:szCs w:val="21"/>
                      <w:highlight w:val="none"/>
                    </w:rPr>
                    <w:t>高排气筒（</w:t>
                  </w:r>
                  <w:r>
                    <w:rPr>
                      <w:rFonts w:ascii="Times New Roman" w:hAnsi="Times New Roman" w:eastAsiaTheme="minorEastAsia"/>
                      <w:color w:val="auto"/>
                      <w:spacing w:val="-6"/>
                      <w:szCs w:val="21"/>
                      <w:highlight w:val="none"/>
                    </w:rPr>
                    <w:t>DA001</w:t>
                  </w:r>
                  <w:r>
                    <w:rPr>
                      <w:rFonts w:hint="eastAsia" w:ascii="Times New Roman" w:hAnsi="Times New Roman" w:eastAsiaTheme="minorEastAsia"/>
                      <w:color w:val="auto"/>
                      <w:spacing w:val="-6"/>
                      <w:szCs w:val="21"/>
                      <w:highlight w:val="none"/>
                    </w:rPr>
                    <w:t>）。</w:t>
                  </w:r>
                </w:p>
              </w:tc>
            </w:tr>
            <w:tr w14:paraId="2223A5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pct"/>
                  <w:vMerge w:val="continue"/>
                  <w:vAlign w:val="center"/>
                </w:tcPr>
                <w:p w14:paraId="3D3E1EFA">
                  <w:pPr>
                    <w:pStyle w:val="50"/>
                    <w:spacing w:beforeLines="0" w:afterLines="0" w:line="280" w:lineRule="exact"/>
                    <w:rPr>
                      <w:rFonts w:ascii="Times New Roman" w:hAnsi="Times New Roman" w:eastAsiaTheme="minorEastAsia"/>
                      <w:color w:val="auto"/>
                      <w:szCs w:val="21"/>
                      <w:highlight w:val="none"/>
                    </w:rPr>
                  </w:pPr>
                </w:p>
              </w:tc>
              <w:tc>
                <w:tcPr>
                  <w:tcW w:w="866" w:type="pct"/>
                  <w:gridSpan w:val="2"/>
                  <w:vMerge w:val="restart"/>
                  <w:vAlign w:val="center"/>
                </w:tcPr>
                <w:p w14:paraId="6F84EFB8">
                  <w:pPr>
                    <w:pStyle w:val="50"/>
                    <w:spacing w:beforeLines="0" w:afterLines="0" w:line="280" w:lineRule="exact"/>
                    <w:rPr>
                      <w:rFonts w:ascii="Times New Roman" w:hAnsi="Times New Roman" w:eastAsiaTheme="minorEastAsia"/>
                      <w:color w:val="auto"/>
                      <w:kern w:val="2"/>
                      <w:szCs w:val="21"/>
                      <w:highlight w:val="none"/>
                    </w:rPr>
                  </w:pPr>
                  <w:r>
                    <w:rPr>
                      <w:rFonts w:ascii="Times New Roman" w:hAnsi="Times New Roman" w:eastAsiaTheme="minorEastAsia"/>
                      <w:color w:val="auto"/>
                      <w:kern w:val="2"/>
                      <w:szCs w:val="21"/>
                      <w:highlight w:val="none"/>
                    </w:rPr>
                    <w:t>废水</w:t>
                  </w:r>
                </w:p>
              </w:tc>
              <w:tc>
                <w:tcPr>
                  <w:tcW w:w="3535" w:type="pct"/>
                  <w:vAlign w:val="center"/>
                </w:tcPr>
                <w:p w14:paraId="30F31F95">
                  <w:pPr>
                    <w:pStyle w:val="50"/>
                    <w:spacing w:beforeLines="0" w:afterLines="0" w:line="280" w:lineRule="exact"/>
                    <w:jc w:val="left"/>
                    <w:rPr>
                      <w:rFonts w:hint="default" w:ascii="Times New Roman" w:hAnsi="Times New Roman" w:eastAsiaTheme="minorEastAsia"/>
                      <w:color w:val="auto"/>
                      <w:kern w:val="2"/>
                      <w:szCs w:val="21"/>
                      <w:highlight w:val="none"/>
                      <w:lang w:val="en-US"/>
                    </w:rPr>
                  </w:pPr>
                  <w:r>
                    <w:rPr>
                      <w:rFonts w:ascii="Times New Roman" w:hAnsi="Times New Roman" w:eastAsiaTheme="minorEastAsia"/>
                      <w:color w:val="auto"/>
                      <w:kern w:val="2"/>
                      <w:szCs w:val="21"/>
                      <w:highlight w:val="none"/>
                    </w:rPr>
                    <w:t>本项目生产废水</w:t>
                  </w:r>
                  <w:r>
                    <w:rPr>
                      <w:rFonts w:hint="eastAsia" w:ascii="Times New Roman" w:hAnsi="Times New Roman" w:eastAsiaTheme="minorEastAsia"/>
                      <w:color w:val="auto"/>
                      <w:kern w:val="2"/>
                      <w:szCs w:val="21"/>
                      <w:highlight w:val="none"/>
                      <w:lang w:val="en-US" w:eastAsia="zh-CN"/>
                    </w:rPr>
                    <w:t>为脱硫塔定期更换废水，属于危险废物，定期交由资质单位处置。</w:t>
                  </w:r>
                </w:p>
              </w:tc>
            </w:tr>
            <w:tr w14:paraId="43DE38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pct"/>
                  <w:vMerge w:val="continue"/>
                  <w:vAlign w:val="center"/>
                </w:tcPr>
                <w:p w14:paraId="711C68C2">
                  <w:pPr>
                    <w:pStyle w:val="50"/>
                    <w:spacing w:beforeLines="0" w:afterLines="0" w:line="280" w:lineRule="exact"/>
                    <w:rPr>
                      <w:rFonts w:ascii="Times New Roman" w:hAnsi="Times New Roman" w:eastAsiaTheme="minorEastAsia"/>
                      <w:color w:val="auto"/>
                      <w:kern w:val="21"/>
                      <w:szCs w:val="21"/>
                      <w:highlight w:val="none"/>
                    </w:rPr>
                  </w:pPr>
                </w:p>
              </w:tc>
              <w:tc>
                <w:tcPr>
                  <w:tcW w:w="866" w:type="pct"/>
                  <w:gridSpan w:val="2"/>
                  <w:vMerge w:val="continue"/>
                  <w:vAlign w:val="center"/>
                </w:tcPr>
                <w:p w14:paraId="600E3C66">
                  <w:pPr>
                    <w:pStyle w:val="50"/>
                    <w:spacing w:beforeLines="0" w:afterLines="0" w:line="280" w:lineRule="exact"/>
                    <w:rPr>
                      <w:rFonts w:ascii="Times New Roman" w:hAnsi="Times New Roman" w:eastAsiaTheme="minorEastAsia"/>
                      <w:color w:val="auto"/>
                      <w:kern w:val="2"/>
                      <w:szCs w:val="21"/>
                      <w:highlight w:val="none"/>
                    </w:rPr>
                  </w:pPr>
                </w:p>
              </w:tc>
              <w:tc>
                <w:tcPr>
                  <w:tcW w:w="3535" w:type="pct"/>
                  <w:vAlign w:val="center"/>
                </w:tcPr>
                <w:p w14:paraId="5F68D5B3">
                  <w:pPr>
                    <w:pStyle w:val="50"/>
                    <w:spacing w:beforeLines="0" w:afterLines="0" w:line="280" w:lineRule="exact"/>
                    <w:jc w:val="left"/>
                    <w:rPr>
                      <w:rFonts w:ascii="Times New Roman" w:hAnsi="Times New Roman" w:eastAsiaTheme="minorEastAsia"/>
                      <w:color w:val="auto"/>
                      <w:kern w:val="2"/>
                      <w:szCs w:val="21"/>
                      <w:highlight w:val="none"/>
                    </w:rPr>
                  </w:pPr>
                  <w:r>
                    <w:rPr>
                      <w:rFonts w:ascii="Times New Roman" w:hAnsi="Times New Roman" w:eastAsiaTheme="minorEastAsia"/>
                      <w:color w:val="auto"/>
                      <w:kern w:val="2"/>
                      <w:szCs w:val="21"/>
                      <w:highlight w:val="none"/>
                    </w:rPr>
                    <w:t>生活污水依托现有排水系统排至徐水区大王店污水处理厂进一步处理</w:t>
                  </w:r>
                </w:p>
              </w:tc>
            </w:tr>
            <w:tr w14:paraId="1BC1FC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pct"/>
                  <w:vMerge w:val="continue"/>
                  <w:vAlign w:val="center"/>
                </w:tcPr>
                <w:p w14:paraId="1BD8FB85">
                  <w:pPr>
                    <w:pStyle w:val="50"/>
                    <w:spacing w:beforeLines="0" w:afterLines="0" w:line="280" w:lineRule="exact"/>
                    <w:rPr>
                      <w:rFonts w:ascii="Times New Roman" w:hAnsi="Times New Roman" w:eastAsiaTheme="minorEastAsia"/>
                      <w:color w:val="auto"/>
                      <w:kern w:val="21"/>
                      <w:szCs w:val="21"/>
                      <w:highlight w:val="none"/>
                    </w:rPr>
                  </w:pPr>
                </w:p>
              </w:tc>
              <w:tc>
                <w:tcPr>
                  <w:tcW w:w="866" w:type="pct"/>
                  <w:gridSpan w:val="2"/>
                  <w:vAlign w:val="center"/>
                </w:tcPr>
                <w:p w14:paraId="11DBDB6F">
                  <w:pPr>
                    <w:topLinePunct/>
                    <w:adjustRightInd w:val="0"/>
                    <w:snapToGrid w:val="0"/>
                    <w:spacing w:line="280" w:lineRule="exac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噪声</w:t>
                  </w:r>
                </w:p>
              </w:tc>
              <w:tc>
                <w:tcPr>
                  <w:tcW w:w="3535" w:type="pct"/>
                  <w:vAlign w:val="center"/>
                </w:tcPr>
                <w:p w14:paraId="349495F7">
                  <w:pPr>
                    <w:autoSpaceDE w:val="0"/>
                    <w:autoSpaceDN w:val="0"/>
                    <w:adjustRightInd w:val="0"/>
                    <w:jc w:val="left"/>
                    <w:rPr>
                      <w:rFonts w:ascii="Times New Roman" w:hAnsi="Times New Roman" w:eastAsiaTheme="minorEastAsia"/>
                      <w:color w:val="auto"/>
                      <w:szCs w:val="21"/>
                      <w:highlight w:val="none"/>
                    </w:rPr>
                  </w:pPr>
                  <w:r>
                    <w:rPr>
                      <w:rFonts w:hint="eastAsia" w:ascii="宋体" w:hAnsi="Times New Roman" w:cs="宋体"/>
                      <w:color w:val="auto"/>
                      <w:kern w:val="0"/>
                      <w:szCs w:val="21"/>
                      <w:highlight w:val="none"/>
                    </w:rPr>
                    <w:t>装卸噪声、风机噪声。选用低噪声设备，厂房隔声，风机进出口软连接等措施。</w:t>
                  </w:r>
                </w:p>
              </w:tc>
            </w:tr>
            <w:tr w14:paraId="4B2438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pct"/>
                  <w:vMerge w:val="continue"/>
                  <w:vAlign w:val="center"/>
                </w:tcPr>
                <w:p w14:paraId="1C63C880">
                  <w:pPr>
                    <w:pStyle w:val="50"/>
                    <w:spacing w:beforeLines="0" w:afterLines="0" w:line="280" w:lineRule="exact"/>
                    <w:rPr>
                      <w:rFonts w:ascii="Times New Roman" w:hAnsi="Times New Roman" w:eastAsiaTheme="minorEastAsia"/>
                      <w:color w:val="auto"/>
                      <w:kern w:val="21"/>
                      <w:szCs w:val="21"/>
                      <w:highlight w:val="none"/>
                    </w:rPr>
                  </w:pPr>
                </w:p>
              </w:tc>
              <w:tc>
                <w:tcPr>
                  <w:tcW w:w="430" w:type="pct"/>
                  <w:vMerge w:val="restart"/>
                  <w:vAlign w:val="center"/>
                </w:tcPr>
                <w:p w14:paraId="58797017">
                  <w:pPr>
                    <w:pStyle w:val="50"/>
                    <w:spacing w:beforeLines="0" w:afterLines="0" w:line="280" w:lineRule="exact"/>
                    <w:rPr>
                      <w:rFonts w:ascii="Times New Roman" w:hAnsi="Times New Roman" w:eastAsiaTheme="minorEastAsia"/>
                      <w:color w:val="auto"/>
                      <w:kern w:val="2"/>
                      <w:szCs w:val="21"/>
                      <w:highlight w:val="none"/>
                    </w:rPr>
                  </w:pPr>
                  <w:r>
                    <w:rPr>
                      <w:rFonts w:ascii="Times New Roman" w:hAnsi="Times New Roman" w:eastAsiaTheme="minorEastAsia"/>
                      <w:color w:val="auto"/>
                      <w:kern w:val="2"/>
                      <w:szCs w:val="21"/>
                      <w:highlight w:val="none"/>
                    </w:rPr>
                    <w:t>固废收集</w:t>
                  </w:r>
                </w:p>
              </w:tc>
              <w:tc>
                <w:tcPr>
                  <w:tcW w:w="435" w:type="pct"/>
                  <w:vAlign w:val="center"/>
                </w:tcPr>
                <w:p w14:paraId="36755801">
                  <w:pPr>
                    <w:pStyle w:val="50"/>
                    <w:spacing w:beforeLines="0" w:afterLines="0" w:line="280" w:lineRule="exact"/>
                    <w:rPr>
                      <w:rFonts w:ascii="Times New Roman" w:hAnsi="Times New Roman" w:eastAsiaTheme="minorEastAsia"/>
                      <w:color w:val="auto"/>
                      <w:kern w:val="2"/>
                      <w:szCs w:val="21"/>
                      <w:highlight w:val="none"/>
                    </w:rPr>
                  </w:pPr>
                  <w:r>
                    <w:rPr>
                      <w:rFonts w:ascii="Times New Roman" w:hAnsi="Times New Roman" w:eastAsiaTheme="minorEastAsia"/>
                      <w:color w:val="auto"/>
                      <w:kern w:val="2"/>
                      <w:szCs w:val="21"/>
                      <w:highlight w:val="none"/>
                    </w:rPr>
                    <w:t>危险废物</w:t>
                  </w:r>
                </w:p>
              </w:tc>
              <w:tc>
                <w:tcPr>
                  <w:tcW w:w="3535" w:type="pct"/>
                  <w:vAlign w:val="center"/>
                </w:tcPr>
                <w:p w14:paraId="29212773">
                  <w:pPr>
                    <w:autoSpaceDE w:val="0"/>
                    <w:autoSpaceDN w:val="0"/>
                    <w:adjustRightInd w:val="0"/>
                    <w:jc w:val="left"/>
                    <w:rPr>
                      <w:rFonts w:ascii="Times New Roman" w:hAnsi="Times New Roman" w:eastAsiaTheme="minorEastAsia"/>
                      <w:color w:val="auto"/>
                      <w:szCs w:val="21"/>
                      <w:highlight w:val="none"/>
                    </w:rPr>
                  </w:pPr>
                  <w:r>
                    <w:rPr>
                      <w:rFonts w:hint="eastAsia" w:ascii="宋体" w:hAnsi="Times New Roman" w:cs="宋体"/>
                      <w:color w:val="auto"/>
                      <w:kern w:val="0"/>
                      <w:szCs w:val="21"/>
                      <w:highlight w:val="none"/>
                    </w:rPr>
                    <w:t>沾染电解液的废拖把、废劳保用品、废抹布装</w:t>
                  </w:r>
                  <w:r>
                    <w:rPr>
                      <w:rFonts w:hint="eastAsia" w:ascii="宋体" w:hAnsi="Times New Roman" w:cs="宋体"/>
                      <w:color w:val="auto"/>
                      <w:kern w:val="0"/>
                      <w:szCs w:val="21"/>
                      <w:highlight w:val="none"/>
                      <w:lang w:eastAsia="zh-CN"/>
                    </w:rPr>
                    <w:t>、</w:t>
                  </w:r>
                  <w:r>
                    <w:rPr>
                      <w:rFonts w:hint="eastAsia" w:ascii="宋体" w:hAnsi="Times New Roman" w:cs="宋体"/>
                      <w:color w:val="auto"/>
                      <w:kern w:val="0"/>
                      <w:szCs w:val="21"/>
                      <w:highlight w:val="none"/>
                      <w:lang w:val="en-US" w:eastAsia="zh-CN"/>
                    </w:rPr>
                    <w:t>破损的箱子</w:t>
                  </w:r>
                  <w:r>
                    <w:rPr>
                      <w:rFonts w:hint="eastAsia" w:ascii="宋体" w:hAnsi="Times New Roman" w:cs="宋体"/>
                      <w:color w:val="auto"/>
                      <w:kern w:val="0"/>
                      <w:szCs w:val="21"/>
                      <w:highlight w:val="none"/>
                    </w:rPr>
                    <w:t>入防漏胶袋；废脱硫塔吸收液装入密闭桶；泄漏的废电解液装入密闭桶。以上危险废物在危废暂存区暂存，定期交由有资质单位处置。</w:t>
                  </w:r>
                </w:p>
              </w:tc>
            </w:tr>
            <w:tr w14:paraId="1C3DF0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pct"/>
                  <w:vMerge w:val="continue"/>
                  <w:vAlign w:val="center"/>
                </w:tcPr>
                <w:p w14:paraId="7C16D877">
                  <w:pPr>
                    <w:pStyle w:val="50"/>
                    <w:spacing w:beforeLines="0" w:afterLines="0" w:line="280" w:lineRule="exact"/>
                    <w:rPr>
                      <w:rFonts w:ascii="Times New Roman" w:hAnsi="Times New Roman" w:eastAsiaTheme="minorEastAsia"/>
                      <w:color w:val="auto"/>
                      <w:kern w:val="21"/>
                      <w:szCs w:val="21"/>
                      <w:highlight w:val="none"/>
                    </w:rPr>
                  </w:pPr>
                </w:p>
              </w:tc>
              <w:tc>
                <w:tcPr>
                  <w:tcW w:w="430" w:type="pct"/>
                  <w:vMerge w:val="continue"/>
                  <w:vAlign w:val="center"/>
                </w:tcPr>
                <w:p w14:paraId="1470860F">
                  <w:pPr>
                    <w:pStyle w:val="50"/>
                    <w:spacing w:beforeLines="0" w:afterLines="0" w:line="280" w:lineRule="exact"/>
                    <w:rPr>
                      <w:rFonts w:ascii="Times New Roman" w:hAnsi="Times New Roman" w:eastAsiaTheme="minorEastAsia"/>
                      <w:color w:val="auto"/>
                      <w:kern w:val="2"/>
                      <w:szCs w:val="21"/>
                      <w:highlight w:val="none"/>
                    </w:rPr>
                  </w:pPr>
                </w:p>
              </w:tc>
              <w:tc>
                <w:tcPr>
                  <w:tcW w:w="435" w:type="pct"/>
                  <w:vAlign w:val="center"/>
                </w:tcPr>
                <w:p w14:paraId="39E0616C">
                  <w:pPr>
                    <w:pStyle w:val="50"/>
                    <w:spacing w:beforeLines="0" w:afterLines="0" w:line="280" w:lineRule="exact"/>
                    <w:rPr>
                      <w:rFonts w:ascii="Times New Roman" w:hAnsi="Times New Roman" w:eastAsiaTheme="minorEastAsia"/>
                      <w:color w:val="auto"/>
                      <w:kern w:val="2"/>
                      <w:szCs w:val="21"/>
                      <w:highlight w:val="none"/>
                    </w:rPr>
                  </w:pPr>
                  <w:r>
                    <w:rPr>
                      <w:rFonts w:ascii="Times New Roman" w:hAnsi="Times New Roman" w:eastAsiaTheme="minorEastAsia"/>
                      <w:color w:val="auto"/>
                      <w:kern w:val="2"/>
                      <w:szCs w:val="21"/>
                      <w:highlight w:val="none"/>
                    </w:rPr>
                    <w:t>生活垃圾</w:t>
                  </w:r>
                </w:p>
              </w:tc>
              <w:tc>
                <w:tcPr>
                  <w:tcW w:w="3535" w:type="pct"/>
                  <w:vAlign w:val="center"/>
                </w:tcPr>
                <w:p w14:paraId="577594DD">
                  <w:pPr>
                    <w:pStyle w:val="50"/>
                    <w:spacing w:beforeLines="0" w:afterLines="0" w:line="280" w:lineRule="exact"/>
                    <w:jc w:val="left"/>
                    <w:rPr>
                      <w:rFonts w:ascii="Times New Roman" w:hAnsi="Times New Roman" w:eastAsiaTheme="minorEastAsia"/>
                      <w:color w:val="auto"/>
                      <w:kern w:val="2"/>
                      <w:szCs w:val="21"/>
                      <w:highlight w:val="none"/>
                    </w:rPr>
                  </w:pPr>
                  <w:r>
                    <w:rPr>
                      <w:rFonts w:hint="eastAsia" w:hAnsi="Times New Roman" w:cs="宋体"/>
                      <w:color w:val="auto"/>
                      <w:szCs w:val="21"/>
                      <w:highlight w:val="none"/>
                    </w:rPr>
                    <w:t>收集后委托当地环卫部门处理</w:t>
                  </w:r>
                </w:p>
              </w:tc>
            </w:tr>
            <w:tr w14:paraId="468618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pct"/>
                  <w:vMerge w:val="continue"/>
                  <w:vAlign w:val="center"/>
                </w:tcPr>
                <w:p w14:paraId="3AD3366B">
                  <w:pPr>
                    <w:pStyle w:val="50"/>
                    <w:spacing w:beforeLines="0" w:afterLines="0" w:line="280" w:lineRule="exact"/>
                    <w:rPr>
                      <w:rFonts w:ascii="Times New Roman" w:hAnsi="Times New Roman" w:eastAsiaTheme="minorEastAsia"/>
                      <w:color w:val="auto"/>
                      <w:kern w:val="21"/>
                      <w:szCs w:val="21"/>
                      <w:highlight w:val="none"/>
                    </w:rPr>
                  </w:pPr>
                </w:p>
              </w:tc>
              <w:tc>
                <w:tcPr>
                  <w:tcW w:w="866" w:type="pct"/>
                  <w:gridSpan w:val="2"/>
                  <w:vAlign w:val="center"/>
                </w:tcPr>
                <w:p w14:paraId="7A65ABA8">
                  <w:pPr>
                    <w:pStyle w:val="50"/>
                    <w:spacing w:beforeLines="0" w:afterLines="0" w:line="280" w:lineRule="exact"/>
                    <w:rPr>
                      <w:rFonts w:ascii="Times New Roman" w:hAnsi="Times New Roman" w:eastAsiaTheme="minorEastAsia"/>
                      <w:color w:val="auto"/>
                      <w:kern w:val="2"/>
                      <w:szCs w:val="21"/>
                      <w:highlight w:val="none"/>
                    </w:rPr>
                  </w:pPr>
                  <w:r>
                    <w:rPr>
                      <w:rFonts w:hint="eastAsia" w:hAnsi="Times New Roman" w:cs="宋体"/>
                      <w:color w:val="auto"/>
                      <w:szCs w:val="21"/>
                      <w:highlight w:val="none"/>
                    </w:rPr>
                    <w:t>防渗措施</w:t>
                  </w:r>
                </w:p>
              </w:tc>
              <w:tc>
                <w:tcPr>
                  <w:tcW w:w="3535" w:type="pct"/>
                  <w:vAlign w:val="center"/>
                </w:tcPr>
                <w:p w14:paraId="68064483">
                  <w:pPr>
                    <w:autoSpaceDE w:val="0"/>
                    <w:autoSpaceDN w:val="0"/>
                    <w:adjustRightInd w:val="0"/>
                    <w:jc w:val="left"/>
                    <w:rPr>
                      <w:rFonts w:hint="eastAsia" w:hAnsi="Times New Roman" w:cs="宋体"/>
                      <w:color w:val="auto"/>
                      <w:szCs w:val="21"/>
                      <w:highlight w:val="none"/>
                    </w:rPr>
                  </w:pPr>
                  <w:r>
                    <w:rPr>
                      <w:rFonts w:hint="eastAsia" w:ascii="Times New Roman" w:hAnsi="Times New Roman" w:eastAsiaTheme="minorEastAsia"/>
                      <w:color w:val="auto"/>
                      <w:spacing w:val="-6"/>
                      <w:szCs w:val="21"/>
                      <w:highlight w:val="none"/>
                    </w:rPr>
                    <w:t>贮存车间</w:t>
                  </w:r>
                  <w:r>
                    <w:rPr>
                      <w:rFonts w:hint="eastAsia" w:ascii="Times New Roman" w:hAnsi="Times New Roman" w:eastAsiaTheme="minorEastAsia"/>
                      <w:color w:val="auto"/>
                      <w:spacing w:val="-6"/>
                      <w:szCs w:val="21"/>
                      <w:highlight w:val="none"/>
                      <w:lang w:eastAsia="zh-CN"/>
                    </w:rPr>
                    <w:t>、</w:t>
                  </w:r>
                  <w:r>
                    <w:rPr>
                      <w:rFonts w:hint="eastAsia" w:ascii="Times New Roman" w:hAnsi="Times New Roman" w:eastAsiaTheme="minorEastAsia"/>
                      <w:color w:val="auto"/>
                      <w:spacing w:val="-6"/>
                      <w:szCs w:val="21"/>
                      <w:highlight w:val="none"/>
                      <w:lang w:val="en-US" w:eastAsia="zh-CN"/>
                    </w:rPr>
                    <w:t>导流沟</w:t>
                  </w:r>
                  <w:r>
                    <w:rPr>
                      <w:rFonts w:hint="eastAsia" w:ascii="Times New Roman" w:hAnsi="Times New Roman" w:eastAsiaTheme="minorEastAsia"/>
                      <w:color w:val="auto"/>
                      <w:spacing w:val="-6"/>
                      <w:szCs w:val="21"/>
                      <w:highlight w:val="none"/>
                    </w:rPr>
                    <w:t>要求在已有的水泥地面防渗层上，</w:t>
                  </w:r>
                  <w:r>
                    <w:rPr>
                      <w:rFonts w:hint="eastAsia" w:ascii="Times New Roman" w:hAnsi="Times New Roman" w:eastAsiaTheme="minorEastAsia"/>
                      <w:color w:val="auto"/>
                      <w:spacing w:val="-6"/>
                      <w:szCs w:val="21"/>
                      <w:highlight w:val="none"/>
                      <w:lang w:val="en-US" w:eastAsia="zh-CN"/>
                    </w:rPr>
                    <w:t>涂</w:t>
                  </w:r>
                  <w:r>
                    <w:rPr>
                      <w:rFonts w:ascii="Times New Roman" w:hAnsi="Times New Roman" w:eastAsiaTheme="minorEastAsia"/>
                      <w:color w:val="auto"/>
                      <w:spacing w:val="-6"/>
                      <w:szCs w:val="21"/>
                      <w:highlight w:val="none"/>
                    </w:rPr>
                    <w:t>厚度不小于2mm的</w:t>
                  </w:r>
                  <w:r>
                    <w:rPr>
                      <w:rFonts w:hint="eastAsia" w:ascii="Times New Roman" w:hAnsi="Times New Roman" w:eastAsiaTheme="minorEastAsia"/>
                      <w:color w:val="auto"/>
                      <w:spacing w:val="-6"/>
                      <w:szCs w:val="21"/>
                      <w:highlight w:val="none"/>
                      <w:lang w:val="en-US" w:eastAsia="zh-CN"/>
                    </w:rPr>
                    <w:t>防水涂料</w:t>
                  </w:r>
                  <w:r>
                    <w:rPr>
                      <w:rFonts w:hint="eastAsia" w:ascii="Times New Roman" w:hAnsi="Times New Roman" w:eastAsiaTheme="minorEastAsia"/>
                      <w:color w:val="auto"/>
                      <w:spacing w:val="-6"/>
                      <w:szCs w:val="21"/>
                      <w:highlight w:val="none"/>
                    </w:rPr>
                    <w:t>，防渗结构层渗透系数不应大于</w:t>
                  </w:r>
                  <w:r>
                    <w:rPr>
                      <w:rFonts w:ascii="Times New Roman" w:hAnsi="Times New Roman" w:eastAsiaTheme="minorEastAsia"/>
                      <w:color w:val="auto"/>
                      <w:spacing w:val="-6"/>
                      <w:szCs w:val="21"/>
                      <w:highlight w:val="none"/>
                    </w:rPr>
                    <w:t>1.0</w:t>
                  </w:r>
                  <w:r>
                    <w:rPr>
                      <w:rFonts w:hint="eastAsia" w:ascii="Times New Roman" w:hAnsi="Times New Roman" w:eastAsiaTheme="minorEastAsia"/>
                      <w:color w:val="auto"/>
                      <w:spacing w:val="-6"/>
                      <w:szCs w:val="21"/>
                      <w:highlight w:val="none"/>
                    </w:rPr>
                    <w:t>×</w:t>
                  </w:r>
                  <w:r>
                    <w:rPr>
                      <w:rFonts w:ascii="Times New Roman" w:hAnsi="Times New Roman" w:eastAsiaTheme="minorEastAsia"/>
                      <w:color w:val="auto"/>
                      <w:spacing w:val="-6"/>
                      <w:szCs w:val="21"/>
                      <w:highlight w:val="none"/>
                    </w:rPr>
                    <w:t>10</w:t>
                  </w:r>
                  <w:r>
                    <w:rPr>
                      <w:rFonts w:ascii="Times New Roman" w:hAnsi="Times New Roman" w:eastAsiaTheme="minorEastAsia"/>
                      <w:color w:val="auto"/>
                      <w:spacing w:val="-6"/>
                      <w:szCs w:val="21"/>
                      <w:highlight w:val="none"/>
                      <w:vertAlign w:val="superscript"/>
                    </w:rPr>
                    <w:t>-10</w:t>
                  </w:r>
                  <w:r>
                    <w:rPr>
                      <w:rFonts w:ascii="Times New Roman" w:hAnsi="Times New Roman" w:eastAsiaTheme="minorEastAsia"/>
                      <w:color w:val="auto"/>
                      <w:spacing w:val="-6"/>
                      <w:szCs w:val="21"/>
                      <w:highlight w:val="none"/>
                    </w:rPr>
                    <w:t xml:space="preserve"> cm/s</w:t>
                  </w:r>
                  <w:r>
                    <w:rPr>
                      <w:rFonts w:hint="eastAsia" w:ascii="Times New Roman" w:hAnsi="Times New Roman" w:eastAsiaTheme="minorEastAsia"/>
                      <w:color w:val="auto"/>
                      <w:spacing w:val="-6"/>
                      <w:szCs w:val="21"/>
                      <w:highlight w:val="none"/>
                    </w:rPr>
                    <w:t>，并采用环氧树脂防腐；</w:t>
                  </w:r>
                  <w:r>
                    <w:rPr>
                      <w:rFonts w:hint="eastAsia" w:ascii="Times New Roman" w:hAnsi="Times New Roman" w:eastAsiaTheme="minorEastAsia"/>
                      <w:color w:val="auto"/>
                      <w:spacing w:val="-6"/>
                      <w:szCs w:val="21"/>
                      <w:highlight w:val="none"/>
                      <w:lang w:val="en-US" w:eastAsia="zh-CN"/>
                    </w:rPr>
                    <w:t>收集池、</w:t>
                  </w:r>
                  <w:r>
                    <w:rPr>
                      <w:rFonts w:hint="eastAsia" w:ascii="Times New Roman" w:hAnsi="Times New Roman" w:eastAsiaTheme="minorEastAsia"/>
                      <w:color w:val="auto"/>
                      <w:spacing w:val="-6"/>
                      <w:szCs w:val="21"/>
                      <w:highlight w:val="none"/>
                    </w:rPr>
                    <w:t>消防</w:t>
                  </w:r>
                  <w:r>
                    <w:rPr>
                      <w:rFonts w:hint="eastAsia" w:ascii="Times New Roman" w:hAnsi="Times New Roman" w:eastAsiaTheme="minorEastAsia"/>
                      <w:color w:val="auto"/>
                      <w:spacing w:val="-6"/>
                      <w:szCs w:val="21"/>
                      <w:highlight w:val="none"/>
                      <w:lang w:val="en-US" w:eastAsia="zh-CN"/>
                    </w:rPr>
                    <w:t>废水池采用</w:t>
                  </w:r>
                  <w:r>
                    <w:rPr>
                      <w:rFonts w:hint="eastAsia"/>
                      <w:color w:val="auto"/>
                      <w:highlight w:val="none"/>
                      <w:lang w:val="en-US" w:eastAsia="zh-CN"/>
                    </w:rPr>
                    <w:t>防渗水泥+玻璃钢防腐（三布五油）</w:t>
                  </w:r>
                  <w:r>
                    <w:rPr>
                      <w:rFonts w:hint="eastAsia" w:ascii="Times New Roman" w:hAnsi="Times New Roman" w:eastAsiaTheme="minorEastAsia"/>
                      <w:color w:val="auto"/>
                      <w:spacing w:val="-6"/>
                      <w:szCs w:val="21"/>
                      <w:highlight w:val="none"/>
                      <w:lang w:val="en-US" w:eastAsia="zh-CN"/>
                    </w:rPr>
                    <w:t>，</w:t>
                  </w:r>
                  <w:r>
                    <w:rPr>
                      <w:rFonts w:hint="eastAsia" w:ascii="Times New Roman" w:hAnsi="Times New Roman" w:eastAsiaTheme="minorEastAsia"/>
                      <w:color w:val="auto"/>
                      <w:spacing w:val="-6"/>
                      <w:szCs w:val="21"/>
                      <w:highlight w:val="none"/>
                    </w:rPr>
                    <w:t>防渗结构层渗透系数不应大于</w:t>
                  </w:r>
                  <w:r>
                    <w:rPr>
                      <w:rFonts w:ascii="Times New Roman" w:hAnsi="Times New Roman" w:eastAsiaTheme="minorEastAsia"/>
                      <w:color w:val="auto"/>
                      <w:spacing w:val="-6"/>
                      <w:szCs w:val="21"/>
                      <w:highlight w:val="none"/>
                    </w:rPr>
                    <w:t>1.0</w:t>
                  </w:r>
                  <w:r>
                    <w:rPr>
                      <w:rFonts w:hint="eastAsia" w:ascii="Times New Roman" w:hAnsi="Times New Roman" w:eastAsiaTheme="minorEastAsia"/>
                      <w:color w:val="auto"/>
                      <w:spacing w:val="-6"/>
                      <w:szCs w:val="21"/>
                      <w:highlight w:val="none"/>
                    </w:rPr>
                    <w:t>×</w:t>
                  </w:r>
                  <w:r>
                    <w:rPr>
                      <w:rFonts w:ascii="Times New Roman" w:hAnsi="Times New Roman" w:eastAsiaTheme="minorEastAsia"/>
                      <w:color w:val="auto"/>
                      <w:spacing w:val="-6"/>
                      <w:szCs w:val="21"/>
                      <w:highlight w:val="none"/>
                    </w:rPr>
                    <w:t>10</w:t>
                  </w:r>
                  <w:r>
                    <w:rPr>
                      <w:rFonts w:ascii="Times New Roman" w:hAnsi="Times New Roman" w:eastAsiaTheme="minorEastAsia"/>
                      <w:color w:val="auto"/>
                      <w:spacing w:val="-6"/>
                      <w:szCs w:val="21"/>
                      <w:highlight w:val="none"/>
                      <w:vertAlign w:val="superscript"/>
                    </w:rPr>
                    <w:t>-10</w:t>
                  </w:r>
                  <w:r>
                    <w:rPr>
                      <w:rFonts w:ascii="Times New Roman" w:hAnsi="Times New Roman" w:eastAsiaTheme="minorEastAsia"/>
                      <w:color w:val="auto"/>
                      <w:spacing w:val="-6"/>
                      <w:szCs w:val="21"/>
                      <w:highlight w:val="none"/>
                    </w:rPr>
                    <w:t xml:space="preserve"> cm/s</w:t>
                  </w:r>
                  <w:r>
                    <w:rPr>
                      <w:rFonts w:hint="eastAsia" w:ascii="Times New Roman" w:hAnsi="Times New Roman" w:eastAsiaTheme="minorEastAsia"/>
                      <w:color w:val="auto"/>
                      <w:spacing w:val="-6"/>
                      <w:szCs w:val="21"/>
                      <w:highlight w:val="none"/>
                    </w:rPr>
                    <w:t>。</w:t>
                  </w:r>
                </w:p>
              </w:tc>
            </w:tr>
            <w:tr w14:paraId="49A38A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pct"/>
                  <w:vMerge w:val="continue"/>
                  <w:vAlign w:val="center"/>
                </w:tcPr>
                <w:p w14:paraId="654C5D45">
                  <w:pPr>
                    <w:pStyle w:val="50"/>
                    <w:spacing w:beforeLines="0" w:afterLines="0" w:line="280" w:lineRule="exact"/>
                    <w:rPr>
                      <w:rFonts w:ascii="Times New Roman" w:hAnsi="Times New Roman" w:eastAsiaTheme="minorEastAsia"/>
                      <w:color w:val="auto"/>
                      <w:kern w:val="21"/>
                      <w:szCs w:val="21"/>
                      <w:highlight w:val="none"/>
                    </w:rPr>
                  </w:pPr>
                </w:p>
              </w:tc>
              <w:tc>
                <w:tcPr>
                  <w:tcW w:w="866" w:type="pct"/>
                  <w:gridSpan w:val="2"/>
                  <w:vAlign w:val="center"/>
                </w:tcPr>
                <w:p w14:paraId="08F7FF8F">
                  <w:pPr>
                    <w:pStyle w:val="50"/>
                    <w:spacing w:beforeLines="0" w:afterLines="0" w:line="280" w:lineRule="exact"/>
                    <w:rPr>
                      <w:rFonts w:ascii="Times New Roman" w:hAnsi="Times New Roman" w:eastAsiaTheme="minorEastAsia"/>
                      <w:color w:val="auto"/>
                      <w:kern w:val="2"/>
                      <w:szCs w:val="21"/>
                      <w:highlight w:val="none"/>
                    </w:rPr>
                  </w:pPr>
                  <w:r>
                    <w:rPr>
                      <w:rFonts w:hint="eastAsia" w:hAnsi="Times New Roman" w:cs="宋体"/>
                      <w:color w:val="auto"/>
                      <w:szCs w:val="21"/>
                      <w:highlight w:val="none"/>
                    </w:rPr>
                    <w:t>风险防范措施</w:t>
                  </w:r>
                </w:p>
              </w:tc>
              <w:tc>
                <w:tcPr>
                  <w:tcW w:w="3535" w:type="pct"/>
                  <w:vAlign w:val="center"/>
                </w:tcPr>
                <w:p w14:paraId="073DE678">
                  <w:pPr>
                    <w:autoSpaceDE w:val="0"/>
                    <w:autoSpaceDN w:val="0"/>
                    <w:adjustRightInd w:val="0"/>
                    <w:jc w:val="left"/>
                    <w:rPr>
                      <w:rFonts w:hint="eastAsia" w:hAnsi="Times New Roman" w:cs="宋体"/>
                      <w:color w:val="auto"/>
                      <w:szCs w:val="21"/>
                      <w:highlight w:val="none"/>
                    </w:rPr>
                  </w:pPr>
                  <w:r>
                    <w:rPr>
                      <w:rFonts w:hint="eastAsia" w:ascii="Times New Roman" w:hAnsi="Times New Roman" w:eastAsiaTheme="minorEastAsia"/>
                      <w:color w:val="auto"/>
                      <w:spacing w:val="-6"/>
                      <w:szCs w:val="21"/>
                      <w:highlight w:val="none"/>
                    </w:rPr>
                    <w:t>储存车间内设置隔断、导流沟和收集池，收集泄漏的电解液。废电解液收集</w:t>
                  </w:r>
                  <w:r>
                    <w:rPr>
                      <w:rFonts w:hint="eastAsia" w:ascii="Times New Roman" w:hAnsi="Times New Roman" w:eastAsiaTheme="minorEastAsia"/>
                      <w:color w:val="auto"/>
                      <w:spacing w:val="-6"/>
                      <w:szCs w:val="21"/>
                      <w:highlight w:val="none"/>
                      <w:lang w:val="en-US" w:eastAsia="zh-CN"/>
                    </w:rPr>
                    <w:t>储罐一个</w:t>
                  </w:r>
                  <w:r>
                    <w:rPr>
                      <w:rFonts w:hint="eastAsia" w:ascii="Times New Roman" w:hAnsi="Times New Roman" w:eastAsiaTheme="minorEastAsia"/>
                      <w:color w:val="auto"/>
                      <w:spacing w:val="-6"/>
                      <w:szCs w:val="21"/>
                      <w:highlight w:val="none"/>
                    </w:rPr>
                    <w:t>，容积</w:t>
                  </w:r>
                  <w:r>
                    <w:rPr>
                      <w:rFonts w:ascii="Times New Roman" w:hAnsi="Times New Roman" w:eastAsiaTheme="minorEastAsia"/>
                      <w:color w:val="auto"/>
                      <w:spacing w:val="-6"/>
                      <w:szCs w:val="21"/>
                      <w:highlight w:val="none"/>
                    </w:rPr>
                    <w:t>2m</w:t>
                  </w:r>
                  <w:r>
                    <w:rPr>
                      <w:rFonts w:ascii="Times New Roman" w:hAnsi="Times New Roman" w:eastAsiaTheme="minorEastAsia"/>
                      <w:color w:val="auto"/>
                      <w:spacing w:val="-6"/>
                      <w:szCs w:val="21"/>
                      <w:highlight w:val="none"/>
                      <w:vertAlign w:val="superscript"/>
                    </w:rPr>
                    <w:t>3</w:t>
                  </w:r>
                  <w:r>
                    <w:rPr>
                      <w:rFonts w:hint="eastAsia" w:ascii="Times New Roman" w:hAnsi="Times New Roman" w:eastAsiaTheme="minorEastAsia"/>
                      <w:color w:val="auto"/>
                      <w:spacing w:val="-6"/>
                      <w:szCs w:val="21"/>
                      <w:highlight w:val="none"/>
                    </w:rPr>
                    <w:t>。消防</w:t>
                  </w:r>
                  <w:r>
                    <w:rPr>
                      <w:rFonts w:hint="eastAsia" w:ascii="Times New Roman" w:hAnsi="Times New Roman" w:eastAsiaTheme="minorEastAsia"/>
                      <w:color w:val="auto"/>
                      <w:spacing w:val="-6"/>
                      <w:szCs w:val="21"/>
                      <w:highlight w:val="none"/>
                      <w:lang w:val="en-US" w:eastAsia="zh-CN"/>
                    </w:rPr>
                    <w:t>废水池一个</w:t>
                  </w:r>
                  <w:r>
                    <w:rPr>
                      <w:rFonts w:hint="eastAsia" w:ascii="Times New Roman" w:hAnsi="Times New Roman" w:eastAsiaTheme="minorEastAsia"/>
                      <w:color w:val="auto"/>
                      <w:spacing w:val="-6"/>
                      <w:szCs w:val="21"/>
                      <w:highlight w:val="none"/>
                    </w:rPr>
                    <w:t>，容积</w:t>
                  </w:r>
                  <w:r>
                    <w:rPr>
                      <w:rFonts w:hint="eastAsia" w:ascii="Times New Roman" w:hAnsi="Times New Roman" w:eastAsiaTheme="minorEastAsia"/>
                      <w:color w:val="auto"/>
                      <w:spacing w:val="-6"/>
                      <w:szCs w:val="21"/>
                      <w:highlight w:val="none"/>
                      <w:lang w:val="en-US" w:eastAsia="zh-CN"/>
                    </w:rPr>
                    <w:t>10</w:t>
                  </w:r>
                  <w:r>
                    <w:rPr>
                      <w:rFonts w:ascii="Times New Roman" w:hAnsi="Times New Roman" w:eastAsiaTheme="minorEastAsia"/>
                      <w:color w:val="auto"/>
                      <w:spacing w:val="-6"/>
                      <w:szCs w:val="21"/>
                      <w:highlight w:val="none"/>
                    </w:rPr>
                    <w:t>m</w:t>
                  </w:r>
                  <w:r>
                    <w:rPr>
                      <w:rFonts w:ascii="Times New Roman" w:hAnsi="Times New Roman" w:eastAsiaTheme="minorEastAsia"/>
                      <w:color w:val="auto"/>
                      <w:spacing w:val="-6"/>
                      <w:szCs w:val="21"/>
                      <w:highlight w:val="none"/>
                      <w:vertAlign w:val="superscript"/>
                    </w:rPr>
                    <w:t>3</w:t>
                  </w:r>
                  <w:r>
                    <w:rPr>
                      <w:rFonts w:hint="eastAsia" w:ascii="Times New Roman" w:hAnsi="Times New Roman" w:eastAsiaTheme="minorEastAsia"/>
                      <w:color w:val="auto"/>
                      <w:spacing w:val="-6"/>
                      <w:szCs w:val="21"/>
                      <w:highlight w:val="none"/>
                    </w:rPr>
                    <w:t>。设置消防设施、个人防护用品等。</w:t>
                  </w:r>
                </w:p>
              </w:tc>
            </w:tr>
          </w:tbl>
          <w:p w14:paraId="53CDE98B">
            <w:pPr>
              <w:spacing w:line="360" w:lineRule="auto"/>
              <w:ind w:firstLine="480" w:firstLineChars="200"/>
              <w:rPr>
                <w:rFonts w:ascii="Times New Roman" w:hAnsi="Times New Roman" w:eastAsiaTheme="minorEastAsia"/>
                <w:color w:val="auto"/>
                <w:kern w:val="0"/>
                <w:sz w:val="24"/>
                <w:highlight w:val="none"/>
              </w:rPr>
            </w:pPr>
            <w:r>
              <w:rPr>
                <w:rFonts w:ascii="Times New Roman" w:hAnsi="Times New Roman" w:eastAsiaTheme="minorEastAsia"/>
                <w:color w:val="auto"/>
                <w:kern w:val="0"/>
                <w:sz w:val="24"/>
                <w:highlight w:val="none"/>
              </w:rPr>
              <w:t>3、</w:t>
            </w:r>
            <w:r>
              <w:rPr>
                <w:rFonts w:hint="eastAsia" w:ascii="Times New Roman" w:hAnsi="Times New Roman" w:eastAsiaTheme="minorEastAsia"/>
                <w:color w:val="auto"/>
                <w:kern w:val="0"/>
                <w:sz w:val="24"/>
                <w:highlight w:val="none"/>
              </w:rPr>
              <w:t>本项目贮存</w:t>
            </w:r>
            <w:r>
              <w:rPr>
                <w:rFonts w:hint="eastAsia" w:ascii="Times New Roman" w:hAnsi="Times New Roman" w:eastAsiaTheme="minorEastAsia"/>
                <w:color w:val="auto"/>
                <w:kern w:val="0"/>
                <w:sz w:val="24"/>
                <w:highlight w:val="none"/>
                <w:lang w:eastAsia="zh-CN"/>
              </w:rPr>
              <w:t>废旧铅酸蓄电池</w:t>
            </w:r>
            <w:r>
              <w:rPr>
                <w:rFonts w:hint="eastAsia" w:ascii="Times New Roman" w:hAnsi="Times New Roman" w:eastAsiaTheme="minorEastAsia"/>
                <w:color w:val="auto"/>
                <w:kern w:val="0"/>
                <w:sz w:val="24"/>
                <w:highlight w:val="none"/>
              </w:rPr>
              <w:t>情况</w:t>
            </w:r>
          </w:p>
          <w:p w14:paraId="2B3FADC2">
            <w:pPr>
              <w:spacing w:line="360" w:lineRule="auto"/>
              <w:ind w:firstLine="480" w:firstLineChars="200"/>
              <w:rPr>
                <w:rFonts w:ascii="Times New Roman" w:hAnsi="Times New Roman" w:eastAsiaTheme="minorEastAsia"/>
                <w:color w:val="auto"/>
                <w:kern w:val="0"/>
                <w:sz w:val="24"/>
                <w:highlight w:val="none"/>
              </w:rPr>
            </w:pPr>
            <w:r>
              <w:rPr>
                <w:rFonts w:hint="eastAsia" w:ascii="Times New Roman" w:hAnsi="Times New Roman" w:eastAsiaTheme="minorEastAsia"/>
                <w:color w:val="auto"/>
                <w:kern w:val="0"/>
                <w:sz w:val="24"/>
                <w:highlight w:val="none"/>
              </w:rPr>
              <w:t>本项目主要收集河北省内各个行业产生的</w:t>
            </w:r>
            <w:r>
              <w:rPr>
                <w:rFonts w:hint="eastAsia" w:ascii="Times New Roman" w:hAnsi="Times New Roman" w:eastAsiaTheme="minorEastAsia"/>
                <w:color w:val="auto"/>
                <w:kern w:val="0"/>
                <w:sz w:val="24"/>
                <w:highlight w:val="none"/>
                <w:lang w:eastAsia="zh-CN"/>
              </w:rPr>
              <w:t>废旧铅酸蓄电池</w:t>
            </w:r>
            <w:r>
              <w:rPr>
                <w:rFonts w:hint="eastAsia" w:ascii="Times New Roman" w:hAnsi="Times New Roman" w:eastAsiaTheme="minorEastAsia"/>
                <w:color w:val="auto"/>
                <w:kern w:val="0"/>
                <w:sz w:val="24"/>
                <w:highlight w:val="none"/>
              </w:rPr>
              <w:t>，不涉及省外回收</w:t>
            </w:r>
            <w:r>
              <w:rPr>
                <w:rFonts w:hint="eastAsia" w:ascii="Times New Roman" w:hAnsi="Times New Roman" w:eastAsiaTheme="minorEastAsia"/>
                <w:color w:val="auto"/>
                <w:kern w:val="0"/>
                <w:sz w:val="24"/>
                <w:highlight w:val="none"/>
                <w:lang w:eastAsia="zh-CN"/>
              </w:rPr>
              <w:t>废旧铅酸蓄电池</w:t>
            </w:r>
            <w:r>
              <w:rPr>
                <w:rFonts w:hint="eastAsia" w:ascii="Times New Roman" w:hAnsi="Times New Roman" w:eastAsiaTheme="minorEastAsia"/>
                <w:color w:val="auto"/>
                <w:kern w:val="0"/>
                <w:sz w:val="24"/>
                <w:highlight w:val="none"/>
              </w:rPr>
              <w:t>。项目回收的电池主要为两轮</w:t>
            </w:r>
            <w:r>
              <w:rPr>
                <w:rFonts w:ascii="Times New Roman" w:hAnsi="Times New Roman" w:eastAsiaTheme="minorEastAsia"/>
                <w:color w:val="auto"/>
                <w:kern w:val="0"/>
                <w:sz w:val="24"/>
                <w:highlight w:val="none"/>
              </w:rPr>
              <w:t>/</w:t>
            </w:r>
            <w:r>
              <w:rPr>
                <w:rFonts w:hint="eastAsia" w:ascii="Times New Roman" w:hAnsi="Times New Roman" w:eastAsiaTheme="minorEastAsia"/>
                <w:color w:val="auto"/>
                <w:kern w:val="0"/>
                <w:sz w:val="24"/>
                <w:highlight w:val="none"/>
              </w:rPr>
              <w:t>三轮动力电池及汽车蓄电池。</w:t>
            </w:r>
          </w:p>
          <w:p w14:paraId="11EFF714">
            <w:pPr>
              <w:spacing w:line="360" w:lineRule="auto"/>
              <w:ind w:firstLine="480" w:firstLineChars="200"/>
              <w:rPr>
                <w:rFonts w:ascii="宋体" w:hAnsi="Times New Roman" w:cs="宋体"/>
                <w:color w:val="auto"/>
                <w:kern w:val="0"/>
                <w:szCs w:val="21"/>
                <w:highlight w:val="none"/>
              </w:rPr>
            </w:pPr>
            <w:r>
              <w:rPr>
                <w:rFonts w:hint="eastAsia" w:ascii="Times New Roman" w:hAnsi="Times New Roman" w:eastAsiaTheme="minorEastAsia"/>
                <w:color w:val="auto"/>
                <w:kern w:val="0"/>
                <w:sz w:val="24"/>
                <w:highlight w:val="none"/>
              </w:rPr>
              <w:t>根据项目备案信息，备案编号为：徐水发改备字</w:t>
            </w:r>
            <w:r>
              <w:rPr>
                <w:rFonts w:ascii="Times New Roman" w:hAnsi="Times New Roman" w:eastAsiaTheme="minorEastAsia"/>
                <w:color w:val="auto"/>
                <w:kern w:val="0"/>
                <w:sz w:val="24"/>
                <w:highlight w:val="none"/>
              </w:rPr>
              <w:t>[2024]78</w:t>
            </w:r>
            <w:r>
              <w:rPr>
                <w:rFonts w:hint="eastAsia" w:ascii="Times New Roman" w:hAnsi="Times New Roman" w:eastAsiaTheme="minorEastAsia"/>
                <w:color w:val="auto"/>
                <w:kern w:val="0"/>
                <w:sz w:val="24"/>
                <w:highlight w:val="none"/>
              </w:rPr>
              <w:t>号核定的存储能力，以及企业提供的项目资料，项目投入运营后，日最大</w:t>
            </w:r>
            <w:r>
              <w:rPr>
                <w:rFonts w:hint="eastAsia" w:ascii="Times New Roman" w:hAnsi="Times New Roman" w:eastAsiaTheme="minorEastAsia"/>
                <w:color w:val="auto"/>
                <w:kern w:val="0"/>
                <w:sz w:val="24"/>
                <w:highlight w:val="none"/>
                <w:lang w:eastAsia="zh-CN"/>
              </w:rPr>
              <w:t>废旧铅酸蓄电池</w:t>
            </w:r>
            <w:r>
              <w:rPr>
                <w:rFonts w:hint="eastAsia" w:ascii="Times New Roman" w:hAnsi="Times New Roman" w:eastAsiaTheme="minorEastAsia"/>
                <w:color w:val="auto"/>
                <w:kern w:val="0"/>
                <w:sz w:val="24"/>
                <w:highlight w:val="none"/>
              </w:rPr>
              <w:t>回收量</w:t>
            </w:r>
            <w:r>
              <w:rPr>
                <w:rFonts w:ascii="Times New Roman" w:hAnsi="Times New Roman" w:eastAsiaTheme="minorEastAsia"/>
                <w:color w:val="auto"/>
                <w:kern w:val="0"/>
                <w:sz w:val="24"/>
                <w:highlight w:val="none"/>
              </w:rPr>
              <w:t>1</w:t>
            </w:r>
            <w:r>
              <w:rPr>
                <w:rFonts w:hint="eastAsia" w:ascii="Times New Roman" w:hAnsi="Times New Roman" w:eastAsiaTheme="minorEastAsia"/>
                <w:color w:val="auto"/>
                <w:kern w:val="0"/>
                <w:sz w:val="24"/>
                <w:highlight w:val="none"/>
                <w:lang w:val="en-US" w:eastAsia="zh-CN"/>
              </w:rPr>
              <w:t>0</w:t>
            </w:r>
            <w:r>
              <w:rPr>
                <w:rFonts w:hint="eastAsia" w:ascii="Times New Roman" w:hAnsi="Times New Roman" w:eastAsiaTheme="minorEastAsia"/>
                <w:color w:val="auto"/>
                <w:kern w:val="0"/>
                <w:sz w:val="24"/>
                <w:highlight w:val="none"/>
              </w:rPr>
              <w:t>吨，年最大转运</w:t>
            </w:r>
            <w:r>
              <w:rPr>
                <w:rFonts w:hint="eastAsia" w:ascii="Times New Roman" w:hAnsi="Times New Roman" w:eastAsiaTheme="minorEastAsia"/>
                <w:color w:val="auto"/>
                <w:kern w:val="0"/>
                <w:sz w:val="24"/>
                <w:highlight w:val="none"/>
                <w:lang w:eastAsia="zh-CN"/>
              </w:rPr>
              <w:t>废旧铅酸蓄电池</w:t>
            </w:r>
            <w:r>
              <w:rPr>
                <w:rFonts w:ascii="Times New Roman" w:hAnsi="Times New Roman" w:eastAsiaTheme="minorEastAsia"/>
                <w:color w:val="auto"/>
                <w:kern w:val="0"/>
                <w:sz w:val="24"/>
                <w:highlight w:val="none"/>
              </w:rPr>
              <w:t>300</w:t>
            </w:r>
            <w:r>
              <w:rPr>
                <w:rFonts w:hint="eastAsia" w:ascii="Times New Roman" w:hAnsi="Times New Roman" w:eastAsiaTheme="minorEastAsia"/>
                <w:color w:val="auto"/>
                <w:kern w:val="0"/>
                <w:sz w:val="24"/>
                <w:highlight w:val="none"/>
                <w:lang w:val="en-US" w:eastAsia="zh-CN"/>
              </w:rPr>
              <w:t>0</w:t>
            </w:r>
            <w:r>
              <w:rPr>
                <w:rFonts w:hint="eastAsia" w:ascii="Times New Roman" w:hAnsi="Times New Roman" w:eastAsiaTheme="minorEastAsia"/>
                <w:color w:val="auto"/>
                <w:kern w:val="0"/>
                <w:sz w:val="24"/>
                <w:highlight w:val="none"/>
              </w:rPr>
              <w:t>吨</w:t>
            </w:r>
            <w:r>
              <w:rPr>
                <w:rFonts w:hint="eastAsia" w:ascii="宋体" w:hAnsi="Times New Roman" w:cs="宋体"/>
                <w:color w:val="auto"/>
                <w:kern w:val="0"/>
                <w:szCs w:val="21"/>
                <w:highlight w:val="none"/>
              </w:rPr>
              <w:t>。</w:t>
            </w:r>
          </w:p>
          <w:p w14:paraId="6EC02718">
            <w:pPr>
              <w:spacing w:line="360" w:lineRule="auto"/>
              <w:ind w:firstLine="420" w:firstLineChars="200"/>
              <w:rPr>
                <w:rFonts w:eastAsiaTheme="minorEastAsia"/>
                <w:bCs/>
                <w:color w:val="auto"/>
                <w:spacing w:val="8"/>
                <w:highlight w:val="none"/>
              </w:rPr>
            </w:pPr>
            <w:r>
              <w:rPr>
                <w:rFonts w:hint="eastAsia" w:ascii="宋体" w:hAnsi="Times New Roman" w:cs="宋体"/>
                <w:color w:val="auto"/>
                <w:kern w:val="0"/>
                <w:szCs w:val="21"/>
                <w:highlight w:val="none"/>
              </w:rPr>
              <w:t>（1）</w:t>
            </w:r>
            <w:r>
              <w:rPr>
                <w:rFonts w:hint="eastAsia" w:ascii="Times New Roman" w:hAnsi="Times New Roman" w:eastAsiaTheme="minorEastAsia"/>
                <w:color w:val="auto"/>
                <w:kern w:val="0"/>
                <w:sz w:val="24"/>
                <w:highlight w:val="none"/>
              </w:rPr>
              <w:t>本项目设计贮存规模见下表</w:t>
            </w:r>
            <w:r>
              <w:rPr>
                <w:rFonts w:ascii="Times New Roman" w:hAnsi="Times New Roman" w:eastAsiaTheme="minorEastAsia"/>
                <w:color w:val="auto"/>
                <w:kern w:val="0"/>
                <w:sz w:val="24"/>
                <w:highlight w:val="none"/>
              </w:rPr>
              <w:t>。</w:t>
            </w:r>
          </w:p>
          <w:p w14:paraId="47E8DEA8">
            <w:pPr>
              <w:keepNext/>
              <w:adjustRightInd w:val="0"/>
              <w:spacing w:line="360" w:lineRule="auto"/>
              <w:jc w:val="center"/>
              <w:outlineLvl w:val="1"/>
              <w:rPr>
                <w:rFonts w:ascii="Times New Roman" w:hAnsi="Times New Roman" w:eastAsiaTheme="minorEastAsia"/>
                <w:bCs/>
                <w:color w:val="auto"/>
                <w:sz w:val="24"/>
                <w:szCs w:val="24"/>
                <w:highlight w:val="none"/>
              </w:rPr>
            </w:pPr>
            <w:bookmarkStart w:id="11" w:name="_Toc20293"/>
            <w:r>
              <w:rPr>
                <w:rFonts w:ascii="Times New Roman" w:hAnsi="Times New Roman" w:eastAsiaTheme="minorEastAsia"/>
                <w:bCs/>
                <w:color w:val="auto"/>
                <w:sz w:val="24"/>
                <w:szCs w:val="24"/>
                <w:highlight w:val="none"/>
              </w:rPr>
              <w:t xml:space="preserve">表2-2   </w:t>
            </w:r>
            <w:r>
              <w:rPr>
                <w:rFonts w:hint="eastAsia" w:ascii="Times New Roman" w:hAnsi="Times New Roman" w:eastAsiaTheme="minorEastAsia"/>
                <w:bCs/>
                <w:color w:val="auto"/>
                <w:sz w:val="24"/>
                <w:szCs w:val="24"/>
                <w:highlight w:val="none"/>
              </w:rPr>
              <w:t>危险废物及贮存规模</w:t>
            </w:r>
            <w:r>
              <w:rPr>
                <w:rFonts w:ascii="Times New Roman" w:hAnsi="Times New Roman" w:eastAsiaTheme="minorEastAsia"/>
                <w:bCs/>
                <w:color w:val="auto"/>
                <w:sz w:val="24"/>
                <w:szCs w:val="24"/>
                <w:highlight w:val="none"/>
              </w:rPr>
              <w:t>一览表</w:t>
            </w:r>
            <w:bookmarkEnd w:id="11"/>
          </w:p>
          <w:tbl>
            <w:tblPr>
              <w:tblStyle w:val="31"/>
              <w:tblW w:w="492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1"/>
              <w:gridCol w:w="705"/>
              <w:gridCol w:w="1133"/>
              <w:gridCol w:w="1283"/>
              <w:gridCol w:w="1274"/>
              <w:gridCol w:w="1640"/>
              <w:gridCol w:w="1401"/>
              <w:gridCol w:w="11"/>
            </w:tblGrid>
            <w:tr w14:paraId="7E8CF8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397" w:hRule="atLeast"/>
                <w:jc w:val="center"/>
              </w:trPr>
              <w:tc>
                <w:tcPr>
                  <w:tcW w:w="452" w:type="pct"/>
                  <w:vAlign w:val="center"/>
                </w:tcPr>
                <w:p w14:paraId="1B2E33C3">
                  <w:pPr>
                    <w:ind w:left="-53" w:leftChars="-25" w:right="-53" w:rightChars="-25"/>
                    <w:jc w:val="center"/>
                    <w:rPr>
                      <w:rFonts w:ascii="Times New Roman" w:hAnsi="Times New Roman" w:eastAsiaTheme="minorEastAsia"/>
                      <w:color w:val="auto"/>
                      <w:spacing w:val="-6"/>
                      <w:szCs w:val="21"/>
                      <w:highlight w:val="none"/>
                    </w:rPr>
                  </w:pPr>
                  <w:r>
                    <w:rPr>
                      <w:rFonts w:ascii="Times New Roman" w:hAnsi="Times New Roman" w:eastAsiaTheme="minorEastAsia"/>
                      <w:color w:val="auto"/>
                      <w:spacing w:val="-6"/>
                      <w:szCs w:val="21"/>
                      <w:highlight w:val="none"/>
                    </w:rPr>
                    <w:t>序号</w:t>
                  </w:r>
                </w:p>
              </w:tc>
              <w:tc>
                <w:tcPr>
                  <w:tcW w:w="1905" w:type="pct"/>
                  <w:gridSpan w:val="3"/>
                  <w:vAlign w:val="center"/>
                </w:tcPr>
                <w:p w14:paraId="6C0A9776">
                  <w:pPr>
                    <w:ind w:left="-53" w:leftChars="-25" w:right="-53" w:rightChars="-25"/>
                    <w:jc w:val="center"/>
                    <w:rPr>
                      <w:rFonts w:ascii="Times New Roman" w:hAnsi="Times New Roman" w:eastAsiaTheme="minorEastAsia"/>
                      <w:color w:val="auto"/>
                      <w:spacing w:val="-6"/>
                      <w:szCs w:val="21"/>
                      <w:highlight w:val="none"/>
                    </w:rPr>
                  </w:pPr>
                  <w:r>
                    <w:rPr>
                      <w:rFonts w:ascii="Times New Roman" w:hAnsi="Times New Roman" w:eastAsiaTheme="minorEastAsia"/>
                      <w:color w:val="auto"/>
                      <w:spacing w:val="-6"/>
                      <w:szCs w:val="21"/>
                      <w:highlight w:val="none"/>
                    </w:rPr>
                    <w:t>危废种类</w:t>
                  </w:r>
                </w:p>
              </w:tc>
              <w:tc>
                <w:tcPr>
                  <w:tcW w:w="778" w:type="pct"/>
                  <w:vAlign w:val="center"/>
                </w:tcPr>
                <w:p w14:paraId="5D6C77C2">
                  <w:pPr>
                    <w:ind w:left="-53" w:leftChars="-25" w:right="-53" w:rightChars="-25"/>
                    <w:jc w:val="center"/>
                    <w:rPr>
                      <w:rFonts w:ascii="Times New Roman" w:hAnsi="Times New Roman" w:eastAsiaTheme="minorEastAsia"/>
                      <w:color w:val="auto"/>
                      <w:spacing w:val="-6"/>
                      <w:szCs w:val="21"/>
                      <w:highlight w:val="none"/>
                    </w:rPr>
                  </w:pPr>
                  <w:r>
                    <w:rPr>
                      <w:rFonts w:ascii="Times New Roman" w:hAnsi="Times New Roman" w:eastAsiaTheme="minorEastAsia"/>
                      <w:color w:val="auto"/>
                      <w:spacing w:val="-6"/>
                      <w:szCs w:val="21"/>
                      <w:highlight w:val="none"/>
                    </w:rPr>
                    <w:t>回收量（t/</w:t>
                  </w:r>
                  <w:r>
                    <w:rPr>
                      <w:rFonts w:hint="eastAsia" w:ascii="Times New Roman" w:hAnsi="Times New Roman" w:eastAsiaTheme="minorEastAsia"/>
                      <w:color w:val="auto"/>
                      <w:spacing w:val="-6"/>
                      <w:szCs w:val="21"/>
                      <w:highlight w:val="none"/>
                      <w:lang w:val="en-US" w:eastAsia="zh-CN"/>
                    </w:rPr>
                    <w:t>d</w:t>
                  </w:r>
                  <w:r>
                    <w:rPr>
                      <w:rFonts w:ascii="Times New Roman" w:hAnsi="Times New Roman" w:eastAsiaTheme="minorEastAsia"/>
                      <w:color w:val="auto"/>
                      <w:spacing w:val="-6"/>
                      <w:szCs w:val="21"/>
                      <w:highlight w:val="none"/>
                    </w:rPr>
                    <w:t>）</w:t>
                  </w:r>
                </w:p>
              </w:tc>
              <w:tc>
                <w:tcPr>
                  <w:tcW w:w="1002" w:type="pct"/>
                  <w:vAlign w:val="center"/>
                </w:tcPr>
                <w:p w14:paraId="743692BE">
                  <w:pPr>
                    <w:ind w:right="-53" w:rightChars="-25"/>
                    <w:jc w:val="center"/>
                    <w:rPr>
                      <w:rFonts w:ascii="Times New Roman" w:hAnsi="Times New Roman" w:eastAsiaTheme="minorEastAsia"/>
                      <w:color w:val="auto"/>
                      <w:spacing w:val="-6"/>
                      <w:szCs w:val="21"/>
                      <w:highlight w:val="none"/>
                    </w:rPr>
                  </w:pPr>
                  <w:r>
                    <w:rPr>
                      <w:rFonts w:ascii="Times New Roman" w:hAnsi="Times New Roman" w:eastAsiaTheme="minorEastAsia"/>
                      <w:color w:val="auto"/>
                      <w:spacing w:val="-6"/>
                      <w:szCs w:val="21"/>
                      <w:highlight w:val="none"/>
                    </w:rPr>
                    <w:t>最大暂存量（t）</w:t>
                  </w:r>
                </w:p>
              </w:tc>
              <w:tc>
                <w:tcPr>
                  <w:tcW w:w="856" w:type="pct"/>
                  <w:vAlign w:val="center"/>
                </w:tcPr>
                <w:p w14:paraId="6671F068">
                  <w:pPr>
                    <w:ind w:right="-53" w:rightChars="-25"/>
                    <w:jc w:val="center"/>
                    <w:rPr>
                      <w:rFonts w:hint="eastAsia" w:ascii="Times New Roman" w:hAnsi="Times New Roman" w:eastAsiaTheme="minorEastAsia"/>
                      <w:color w:val="auto"/>
                      <w:spacing w:val="-6"/>
                      <w:szCs w:val="21"/>
                      <w:highlight w:val="none"/>
                      <w:lang w:eastAsia="zh-CN"/>
                    </w:rPr>
                  </w:pPr>
                  <w:r>
                    <w:rPr>
                      <w:rFonts w:ascii="Times New Roman" w:hAnsi="Times New Roman" w:eastAsiaTheme="minorEastAsia"/>
                      <w:color w:val="auto"/>
                      <w:spacing w:val="-6"/>
                      <w:szCs w:val="21"/>
                      <w:highlight w:val="none"/>
                    </w:rPr>
                    <w:t>暂存周期</w:t>
                  </w:r>
                  <w:r>
                    <w:rPr>
                      <w:rFonts w:hint="eastAsia" w:ascii="Times New Roman" w:hAnsi="Times New Roman" w:eastAsiaTheme="minorEastAsia"/>
                      <w:color w:val="auto"/>
                      <w:spacing w:val="-6"/>
                      <w:szCs w:val="21"/>
                      <w:highlight w:val="none"/>
                      <w:lang w:eastAsia="zh-CN"/>
                    </w:rPr>
                    <w:t>（</w:t>
                  </w:r>
                  <w:r>
                    <w:rPr>
                      <w:rFonts w:hint="eastAsia" w:ascii="Times New Roman" w:hAnsi="Times New Roman" w:eastAsiaTheme="minorEastAsia"/>
                      <w:color w:val="auto"/>
                      <w:spacing w:val="-6"/>
                      <w:szCs w:val="21"/>
                      <w:highlight w:val="none"/>
                      <w:lang w:val="en-US" w:eastAsia="zh-CN"/>
                    </w:rPr>
                    <w:t>天</w:t>
                  </w:r>
                  <w:r>
                    <w:rPr>
                      <w:rFonts w:hint="eastAsia" w:ascii="Times New Roman" w:hAnsi="Times New Roman" w:eastAsiaTheme="minorEastAsia"/>
                      <w:color w:val="auto"/>
                      <w:spacing w:val="-6"/>
                      <w:szCs w:val="21"/>
                      <w:highlight w:val="none"/>
                      <w:lang w:eastAsia="zh-CN"/>
                    </w:rPr>
                    <w:t>）</w:t>
                  </w:r>
                </w:p>
              </w:tc>
            </w:tr>
            <w:tr w14:paraId="003651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Align w:val="center"/>
                </w:tcPr>
                <w:p w14:paraId="65E0856F">
                  <w:pPr>
                    <w:ind w:left="-53" w:leftChars="-25" w:right="-53" w:rightChars="-25"/>
                    <w:jc w:val="center"/>
                    <w:rPr>
                      <w:rFonts w:ascii="Times New Roman" w:hAnsi="Times New Roman" w:eastAsiaTheme="minorEastAsia"/>
                      <w:color w:val="auto"/>
                      <w:spacing w:val="-6"/>
                      <w:szCs w:val="21"/>
                      <w:highlight w:val="none"/>
                    </w:rPr>
                  </w:pPr>
                  <w:r>
                    <w:rPr>
                      <w:rFonts w:ascii="Times New Roman" w:hAnsi="Times New Roman" w:eastAsiaTheme="minorEastAsia"/>
                      <w:color w:val="auto"/>
                      <w:spacing w:val="-6"/>
                      <w:szCs w:val="21"/>
                      <w:highlight w:val="none"/>
                    </w:rPr>
                    <w:t>1</w:t>
                  </w:r>
                </w:p>
              </w:tc>
              <w:tc>
                <w:tcPr>
                  <w:tcW w:w="430" w:type="pct"/>
                  <w:vAlign w:val="center"/>
                </w:tcPr>
                <w:p w14:paraId="13D83B68">
                  <w:pPr>
                    <w:ind w:left="-53" w:leftChars="-25" w:right="-53" w:rightChars="-25"/>
                    <w:jc w:val="center"/>
                    <w:rPr>
                      <w:rFonts w:ascii="Times New Roman" w:hAnsi="Times New Roman" w:eastAsiaTheme="minorEastAsia"/>
                      <w:color w:val="auto"/>
                      <w:spacing w:val="-6"/>
                      <w:szCs w:val="21"/>
                      <w:highlight w:val="none"/>
                    </w:rPr>
                  </w:pPr>
                  <w:r>
                    <w:rPr>
                      <w:rFonts w:ascii="Times New Roman" w:hAnsi="Times New Roman" w:eastAsiaTheme="minorEastAsia"/>
                      <w:color w:val="auto"/>
                      <w:spacing w:val="-6"/>
                      <w:szCs w:val="21"/>
                      <w:highlight w:val="none"/>
                    </w:rPr>
                    <w:t>HW31</w:t>
                  </w:r>
                </w:p>
              </w:tc>
              <w:tc>
                <w:tcPr>
                  <w:tcW w:w="692" w:type="pct"/>
                  <w:vAlign w:val="center"/>
                </w:tcPr>
                <w:p w14:paraId="4217BFD7">
                  <w:pPr>
                    <w:ind w:left="-53" w:leftChars="-25" w:right="-53" w:rightChars="-25"/>
                    <w:jc w:val="center"/>
                    <w:rPr>
                      <w:rFonts w:ascii="Times New Roman" w:hAnsi="Times New Roman" w:eastAsiaTheme="minorEastAsia"/>
                      <w:color w:val="auto"/>
                      <w:spacing w:val="-6"/>
                      <w:szCs w:val="21"/>
                      <w:highlight w:val="none"/>
                    </w:rPr>
                  </w:pPr>
                  <w:r>
                    <w:rPr>
                      <w:rFonts w:hint="eastAsia" w:ascii="Times New Roman" w:hAnsi="Times New Roman" w:eastAsiaTheme="minorEastAsia"/>
                      <w:color w:val="auto"/>
                      <w:spacing w:val="-6"/>
                      <w:szCs w:val="21"/>
                      <w:highlight w:val="none"/>
                    </w:rPr>
                    <w:t>含铅废物</w:t>
                  </w:r>
                </w:p>
              </w:tc>
              <w:tc>
                <w:tcPr>
                  <w:tcW w:w="783" w:type="pct"/>
                  <w:vAlign w:val="center"/>
                </w:tcPr>
                <w:p w14:paraId="1B951497">
                  <w:pPr>
                    <w:autoSpaceDE w:val="0"/>
                    <w:autoSpaceDN w:val="0"/>
                    <w:adjustRightInd w:val="0"/>
                    <w:jc w:val="center"/>
                    <w:rPr>
                      <w:rFonts w:hint="eastAsia" w:ascii="Times New Roman" w:hAnsi="Times New Roman" w:eastAsiaTheme="minorEastAsia"/>
                      <w:color w:val="auto"/>
                      <w:spacing w:val="-6"/>
                      <w:szCs w:val="21"/>
                      <w:highlight w:val="none"/>
                      <w:lang w:eastAsia="zh-CN"/>
                    </w:rPr>
                  </w:pPr>
                  <w:r>
                    <w:rPr>
                      <w:rFonts w:hint="eastAsia" w:ascii="Times New Roman" w:hAnsi="Times New Roman" w:eastAsiaTheme="minorEastAsia"/>
                      <w:color w:val="auto"/>
                      <w:spacing w:val="-6"/>
                      <w:szCs w:val="21"/>
                      <w:highlight w:val="none"/>
                      <w:lang w:eastAsia="zh-CN"/>
                    </w:rPr>
                    <w:t>废旧铅酸蓄电池</w:t>
                  </w:r>
                </w:p>
              </w:tc>
              <w:tc>
                <w:tcPr>
                  <w:tcW w:w="778" w:type="pct"/>
                  <w:vAlign w:val="center"/>
                </w:tcPr>
                <w:p w14:paraId="4D0411D1">
                  <w:pPr>
                    <w:ind w:left="-53" w:leftChars="-25" w:right="-53" w:rightChars="-25"/>
                    <w:jc w:val="center"/>
                    <w:rPr>
                      <w:rFonts w:hint="eastAsia" w:ascii="Times New Roman" w:hAnsi="Times New Roman" w:eastAsiaTheme="minorEastAsia"/>
                      <w:color w:val="auto"/>
                      <w:spacing w:val="-6"/>
                      <w:szCs w:val="21"/>
                      <w:highlight w:val="none"/>
                      <w:lang w:val="en-US" w:eastAsia="zh-CN"/>
                    </w:rPr>
                  </w:pPr>
                  <w:r>
                    <w:rPr>
                      <w:rFonts w:ascii="Times New Roman" w:hAnsi="Times New Roman" w:eastAsiaTheme="minorEastAsia"/>
                      <w:color w:val="auto"/>
                      <w:spacing w:val="-6"/>
                      <w:szCs w:val="21"/>
                      <w:highlight w:val="none"/>
                    </w:rPr>
                    <w:t>1</w:t>
                  </w:r>
                  <w:r>
                    <w:rPr>
                      <w:rFonts w:hint="eastAsia" w:ascii="Times New Roman" w:hAnsi="Times New Roman" w:eastAsiaTheme="minorEastAsia"/>
                      <w:color w:val="auto"/>
                      <w:spacing w:val="-6"/>
                      <w:szCs w:val="21"/>
                      <w:highlight w:val="none"/>
                      <w:lang w:val="en-US" w:eastAsia="zh-CN"/>
                    </w:rPr>
                    <w:t>0</w:t>
                  </w:r>
                </w:p>
              </w:tc>
              <w:tc>
                <w:tcPr>
                  <w:tcW w:w="1002" w:type="pct"/>
                  <w:vAlign w:val="center"/>
                </w:tcPr>
                <w:p w14:paraId="736AADB3">
                  <w:pPr>
                    <w:ind w:left="-53" w:leftChars="-25" w:right="-53" w:rightChars="-25"/>
                    <w:jc w:val="center"/>
                    <w:rPr>
                      <w:rFonts w:hint="default" w:ascii="Times New Roman" w:hAnsi="Times New Roman" w:eastAsiaTheme="minorEastAsia"/>
                      <w:color w:val="auto"/>
                      <w:spacing w:val="-6"/>
                      <w:szCs w:val="21"/>
                      <w:highlight w:val="none"/>
                      <w:lang w:val="en-US" w:eastAsia="zh-CN"/>
                    </w:rPr>
                  </w:pPr>
                  <w:r>
                    <w:rPr>
                      <w:rFonts w:hint="eastAsia" w:ascii="Times New Roman" w:hAnsi="Times New Roman" w:eastAsiaTheme="minorEastAsia"/>
                      <w:color w:val="auto"/>
                      <w:spacing w:val="-6"/>
                      <w:szCs w:val="21"/>
                      <w:highlight w:val="none"/>
                      <w:lang w:val="en-US" w:eastAsia="zh-CN"/>
                    </w:rPr>
                    <w:t>70</w:t>
                  </w:r>
                </w:p>
              </w:tc>
              <w:tc>
                <w:tcPr>
                  <w:tcW w:w="863" w:type="pct"/>
                  <w:gridSpan w:val="2"/>
                  <w:vAlign w:val="center"/>
                </w:tcPr>
                <w:p w14:paraId="1A4313FA">
                  <w:pPr>
                    <w:ind w:left="-53" w:leftChars="-25" w:right="-53" w:rightChars="-25"/>
                    <w:jc w:val="center"/>
                    <w:rPr>
                      <w:rFonts w:hint="default" w:ascii="Times New Roman" w:hAnsi="Times New Roman" w:eastAsiaTheme="minorEastAsia"/>
                      <w:color w:val="auto"/>
                      <w:spacing w:val="-6"/>
                      <w:szCs w:val="21"/>
                      <w:highlight w:val="none"/>
                      <w:lang w:val="en-US" w:eastAsia="zh-CN"/>
                    </w:rPr>
                  </w:pPr>
                  <w:r>
                    <w:rPr>
                      <w:rFonts w:hint="eastAsia" w:ascii="Times New Roman" w:hAnsi="Times New Roman" w:eastAsiaTheme="minorEastAsia"/>
                      <w:color w:val="auto"/>
                      <w:spacing w:val="-6"/>
                      <w:szCs w:val="21"/>
                      <w:highlight w:val="none"/>
                      <w:lang w:val="en-US" w:eastAsia="zh-CN"/>
                    </w:rPr>
                    <w:t>≤7</w:t>
                  </w:r>
                </w:p>
              </w:tc>
            </w:tr>
          </w:tbl>
          <w:p w14:paraId="3B2E2B8C">
            <w:pPr>
              <w:autoSpaceDE w:val="0"/>
              <w:autoSpaceDN w:val="0"/>
              <w:adjustRightInd w:val="0"/>
              <w:ind w:firstLine="480" w:firstLineChars="200"/>
              <w:jc w:val="left"/>
              <w:rPr>
                <w:rFonts w:ascii="Times New Roman" w:hAnsi="Times New Roman" w:eastAsiaTheme="minorEastAsia"/>
                <w:color w:val="auto"/>
                <w:kern w:val="0"/>
                <w:sz w:val="24"/>
                <w:highlight w:val="none"/>
              </w:rPr>
            </w:pPr>
            <w:r>
              <w:rPr>
                <w:rFonts w:hint="eastAsia" w:ascii="Times New Roman" w:hAnsi="Times New Roman" w:eastAsiaTheme="minorEastAsia"/>
                <w:color w:val="auto"/>
                <w:kern w:val="0"/>
                <w:sz w:val="24"/>
                <w:highlight w:val="none"/>
              </w:rPr>
              <w:t>（2）铅蓄电池的主要结构详见下表。</w:t>
            </w:r>
          </w:p>
          <w:p w14:paraId="17485864">
            <w:pPr>
              <w:pStyle w:val="54"/>
              <w:jc w:val="center"/>
              <w:rPr>
                <w:rFonts w:eastAsiaTheme="minorEastAsia"/>
                <w:bCs/>
                <w:color w:val="auto"/>
                <w:highlight w:val="none"/>
              </w:rPr>
            </w:pPr>
            <w:r>
              <w:rPr>
                <w:rFonts w:hint="eastAsia" w:eastAsiaTheme="minorEastAsia"/>
                <w:color w:val="auto"/>
                <w:kern w:val="0"/>
                <w:szCs w:val="22"/>
                <w:highlight w:val="none"/>
              </w:rPr>
              <w:t>表</w:t>
            </w:r>
            <w:r>
              <w:rPr>
                <w:rFonts w:eastAsiaTheme="minorEastAsia"/>
                <w:color w:val="auto"/>
                <w:kern w:val="0"/>
                <w:szCs w:val="22"/>
                <w:highlight w:val="none"/>
              </w:rPr>
              <w:t xml:space="preserve">2-3 </w:t>
            </w:r>
            <w:r>
              <w:rPr>
                <w:rFonts w:hint="eastAsia" w:eastAsiaTheme="minorEastAsia"/>
                <w:color w:val="auto"/>
                <w:kern w:val="0"/>
                <w:szCs w:val="22"/>
                <w:highlight w:val="none"/>
              </w:rPr>
              <w:t>铅蓄电池主要结构</w:t>
            </w:r>
            <w:bookmarkStart w:id="12" w:name="_Toc28102"/>
          </w:p>
          <w:bookmarkEnd w:id="12"/>
          <w:tbl>
            <w:tblPr>
              <w:tblStyle w:val="31"/>
              <w:tblW w:w="493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28"/>
              <w:gridCol w:w="6379"/>
            </w:tblGrid>
            <w:tr w14:paraId="280C1E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pct"/>
                  <w:vAlign w:val="center"/>
                </w:tcPr>
                <w:p w14:paraId="38D376D8">
                  <w:pPr>
                    <w:ind w:left="-53" w:leftChars="-25" w:right="-53" w:rightChars="-25"/>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主要构成</w:t>
                  </w:r>
                </w:p>
              </w:tc>
              <w:tc>
                <w:tcPr>
                  <w:tcW w:w="3887" w:type="pct"/>
                  <w:vAlign w:val="center"/>
                </w:tcPr>
                <w:p w14:paraId="68E4D45E">
                  <w:pPr>
                    <w:ind w:left="-53" w:leftChars="-25" w:right="-53" w:rightChars="-25"/>
                    <w:jc w:val="center"/>
                    <w:rPr>
                      <w:rFonts w:ascii="Times New Roman" w:hAnsi="Times New Roman"/>
                      <w:color w:val="auto"/>
                      <w:szCs w:val="21"/>
                      <w:highlight w:val="none"/>
                    </w:rPr>
                  </w:pPr>
                  <w:r>
                    <w:rPr>
                      <w:rFonts w:ascii="Times New Roman" w:hAnsi="Times New Roman" w:eastAsiaTheme="minorEastAsia"/>
                      <w:bCs/>
                      <w:color w:val="auto"/>
                      <w:szCs w:val="21"/>
                      <w:highlight w:val="none"/>
                    </w:rPr>
                    <w:t>备注</w:t>
                  </w:r>
                </w:p>
              </w:tc>
            </w:tr>
            <w:tr w14:paraId="496634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pct"/>
                  <w:vAlign w:val="center"/>
                </w:tcPr>
                <w:p w14:paraId="5AC2EE84">
                  <w:pPr>
                    <w:ind w:left="-53" w:leftChars="-25" w:right="-53" w:rightChars="-25"/>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阴极、阳极</w:t>
                  </w:r>
                </w:p>
              </w:tc>
              <w:tc>
                <w:tcPr>
                  <w:tcW w:w="3887" w:type="pct"/>
                  <w:vAlign w:val="center"/>
                </w:tcPr>
                <w:p w14:paraId="375975FC">
                  <w:pPr>
                    <w:autoSpaceDE w:val="0"/>
                    <w:autoSpaceDN w:val="0"/>
                    <w:adjustRightInd w:val="0"/>
                    <w:jc w:val="center"/>
                    <w:rPr>
                      <w:rFonts w:ascii="Times New Roman" w:hAnsi="Times New Roman"/>
                      <w:color w:val="auto"/>
                      <w:kern w:val="0"/>
                      <w:szCs w:val="21"/>
                      <w:highlight w:val="none"/>
                    </w:rPr>
                  </w:pPr>
                  <w:r>
                    <w:rPr>
                      <w:rFonts w:ascii="Times New Roman" w:hAnsi="Times New Roman"/>
                      <w:color w:val="auto"/>
                      <w:kern w:val="0"/>
                      <w:szCs w:val="21"/>
                      <w:highlight w:val="none"/>
                    </w:rPr>
                    <w:t>由板栅和活性物质构成的，板栅的材料一般采用铅锑合金，免维护</w:t>
                  </w:r>
                </w:p>
                <w:p w14:paraId="1D9DA25D">
                  <w:pPr>
                    <w:autoSpaceDE w:val="0"/>
                    <w:autoSpaceDN w:val="0"/>
                    <w:adjustRightInd w:val="0"/>
                    <w:jc w:val="center"/>
                    <w:rPr>
                      <w:rFonts w:ascii="Times New Roman" w:hAnsi="Times New Roman"/>
                      <w:color w:val="auto"/>
                      <w:kern w:val="0"/>
                      <w:szCs w:val="21"/>
                      <w:highlight w:val="none"/>
                    </w:rPr>
                  </w:pPr>
                  <w:r>
                    <w:rPr>
                      <w:rFonts w:ascii="Times New Roman" w:hAnsi="Times New Roman"/>
                      <w:color w:val="auto"/>
                      <w:kern w:val="0"/>
                      <w:szCs w:val="21"/>
                      <w:highlight w:val="none"/>
                    </w:rPr>
                    <w:t>电池采用铅钙合金。正极活性物质主要成份为氧化铅，负极活性物</w:t>
                  </w:r>
                </w:p>
                <w:p w14:paraId="695E7849">
                  <w:pPr>
                    <w:ind w:left="-53" w:leftChars="-25" w:right="-53" w:rightChars="-25"/>
                    <w:jc w:val="center"/>
                    <w:rPr>
                      <w:rFonts w:ascii="Times New Roman" w:hAnsi="Times New Roman" w:eastAsiaTheme="minorEastAsia"/>
                      <w:color w:val="auto"/>
                      <w:szCs w:val="21"/>
                      <w:highlight w:val="none"/>
                    </w:rPr>
                  </w:pPr>
                  <w:r>
                    <w:rPr>
                      <w:rFonts w:ascii="Times New Roman" w:hAnsi="Times New Roman"/>
                      <w:color w:val="auto"/>
                      <w:kern w:val="0"/>
                      <w:szCs w:val="21"/>
                      <w:highlight w:val="none"/>
                    </w:rPr>
                    <w:t>质主要成为绒状铅。</w:t>
                  </w:r>
                </w:p>
              </w:tc>
            </w:tr>
            <w:tr w14:paraId="146A74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pct"/>
                  <w:vAlign w:val="center"/>
                </w:tcPr>
                <w:p w14:paraId="7C046E1D">
                  <w:pPr>
                    <w:ind w:left="-53" w:leftChars="-25" w:right="-53" w:rightChars="-25"/>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隔板</w:t>
                  </w:r>
                </w:p>
              </w:tc>
              <w:tc>
                <w:tcPr>
                  <w:tcW w:w="3887" w:type="pct"/>
                  <w:vAlign w:val="center"/>
                </w:tcPr>
                <w:p w14:paraId="71B62379">
                  <w:pPr>
                    <w:ind w:left="-53" w:leftChars="-25" w:right="-53" w:rightChars="-25"/>
                    <w:jc w:val="center"/>
                    <w:rPr>
                      <w:rFonts w:ascii="Times New Roman" w:hAnsi="Times New Roman" w:eastAsiaTheme="minorEastAsia"/>
                      <w:color w:val="auto"/>
                      <w:szCs w:val="21"/>
                      <w:highlight w:val="none"/>
                    </w:rPr>
                  </w:pPr>
                  <w:r>
                    <w:rPr>
                      <w:rFonts w:ascii="Times New Roman" w:hAnsi="Times New Roman"/>
                      <w:color w:val="auto"/>
                      <w:kern w:val="0"/>
                      <w:szCs w:val="21"/>
                      <w:highlight w:val="none"/>
                    </w:rPr>
                    <w:t>由微孔橡胶、颜料玻璃纤维等材料制成的。</w:t>
                  </w:r>
                </w:p>
              </w:tc>
            </w:tr>
            <w:tr w14:paraId="20C362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pct"/>
                  <w:vAlign w:val="center"/>
                </w:tcPr>
                <w:p w14:paraId="24DDF662">
                  <w:pPr>
                    <w:ind w:left="-53" w:leftChars="-25" w:right="-53" w:rightChars="-25"/>
                    <w:jc w:val="center"/>
                    <w:rPr>
                      <w:rFonts w:ascii="Times New Roman" w:hAnsi="Times New Roman" w:eastAsiaTheme="minorEastAsia"/>
                      <w:color w:val="auto"/>
                      <w:szCs w:val="21"/>
                      <w:highlight w:val="none"/>
                    </w:rPr>
                  </w:pPr>
                  <w:r>
                    <w:rPr>
                      <w:rFonts w:ascii="Times New Roman" w:hAnsi="Times New Roman"/>
                      <w:color w:val="auto"/>
                      <w:kern w:val="0"/>
                      <w:szCs w:val="21"/>
                      <w:highlight w:val="none"/>
                    </w:rPr>
                    <w:t>电解液</w:t>
                  </w:r>
                </w:p>
              </w:tc>
              <w:tc>
                <w:tcPr>
                  <w:tcW w:w="3887" w:type="pct"/>
                  <w:vAlign w:val="center"/>
                </w:tcPr>
                <w:p w14:paraId="42213920">
                  <w:pPr>
                    <w:autoSpaceDE w:val="0"/>
                    <w:autoSpaceDN w:val="0"/>
                    <w:adjustRightInd w:val="0"/>
                    <w:jc w:val="center"/>
                    <w:rPr>
                      <w:rFonts w:hint="eastAsia" w:ascii="Times New Roman" w:hAnsi="Times New Roman"/>
                      <w:color w:val="auto"/>
                      <w:kern w:val="0"/>
                      <w:szCs w:val="21"/>
                      <w:highlight w:val="none"/>
                      <w:lang w:eastAsia="zh-CN"/>
                    </w:rPr>
                  </w:pPr>
                  <w:r>
                    <w:rPr>
                      <w:rFonts w:hint="eastAsia" w:ascii="Times New Roman" w:hAnsi="Times New Roman"/>
                      <w:color w:val="auto"/>
                      <w:kern w:val="0"/>
                      <w:szCs w:val="21"/>
                      <w:highlight w:val="none"/>
                      <w:lang w:val="en-US" w:eastAsia="zh-CN"/>
                    </w:rPr>
                    <w:t>电解液占比约为10%—20%，</w:t>
                  </w:r>
                  <w:r>
                    <w:rPr>
                      <w:rFonts w:ascii="Times New Roman" w:hAnsi="Times New Roman"/>
                      <w:color w:val="auto"/>
                      <w:kern w:val="0"/>
                      <w:szCs w:val="21"/>
                      <w:highlight w:val="none"/>
                    </w:rPr>
                    <w:t>由浓硫酸和净化水（去离子水）配制而成的，电解液密度1.280±0.005g/cm</w:t>
                  </w:r>
                  <w:r>
                    <w:rPr>
                      <w:rFonts w:ascii="Times New Roman" w:hAnsi="Times New Roman"/>
                      <w:color w:val="auto"/>
                      <w:kern w:val="0"/>
                      <w:szCs w:val="21"/>
                      <w:highlight w:val="none"/>
                      <w:vertAlign w:val="superscript"/>
                    </w:rPr>
                    <w:t>3</w:t>
                  </w:r>
                  <w:r>
                    <w:rPr>
                      <w:rFonts w:hint="eastAsia" w:ascii="Times New Roman" w:hAnsi="Times New Roman"/>
                      <w:color w:val="auto"/>
                      <w:kern w:val="0"/>
                      <w:szCs w:val="21"/>
                      <w:highlight w:val="none"/>
                      <w:lang w:eastAsia="zh-CN"/>
                    </w:rPr>
                    <w:t>，废酸液，充足电解液中硫酸重</w:t>
                  </w:r>
                </w:p>
                <w:p w14:paraId="4C770247">
                  <w:pPr>
                    <w:autoSpaceDE w:val="0"/>
                    <w:autoSpaceDN w:val="0"/>
                    <w:adjustRightInd w:val="0"/>
                    <w:jc w:val="center"/>
                    <w:rPr>
                      <w:rFonts w:hint="eastAsia" w:ascii="Times New Roman" w:hAnsi="Times New Roman" w:eastAsia="TimesNewRomanPSMT"/>
                      <w:color w:val="auto"/>
                      <w:szCs w:val="21"/>
                      <w:highlight w:val="none"/>
                      <w:lang w:eastAsia="zh-CN"/>
                    </w:rPr>
                  </w:pPr>
                  <w:r>
                    <w:rPr>
                      <w:rFonts w:hint="eastAsia" w:ascii="Times New Roman" w:hAnsi="Times New Roman"/>
                      <w:color w:val="auto"/>
                      <w:kern w:val="0"/>
                      <w:szCs w:val="21"/>
                      <w:highlight w:val="none"/>
                      <w:lang w:eastAsia="zh-CN"/>
                    </w:rPr>
                    <w:t>量比35~40%，完全放电后电解液中硫酸重量比10~15%。</w:t>
                  </w:r>
                </w:p>
              </w:tc>
            </w:tr>
            <w:tr w14:paraId="4DFCDE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pct"/>
                  <w:vAlign w:val="center"/>
                </w:tcPr>
                <w:p w14:paraId="2F76D885">
                  <w:pPr>
                    <w:ind w:left="-53" w:leftChars="-25" w:right="-53" w:rightChars="-25"/>
                    <w:jc w:val="center"/>
                    <w:rPr>
                      <w:rFonts w:ascii="Times New Roman" w:hAnsi="Times New Roman" w:eastAsiaTheme="minorEastAsia"/>
                      <w:color w:val="auto"/>
                      <w:szCs w:val="21"/>
                      <w:highlight w:val="none"/>
                    </w:rPr>
                  </w:pPr>
                  <w:r>
                    <w:rPr>
                      <w:rFonts w:ascii="Times New Roman" w:hAnsi="Times New Roman"/>
                      <w:color w:val="auto"/>
                      <w:kern w:val="0"/>
                      <w:szCs w:val="21"/>
                      <w:highlight w:val="none"/>
                    </w:rPr>
                    <w:t>电池壳、盖</w:t>
                  </w:r>
                </w:p>
              </w:tc>
              <w:tc>
                <w:tcPr>
                  <w:tcW w:w="3887" w:type="pct"/>
                  <w:vAlign w:val="center"/>
                </w:tcPr>
                <w:p w14:paraId="148D2834">
                  <w:pPr>
                    <w:ind w:left="-53" w:leftChars="-25" w:right="-53" w:rightChars="-25"/>
                    <w:jc w:val="center"/>
                    <w:rPr>
                      <w:rFonts w:ascii="Times New Roman" w:hAnsi="Times New Roman" w:eastAsiaTheme="minorEastAsia"/>
                      <w:color w:val="auto"/>
                      <w:szCs w:val="21"/>
                      <w:highlight w:val="none"/>
                    </w:rPr>
                  </w:pPr>
                  <w:r>
                    <w:rPr>
                      <w:rFonts w:ascii="Times New Roman" w:hAnsi="Times New Roman"/>
                      <w:color w:val="auto"/>
                      <w:kern w:val="0"/>
                      <w:szCs w:val="21"/>
                      <w:highlight w:val="none"/>
                    </w:rPr>
                    <w:t>装正、负极板和电解液的容器，一般由塑料和橡胶材料制成。</w:t>
                  </w:r>
                </w:p>
              </w:tc>
            </w:tr>
            <w:tr w14:paraId="6DE7E0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pct"/>
                  <w:vAlign w:val="center"/>
                </w:tcPr>
                <w:p w14:paraId="46D94FD1">
                  <w:pPr>
                    <w:ind w:left="-53" w:leftChars="-25" w:right="-53" w:rightChars="-25"/>
                    <w:jc w:val="center"/>
                    <w:rPr>
                      <w:rFonts w:ascii="Times New Roman" w:hAnsi="Times New Roman" w:eastAsiaTheme="minorEastAsia"/>
                      <w:color w:val="auto"/>
                      <w:szCs w:val="21"/>
                      <w:highlight w:val="none"/>
                    </w:rPr>
                  </w:pPr>
                  <w:r>
                    <w:rPr>
                      <w:rFonts w:ascii="Times New Roman" w:hAnsi="Times New Roman"/>
                      <w:color w:val="auto"/>
                      <w:kern w:val="0"/>
                      <w:szCs w:val="21"/>
                      <w:highlight w:val="none"/>
                    </w:rPr>
                    <w:t>排气栓</w:t>
                  </w:r>
                </w:p>
              </w:tc>
              <w:tc>
                <w:tcPr>
                  <w:tcW w:w="3887" w:type="pct"/>
                  <w:vAlign w:val="center"/>
                </w:tcPr>
                <w:p w14:paraId="585104E7">
                  <w:pPr>
                    <w:ind w:left="-53" w:leftChars="-25" w:right="-53" w:rightChars="-25"/>
                    <w:jc w:val="center"/>
                    <w:rPr>
                      <w:rFonts w:ascii="Times New Roman" w:hAnsi="Times New Roman" w:eastAsiaTheme="minorEastAsia"/>
                      <w:color w:val="auto"/>
                      <w:szCs w:val="21"/>
                      <w:highlight w:val="none"/>
                    </w:rPr>
                  </w:pPr>
                  <w:r>
                    <w:rPr>
                      <w:rFonts w:ascii="Times New Roman" w:hAnsi="Times New Roman"/>
                      <w:color w:val="auto"/>
                      <w:kern w:val="0"/>
                      <w:szCs w:val="21"/>
                      <w:highlight w:val="none"/>
                    </w:rPr>
                    <w:t>由塑料材料制成。</w:t>
                  </w:r>
                </w:p>
              </w:tc>
            </w:tr>
            <w:tr w14:paraId="71D7A3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pct"/>
                  <w:vAlign w:val="center"/>
                </w:tcPr>
                <w:p w14:paraId="15D611DE">
                  <w:pPr>
                    <w:ind w:left="-53" w:leftChars="-25" w:right="-53" w:rightChars="-25"/>
                    <w:jc w:val="center"/>
                    <w:rPr>
                      <w:rFonts w:ascii="Times New Roman" w:hAnsi="Times New Roman" w:eastAsiaTheme="minorEastAsia"/>
                      <w:color w:val="auto"/>
                      <w:szCs w:val="21"/>
                      <w:highlight w:val="none"/>
                    </w:rPr>
                  </w:pPr>
                  <w:r>
                    <w:rPr>
                      <w:rFonts w:ascii="Times New Roman" w:hAnsi="Times New Roman"/>
                      <w:color w:val="auto"/>
                      <w:kern w:val="0"/>
                      <w:szCs w:val="21"/>
                      <w:highlight w:val="none"/>
                    </w:rPr>
                    <w:t>链条、极柱、鞍子、液面示器等零部件</w:t>
                  </w:r>
                </w:p>
              </w:tc>
              <w:tc>
                <w:tcPr>
                  <w:tcW w:w="3887" w:type="pct"/>
                  <w:vAlign w:val="center"/>
                </w:tcPr>
                <w:p w14:paraId="28733064">
                  <w:pPr>
                    <w:ind w:left="-53" w:leftChars="-25" w:right="-53" w:rightChars="-25"/>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w:t>
                  </w:r>
                </w:p>
              </w:tc>
            </w:tr>
          </w:tbl>
          <w:p w14:paraId="4FAA78EF">
            <w:pPr>
              <w:keepNext/>
              <w:numPr>
                <w:ilvl w:val="0"/>
                <w:numId w:val="2"/>
              </w:numPr>
              <w:adjustRightInd w:val="0"/>
              <w:spacing w:line="480" w:lineRule="exact"/>
              <w:ind w:firstLine="480" w:firstLineChars="200"/>
              <w:jc w:val="left"/>
              <w:outlineLvl w:val="1"/>
              <w:rPr>
                <w:rFonts w:hint="eastAsia" w:ascii="宋体" w:hAnsi="Times New Roman" w:cs="宋体"/>
                <w:color w:val="auto"/>
                <w:kern w:val="0"/>
                <w:sz w:val="24"/>
                <w:szCs w:val="24"/>
                <w:highlight w:val="none"/>
              </w:rPr>
            </w:pPr>
            <w:bookmarkStart w:id="13" w:name="_Toc29742"/>
            <w:r>
              <w:rPr>
                <w:rFonts w:hint="eastAsia" w:ascii="宋体" w:hAnsi="Times New Roman" w:cs="宋体"/>
                <w:color w:val="auto"/>
                <w:kern w:val="0"/>
                <w:sz w:val="24"/>
                <w:szCs w:val="24"/>
                <w:highlight w:val="none"/>
              </w:rPr>
              <w:t>铅蓄电池结构示意图见下图：</w:t>
            </w:r>
            <w:bookmarkEnd w:id="13"/>
          </w:p>
          <w:p w14:paraId="41A213A7">
            <w:pPr>
              <w:keepNext/>
              <w:widowControl w:val="0"/>
              <w:numPr>
                <w:ilvl w:val="0"/>
                <w:numId w:val="0"/>
              </w:numPr>
              <w:adjustRightInd w:val="0"/>
              <w:spacing w:line="480" w:lineRule="exact"/>
              <w:jc w:val="left"/>
              <w:outlineLvl w:val="1"/>
              <w:rPr>
                <w:rFonts w:hint="eastAsia" w:ascii="宋体" w:hAnsi="Times New Roman" w:cs="宋体"/>
                <w:color w:val="auto"/>
                <w:kern w:val="0"/>
                <w:sz w:val="24"/>
                <w:szCs w:val="24"/>
                <w:highlight w:val="none"/>
              </w:rPr>
            </w:pPr>
          </w:p>
          <w:p w14:paraId="1DED5E5D">
            <w:pPr>
              <w:pStyle w:val="5"/>
              <w:ind w:firstLine="0" w:firstLineChars="0"/>
              <w:jc w:val="center"/>
              <w:rPr>
                <w:color w:val="auto"/>
                <w:highlight w:val="none"/>
              </w:rPr>
            </w:pPr>
            <w:r>
              <w:rPr>
                <w:color w:val="auto"/>
                <w:highlight w:val="none"/>
              </w:rPr>
              <w:drawing>
                <wp:inline distT="0" distB="0" distL="0" distR="0">
                  <wp:extent cx="5008245" cy="2838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l="21847" t="27000" r="13830" b="14674"/>
                          <a:stretch>
                            <a:fillRect/>
                          </a:stretch>
                        </pic:blipFill>
                        <pic:spPr>
                          <a:xfrm>
                            <a:off x="0" y="0"/>
                            <a:ext cx="5032742" cy="2852226"/>
                          </a:xfrm>
                          <a:prstGeom prst="rect">
                            <a:avLst/>
                          </a:prstGeom>
                          <a:ln>
                            <a:noFill/>
                          </a:ln>
                        </pic:spPr>
                      </pic:pic>
                    </a:graphicData>
                  </a:graphic>
                </wp:inline>
              </w:drawing>
            </w:r>
          </w:p>
          <w:p w14:paraId="1E7F616D">
            <w:pPr>
              <w:keepNext/>
              <w:adjustRightInd w:val="0"/>
              <w:spacing w:line="480" w:lineRule="exact"/>
              <w:jc w:val="center"/>
              <w:outlineLvl w:val="1"/>
              <w:rPr>
                <w:rFonts w:ascii="Times New Roman" w:hAnsi="Times New Roman" w:eastAsiaTheme="minorEastAsia"/>
                <w:bCs/>
                <w:color w:val="auto"/>
                <w:sz w:val="24"/>
                <w:szCs w:val="24"/>
                <w:highlight w:val="none"/>
              </w:rPr>
            </w:pPr>
            <w:bookmarkStart w:id="14" w:name="_Toc8500"/>
            <w:r>
              <w:rPr>
                <w:rFonts w:ascii="Times New Roman" w:hAnsi="Times New Roman" w:eastAsiaTheme="minorEastAsia"/>
                <w:bCs/>
                <w:color w:val="auto"/>
                <w:sz w:val="24"/>
                <w:szCs w:val="24"/>
                <w:highlight w:val="none"/>
              </w:rPr>
              <w:t xml:space="preserve">图2-1   </w:t>
            </w:r>
            <w:r>
              <w:rPr>
                <w:rFonts w:hint="eastAsia" w:ascii="宋体" w:hAnsi="Times New Roman" w:cs="宋体"/>
                <w:color w:val="auto"/>
                <w:kern w:val="0"/>
                <w:sz w:val="24"/>
                <w:szCs w:val="24"/>
                <w:highlight w:val="none"/>
              </w:rPr>
              <w:t>铅蓄电池结构示意图</w:t>
            </w:r>
            <w:bookmarkEnd w:id="14"/>
          </w:p>
          <w:p w14:paraId="3A6DC874">
            <w:pPr>
              <w:keepNext/>
              <w:adjustRightInd w:val="0"/>
              <w:spacing w:line="480" w:lineRule="exact"/>
              <w:ind w:firstLine="480" w:firstLineChars="200"/>
              <w:jc w:val="left"/>
              <w:outlineLvl w:val="1"/>
              <w:rPr>
                <w:rFonts w:hint="eastAsia" w:ascii="Times New Roman" w:hAnsi="Times New Roman" w:eastAsia="宋体" w:cs="Times New Roman"/>
                <w:color w:val="auto"/>
                <w:kern w:val="0"/>
                <w:sz w:val="24"/>
                <w:szCs w:val="24"/>
                <w:highlight w:val="none"/>
                <w:lang w:eastAsia="zh-CN"/>
              </w:rPr>
            </w:pPr>
            <w:bookmarkStart w:id="15" w:name="_Toc24148"/>
            <w:r>
              <w:rPr>
                <w:rFonts w:hint="default" w:ascii="Times New Roman" w:hAnsi="Times New Roman" w:cs="Times New Roman"/>
                <w:color w:val="auto"/>
                <w:kern w:val="0"/>
                <w:sz w:val="24"/>
                <w:szCs w:val="24"/>
                <w:highlight w:val="none"/>
              </w:rPr>
              <w:t>（4）电池中有毒有害物质主要包括 PbSO</w:t>
            </w:r>
            <w:r>
              <w:rPr>
                <w:rFonts w:hint="default" w:ascii="Times New Roman" w:hAnsi="Times New Roman" w:cs="Times New Roman"/>
                <w:color w:val="auto"/>
                <w:kern w:val="0"/>
                <w:sz w:val="24"/>
                <w:szCs w:val="24"/>
                <w:highlight w:val="none"/>
                <w:vertAlign w:val="subscript"/>
              </w:rPr>
              <w:t>4</w:t>
            </w:r>
            <w:r>
              <w:rPr>
                <w:rFonts w:hint="default" w:ascii="Times New Roman" w:hAnsi="Times New Roman" w:cs="Times New Roman"/>
                <w:color w:val="auto"/>
                <w:kern w:val="0"/>
                <w:sz w:val="24"/>
                <w:szCs w:val="24"/>
                <w:highlight w:val="none"/>
              </w:rPr>
              <w:t>、Pb、PbO</w:t>
            </w:r>
            <w:r>
              <w:rPr>
                <w:rFonts w:hint="default" w:ascii="Times New Roman" w:hAnsi="Times New Roman" w:cs="Times New Roman"/>
                <w:color w:val="auto"/>
                <w:kern w:val="0"/>
                <w:sz w:val="24"/>
                <w:szCs w:val="24"/>
                <w:highlight w:val="none"/>
                <w:vertAlign w:val="subscript"/>
              </w:rPr>
              <w:t>2</w:t>
            </w:r>
            <w:r>
              <w:rPr>
                <w:rFonts w:hint="default" w:ascii="Times New Roman" w:hAnsi="Times New Roman" w:cs="Times New Roman"/>
                <w:color w:val="auto"/>
                <w:kern w:val="0"/>
                <w:sz w:val="24"/>
                <w:szCs w:val="24"/>
                <w:highlight w:val="none"/>
              </w:rPr>
              <w:t>、H</w:t>
            </w:r>
            <w:r>
              <w:rPr>
                <w:rFonts w:hint="default" w:ascii="Times New Roman" w:hAnsi="Times New Roman" w:cs="Times New Roman"/>
                <w:color w:val="auto"/>
                <w:kern w:val="0"/>
                <w:sz w:val="24"/>
                <w:szCs w:val="24"/>
                <w:highlight w:val="none"/>
                <w:vertAlign w:val="subscript"/>
              </w:rPr>
              <w:t>2</w:t>
            </w:r>
            <w:r>
              <w:rPr>
                <w:rFonts w:hint="default" w:ascii="Times New Roman" w:hAnsi="Times New Roman" w:cs="Times New Roman"/>
                <w:color w:val="auto"/>
                <w:kern w:val="0"/>
                <w:sz w:val="24"/>
                <w:szCs w:val="24"/>
                <w:highlight w:val="none"/>
              </w:rPr>
              <w:t>SO</w:t>
            </w:r>
            <w:r>
              <w:rPr>
                <w:rFonts w:hint="default" w:ascii="Times New Roman" w:hAnsi="Times New Roman" w:cs="Times New Roman"/>
                <w:color w:val="auto"/>
                <w:kern w:val="0"/>
                <w:sz w:val="24"/>
                <w:szCs w:val="24"/>
                <w:highlight w:val="none"/>
                <w:vertAlign w:val="subscript"/>
              </w:rPr>
              <w:t>4</w:t>
            </w:r>
            <w:r>
              <w:rPr>
                <w:rFonts w:hint="default" w:ascii="Times New Roman" w:hAnsi="Times New Roman" w:cs="Times New Roman"/>
                <w:color w:val="auto"/>
                <w:kern w:val="0"/>
                <w:sz w:val="24"/>
                <w:szCs w:val="24"/>
                <w:highlight w:val="none"/>
              </w:rPr>
              <w:t>。铅酸蓄电池中有毒有害物质的理化性质如下</w:t>
            </w:r>
            <w:r>
              <w:rPr>
                <w:rFonts w:hint="eastAsia" w:ascii="Times New Roman" w:hAnsi="Times New Roman" w:cs="Times New Roman"/>
                <w:color w:val="auto"/>
                <w:kern w:val="0"/>
                <w:sz w:val="24"/>
                <w:szCs w:val="24"/>
                <w:highlight w:val="none"/>
                <w:lang w:eastAsia="zh-CN"/>
              </w:rPr>
              <w:t>：</w:t>
            </w:r>
            <w:bookmarkEnd w:id="15"/>
          </w:p>
          <w:p w14:paraId="7F2DA68E">
            <w:pPr>
              <w:keepNext/>
              <w:adjustRightInd w:val="0"/>
              <w:spacing w:line="480" w:lineRule="exact"/>
              <w:jc w:val="center"/>
              <w:outlineLvl w:val="1"/>
              <w:rPr>
                <w:rFonts w:ascii="Times New Roman" w:hAnsi="Times New Roman" w:eastAsiaTheme="minorEastAsia"/>
                <w:bCs/>
                <w:color w:val="auto"/>
                <w:sz w:val="24"/>
                <w:szCs w:val="24"/>
                <w:highlight w:val="none"/>
              </w:rPr>
            </w:pPr>
          </w:p>
          <w:p w14:paraId="7BD5CCC7">
            <w:pPr>
              <w:keepNext/>
              <w:adjustRightInd w:val="0"/>
              <w:spacing w:line="480" w:lineRule="exact"/>
              <w:jc w:val="center"/>
              <w:outlineLvl w:val="1"/>
              <w:rPr>
                <w:rFonts w:ascii="Times New Roman" w:hAnsi="Times New Roman" w:eastAsiaTheme="minorEastAsia"/>
                <w:bCs/>
                <w:color w:val="auto"/>
                <w:sz w:val="24"/>
                <w:szCs w:val="24"/>
                <w:highlight w:val="none"/>
              </w:rPr>
            </w:pPr>
            <w:bookmarkStart w:id="16" w:name="_Toc21516"/>
            <w:r>
              <w:rPr>
                <w:rFonts w:ascii="Times New Roman" w:hAnsi="Times New Roman" w:eastAsiaTheme="minorEastAsia"/>
                <w:bCs/>
                <w:color w:val="auto"/>
                <w:sz w:val="24"/>
                <w:szCs w:val="24"/>
                <w:highlight w:val="none"/>
              </w:rPr>
              <w:t xml:space="preserve">表2-4   </w:t>
            </w:r>
            <w:r>
              <w:rPr>
                <w:rFonts w:hint="eastAsia" w:ascii="宋体" w:hAnsi="Times New Roman" w:cs="宋体"/>
                <w:color w:val="auto"/>
                <w:kern w:val="0"/>
                <w:sz w:val="24"/>
                <w:szCs w:val="24"/>
                <w:highlight w:val="none"/>
              </w:rPr>
              <w:t>主要储存物质理化性质</w:t>
            </w:r>
            <w:r>
              <w:rPr>
                <w:rFonts w:ascii="Times New Roman" w:hAnsi="Times New Roman" w:eastAsiaTheme="minorEastAsia"/>
                <w:bCs/>
                <w:color w:val="auto"/>
                <w:sz w:val="24"/>
                <w:szCs w:val="24"/>
                <w:highlight w:val="none"/>
              </w:rPr>
              <w:t>一览表</w:t>
            </w:r>
            <w:bookmarkEnd w:id="16"/>
          </w:p>
          <w:tbl>
            <w:tblPr>
              <w:tblStyle w:val="31"/>
              <w:tblW w:w="481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3150"/>
              <w:gridCol w:w="3687"/>
            </w:tblGrid>
            <w:tr w14:paraId="22235C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4" w:type="pct"/>
                  <w:vAlign w:val="center"/>
                </w:tcPr>
                <w:p w14:paraId="0ECB808A">
                  <w:pPr>
                    <w:spacing w:line="240" w:lineRule="atLeas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名称</w:t>
                  </w:r>
                </w:p>
              </w:tc>
              <w:tc>
                <w:tcPr>
                  <w:tcW w:w="1969" w:type="pct"/>
                  <w:vAlign w:val="center"/>
                </w:tcPr>
                <w:p w14:paraId="761C94C6">
                  <w:pPr>
                    <w:spacing w:line="240" w:lineRule="atLeast"/>
                    <w:jc w:val="center"/>
                    <w:rPr>
                      <w:rFonts w:ascii="Times New Roman" w:hAnsi="Times New Roman" w:eastAsiaTheme="minorEastAsia"/>
                      <w:color w:val="auto"/>
                      <w:szCs w:val="21"/>
                      <w:highlight w:val="none"/>
                    </w:rPr>
                  </w:pPr>
                  <w:r>
                    <w:rPr>
                      <w:rFonts w:ascii="Times New Roman" w:hAnsi="Times New Roman" w:eastAsiaTheme="minorEastAsia"/>
                      <w:color w:val="auto"/>
                      <w:kern w:val="0"/>
                      <w:szCs w:val="21"/>
                      <w:highlight w:val="none"/>
                    </w:rPr>
                    <w:t>理化性质</w:t>
                  </w:r>
                </w:p>
              </w:tc>
              <w:tc>
                <w:tcPr>
                  <w:tcW w:w="2305" w:type="pct"/>
                  <w:vAlign w:val="center"/>
                </w:tcPr>
                <w:p w14:paraId="6B36B0A5">
                  <w:pPr>
                    <w:spacing w:line="240" w:lineRule="atLeast"/>
                    <w:ind w:left="-53" w:leftChars="-25" w:right="-53" w:rightChars="-25"/>
                    <w:jc w:val="center"/>
                    <w:rPr>
                      <w:rFonts w:hint="eastAsia" w:ascii="Times New Roman" w:hAnsi="Times New Roman" w:eastAsiaTheme="minorEastAsia"/>
                      <w:color w:val="auto"/>
                      <w:szCs w:val="21"/>
                      <w:highlight w:val="none"/>
                      <w:lang w:eastAsia="zh-CN"/>
                    </w:rPr>
                  </w:pPr>
                  <w:r>
                    <w:rPr>
                      <w:rFonts w:hint="eastAsia" w:ascii="Times New Roman" w:hAnsi="Times New Roman" w:eastAsiaTheme="minorEastAsia"/>
                      <w:color w:val="auto"/>
                      <w:szCs w:val="21"/>
                      <w:highlight w:val="none"/>
                      <w:lang w:val="en-US" w:eastAsia="zh-CN"/>
                    </w:rPr>
                    <w:t>毒性</w:t>
                  </w:r>
                </w:p>
              </w:tc>
            </w:tr>
            <w:tr w14:paraId="1B09BE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724" w:type="pct"/>
                  <w:vAlign w:val="center"/>
                </w:tcPr>
                <w:p w14:paraId="1E412A91">
                  <w:pPr>
                    <w:spacing w:line="240" w:lineRule="atLeast"/>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kern w:val="0"/>
                      <w:szCs w:val="21"/>
                      <w:highlight w:val="none"/>
                    </w:rPr>
                    <w:t>铅（Pb）</w:t>
                  </w:r>
                </w:p>
              </w:tc>
              <w:tc>
                <w:tcPr>
                  <w:tcW w:w="1969" w:type="pct"/>
                  <w:vAlign w:val="center"/>
                </w:tcPr>
                <w:p w14:paraId="0DCBB1A8">
                  <w:pPr>
                    <w:spacing w:line="240" w:lineRule="atLeast"/>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kern w:val="0"/>
                      <w:szCs w:val="21"/>
                      <w:highlight w:val="none"/>
                    </w:rPr>
                    <w:t>外观：灰白色质软的粉末，切削面有光泽，延性弱展性强；熔点：327℃；沸点：1620℃；相对密度（水=1）：11.34</w:t>
                  </w:r>
                </w:p>
              </w:tc>
              <w:tc>
                <w:tcPr>
                  <w:tcW w:w="2305" w:type="pct"/>
                  <w:vAlign w:val="center"/>
                </w:tcPr>
                <w:p w14:paraId="3239F272">
                  <w:pPr>
                    <w:autoSpaceDE w:val="0"/>
                    <w:autoSpaceDN w:val="0"/>
                    <w:adjustRightInd w:val="0"/>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kern w:val="0"/>
                      <w:szCs w:val="21"/>
                      <w:highlight w:val="none"/>
                    </w:rPr>
                    <w:t>LD50：70mg/kg（大鼠经静脉）中等中毒，损害造血、神经、消化系统及肾脏，短期接触大剂量可发生急性铅中毒，表现类似重症慢性铅中毒。</w:t>
                  </w:r>
                </w:p>
              </w:tc>
            </w:tr>
            <w:tr w14:paraId="1D8F7D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724" w:type="pct"/>
                  <w:vAlign w:val="center"/>
                </w:tcPr>
                <w:p w14:paraId="708CC30B">
                  <w:pPr>
                    <w:spacing w:line="240" w:lineRule="atLeast"/>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二氧化铅（PbO</w:t>
                  </w:r>
                  <w:r>
                    <w:rPr>
                      <w:rFonts w:hint="default" w:ascii="Times New Roman" w:hAnsi="Times New Roman" w:cs="Times New Roman" w:eastAsiaTheme="minorEastAsia"/>
                      <w:color w:val="auto"/>
                      <w:kern w:val="0"/>
                      <w:szCs w:val="21"/>
                      <w:highlight w:val="none"/>
                      <w:vertAlign w:val="subscript"/>
                    </w:rPr>
                    <w:t>2</w:t>
                  </w:r>
                  <w:r>
                    <w:rPr>
                      <w:rFonts w:hint="default" w:ascii="Times New Roman" w:hAnsi="Times New Roman" w:cs="Times New Roman" w:eastAsiaTheme="minorEastAsia"/>
                      <w:color w:val="auto"/>
                      <w:kern w:val="0"/>
                      <w:szCs w:val="21"/>
                      <w:highlight w:val="none"/>
                    </w:rPr>
                    <w:t>）</w:t>
                  </w:r>
                </w:p>
              </w:tc>
              <w:tc>
                <w:tcPr>
                  <w:tcW w:w="1969" w:type="pct"/>
                  <w:vAlign w:val="center"/>
                </w:tcPr>
                <w:p w14:paraId="424BC309">
                  <w:pPr>
                    <w:spacing w:line="240" w:lineRule="atLeast"/>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外观；棕褐色结晶或粉末；熔点：290℃；相对密度（水=1）：9.38</w:t>
                  </w:r>
                </w:p>
              </w:tc>
              <w:tc>
                <w:tcPr>
                  <w:tcW w:w="2305" w:type="pct"/>
                  <w:vAlign w:val="center"/>
                </w:tcPr>
                <w:p w14:paraId="71922D46">
                  <w:pPr>
                    <w:autoSpaceDE w:val="0"/>
                    <w:autoSpaceDN w:val="0"/>
                    <w:adjustRightInd w:val="0"/>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LD50：200mg/kg（豚鼠腹膜内注射）中等毒性，损害造血、神经、消化系统及肾脏。职业中毒主要为慢性。短时接触大剂量可发生急性或亚急性铅中毒，表现类似重症慢性铅中毒。</w:t>
                  </w:r>
                </w:p>
              </w:tc>
            </w:tr>
            <w:tr w14:paraId="1212DB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0" w:hRule="atLeast"/>
                <w:jc w:val="center"/>
              </w:trPr>
              <w:tc>
                <w:tcPr>
                  <w:tcW w:w="724" w:type="pct"/>
                  <w:vAlign w:val="center"/>
                </w:tcPr>
                <w:p w14:paraId="6E051A6D">
                  <w:pPr>
                    <w:spacing w:line="240" w:lineRule="atLeast"/>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硫酸铅（PbSO</w:t>
                  </w:r>
                  <w:r>
                    <w:rPr>
                      <w:rFonts w:hint="default" w:ascii="Times New Roman" w:hAnsi="Times New Roman" w:cs="Times New Roman" w:eastAsiaTheme="minorEastAsia"/>
                      <w:color w:val="auto"/>
                      <w:kern w:val="0"/>
                      <w:szCs w:val="21"/>
                      <w:highlight w:val="none"/>
                      <w:vertAlign w:val="subscript"/>
                    </w:rPr>
                    <w:t>4</w:t>
                  </w:r>
                  <w:r>
                    <w:rPr>
                      <w:rFonts w:hint="default" w:ascii="Times New Roman" w:hAnsi="Times New Roman" w:cs="Times New Roman" w:eastAsiaTheme="minorEastAsia"/>
                      <w:color w:val="auto"/>
                      <w:kern w:val="0"/>
                      <w:szCs w:val="21"/>
                      <w:highlight w:val="none"/>
                    </w:rPr>
                    <w:t>）</w:t>
                  </w:r>
                </w:p>
              </w:tc>
              <w:tc>
                <w:tcPr>
                  <w:tcW w:w="1969" w:type="pct"/>
                  <w:vAlign w:val="center"/>
                </w:tcPr>
                <w:p w14:paraId="64623CD8">
                  <w:pPr>
                    <w:spacing w:line="240" w:lineRule="atLeast"/>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白色单斜或正交晶体；熔点：1170℃；密度：6.2g/cm</w:t>
                  </w:r>
                  <w:r>
                    <w:rPr>
                      <w:rFonts w:hint="default" w:ascii="Times New Roman" w:hAnsi="Times New Roman" w:cs="Times New Roman" w:eastAsiaTheme="minorEastAsia"/>
                      <w:color w:val="auto"/>
                      <w:kern w:val="0"/>
                      <w:szCs w:val="21"/>
                      <w:highlight w:val="none"/>
                      <w:vertAlign w:val="superscript"/>
                    </w:rPr>
                    <w:t>3</w:t>
                  </w:r>
                  <w:r>
                    <w:rPr>
                      <w:rFonts w:hint="default" w:ascii="Times New Roman" w:hAnsi="Times New Roman" w:cs="Times New Roman" w:eastAsiaTheme="minorEastAsia"/>
                      <w:color w:val="auto"/>
                      <w:kern w:val="0"/>
                      <w:szCs w:val="21"/>
                      <w:highlight w:val="none"/>
                    </w:rPr>
                    <w:t>；微溶于水，溶解度：0.0041g/100g水（20℃）。硫酸铅几乎不溶于稀的强酸溶液，能溶于较浓的硫酸溶液、乙酸铵溶液和强碱溶液。</w:t>
                  </w:r>
                </w:p>
              </w:tc>
              <w:tc>
                <w:tcPr>
                  <w:tcW w:w="2305" w:type="pct"/>
                  <w:vAlign w:val="center"/>
                </w:tcPr>
                <w:p w14:paraId="17D43931">
                  <w:pPr>
                    <w:autoSpaceDE w:val="0"/>
                    <w:autoSpaceDN w:val="0"/>
                    <w:adjustRightInd w:val="0"/>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损害造血、神经、消化系统及肾脏。职业中毒主要为慢性。短时间接触大剂量可发生急性或亚急性铅中毒，表现类似重症慢性铅中毒。</w:t>
                  </w:r>
                </w:p>
              </w:tc>
            </w:tr>
            <w:tr w14:paraId="13DA3C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3" w:hRule="atLeast"/>
                <w:jc w:val="center"/>
              </w:trPr>
              <w:tc>
                <w:tcPr>
                  <w:tcW w:w="724" w:type="pct"/>
                  <w:vAlign w:val="center"/>
                </w:tcPr>
                <w:p w14:paraId="7102C2B3">
                  <w:pPr>
                    <w:spacing w:line="240" w:lineRule="atLeast"/>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硫酸（H</w:t>
                  </w:r>
                  <w:r>
                    <w:rPr>
                      <w:rFonts w:hint="default" w:ascii="Times New Roman" w:hAnsi="Times New Roman" w:cs="Times New Roman" w:eastAsiaTheme="minorEastAsia"/>
                      <w:color w:val="auto"/>
                      <w:kern w:val="0"/>
                      <w:szCs w:val="21"/>
                      <w:highlight w:val="none"/>
                      <w:vertAlign w:val="subscript"/>
                    </w:rPr>
                    <w:t>2</w:t>
                  </w:r>
                  <w:r>
                    <w:rPr>
                      <w:rFonts w:hint="default" w:ascii="Times New Roman" w:hAnsi="Times New Roman" w:cs="Times New Roman" w:eastAsiaTheme="minorEastAsia"/>
                      <w:color w:val="auto"/>
                      <w:kern w:val="0"/>
                      <w:szCs w:val="21"/>
                      <w:highlight w:val="none"/>
                    </w:rPr>
                    <w:t>SO</w:t>
                  </w:r>
                  <w:r>
                    <w:rPr>
                      <w:rFonts w:hint="default" w:ascii="Times New Roman" w:hAnsi="Times New Roman" w:cs="Times New Roman" w:eastAsiaTheme="minorEastAsia"/>
                      <w:color w:val="auto"/>
                      <w:kern w:val="0"/>
                      <w:szCs w:val="21"/>
                      <w:highlight w:val="none"/>
                      <w:vertAlign w:val="subscript"/>
                    </w:rPr>
                    <w:t>4</w:t>
                  </w:r>
                  <w:r>
                    <w:rPr>
                      <w:rFonts w:hint="default" w:ascii="Times New Roman" w:hAnsi="Times New Roman" w:cs="Times New Roman" w:eastAsiaTheme="minorEastAsia"/>
                      <w:color w:val="auto"/>
                      <w:kern w:val="0"/>
                      <w:szCs w:val="21"/>
                      <w:highlight w:val="none"/>
                    </w:rPr>
                    <w:t>）</w:t>
                  </w:r>
                </w:p>
              </w:tc>
              <w:tc>
                <w:tcPr>
                  <w:tcW w:w="1969" w:type="pct"/>
                  <w:vAlign w:val="center"/>
                </w:tcPr>
                <w:p w14:paraId="50EFD19F">
                  <w:pPr>
                    <w:spacing w:line="240" w:lineRule="atLeast"/>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分子量98.08，纯品为无色透明油状液体，无臭，蒸汽压0.13kPa（145.8℃），熔点10.5℃，沸点：330.0℃，相对密度（水=1）：1.83；相对密度（空气=1）：3.4，与水混溶，化学性质稳定，为酸性腐蚀品，用于生产化学肥料，在化工、医药、塑料燃料、石油提炼等工业也有广泛的应用。</w:t>
                  </w:r>
                </w:p>
              </w:tc>
              <w:tc>
                <w:tcPr>
                  <w:tcW w:w="2305" w:type="pct"/>
                  <w:vAlign w:val="center"/>
                </w:tcPr>
                <w:p w14:paraId="2EE06EEB">
                  <w:pPr>
                    <w:autoSpaceDE w:val="0"/>
                    <w:autoSpaceDN w:val="0"/>
                    <w:adjustRightInd w:val="0"/>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急性中毒：LD50：2140mg/kg（大鼠经口；LD50：510mg/m</w:t>
                  </w:r>
                  <w:r>
                    <w:rPr>
                      <w:rFonts w:hint="default" w:ascii="Times New Roman" w:hAnsi="Times New Roman" w:cs="Times New Roman" w:eastAsiaTheme="minorEastAsia"/>
                      <w:color w:val="auto"/>
                      <w:kern w:val="0"/>
                      <w:szCs w:val="21"/>
                      <w:highlight w:val="none"/>
                      <w:vertAlign w:val="superscript"/>
                    </w:rPr>
                    <w:t>3</w:t>
                  </w:r>
                  <w:r>
                    <w:rPr>
                      <w:rFonts w:hint="default" w:ascii="Times New Roman" w:hAnsi="Times New Roman" w:cs="Times New Roman" w:eastAsiaTheme="minorEastAsia"/>
                      <w:color w:val="auto"/>
                      <w:kern w:val="0"/>
                      <w:szCs w:val="21"/>
                      <w:highlight w:val="none"/>
                    </w:rPr>
                    <w:t>，2h（大鼠吸入）；320mg/m</w:t>
                  </w:r>
                  <w:r>
                    <w:rPr>
                      <w:rFonts w:hint="default" w:ascii="Times New Roman" w:hAnsi="Times New Roman" w:cs="Times New Roman" w:eastAsiaTheme="minorEastAsia"/>
                      <w:color w:val="auto"/>
                      <w:kern w:val="0"/>
                      <w:szCs w:val="21"/>
                      <w:highlight w:val="none"/>
                      <w:vertAlign w:val="superscript"/>
                    </w:rPr>
                    <w:t>3</w:t>
                  </w:r>
                  <w:r>
                    <w:rPr>
                      <w:rFonts w:hint="default" w:ascii="Times New Roman" w:hAnsi="Times New Roman" w:cs="Times New Roman" w:eastAsiaTheme="minorEastAsia"/>
                      <w:color w:val="auto"/>
                      <w:kern w:val="0"/>
                      <w:szCs w:val="21"/>
                      <w:highlight w:val="none"/>
                    </w:rPr>
                    <w:t>，2h（小鼠吸入）。工作场所空气中有毒物质容许浓度；时间加权平均容许浓度 1mg/m</w:t>
                  </w:r>
                  <w:r>
                    <w:rPr>
                      <w:rFonts w:hint="default" w:ascii="Times New Roman" w:hAnsi="Times New Roman" w:cs="Times New Roman" w:eastAsiaTheme="minorEastAsia"/>
                      <w:color w:val="auto"/>
                      <w:kern w:val="0"/>
                      <w:szCs w:val="21"/>
                      <w:highlight w:val="none"/>
                      <w:vertAlign w:val="superscript"/>
                    </w:rPr>
                    <w:t>3</w:t>
                  </w:r>
                  <w:r>
                    <w:rPr>
                      <w:rFonts w:hint="default" w:ascii="Times New Roman" w:hAnsi="Times New Roman" w:cs="Times New Roman" w:eastAsiaTheme="minorEastAsia"/>
                      <w:color w:val="auto"/>
                      <w:kern w:val="0"/>
                      <w:szCs w:val="21"/>
                      <w:highlight w:val="none"/>
                    </w:rPr>
                    <w:t>，短时间接触容许浓度 2mg/m</w:t>
                  </w:r>
                  <w:r>
                    <w:rPr>
                      <w:rFonts w:hint="default" w:ascii="Times New Roman" w:hAnsi="Times New Roman" w:cs="Times New Roman" w:eastAsiaTheme="minorEastAsia"/>
                      <w:color w:val="auto"/>
                      <w:kern w:val="0"/>
                      <w:szCs w:val="21"/>
                      <w:highlight w:val="none"/>
                      <w:vertAlign w:val="superscript"/>
                    </w:rPr>
                    <w:t>3</w:t>
                  </w:r>
                  <w:r>
                    <w:rPr>
                      <w:rFonts w:hint="default" w:ascii="Times New Roman" w:hAnsi="Times New Roman" w:cs="Times New Roman" w:eastAsiaTheme="minorEastAsia"/>
                      <w:color w:val="auto"/>
                      <w:kern w:val="0"/>
                      <w:szCs w:val="21"/>
                      <w:highlight w:val="none"/>
                    </w:rPr>
                    <w:t>。</w:t>
                  </w:r>
                </w:p>
              </w:tc>
            </w:tr>
          </w:tbl>
          <w:p w14:paraId="15A085C1">
            <w:pPr>
              <w:adjustRightInd w:val="0"/>
              <w:spacing w:line="480" w:lineRule="exact"/>
              <w:ind w:firstLine="480" w:firstLineChars="200"/>
              <w:rPr>
                <w:rFonts w:ascii="Times New Roman" w:hAnsi="Times New Roman" w:eastAsiaTheme="minorEastAsia"/>
                <w:bCs/>
                <w:color w:val="auto"/>
                <w:sz w:val="24"/>
                <w:szCs w:val="24"/>
                <w:highlight w:val="none"/>
              </w:rPr>
            </w:pPr>
            <w:r>
              <w:rPr>
                <w:rFonts w:hint="eastAsia" w:ascii="Times New Roman" w:hAnsi="Times New Roman" w:eastAsiaTheme="minorEastAsia"/>
                <w:bCs/>
                <w:color w:val="auto"/>
                <w:sz w:val="24"/>
                <w:szCs w:val="24"/>
                <w:highlight w:val="none"/>
              </w:rPr>
              <w:t>4</w:t>
            </w:r>
            <w:r>
              <w:rPr>
                <w:rFonts w:ascii="Times New Roman" w:hAnsi="Times New Roman" w:eastAsiaTheme="minorEastAsia"/>
                <w:bCs/>
                <w:color w:val="auto"/>
                <w:sz w:val="24"/>
                <w:szCs w:val="24"/>
                <w:highlight w:val="none"/>
              </w:rPr>
              <w:t>、主要生产设备</w:t>
            </w:r>
          </w:p>
          <w:p w14:paraId="459AFE9C">
            <w:pPr>
              <w:adjustRightInd w:val="0"/>
              <w:spacing w:line="480" w:lineRule="exact"/>
              <w:ind w:firstLine="480" w:firstLineChars="200"/>
              <w:rPr>
                <w:rFonts w:ascii="Times New Roman" w:hAnsi="Times New Roman" w:eastAsiaTheme="minorEastAsia"/>
                <w:color w:val="auto"/>
                <w:kern w:val="0"/>
                <w:sz w:val="24"/>
                <w:szCs w:val="24"/>
                <w:highlight w:val="none"/>
              </w:rPr>
            </w:pPr>
            <w:r>
              <w:rPr>
                <w:rFonts w:ascii="Times New Roman" w:hAnsi="Times New Roman" w:eastAsiaTheme="minorEastAsia"/>
                <w:color w:val="auto"/>
                <w:sz w:val="24"/>
                <w:szCs w:val="24"/>
                <w:highlight w:val="none"/>
              </w:rPr>
              <w:t>主要生产设备及设施见下表。</w:t>
            </w:r>
          </w:p>
          <w:p w14:paraId="02C52645">
            <w:pPr>
              <w:spacing w:line="480" w:lineRule="exact"/>
              <w:jc w:val="center"/>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 xml:space="preserve">表2-5 </w:t>
            </w:r>
            <w:r>
              <w:rPr>
                <w:rFonts w:hint="eastAsia" w:ascii="Times New Roman" w:hAnsi="Times New Roman" w:eastAsiaTheme="minorEastAsia"/>
                <w:color w:val="auto"/>
                <w:sz w:val="24"/>
                <w:szCs w:val="24"/>
                <w:highlight w:val="none"/>
                <w:lang w:val="en-US" w:eastAsia="zh-CN"/>
              </w:rPr>
              <w:t xml:space="preserve"> 本</w:t>
            </w:r>
            <w:r>
              <w:rPr>
                <w:rFonts w:ascii="Times New Roman" w:hAnsi="Times New Roman" w:eastAsiaTheme="minorEastAsia"/>
                <w:color w:val="auto"/>
                <w:sz w:val="24"/>
                <w:szCs w:val="24"/>
                <w:highlight w:val="none"/>
              </w:rPr>
              <w:t>项目主要生产设备一览表</w:t>
            </w:r>
          </w:p>
          <w:tbl>
            <w:tblPr>
              <w:tblStyle w:val="31"/>
              <w:tblW w:w="836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1"/>
              <w:gridCol w:w="671"/>
              <w:gridCol w:w="1189"/>
              <w:gridCol w:w="702"/>
              <w:gridCol w:w="635"/>
              <w:gridCol w:w="4500"/>
            </w:tblGrid>
            <w:tr w14:paraId="3668B5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00" w:type="pct"/>
                  <w:vAlign w:val="center"/>
                </w:tcPr>
                <w:p w14:paraId="48702F91">
                  <w:pPr>
                    <w:wordWrap w:val="0"/>
                    <w:topLinePunct/>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序号</w:t>
                  </w:r>
                </w:p>
              </w:tc>
              <w:tc>
                <w:tcPr>
                  <w:tcW w:w="1111" w:type="pct"/>
                  <w:gridSpan w:val="2"/>
                  <w:vAlign w:val="center"/>
                </w:tcPr>
                <w:p w14:paraId="0915C19E">
                  <w:pPr>
                    <w:wordWrap w:val="0"/>
                    <w:topLinePunct/>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设备名称</w:t>
                  </w:r>
                </w:p>
              </w:tc>
              <w:tc>
                <w:tcPr>
                  <w:tcW w:w="419" w:type="pct"/>
                  <w:vAlign w:val="center"/>
                </w:tcPr>
                <w:p w14:paraId="09BE09FF">
                  <w:pPr>
                    <w:wordWrap w:val="0"/>
                    <w:topLinePunct/>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数量</w:t>
                  </w:r>
                </w:p>
              </w:tc>
              <w:tc>
                <w:tcPr>
                  <w:tcW w:w="379" w:type="pct"/>
                  <w:vAlign w:val="center"/>
                </w:tcPr>
                <w:p w14:paraId="03F019A7">
                  <w:pPr>
                    <w:wordWrap w:val="0"/>
                    <w:topLinePunct/>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单位</w:t>
                  </w:r>
                </w:p>
              </w:tc>
              <w:tc>
                <w:tcPr>
                  <w:tcW w:w="2688" w:type="pct"/>
                  <w:vAlign w:val="center"/>
                </w:tcPr>
                <w:p w14:paraId="452EC122">
                  <w:pPr>
                    <w:wordWrap w:val="0"/>
                    <w:topLinePunct/>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备注</w:t>
                  </w:r>
                </w:p>
              </w:tc>
            </w:tr>
            <w:tr w14:paraId="607435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00" w:type="pct"/>
                  <w:vAlign w:val="center"/>
                </w:tcPr>
                <w:p w14:paraId="710B9CB6">
                  <w:pPr>
                    <w:wordWrap w:val="0"/>
                    <w:topLinePunct/>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1</w:t>
                  </w:r>
                </w:p>
              </w:tc>
              <w:tc>
                <w:tcPr>
                  <w:tcW w:w="400" w:type="pct"/>
                  <w:vMerge w:val="restart"/>
                  <w:vAlign w:val="center"/>
                </w:tcPr>
                <w:p w14:paraId="53B5E882">
                  <w:pPr>
                    <w:wordWrap w:val="0"/>
                    <w:topLinePunct/>
                    <w:adjustRightInd w:val="0"/>
                    <w:snapToGrid w:val="0"/>
                    <w:jc w:val="center"/>
                    <w:rPr>
                      <w:rFonts w:hint="default" w:ascii="Times New Roman" w:hAnsi="Times New Roman" w:eastAsiaTheme="minorEastAsia"/>
                      <w:bCs/>
                      <w:color w:val="auto"/>
                      <w:szCs w:val="21"/>
                      <w:highlight w:val="none"/>
                      <w:lang w:val="en-US" w:eastAsia="zh-CN"/>
                    </w:rPr>
                  </w:pPr>
                  <w:r>
                    <w:rPr>
                      <w:rFonts w:hint="eastAsia" w:ascii="Times New Roman" w:hAnsi="Times New Roman" w:eastAsiaTheme="minorEastAsia"/>
                      <w:bCs/>
                      <w:color w:val="auto"/>
                      <w:szCs w:val="21"/>
                      <w:highlight w:val="none"/>
                      <w:lang w:val="en-US" w:eastAsia="zh-CN"/>
                    </w:rPr>
                    <w:t>主要生产设备</w:t>
                  </w:r>
                </w:p>
              </w:tc>
              <w:tc>
                <w:tcPr>
                  <w:tcW w:w="710" w:type="pct"/>
                  <w:vAlign w:val="center"/>
                </w:tcPr>
                <w:p w14:paraId="40348450">
                  <w:pPr>
                    <w:spacing w:line="240" w:lineRule="atLeast"/>
                    <w:jc w:val="center"/>
                    <w:rPr>
                      <w:rFonts w:ascii="Times New Roman" w:hAnsi="Times New Roman" w:eastAsiaTheme="minorEastAsia"/>
                      <w:color w:val="auto"/>
                      <w:spacing w:val="-2"/>
                      <w:szCs w:val="21"/>
                      <w:highlight w:val="none"/>
                    </w:rPr>
                  </w:pPr>
                  <w:r>
                    <w:rPr>
                      <w:rFonts w:ascii="Times New Roman" w:hAnsi="Times New Roman" w:eastAsiaTheme="minorEastAsia"/>
                      <w:color w:val="auto"/>
                      <w:spacing w:val="-2"/>
                      <w:szCs w:val="21"/>
                      <w:highlight w:val="none"/>
                    </w:rPr>
                    <w:t>叉车</w:t>
                  </w:r>
                </w:p>
              </w:tc>
              <w:tc>
                <w:tcPr>
                  <w:tcW w:w="419" w:type="pct"/>
                  <w:vAlign w:val="center"/>
                </w:tcPr>
                <w:p w14:paraId="3C7A5A8D">
                  <w:pPr>
                    <w:spacing w:line="240" w:lineRule="atLeast"/>
                    <w:jc w:val="center"/>
                    <w:rPr>
                      <w:rFonts w:hint="eastAsia" w:ascii="Times New Roman" w:hAnsi="Times New Roman" w:eastAsiaTheme="minorEastAsia"/>
                      <w:color w:val="auto"/>
                      <w:spacing w:val="-2"/>
                      <w:szCs w:val="21"/>
                      <w:highlight w:val="none"/>
                      <w:lang w:eastAsia="zh-CN"/>
                    </w:rPr>
                  </w:pPr>
                  <w:r>
                    <w:rPr>
                      <w:rFonts w:hint="eastAsia" w:ascii="Times New Roman" w:hAnsi="Times New Roman" w:eastAsiaTheme="minorEastAsia"/>
                      <w:color w:val="auto"/>
                      <w:spacing w:val="-2"/>
                      <w:szCs w:val="21"/>
                      <w:highlight w:val="none"/>
                      <w:lang w:val="en-US" w:eastAsia="zh-CN"/>
                    </w:rPr>
                    <w:t>2</w:t>
                  </w:r>
                </w:p>
              </w:tc>
              <w:tc>
                <w:tcPr>
                  <w:tcW w:w="379" w:type="pct"/>
                  <w:vAlign w:val="center"/>
                </w:tcPr>
                <w:p w14:paraId="5C3CC652">
                  <w:pPr>
                    <w:spacing w:line="240" w:lineRule="atLeast"/>
                    <w:jc w:val="center"/>
                    <w:rPr>
                      <w:rFonts w:ascii="Times New Roman" w:hAnsi="Times New Roman" w:eastAsiaTheme="minorEastAsia"/>
                      <w:color w:val="auto"/>
                      <w:spacing w:val="-2"/>
                      <w:szCs w:val="21"/>
                      <w:highlight w:val="none"/>
                    </w:rPr>
                  </w:pPr>
                  <w:r>
                    <w:rPr>
                      <w:rFonts w:ascii="Times New Roman" w:hAnsi="Times New Roman" w:eastAsiaTheme="minorEastAsia"/>
                      <w:color w:val="auto"/>
                      <w:spacing w:val="-2"/>
                      <w:szCs w:val="21"/>
                      <w:highlight w:val="none"/>
                    </w:rPr>
                    <w:t>辆</w:t>
                  </w:r>
                </w:p>
              </w:tc>
              <w:tc>
                <w:tcPr>
                  <w:tcW w:w="2688" w:type="pct"/>
                  <w:vAlign w:val="center"/>
                </w:tcPr>
                <w:p w14:paraId="61691249">
                  <w:pPr>
                    <w:snapToGrid w:val="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本项目采用符合《非道路移动机械用柴油机排气污染物排放限值及测量方法(中国第三、四阶段）》（GB 20891-2014）及修改单的非道路移动机械用于厂内装卸危险废物</w:t>
                  </w:r>
                </w:p>
              </w:tc>
            </w:tr>
            <w:tr w14:paraId="772A55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526" w:hRule="atLeast"/>
                <w:jc w:val="center"/>
              </w:trPr>
              <w:tc>
                <w:tcPr>
                  <w:tcW w:w="400" w:type="pct"/>
                  <w:vAlign w:val="center"/>
                </w:tcPr>
                <w:p w14:paraId="3C061E17">
                  <w:pPr>
                    <w:wordWrap w:val="0"/>
                    <w:topLinePunct/>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2</w:t>
                  </w:r>
                </w:p>
              </w:tc>
              <w:tc>
                <w:tcPr>
                  <w:tcW w:w="400" w:type="pct"/>
                  <w:vMerge w:val="continue"/>
                  <w:vAlign w:val="center"/>
                </w:tcPr>
                <w:p w14:paraId="00CAD578">
                  <w:pPr>
                    <w:wordWrap w:val="0"/>
                    <w:topLinePunct/>
                    <w:adjustRightInd w:val="0"/>
                    <w:snapToGrid w:val="0"/>
                    <w:jc w:val="center"/>
                    <w:rPr>
                      <w:rFonts w:ascii="Times New Roman" w:hAnsi="Times New Roman" w:eastAsiaTheme="minorEastAsia"/>
                      <w:bCs/>
                      <w:color w:val="auto"/>
                      <w:szCs w:val="21"/>
                      <w:highlight w:val="none"/>
                    </w:rPr>
                  </w:pPr>
                </w:p>
              </w:tc>
              <w:tc>
                <w:tcPr>
                  <w:tcW w:w="710" w:type="pct"/>
                  <w:vAlign w:val="center"/>
                </w:tcPr>
                <w:p w14:paraId="6B527138">
                  <w:pPr>
                    <w:spacing w:line="240" w:lineRule="atLeast"/>
                    <w:jc w:val="center"/>
                    <w:rPr>
                      <w:rFonts w:ascii="Times New Roman" w:hAnsi="Times New Roman" w:eastAsiaTheme="minorEastAsia"/>
                      <w:color w:val="auto"/>
                      <w:spacing w:val="-2"/>
                      <w:szCs w:val="21"/>
                      <w:highlight w:val="none"/>
                    </w:rPr>
                  </w:pPr>
                  <w:r>
                    <w:rPr>
                      <w:rFonts w:ascii="Times New Roman" w:hAnsi="Times New Roman" w:eastAsiaTheme="minorEastAsia"/>
                      <w:color w:val="auto"/>
                      <w:spacing w:val="-2"/>
                      <w:szCs w:val="21"/>
                      <w:highlight w:val="none"/>
                    </w:rPr>
                    <w:t>地磅</w:t>
                  </w:r>
                </w:p>
              </w:tc>
              <w:tc>
                <w:tcPr>
                  <w:tcW w:w="419" w:type="pct"/>
                  <w:vAlign w:val="center"/>
                </w:tcPr>
                <w:p w14:paraId="6A18AFD8">
                  <w:pPr>
                    <w:spacing w:line="240" w:lineRule="atLeast"/>
                    <w:jc w:val="center"/>
                    <w:rPr>
                      <w:rFonts w:ascii="Times New Roman" w:hAnsi="Times New Roman" w:eastAsiaTheme="minorEastAsia"/>
                      <w:color w:val="auto"/>
                      <w:spacing w:val="-2"/>
                      <w:szCs w:val="21"/>
                      <w:highlight w:val="none"/>
                    </w:rPr>
                  </w:pPr>
                  <w:r>
                    <w:rPr>
                      <w:rFonts w:ascii="Times New Roman" w:hAnsi="Times New Roman" w:eastAsiaTheme="minorEastAsia"/>
                      <w:color w:val="auto"/>
                      <w:spacing w:val="-2"/>
                      <w:szCs w:val="21"/>
                      <w:highlight w:val="none"/>
                    </w:rPr>
                    <w:t>1</w:t>
                  </w:r>
                </w:p>
              </w:tc>
              <w:tc>
                <w:tcPr>
                  <w:tcW w:w="379" w:type="pct"/>
                  <w:vAlign w:val="center"/>
                </w:tcPr>
                <w:p w14:paraId="1288D84F">
                  <w:pPr>
                    <w:spacing w:line="240" w:lineRule="atLeast"/>
                    <w:jc w:val="center"/>
                    <w:rPr>
                      <w:rFonts w:ascii="Times New Roman" w:hAnsi="Times New Roman" w:eastAsiaTheme="minorEastAsia"/>
                      <w:color w:val="auto"/>
                      <w:spacing w:val="-2"/>
                      <w:szCs w:val="21"/>
                      <w:highlight w:val="none"/>
                    </w:rPr>
                  </w:pPr>
                  <w:r>
                    <w:rPr>
                      <w:rFonts w:ascii="Times New Roman" w:hAnsi="Times New Roman" w:eastAsiaTheme="minorEastAsia"/>
                      <w:color w:val="auto"/>
                      <w:spacing w:val="-2"/>
                      <w:szCs w:val="21"/>
                      <w:highlight w:val="none"/>
                    </w:rPr>
                    <w:t>个</w:t>
                  </w:r>
                </w:p>
              </w:tc>
              <w:tc>
                <w:tcPr>
                  <w:tcW w:w="2688" w:type="pct"/>
                  <w:vAlign w:val="center"/>
                </w:tcPr>
                <w:p w14:paraId="5D362E3B">
                  <w:pPr>
                    <w:autoSpaceDE w:val="0"/>
                    <w:autoSpaceDN w:val="0"/>
                    <w:adjustRightInd w:val="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本项目采用智能称重地磅</w:t>
                  </w:r>
                </w:p>
              </w:tc>
            </w:tr>
            <w:tr w14:paraId="2EB2A9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00" w:type="pct"/>
                  <w:vAlign w:val="center"/>
                </w:tcPr>
                <w:p w14:paraId="70E556AA">
                  <w:pPr>
                    <w:wordWrap w:val="0"/>
                    <w:topLinePunct/>
                    <w:adjustRightInd w:val="0"/>
                    <w:snapToGrid w:val="0"/>
                    <w:jc w:val="center"/>
                    <w:rPr>
                      <w:rFonts w:hint="eastAsia" w:ascii="Times New Roman" w:hAnsi="Times New Roman" w:eastAsiaTheme="minorEastAsia"/>
                      <w:bCs/>
                      <w:color w:val="auto"/>
                      <w:szCs w:val="21"/>
                      <w:highlight w:val="none"/>
                      <w:lang w:val="en-US" w:eastAsia="zh-CN"/>
                    </w:rPr>
                  </w:pPr>
                  <w:r>
                    <w:rPr>
                      <w:rFonts w:hint="eastAsia" w:ascii="Times New Roman" w:hAnsi="Times New Roman" w:eastAsiaTheme="minorEastAsia"/>
                      <w:bCs/>
                      <w:color w:val="auto"/>
                      <w:szCs w:val="21"/>
                      <w:highlight w:val="none"/>
                      <w:lang w:val="en-US" w:eastAsia="zh-CN"/>
                    </w:rPr>
                    <w:t>3</w:t>
                  </w:r>
                </w:p>
              </w:tc>
              <w:tc>
                <w:tcPr>
                  <w:tcW w:w="400" w:type="pct"/>
                  <w:vMerge w:val="continue"/>
                  <w:vAlign w:val="center"/>
                </w:tcPr>
                <w:p w14:paraId="43735074">
                  <w:pPr>
                    <w:wordWrap w:val="0"/>
                    <w:topLinePunct/>
                    <w:adjustRightInd w:val="0"/>
                    <w:snapToGrid w:val="0"/>
                    <w:jc w:val="center"/>
                    <w:rPr>
                      <w:rFonts w:hint="eastAsia" w:ascii="Times New Roman" w:hAnsi="Times New Roman" w:eastAsiaTheme="minorEastAsia"/>
                      <w:bCs/>
                      <w:color w:val="auto"/>
                      <w:szCs w:val="21"/>
                      <w:highlight w:val="none"/>
                      <w:lang w:val="en-US" w:eastAsia="zh-CN"/>
                    </w:rPr>
                  </w:pPr>
                </w:p>
              </w:tc>
              <w:tc>
                <w:tcPr>
                  <w:tcW w:w="710" w:type="pct"/>
                  <w:shd w:val="clear" w:color="auto" w:fill="auto"/>
                  <w:vAlign w:val="center"/>
                </w:tcPr>
                <w:p w14:paraId="00F740FA">
                  <w:pPr>
                    <w:spacing w:line="240" w:lineRule="atLeast"/>
                    <w:jc w:val="center"/>
                    <w:rPr>
                      <w:rFonts w:ascii="Times New Roman" w:hAnsi="Times New Roman" w:cs="Times New Roman" w:eastAsiaTheme="minorEastAsia"/>
                      <w:color w:val="auto"/>
                      <w:spacing w:val="-2"/>
                      <w:kern w:val="2"/>
                      <w:sz w:val="21"/>
                      <w:szCs w:val="21"/>
                      <w:highlight w:val="none"/>
                      <w:lang w:val="en-US" w:eastAsia="zh-CN" w:bidi="ar-SA"/>
                    </w:rPr>
                  </w:pPr>
                  <w:r>
                    <w:rPr>
                      <w:rFonts w:ascii="Times New Roman" w:hAnsi="Times New Roman" w:eastAsiaTheme="minorEastAsia"/>
                      <w:color w:val="auto"/>
                      <w:spacing w:val="-2"/>
                      <w:szCs w:val="21"/>
                      <w:highlight w:val="none"/>
                    </w:rPr>
                    <w:t>监控系统</w:t>
                  </w:r>
                </w:p>
              </w:tc>
              <w:tc>
                <w:tcPr>
                  <w:tcW w:w="419" w:type="pct"/>
                  <w:shd w:val="clear" w:color="auto" w:fill="auto"/>
                  <w:vAlign w:val="center"/>
                </w:tcPr>
                <w:p w14:paraId="2866485E">
                  <w:pPr>
                    <w:widowControl/>
                    <w:spacing w:line="300" w:lineRule="exact"/>
                    <w:jc w:val="center"/>
                    <w:rPr>
                      <w:rFonts w:ascii="Times New Roman" w:hAnsi="Times New Roman" w:cs="Times New Roman" w:eastAsiaTheme="minorEastAsia"/>
                      <w:color w:val="auto"/>
                      <w:kern w:val="2"/>
                      <w:sz w:val="21"/>
                      <w:szCs w:val="21"/>
                      <w:highlight w:val="none"/>
                      <w:lang w:val="en-US" w:eastAsia="zh-CN" w:bidi="ar-SA"/>
                    </w:rPr>
                  </w:pPr>
                  <w:r>
                    <w:rPr>
                      <w:rFonts w:ascii="Times New Roman" w:hAnsi="Times New Roman" w:eastAsiaTheme="minorEastAsia"/>
                      <w:color w:val="auto"/>
                      <w:szCs w:val="21"/>
                      <w:highlight w:val="none"/>
                    </w:rPr>
                    <w:t>1</w:t>
                  </w:r>
                </w:p>
              </w:tc>
              <w:tc>
                <w:tcPr>
                  <w:tcW w:w="379" w:type="pct"/>
                  <w:shd w:val="clear" w:color="auto" w:fill="auto"/>
                  <w:vAlign w:val="center"/>
                </w:tcPr>
                <w:p w14:paraId="4C46961E">
                  <w:pPr>
                    <w:spacing w:line="240" w:lineRule="atLeast"/>
                    <w:jc w:val="center"/>
                    <w:rPr>
                      <w:rFonts w:ascii="Times New Roman" w:hAnsi="Times New Roman" w:cs="Times New Roman" w:eastAsiaTheme="minorEastAsia"/>
                      <w:color w:val="auto"/>
                      <w:spacing w:val="-2"/>
                      <w:kern w:val="2"/>
                      <w:sz w:val="21"/>
                      <w:szCs w:val="21"/>
                      <w:highlight w:val="none"/>
                      <w:lang w:val="en-US" w:eastAsia="zh-CN" w:bidi="ar-SA"/>
                    </w:rPr>
                  </w:pPr>
                  <w:r>
                    <w:rPr>
                      <w:rFonts w:ascii="Times New Roman" w:hAnsi="Times New Roman" w:eastAsiaTheme="minorEastAsia"/>
                      <w:color w:val="auto"/>
                      <w:spacing w:val="-2"/>
                      <w:szCs w:val="21"/>
                      <w:highlight w:val="none"/>
                    </w:rPr>
                    <w:t>套</w:t>
                  </w:r>
                </w:p>
              </w:tc>
              <w:tc>
                <w:tcPr>
                  <w:tcW w:w="2688" w:type="pct"/>
                  <w:shd w:val="clear" w:color="auto" w:fill="auto"/>
                  <w:vAlign w:val="center"/>
                </w:tcPr>
                <w:p w14:paraId="32B24BB5">
                  <w:pPr>
                    <w:snapToGrid w:val="0"/>
                    <w:jc w:val="center"/>
                    <w:rPr>
                      <w:rFonts w:ascii="Times New Roman" w:hAnsi="Times New Roman" w:cs="Times New Roman" w:eastAsiaTheme="minorEastAsia"/>
                      <w:color w:val="auto"/>
                      <w:kern w:val="0"/>
                      <w:sz w:val="21"/>
                      <w:szCs w:val="21"/>
                      <w:highlight w:val="none"/>
                      <w:lang w:val="en-US" w:eastAsia="zh-CN" w:bidi="ar-SA"/>
                    </w:rPr>
                  </w:pPr>
                  <w:r>
                    <w:rPr>
                      <w:rFonts w:ascii="Times New Roman" w:hAnsi="Times New Roman" w:eastAsiaTheme="minorEastAsia"/>
                      <w:color w:val="auto"/>
                      <w:kern w:val="0"/>
                      <w:szCs w:val="21"/>
                      <w:highlight w:val="none"/>
                    </w:rPr>
                    <w:t>用于实时监控</w:t>
                  </w:r>
                </w:p>
              </w:tc>
            </w:tr>
            <w:tr w14:paraId="578F78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00" w:type="pct"/>
                  <w:vAlign w:val="center"/>
                </w:tcPr>
                <w:p w14:paraId="02F8EDBB">
                  <w:pPr>
                    <w:wordWrap w:val="0"/>
                    <w:topLinePunct/>
                    <w:adjustRightInd w:val="0"/>
                    <w:snapToGrid w:val="0"/>
                    <w:jc w:val="center"/>
                    <w:rPr>
                      <w:rFonts w:hint="eastAsia" w:ascii="Times New Roman" w:hAnsi="Times New Roman" w:eastAsiaTheme="minorEastAsia"/>
                      <w:bCs/>
                      <w:color w:val="auto"/>
                      <w:szCs w:val="21"/>
                      <w:highlight w:val="none"/>
                      <w:lang w:val="en-US" w:eastAsia="zh-CN"/>
                    </w:rPr>
                  </w:pPr>
                  <w:r>
                    <w:rPr>
                      <w:rFonts w:hint="eastAsia" w:ascii="Times New Roman" w:hAnsi="Times New Roman" w:eastAsiaTheme="minorEastAsia"/>
                      <w:bCs/>
                      <w:color w:val="auto"/>
                      <w:szCs w:val="21"/>
                      <w:highlight w:val="none"/>
                      <w:lang w:val="en-US" w:eastAsia="zh-CN"/>
                    </w:rPr>
                    <w:t>4</w:t>
                  </w:r>
                </w:p>
              </w:tc>
              <w:tc>
                <w:tcPr>
                  <w:tcW w:w="400" w:type="pct"/>
                  <w:vMerge w:val="restart"/>
                  <w:vAlign w:val="center"/>
                </w:tcPr>
                <w:p w14:paraId="283AD443">
                  <w:pPr>
                    <w:wordWrap w:val="0"/>
                    <w:topLinePunct/>
                    <w:adjustRightInd w:val="0"/>
                    <w:snapToGrid w:val="0"/>
                    <w:jc w:val="center"/>
                    <w:rPr>
                      <w:rFonts w:hint="default" w:ascii="Times New Roman" w:hAnsi="Times New Roman" w:eastAsiaTheme="minorEastAsia"/>
                      <w:bCs/>
                      <w:color w:val="auto"/>
                      <w:szCs w:val="21"/>
                      <w:highlight w:val="none"/>
                      <w:lang w:val="en-US" w:eastAsia="zh-CN"/>
                    </w:rPr>
                  </w:pPr>
                  <w:r>
                    <w:rPr>
                      <w:rFonts w:hint="eastAsia" w:ascii="Times New Roman" w:hAnsi="Times New Roman" w:eastAsiaTheme="minorEastAsia"/>
                      <w:bCs/>
                      <w:color w:val="auto"/>
                      <w:szCs w:val="21"/>
                      <w:highlight w:val="none"/>
                      <w:lang w:val="en-US" w:eastAsia="zh-CN"/>
                    </w:rPr>
                    <w:t>辅助设备</w:t>
                  </w:r>
                </w:p>
              </w:tc>
              <w:tc>
                <w:tcPr>
                  <w:tcW w:w="710" w:type="pct"/>
                  <w:shd w:val="clear" w:color="auto" w:fill="auto"/>
                  <w:vAlign w:val="center"/>
                </w:tcPr>
                <w:p w14:paraId="14E28A8A">
                  <w:pPr>
                    <w:spacing w:line="240" w:lineRule="atLeast"/>
                    <w:jc w:val="center"/>
                    <w:rPr>
                      <w:rFonts w:ascii="Times New Roman" w:hAnsi="Times New Roman" w:cs="Times New Roman" w:eastAsiaTheme="minorEastAsia"/>
                      <w:color w:val="auto"/>
                      <w:spacing w:val="-2"/>
                      <w:kern w:val="2"/>
                      <w:sz w:val="21"/>
                      <w:szCs w:val="21"/>
                      <w:highlight w:val="none"/>
                      <w:lang w:val="en-US" w:eastAsia="zh-CN" w:bidi="ar-SA"/>
                    </w:rPr>
                  </w:pPr>
                  <w:r>
                    <w:rPr>
                      <w:rFonts w:hint="eastAsia" w:ascii="Times New Roman" w:hAnsi="Times New Roman" w:eastAsiaTheme="minorEastAsia"/>
                      <w:color w:val="auto"/>
                      <w:spacing w:val="-2"/>
                      <w:szCs w:val="21"/>
                      <w:highlight w:val="none"/>
                      <w:lang w:val="en-US" w:eastAsia="zh-CN"/>
                    </w:rPr>
                    <w:t>耐腐蚀</w:t>
                  </w:r>
                  <w:r>
                    <w:rPr>
                      <w:rFonts w:ascii="Times New Roman" w:hAnsi="Times New Roman" w:eastAsiaTheme="minorEastAsia"/>
                      <w:color w:val="auto"/>
                      <w:spacing w:val="-2"/>
                      <w:szCs w:val="21"/>
                      <w:highlight w:val="none"/>
                    </w:rPr>
                    <w:t>PV托盘</w:t>
                  </w:r>
                </w:p>
              </w:tc>
              <w:tc>
                <w:tcPr>
                  <w:tcW w:w="419" w:type="pct"/>
                  <w:shd w:val="clear" w:color="auto" w:fill="auto"/>
                  <w:vAlign w:val="center"/>
                </w:tcPr>
                <w:p w14:paraId="2950B63F">
                  <w:pPr>
                    <w:widowControl/>
                    <w:spacing w:line="300" w:lineRule="exact"/>
                    <w:jc w:val="center"/>
                    <w:rPr>
                      <w:rFonts w:ascii="Times New Roman" w:hAnsi="Times New Roman" w:cs="Times New Roman" w:eastAsiaTheme="minorEastAsia"/>
                      <w:color w:val="auto"/>
                      <w:spacing w:val="-2"/>
                      <w:kern w:val="2"/>
                      <w:sz w:val="21"/>
                      <w:szCs w:val="21"/>
                      <w:highlight w:val="none"/>
                      <w:lang w:val="en-US" w:eastAsia="zh-CN" w:bidi="ar-SA"/>
                    </w:rPr>
                  </w:pPr>
                  <w:r>
                    <w:rPr>
                      <w:rFonts w:ascii="Times New Roman" w:hAnsi="Times New Roman" w:eastAsiaTheme="minorEastAsia"/>
                      <w:color w:val="auto"/>
                      <w:szCs w:val="21"/>
                      <w:highlight w:val="none"/>
                    </w:rPr>
                    <w:t>若干</w:t>
                  </w:r>
                </w:p>
              </w:tc>
              <w:tc>
                <w:tcPr>
                  <w:tcW w:w="379" w:type="pct"/>
                  <w:shd w:val="clear" w:color="auto" w:fill="auto"/>
                  <w:vAlign w:val="center"/>
                </w:tcPr>
                <w:p w14:paraId="5EE575DA">
                  <w:pPr>
                    <w:spacing w:line="240" w:lineRule="atLeast"/>
                    <w:jc w:val="center"/>
                    <w:rPr>
                      <w:rFonts w:ascii="Times New Roman" w:hAnsi="Times New Roman" w:cs="Times New Roman" w:eastAsiaTheme="minorEastAsia"/>
                      <w:color w:val="auto"/>
                      <w:spacing w:val="-2"/>
                      <w:kern w:val="2"/>
                      <w:sz w:val="21"/>
                      <w:szCs w:val="21"/>
                      <w:highlight w:val="none"/>
                      <w:lang w:val="en-US" w:eastAsia="zh-CN" w:bidi="ar-SA"/>
                    </w:rPr>
                  </w:pPr>
                  <w:r>
                    <w:rPr>
                      <w:rFonts w:ascii="Times New Roman" w:hAnsi="Times New Roman" w:eastAsiaTheme="minorEastAsia"/>
                      <w:color w:val="auto"/>
                      <w:spacing w:val="-2"/>
                      <w:szCs w:val="21"/>
                      <w:highlight w:val="none"/>
                    </w:rPr>
                    <w:t>个</w:t>
                  </w:r>
                </w:p>
              </w:tc>
              <w:tc>
                <w:tcPr>
                  <w:tcW w:w="2688" w:type="pct"/>
                  <w:shd w:val="clear" w:color="auto" w:fill="auto"/>
                  <w:vAlign w:val="center"/>
                </w:tcPr>
                <w:p w14:paraId="2167DC47">
                  <w:pPr>
                    <w:autoSpaceDE w:val="0"/>
                    <w:autoSpaceDN w:val="0"/>
                    <w:adjustRightInd w:val="0"/>
                    <w:jc w:val="center"/>
                    <w:rPr>
                      <w:rFonts w:ascii="Times New Roman" w:hAnsi="Times New Roman" w:cs="Times New Roman" w:eastAsiaTheme="minorEastAsia"/>
                      <w:color w:val="auto"/>
                      <w:kern w:val="0"/>
                      <w:sz w:val="21"/>
                      <w:szCs w:val="21"/>
                      <w:highlight w:val="none"/>
                      <w:lang w:val="en-US" w:eastAsia="zh-CN" w:bidi="ar-SA"/>
                    </w:rPr>
                  </w:pPr>
                  <w:r>
                    <w:rPr>
                      <w:rFonts w:ascii="Times New Roman" w:hAnsi="Times New Roman" w:eastAsiaTheme="minorEastAsia"/>
                      <w:color w:val="auto"/>
                      <w:kern w:val="0"/>
                      <w:szCs w:val="21"/>
                      <w:highlight w:val="none"/>
                    </w:rPr>
                    <w:t>托盘耐腐蚀，用于完整</w:t>
                  </w:r>
                  <w:r>
                    <w:rPr>
                      <w:rFonts w:hint="eastAsia" w:ascii="Times New Roman" w:hAnsi="Times New Roman" w:eastAsiaTheme="minorEastAsia"/>
                      <w:color w:val="auto"/>
                      <w:kern w:val="0"/>
                      <w:szCs w:val="21"/>
                      <w:highlight w:val="none"/>
                      <w:lang w:eastAsia="zh-CN"/>
                    </w:rPr>
                    <w:t>废旧铅酸蓄电池</w:t>
                  </w:r>
                  <w:r>
                    <w:rPr>
                      <w:rFonts w:ascii="Times New Roman" w:hAnsi="Times New Roman" w:eastAsiaTheme="minorEastAsia"/>
                      <w:color w:val="auto"/>
                      <w:kern w:val="0"/>
                      <w:szCs w:val="21"/>
                      <w:highlight w:val="none"/>
                    </w:rPr>
                    <w:t>贮存</w:t>
                  </w:r>
                </w:p>
              </w:tc>
            </w:tr>
            <w:tr w14:paraId="5D11DA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00" w:type="pct"/>
                  <w:vAlign w:val="center"/>
                </w:tcPr>
                <w:p w14:paraId="5F388369">
                  <w:pPr>
                    <w:wordWrap w:val="0"/>
                    <w:topLinePunct/>
                    <w:adjustRightInd w:val="0"/>
                    <w:snapToGrid w:val="0"/>
                    <w:jc w:val="center"/>
                    <w:rPr>
                      <w:rFonts w:hint="eastAsia" w:ascii="Times New Roman" w:hAnsi="Times New Roman" w:eastAsiaTheme="minorEastAsia"/>
                      <w:bCs/>
                      <w:color w:val="auto"/>
                      <w:szCs w:val="21"/>
                      <w:highlight w:val="none"/>
                      <w:lang w:val="en-US" w:eastAsia="zh-CN"/>
                    </w:rPr>
                  </w:pPr>
                  <w:r>
                    <w:rPr>
                      <w:rFonts w:hint="eastAsia" w:ascii="Times New Roman" w:hAnsi="Times New Roman" w:eastAsiaTheme="minorEastAsia"/>
                      <w:bCs/>
                      <w:color w:val="auto"/>
                      <w:szCs w:val="21"/>
                      <w:highlight w:val="none"/>
                      <w:lang w:val="en-US" w:eastAsia="zh-CN"/>
                    </w:rPr>
                    <w:t>5</w:t>
                  </w:r>
                </w:p>
              </w:tc>
              <w:tc>
                <w:tcPr>
                  <w:tcW w:w="400" w:type="pct"/>
                  <w:vMerge w:val="continue"/>
                  <w:vAlign w:val="center"/>
                </w:tcPr>
                <w:p w14:paraId="7A445176">
                  <w:pPr>
                    <w:wordWrap w:val="0"/>
                    <w:topLinePunct/>
                    <w:adjustRightInd w:val="0"/>
                    <w:snapToGrid w:val="0"/>
                    <w:jc w:val="center"/>
                    <w:rPr>
                      <w:rFonts w:hint="eastAsia" w:ascii="Times New Roman" w:hAnsi="Times New Roman" w:eastAsiaTheme="minorEastAsia"/>
                      <w:bCs/>
                      <w:color w:val="auto"/>
                      <w:szCs w:val="21"/>
                      <w:highlight w:val="none"/>
                      <w:lang w:val="en-US" w:eastAsia="zh-CN"/>
                    </w:rPr>
                  </w:pPr>
                </w:p>
              </w:tc>
              <w:tc>
                <w:tcPr>
                  <w:tcW w:w="710" w:type="pct"/>
                  <w:vAlign w:val="center"/>
                </w:tcPr>
                <w:p w14:paraId="331F632B">
                  <w:pPr>
                    <w:spacing w:line="240" w:lineRule="atLeast"/>
                    <w:jc w:val="center"/>
                    <w:rPr>
                      <w:rFonts w:ascii="Times New Roman" w:hAnsi="Times New Roman" w:eastAsiaTheme="minorEastAsia"/>
                      <w:color w:val="auto"/>
                      <w:spacing w:val="-2"/>
                      <w:szCs w:val="21"/>
                      <w:highlight w:val="none"/>
                    </w:rPr>
                  </w:pPr>
                  <w:r>
                    <w:rPr>
                      <w:rFonts w:hint="eastAsia" w:ascii="Times New Roman" w:hAnsi="Times New Roman" w:eastAsiaTheme="minorEastAsia"/>
                      <w:color w:val="auto"/>
                      <w:spacing w:val="-2"/>
                      <w:szCs w:val="21"/>
                      <w:highlight w:val="none"/>
                      <w:lang w:val="en-US" w:eastAsia="zh-CN"/>
                    </w:rPr>
                    <w:t>耐腐蚀</w:t>
                  </w:r>
                  <w:r>
                    <w:rPr>
                      <w:rFonts w:ascii="Times New Roman" w:hAnsi="Times New Roman" w:eastAsiaTheme="minorEastAsia"/>
                      <w:color w:val="auto"/>
                      <w:spacing w:val="-2"/>
                      <w:szCs w:val="21"/>
                      <w:highlight w:val="none"/>
                    </w:rPr>
                    <w:t>PV塑料箱</w:t>
                  </w:r>
                </w:p>
              </w:tc>
              <w:tc>
                <w:tcPr>
                  <w:tcW w:w="419" w:type="pct"/>
                  <w:vAlign w:val="center"/>
                </w:tcPr>
                <w:p w14:paraId="2B889238">
                  <w:pPr>
                    <w:widowControl/>
                    <w:spacing w:line="300" w:lineRule="exact"/>
                    <w:jc w:val="center"/>
                    <w:rPr>
                      <w:rFonts w:ascii="Times New Roman" w:hAnsi="Times New Roman" w:eastAsiaTheme="minorEastAsia"/>
                      <w:color w:val="auto"/>
                      <w:spacing w:val="-2"/>
                      <w:szCs w:val="21"/>
                      <w:highlight w:val="none"/>
                    </w:rPr>
                  </w:pPr>
                  <w:r>
                    <w:rPr>
                      <w:rFonts w:ascii="Times New Roman" w:hAnsi="Times New Roman" w:eastAsiaTheme="minorEastAsia"/>
                      <w:color w:val="auto"/>
                      <w:szCs w:val="21"/>
                      <w:highlight w:val="none"/>
                    </w:rPr>
                    <w:t>若干</w:t>
                  </w:r>
                </w:p>
              </w:tc>
              <w:tc>
                <w:tcPr>
                  <w:tcW w:w="379" w:type="pct"/>
                  <w:vAlign w:val="center"/>
                </w:tcPr>
                <w:p w14:paraId="2165C3E2">
                  <w:pPr>
                    <w:spacing w:line="240" w:lineRule="atLeast"/>
                    <w:jc w:val="center"/>
                    <w:rPr>
                      <w:rFonts w:ascii="Times New Roman" w:hAnsi="Times New Roman" w:eastAsiaTheme="minorEastAsia"/>
                      <w:color w:val="auto"/>
                      <w:spacing w:val="-2"/>
                      <w:szCs w:val="21"/>
                      <w:highlight w:val="none"/>
                    </w:rPr>
                  </w:pPr>
                  <w:r>
                    <w:rPr>
                      <w:rFonts w:ascii="Times New Roman" w:hAnsi="Times New Roman" w:eastAsiaTheme="minorEastAsia"/>
                      <w:color w:val="auto"/>
                      <w:spacing w:val="-2"/>
                      <w:szCs w:val="21"/>
                      <w:highlight w:val="none"/>
                    </w:rPr>
                    <w:t>个</w:t>
                  </w:r>
                </w:p>
              </w:tc>
              <w:tc>
                <w:tcPr>
                  <w:tcW w:w="2688" w:type="pct"/>
                  <w:vAlign w:val="center"/>
                </w:tcPr>
                <w:p w14:paraId="7FB23883">
                  <w:pPr>
                    <w:autoSpaceDE w:val="0"/>
                    <w:autoSpaceDN w:val="0"/>
                    <w:adjustRightInd w:val="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塑料箱耐腐蚀，用于破损铅蓄电池贮存</w:t>
                  </w:r>
                </w:p>
              </w:tc>
            </w:tr>
            <w:tr w14:paraId="78DC98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00" w:type="pct"/>
                  <w:vAlign w:val="center"/>
                </w:tcPr>
                <w:p w14:paraId="4226A7C9">
                  <w:pPr>
                    <w:wordWrap w:val="0"/>
                    <w:topLinePunct/>
                    <w:adjustRightInd w:val="0"/>
                    <w:snapToGrid w:val="0"/>
                    <w:jc w:val="center"/>
                    <w:rPr>
                      <w:rFonts w:hint="eastAsia" w:ascii="Times New Roman" w:hAnsi="Times New Roman" w:eastAsiaTheme="minorEastAsia"/>
                      <w:bCs/>
                      <w:color w:val="auto"/>
                      <w:szCs w:val="21"/>
                      <w:highlight w:val="none"/>
                      <w:lang w:eastAsia="zh-CN"/>
                    </w:rPr>
                  </w:pPr>
                  <w:r>
                    <w:rPr>
                      <w:rFonts w:hint="eastAsia" w:ascii="Times New Roman" w:hAnsi="Times New Roman" w:eastAsiaTheme="minorEastAsia"/>
                      <w:bCs/>
                      <w:color w:val="auto"/>
                      <w:szCs w:val="21"/>
                      <w:highlight w:val="none"/>
                      <w:lang w:val="en-US" w:eastAsia="zh-CN"/>
                    </w:rPr>
                    <w:t>6</w:t>
                  </w:r>
                </w:p>
              </w:tc>
              <w:tc>
                <w:tcPr>
                  <w:tcW w:w="400" w:type="pct"/>
                  <w:vMerge w:val="restart"/>
                  <w:vAlign w:val="center"/>
                </w:tcPr>
                <w:p w14:paraId="3C783E66">
                  <w:pPr>
                    <w:wordWrap w:val="0"/>
                    <w:topLinePunct/>
                    <w:adjustRightInd w:val="0"/>
                    <w:snapToGrid w:val="0"/>
                    <w:jc w:val="center"/>
                    <w:rPr>
                      <w:rFonts w:hint="default" w:ascii="Times New Roman" w:hAnsi="Times New Roman" w:eastAsiaTheme="minorEastAsia"/>
                      <w:bCs/>
                      <w:color w:val="auto"/>
                      <w:szCs w:val="21"/>
                      <w:highlight w:val="none"/>
                      <w:lang w:val="en-US" w:eastAsia="zh-CN"/>
                    </w:rPr>
                  </w:pPr>
                  <w:r>
                    <w:rPr>
                      <w:rFonts w:hint="eastAsia" w:ascii="Times New Roman" w:hAnsi="Times New Roman" w:eastAsiaTheme="minorEastAsia"/>
                      <w:bCs/>
                      <w:color w:val="auto"/>
                      <w:szCs w:val="21"/>
                      <w:highlight w:val="none"/>
                      <w:lang w:val="en-US" w:eastAsia="zh-CN"/>
                    </w:rPr>
                    <w:t>废气治理设施</w:t>
                  </w:r>
                </w:p>
              </w:tc>
              <w:tc>
                <w:tcPr>
                  <w:tcW w:w="710" w:type="pct"/>
                  <w:vAlign w:val="center"/>
                </w:tcPr>
                <w:p w14:paraId="73C8B120">
                  <w:pPr>
                    <w:spacing w:line="240" w:lineRule="atLeast"/>
                    <w:jc w:val="center"/>
                    <w:rPr>
                      <w:rFonts w:ascii="Times New Roman" w:hAnsi="Times New Roman" w:eastAsiaTheme="minorEastAsia"/>
                      <w:color w:val="auto"/>
                      <w:spacing w:val="-2"/>
                      <w:szCs w:val="21"/>
                      <w:highlight w:val="none"/>
                    </w:rPr>
                  </w:pPr>
                  <w:r>
                    <w:rPr>
                      <w:rFonts w:ascii="Times New Roman" w:hAnsi="Times New Roman" w:eastAsiaTheme="minorEastAsia"/>
                      <w:color w:val="auto"/>
                      <w:spacing w:val="-2"/>
                      <w:szCs w:val="21"/>
                      <w:highlight w:val="none"/>
                    </w:rPr>
                    <w:t>风机</w:t>
                  </w:r>
                </w:p>
              </w:tc>
              <w:tc>
                <w:tcPr>
                  <w:tcW w:w="419" w:type="pct"/>
                  <w:vAlign w:val="center"/>
                </w:tcPr>
                <w:p w14:paraId="53317105">
                  <w:pPr>
                    <w:spacing w:line="240" w:lineRule="atLeast"/>
                    <w:jc w:val="center"/>
                    <w:rPr>
                      <w:rFonts w:ascii="Times New Roman" w:hAnsi="Times New Roman" w:eastAsiaTheme="minorEastAsia"/>
                      <w:color w:val="auto"/>
                      <w:spacing w:val="-2"/>
                      <w:szCs w:val="21"/>
                      <w:highlight w:val="none"/>
                    </w:rPr>
                  </w:pPr>
                  <w:r>
                    <w:rPr>
                      <w:rFonts w:ascii="Times New Roman" w:hAnsi="Times New Roman" w:eastAsiaTheme="minorEastAsia"/>
                      <w:color w:val="auto"/>
                      <w:spacing w:val="-2"/>
                      <w:szCs w:val="21"/>
                      <w:highlight w:val="none"/>
                    </w:rPr>
                    <w:t>1</w:t>
                  </w:r>
                </w:p>
              </w:tc>
              <w:tc>
                <w:tcPr>
                  <w:tcW w:w="379" w:type="pct"/>
                  <w:vAlign w:val="center"/>
                </w:tcPr>
                <w:p w14:paraId="0A153C19">
                  <w:pPr>
                    <w:spacing w:line="240" w:lineRule="atLeast"/>
                    <w:jc w:val="center"/>
                    <w:rPr>
                      <w:rFonts w:ascii="Times New Roman" w:hAnsi="Times New Roman" w:eastAsiaTheme="minorEastAsia"/>
                      <w:color w:val="auto"/>
                      <w:spacing w:val="-2"/>
                      <w:szCs w:val="21"/>
                      <w:highlight w:val="none"/>
                    </w:rPr>
                  </w:pPr>
                  <w:r>
                    <w:rPr>
                      <w:rFonts w:ascii="Times New Roman" w:hAnsi="Times New Roman" w:eastAsiaTheme="minorEastAsia"/>
                      <w:color w:val="auto"/>
                      <w:spacing w:val="-2"/>
                      <w:szCs w:val="21"/>
                      <w:highlight w:val="none"/>
                    </w:rPr>
                    <w:t>台</w:t>
                  </w:r>
                </w:p>
              </w:tc>
              <w:tc>
                <w:tcPr>
                  <w:tcW w:w="2688" w:type="pct"/>
                  <w:vAlign w:val="center"/>
                </w:tcPr>
                <w:p w14:paraId="3053BEBC">
                  <w:pPr>
                    <w:snapToGrid w:val="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用于废气收集</w:t>
                  </w:r>
                </w:p>
              </w:tc>
            </w:tr>
            <w:tr w14:paraId="735E58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00" w:type="pct"/>
                  <w:vAlign w:val="center"/>
                </w:tcPr>
                <w:p w14:paraId="42C64148">
                  <w:pPr>
                    <w:wordWrap w:val="0"/>
                    <w:topLinePunct/>
                    <w:adjustRightInd w:val="0"/>
                    <w:snapToGrid w:val="0"/>
                    <w:jc w:val="center"/>
                    <w:rPr>
                      <w:rFonts w:hint="eastAsia" w:ascii="Times New Roman" w:hAnsi="Times New Roman" w:eastAsiaTheme="minorEastAsia"/>
                      <w:bCs/>
                      <w:color w:val="auto"/>
                      <w:szCs w:val="21"/>
                      <w:highlight w:val="none"/>
                      <w:lang w:eastAsia="zh-CN"/>
                    </w:rPr>
                  </w:pPr>
                  <w:r>
                    <w:rPr>
                      <w:rFonts w:hint="eastAsia" w:ascii="Times New Roman" w:hAnsi="Times New Roman" w:eastAsiaTheme="minorEastAsia"/>
                      <w:bCs/>
                      <w:color w:val="auto"/>
                      <w:szCs w:val="21"/>
                      <w:highlight w:val="none"/>
                      <w:lang w:val="en-US" w:eastAsia="zh-CN"/>
                    </w:rPr>
                    <w:t>7</w:t>
                  </w:r>
                </w:p>
              </w:tc>
              <w:tc>
                <w:tcPr>
                  <w:tcW w:w="400" w:type="pct"/>
                  <w:vMerge w:val="continue"/>
                  <w:vAlign w:val="center"/>
                </w:tcPr>
                <w:p w14:paraId="392BD909">
                  <w:pPr>
                    <w:wordWrap w:val="0"/>
                    <w:topLinePunct/>
                    <w:adjustRightInd w:val="0"/>
                    <w:snapToGrid w:val="0"/>
                    <w:jc w:val="center"/>
                    <w:rPr>
                      <w:rFonts w:ascii="Times New Roman" w:hAnsi="Times New Roman" w:eastAsiaTheme="minorEastAsia"/>
                      <w:bCs/>
                      <w:color w:val="auto"/>
                      <w:szCs w:val="21"/>
                      <w:highlight w:val="none"/>
                    </w:rPr>
                  </w:pPr>
                </w:p>
              </w:tc>
              <w:tc>
                <w:tcPr>
                  <w:tcW w:w="710" w:type="pct"/>
                  <w:vAlign w:val="center"/>
                </w:tcPr>
                <w:p w14:paraId="0005EABA">
                  <w:pPr>
                    <w:spacing w:line="240" w:lineRule="atLeast"/>
                    <w:jc w:val="center"/>
                    <w:rPr>
                      <w:rFonts w:ascii="Times New Roman" w:hAnsi="Times New Roman" w:eastAsiaTheme="minorEastAsia"/>
                      <w:color w:val="auto"/>
                      <w:spacing w:val="-2"/>
                      <w:szCs w:val="21"/>
                      <w:highlight w:val="none"/>
                    </w:rPr>
                  </w:pPr>
                  <w:r>
                    <w:rPr>
                      <w:rFonts w:ascii="Times New Roman" w:hAnsi="Times New Roman" w:eastAsiaTheme="minorEastAsia"/>
                      <w:color w:val="auto"/>
                      <w:spacing w:val="-2"/>
                      <w:szCs w:val="21"/>
                      <w:highlight w:val="none"/>
                    </w:rPr>
                    <w:t>脱硫塔</w:t>
                  </w:r>
                </w:p>
              </w:tc>
              <w:tc>
                <w:tcPr>
                  <w:tcW w:w="419" w:type="pct"/>
                  <w:vAlign w:val="center"/>
                </w:tcPr>
                <w:p w14:paraId="4A3771FF">
                  <w:pPr>
                    <w:spacing w:line="240" w:lineRule="atLeast"/>
                    <w:jc w:val="center"/>
                    <w:rPr>
                      <w:rFonts w:ascii="Times New Roman" w:hAnsi="Times New Roman" w:eastAsiaTheme="minorEastAsia"/>
                      <w:color w:val="auto"/>
                      <w:spacing w:val="-2"/>
                      <w:szCs w:val="21"/>
                      <w:highlight w:val="none"/>
                    </w:rPr>
                  </w:pPr>
                  <w:r>
                    <w:rPr>
                      <w:rFonts w:ascii="Times New Roman" w:hAnsi="Times New Roman" w:eastAsiaTheme="minorEastAsia"/>
                      <w:color w:val="auto"/>
                      <w:spacing w:val="-2"/>
                      <w:szCs w:val="21"/>
                      <w:highlight w:val="none"/>
                    </w:rPr>
                    <w:t>1</w:t>
                  </w:r>
                </w:p>
              </w:tc>
              <w:tc>
                <w:tcPr>
                  <w:tcW w:w="379" w:type="pct"/>
                  <w:vAlign w:val="center"/>
                </w:tcPr>
                <w:p w14:paraId="08DC30CB">
                  <w:pPr>
                    <w:spacing w:line="240" w:lineRule="atLeast"/>
                    <w:jc w:val="center"/>
                    <w:rPr>
                      <w:rFonts w:ascii="Times New Roman" w:hAnsi="Times New Roman" w:eastAsiaTheme="minorEastAsia"/>
                      <w:color w:val="auto"/>
                      <w:spacing w:val="-2"/>
                      <w:szCs w:val="21"/>
                      <w:highlight w:val="none"/>
                    </w:rPr>
                  </w:pPr>
                  <w:r>
                    <w:rPr>
                      <w:rFonts w:ascii="Times New Roman" w:hAnsi="Times New Roman" w:eastAsiaTheme="minorEastAsia"/>
                      <w:color w:val="auto"/>
                      <w:spacing w:val="-2"/>
                      <w:szCs w:val="21"/>
                      <w:highlight w:val="none"/>
                    </w:rPr>
                    <w:t>座</w:t>
                  </w:r>
                </w:p>
              </w:tc>
              <w:tc>
                <w:tcPr>
                  <w:tcW w:w="2688" w:type="pct"/>
                  <w:vAlign w:val="center"/>
                </w:tcPr>
                <w:p w14:paraId="5AED08DA">
                  <w:pPr>
                    <w:snapToGrid w:val="0"/>
                    <w:jc w:val="center"/>
                    <w:rPr>
                      <w:rFonts w:ascii="Times New Roman" w:hAnsi="Times New Roman" w:eastAsiaTheme="minorEastAsia"/>
                      <w:color w:val="auto"/>
                      <w:kern w:val="0"/>
                      <w:szCs w:val="21"/>
                      <w:highlight w:val="none"/>
                    </w:rPr>
                  </w:pPr>
                  <w:r>
                    <w:rPr>
                      <w:rFonts w:ascii="Times New Roman" w:hAnsi="Times New Roman" w:eastAsiaTheme="minorEastAsia"/>
                      <w:color w:val="auto"/>
                      <w:kern w:val="0"/>
                      <w:szCs w:val="21"/>
                      <w:highlight w:val="none"/>
                    </w:rPr>
                    <w:t>处理废气</w:t>
                  </w:r>
                </w:p>
              </w:tc>
            </w:tr>
          </w:tbl>
          <w:p w14:paraId="726E7587">
            <w:pPr>
              <w:spacing w:line="480" w:lineRule="exact"/>
              <w:ind w:firstLine="480" w:firstLineChars="200"/>
              <w:rPr>
                <w:rFonts w:hint="eastAsia"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5、</w:t>
            </w:r>
            <w:r>
              <w:rPr>
                <w:rFonts w:hint="eastAsia" w:ascii="Times New Roman" w:hAnsi="Times New Roman" w:eastAsiaTheme="minorEastAsia"/>
                <w:color w:val="auto"/>
                <w:sz w:val="24"/>
                <w:szCs w:val="24"/>
                <w:highlight w:val="none"/>
              </w:rPr>
              <w:t>主要原辅材料及能源消耗</w:t>
            </w:r>
          </w:p>
          <w:p w14:paraId="5CD5E4D2">
            <w:pPr>
              <w:spacing w:line="480" w:lineRule="exact"/>
              <w:ind w:firstLine="480" w:firstLineChars="200"/>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项目主要原辅材料及能源消耗见下表：</w:t>
            </w:r>
          </w:p>
          <w:p w14:paraId="0AE21363">
            <w:pPr>
              <w:spacing w:line="480" w:lineRule="exact"/>
              <w:ind w:firstLine="480" w:firstLineChars="200"/>
              <w:jc w:val="center"/>
              <w:rPr>
                <w:rFonts w:hint="eastAsia"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表2-</w:t>
            </w:r>
            <w:r>
              <w:rPr>
                <w:rFonts w:hint="eastAsia" w:ascii="Times New Roman" w:hAnsi="Times New Roman" w:eastAsiaTheme="minorEastAsia"/>
                <w:color w:val="auto"/>
                <w:sz w:val="24"/>
                <w:szCs w:val="24"/>
                <w:highlight w:val="none"/>
                <w:lang w:val="en-US" w:eastAsia="zh-CN"/>
              </w:rPr>
              <w:t>6</w:t>
            </w:r>
            <w:r>
              <w:rPr>
                <w:rFonts w:ascii="Times New Roman" w:hAnsi="Times New Roman" w:eastAsiaTheme="minorEastAsia"/>
                <w:color w:val="auto"/>
                <w:sz w:val="24"/>
                <w:szCs w:val="24"/>
                <w:highlight w:val="none"/>
              </w:rPr>
              <w:t xml:space="preserve"> </w:t>
            </w:r>
            <w:r>
              <w:rPr>
                <w:rFonts w:hint="eastAsia" w:ascii="Times New Roman" w:hAnsi="Times New Roman" w:eastAsiaTheme="minorEastAsia"/>
                <w:color w:val="auto"/>
                <w:sz w:val="24"/>
                <w:szCs w:val="24"/>
                <w:highlight w:val="none"/>
                <w:lang w:val="en-US" w:eastAsia="zh-CN"/>
              </w:rPr>
              <w:t xml:space="preserve"> 本</w:t>
            </w:r>
            <w:r>
              <w:rPr>
                <w:rFonts w:ascii="Times New Roman" w:hAnsi="Times New Roman" w:eastAsiaTheme="minorEastAsia"/>
                <w:color w:val="auto"/>
                <w:sz w:val="24"/>
                <w:szCs w:val="24"/>
                <w:highlight w:val="none"/>
              </w:rPr>
              <w:t>项目主要</w:t>
            </w:r>
            <w:r>
              <w:rPr>
                <w:rFonts w:hint="eastAsia" w:ascii="Times New Roman" w:hAnsi="Times New Roman" w:eastAsiaTheme="minorEastAsia"/>
                <w:color w:val="auto"/>
                <w:sz w:val="24"/>
                <w:szCs w:val="24"/>
                <w:highlight w:val="none"/>
              </w:rPr>
              <w:t>原辅材料及能源消耗</w:t>
            </w:r>
            <w:r>
              <w:rPr>
                <w:rFonts w:ascii="Times New Roman" w:hAnsi="Times New Roman" w:eastAsiaTheme="minorEastAsia"/>
                <w:color w:val="auto"/>
                <w:sz w:val="24"/>
                <w:szCs w:val="24"/>
                <w:highlight w:val="none"/>
              </w:rPr>
              <w:t>一览表</w:t>
            </w:r>
          </w:p>
          <w:tbl>
            <w:tblPr>
              <w:tblStyle w:val="31"/>
              <w:tblW w:w="832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61"/>
              <w:gridCol w:w="1624"/>
              <w:gridCol w:w="1305"/>
              <w:gridCol w:w="870"/>
              <w:gridCol w:w="3057"/>
            </w:tblGrid>
            <w:tr w14:paraId="001408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25" w:type="pct"/>
                  <w:vAlign w:val="center"/>
                </w:tcPr>
                <w:p w14:paraId="460D7B43">
                  <w:pPr>
                    <w:wordWrap w:val="0"/>
                    <w:topLinePunct/>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序号</w:t>
                  </w:r>
                </w:p>
              </w:tc>
              <w:tc>
                <w:tcPr>
                  <w:tcW w:w="457" w:type="pct"/>
                  <w:vAlign w:val="center"/>
                </w:tcPr>
                <w:p w14:paraId="6DC86ED7">
                  <w:pPr>
                    <w:wordWrap w:val="0"/>
                    <w:topLinePunct/>
                    <w:adjustRightInd w:val="0"/>
                    <w:snapToGrid w:val="0"/>
                    <w:jc w:val="center"/>
                    <w:rPr>
                      <w:rFonts w:hint="eastAsia" w:ascii="Times New Roman" w:hAnsi="Times New Roman" w:eastAsiaTheme="minorEastAsia"/>
                      <w:bCs/>
                      <w:color w:val="auto"/>
                      <w:szCs w:val="21"/>
                      <w:highlight w:val="none"/>
                      <w:lang w:eastAsia="zh-CN"/>
                    </w:rPr>
                  </w:pPr>
                  <w:r>
                    <w:rPr>
                      <w:rFonts w:hint="eastAsia" w:ascii="Times New Roman" w:hAnsi="Times New Roman" w:eastAsiaTheme="minorEastAsia"/>
                      <w:bCs/>
                      <w:color w:val="auto"/>
                      <w:szCs w:val="21"/>
                      <w:highlight w:val="none"/>
                      <w:lang w:val="en-US" w:eastAsia="zh-CN"/>
                    </w:rPr>
                    <w:t>类别</w:t>
                  </w:r>
                </w:p>
              </w:tc>
              <w:tc>
                <w:tcPr>
                  <w:tcW w:w="975" w:type="pct"/>
                  <w:vAlign w:val="center"/>
                </w:tcPr>
                <w:p w14:paraId="3B37ED64">
                  <w:pPr>
                    <w:wordWrap w:val="0"/>
                    <w:topLinePunct/>
                    <w:adjustRightInd w:val="0"/>
                    <w:snapToGrid w:val="0"/>
                    <w:jc w:val="center"/>
                    <w:rPr>
                      <w:rFonts w:hint="default" w:ascii="Times New Roman" w:hAnsi="Times New Roman" w:eastAsiaTheme="minorEastAsia"/>
                      <w:bCs/>
                      <w:color w:val="auto"/>
                      <w:szCs w:val="21"/>
                      <w:highlight w:val="none"/>
                      <w:lang w:val="en-US" w:eastAsia="zh-CN"/>
                    </w:rPr>
                  </w:pPr>
                  <w:r>
                    <w:rPr>
                      <w:rFonts w:hint="eastAsia" w:ascii="Times New Roman" w:hAnsi="Times New Roman" w:eastAsiaTheme="minorEastAsia"/>
                      <w:bCs/>
                      <w:color w:val="auto"/>
                      <w:szCs w:val="21"/>
                      <w:highlight w:val="none"/>
                      <w:lang w:val="en-US" w:eastAsia="zh-CN"/>
                    </w:rPr>
                    <w:t>名称</w:t>
                  </w:r>
                </w:p>
              </w:tc>
              <w:tc>
                <w:tcPr>
                  <w:tcW w:w="783" w:type="pct"/>
                  <w:vAlign w:val="center"/>
                </w:tcPr>
                <w:p w14:paraId="517F858B">
                  <w:pPr>
                    <w:wordWrap w:val="0"/>
                    <w:topLinePunct/>
                    <w:adjustRightInd w:val="0"/>
                    <w:snapToGrid w:val="0"/>
                    <w:jc w:val="center"/>
                    <w:rPr>
                      <w:rFonts w:hint="eastAsia" w:ascii="Times New Roman" w:hAnsi="Times New Roman" w:eastAsiaTheme="minorEastAsia"/>
                      <w:bCs/>
                      <w:color w:val="auto"/>
                      <w:szCs w:val="21"/>
                      <w:highlight w:val="none"/>
                      <w:lang w:eastAsia="zh-CN"/>
                    </w:rPr>
                  </w:pPr>
                  <w:r>
                    <w:rPr>
                      <w:rFonts w:hint="eastAsia" w:ascii="Times New Roman" w:hAnsi="Times New Roman" w:eastAsiaTheme="minorEastAsia"/>
                      <w:bCs/>
                      <w:color w:val="auto"/>
                      <w:szCs w:val="21"/>
                      <w:highlight w:val="none"/>
                      <w:lang w:val="en-US" w:eastAsia="zh-CN"/>
                    </w:rPr>
                    <w:t>单位</w:t>
                  </w:r>
                </w:p>
              </w:tc>
              <w:tc>
                <w:tcPr>
                  <w:tcW w:w="522" w:type="pct"/>
                  <w:vAlign w:val="center"/>
                </w:tcPr>
                <w:p w14:paraId="55711764">
                  <w:pPr>
                    <w:wordWrap w:val="0"/>
                    <w:topLinePunct/>
                    <w:adjustRightInd w:val="0"/>
                    <w:snapToGrid w:val="0"/>
                    <w:jc w:val="center"/>
                    <w:rPr>
                      <w:rFonts w:hint="eastAsia" w:ascii="Times New Roman" w:hAnsi="Times New Roman" w:eastAsiaTheme="minorEastAsia"/>
                      <w:bCs/>
                      <w:color w:val="auto"/>
                      <w:szCs w:val="21"/>
                      <w:highlight w:val="none"/>
                      <w:lang w:val="en-US" w:eastAsia="zh-CN"/>
                    </w:rPr>
                  </w:pPr>
                  <w:r>
                    <w:rPr>
                      <w:rFonts w:hint="eastAsia" w:ascii="Times New Roman" w:hAnsi="Times New Roman" w:eastAsiaTheme="minorEastAsia"/>
                      <w:bCs/>
                      <w:color w:val="auto"/>
                      <w:szCs w:val="21"/>
                      <w:highlight w:val="none"/>
                      <w:lang w:val="en-US" w:eastAsia="zh-CN"/>
                    </w:rPr>
                    <w:t>用量</w:t>
                  </w:r>
                </w:p>
              </w:tc>
              <w:tc>
                <w:tcPr>
                  <w:tcW w:w="1835" w:type="pct"/>
                  <w:vAlign w:val="center"/>
                </w:tcPr>
                <w:p w14:paraId="78915D47">
                  <w:pPr>
                    <w:wordWrap w:val="0"/>
                    <w:topLinePunct/>
                    <w:adjustRightInd w:val="0"/>
                    <w:snapToGrid w:val="0"/>
                    <w:jc w:val="center"/>
                    <w:rPr>
                      <w:rFonts w:ascii="Times New Roman" w:hAnsi="Times New Roman" w:eastAsiaTheme="minorEastAsia"/>
                      <w:bCs/>
                      <w:color w:val="auto"/>
                      <w:szCs w:val="21"/>
                      <w:highlight w:val="none"/>
                    </w:rPr>
                  </w:pPr>
                  <w:r>
                    <w:rPr>
                      <w:rFonts w:hint="eastAsia" w:ascii="Times New Roman" w:hAnsi="Times New Roman" w:eastAsiaTheme="minorEastAsia"/>
                      <w:bCs/>
                      <w:color w:val="auto"/>
                      <w:szCs w:val="21"/>
                      <w:highlight w:val="none"/>
                      <w:lang w:val="en-US" w:eastAsia="zh-CN"/>
                    </w:rPr>
                    <w:t>备注</w:t>
                  </w:r>
                </w:p>
              </w:tc>
            </w:tr>
            <w:tr w14:paraId="56CDC2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25" w:type="pct"/>
                  <w:vAlign w:val="center"/>
                </w:tcPr>
                <w:p w14:paraId="6D0AB620">
                  <w:pPr>
                    <w:wordWrap w:val="0"/>
                    <w:topLinePunct/>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1</w:t>
                  </w:r>
                </w:p>
              </w:tc>
              <w:tc>
                <w:tcPr>
                  <w:tcW w:w="457" w:type="pct"/>
                  <w:vMerge w:val="restart"/>
                  <w:vAlign w:val="center"/>
                </w:tcPr>
                <w:p w14:paraId="2EE8874A">
                  <w:pPr>
                    <w:spacing w:line="240" w:lineRule="atLeast"/>
                    <w:jc w:val="center"/>
                    <w:rPr>
                      <w:rFonts w:hint="default" w:ascii="Times New Roman" w:hAnsi="Times New Roman" w:eastAsiaTheme="minorEastAsia"/>
                      <w:color w:val="auto"/>
                      <w:spacing w:val="-2"/>
                      <w:szCs w:val="21"/>
                      <w:highlight w:val="none"/>
                      <w:lang w:val="en-US" w:eastAsia="zh-CN"/>
                    </w:rPr>
                  </w:pPr>
                  <w:r>
                    <w:rPr>
                      <w:rFonts w:hint="eastAsia" w:ascii="Times New Roman" w:hAnsi="Times New Roman" w:eastAsiaTheme="minorEastAsia"/>
                      <w:color w:val="auto"/>
                      <w:spacing w:val="-2"/>
                      <w:szCs w:val="21"/>
                      <w:highlight w:val="none"/>
                      <w:lang w:val="en-US" w:eastAsia="zh-CN"/>
                    </w:rPr>
                    <w:t>原辅材料</w:t>
                  </w:r>
                </w:p>
              </w:tc>
              <w:tc>
                <w:tcPr>
                  <w:tcW w:w="975" w:type="pct"/>
                  <w:vAlign w:val="center"/>
                </w:tcPr>
                <w:p w14:paraId="76352E3F">
                  <w:pPr>
                    <w:spacing w:line="240" w:lineRule="atLeast"/>
                    <w:jc w:val="center"/>
                    <w:rPr>
                      <w:rFonts w:hint="default" w:ascii="Times New Roman" w:hAnsi="Times New Roman" w:eastAsiaTheme="minorEastAsia"/>
                      <w:color w:val="auto"/>
                      <w:spacing w:val="-2"/>
                      <w:szCs w:val="21"/>
                      <w:highlight w:val="none"/>
                      <w:lang w:val="en-US" w:eastAsia="zh-CN"/>
                    </w:rPr>
                  </w:pPr>
                  <w:r>
                    <w:rPr>
                      <w:rFonts w:hint="eastAsia" w:ascii="Times New Roman" w:hAnsi="Times New Roman" w:eastAsiaTheme="minorEastAsia"/>
                      <w:color w:val="auto"/>
                      <w:spacing w:val="-2"/>
                      <w:szCs w:val="21"/>
                      <w:highlight w:val="none"/>
                      <w:lang w:val="en-US" w:eastAsia="zh-CN"/>
                    </w:rPr>
                    <w:t>废旧铅酸蓄电池</w:t>
                  </w:r>
                </w:p>
              </w:tc>
              <w:tc>
                <w:tcPr>
                  <w:tcW w:w="783" w:type="pct"/>
                  <w:vAlign w:val="center"/>
                </w:tcPr>
                <w:p w14:paraId="0CA89850">
                  <w:pPr>
                    <w:spacing w:line="240" w:lineRule="atLeast"/>
                    <w:jc w:val="center"/>
                    <w:rPr>
                      <w:rFonts w:ascii="Times New Roman" w:hAnsi="Times New Roman" w:eastAsiaTheme="minorEastAsia"/>
                      <w:color w:val="auto"/>
                      <w:spacing w:val="-2"/>
                      <w:szCs w:val="21"/>
                      <w:highlight w:val="none"/>
                    </w:rPr>
                  </w:pPr>
                  <w:r>
                    <w:rPr>
                      <w:rFonts w:hint="eastAsia" w:ascii="Times New Roman" w:hAnsi="Times New Roman" w:eastAsiaTheme="minorEastAsia"/>
                      <w:color w:val="auto"/>
                      <w:spacing w:val="-2"/>
                      <w:szCs w:val="21"/>
                      <w:highlight w:val="none"/>
                    </w:rPr>
                    <w:t>t/a</w:t>
                  </w:r>
                </w:p>
              </w:tc>
              <w:tc>
                <w:tcPr>
                  <w:tcW w:w="522" w:type="pct"/>
                  <w:vAlign w:val="center"/>
                </w:tcPr>
                <w:p w14:paraId="0FA7254C">
                  <w:pPr>
                    <w:snapToGrid w:val="0"/>
                    <w:jc w:val="center"/>
                    <w:rPr>
                      <w:rFonts w:hint="default" w:ascii="Times New Roman" w:hAnsi="Times New Roman" w:eastAsiaTheme="minorEastAsia"/>
                      <w:color w:val="auto"/>
                      <w:kern w:val="0"/>
                      <w:szCs w:val="21"/>
                      <w:highlight w:val="none"/>
                      <w:lang w:val="en-US" w:eastAsia="zh-CN"/>
                    </w:rPr>
                  </w:pPr>
                  <w:r>
                    <w:rPr>
                      <w:rFonts w:hint="eastAsia" w:ascii="Times New Roman" w:hAnsi="Times New Roman" w:eastAsiaTheme="minorEastAsia"/>
                      <w:color w:val="auto"/>
                      <w:kern w:val="0"/>
                      <w:szCs w:val="21"/>
                      <w:highlight w:val="none"/>
                      <w:lang w:val="en-US" w:eastAsia="zh-CN"/>
                    </w:rPr>
                    <w:t>3000</w:t>
                  </w:r>
                </w:p>
              </w:tc>
              <w:tc>
                <w:tcPr>
                  <w:tcW w:w="1835" w:type="pct"/>
                  <w:vAlign w:val="center"/>
                </w:tcPr>
                <w:p w14:paraId="452BA285">
                  <w:pPr>
                    <w:snapToGrid w:val="0"/>
                    <w:jc w:val="center"/>
                    <w:rPr>
                      <w:rFonts w:hint="default" w:ascii="Times New Roman" w:hAnsi="Times New Roman" w:eastAsiaTheme="minorEastAsia"/>
                      <w:color w:val="auto"/>
                      <w:kern w:val="0"/>
                      <w:szCs w:val="21"/>
                      <w:highlight w:val="none"/>
                      <w:lang w:val="en-US" w:eastAsia="zh-CN"/>
                    </w:rPr>
                  </w:pPr>
                  <w:r>
                    <w:rPr>
                      <w:rFonts w:hint="eastAsia" w:ascii="Times New Roman" w:hAnsi="Times New Roman" w:eastAsiaTheme="minorEastAsia"/>
                      <w:color w:val="auto"/>
                      <w:kern w:val="0"/>
                      <w:szCs w:val="21"/>
                      <w:highlight w:val="none"/>
                      <w:lang w:val="en-US" w:eastAsia="zh-CN"/>
                    </w:rPr>
                    <w:t>来源于各收集点</w:t>
                  </w:r>
                </w:p>
              </w:tc>
            </w:tr>
            <w:tr w14:paraId="4E13D0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25" w:type="pct"/>
                  <w:vAlign w:val="center"/>
                </w:tcPr>
                <w:p w14:paraId="6254BDE9">
                  <w:pPr>
                    <w:wordWrap w:val="0"/>
                    <w:topLinePunct/>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2</w:t>
                  </w:r>
                </w:p>
              </w:tc>
              <w:tc>
                <w:tcPr>
                  <w:tcW w:w="457" w:type="pct"/>
                  <w:vMerge w:val="continue"/>
                  <w:vAlign w:val="center"/>
                </w:tcPr>
                <w:p w14:paraId="39837434">
                  <w:pPr>
                    <w:spacing w:line="240" w:lineRule="atLeast"/>
                    <w:jc w:val="center"/>
                    <w:rPr>
                      <w:rFonts w:ascii="Times New Roman" w:hAnsi="Times New Roman" w:eastAsiaTheme="minorEastAsia"/>
                      <w:color w:val="auto"/>
                      <w:spacing w:val="-2"/>
                      <w:szCs w:val="21"/>
                      <w:highlight w:val="none"/>
                    </w:rPr>
                  </w:pPr>
                </w:p>
              </w:tc>
              <w:tc>
                <w:tcPr>
                  <w:tcW w:w="975" w:type="pct"/>
                  <w:vAlign w:val="center"/>
                </w:tcPr>
                <w:p w14:paraId="4EBBCA5E">
                  <w:pPr>
                    <w:spacing w:line="240" w:lineRule="atLeast"/>
                    <w:jc w:val="center"/>
                    <w:rPr>
                      <w:rFonts w:hint="eastAsia" w:ascii="Times New Roman" w:hAnsi="Times New Roman" w:eastAsiaTheme="minorEastAsia"/>
                      <w:color w:val="auto"/>
                      <w:spacing w:val="-2"/>
                      <w:szCs w:val="21"/>
                      <w:highlight w:val="none"/>
                      <w:lang w:eastAsia="zh-CN"/>
                    </w:rPr>
                  </w:pPr>
                  <w:r>
                    <w:rPr>
                      <w:rFonts w:hint="eastAsia" w:ascii="Times New Roman" w:hAnsi="Times New Roman" w:eastAsiaTheme="minorEastAsia"/>
                      <w:color w:val="auto"/>
                      <w:spacing w:val="-2"/>
                      <w:szCs w:val="21"/>
                      <w:highlight w:val="none"/>
                      <w:lang w:val="en-US" w:eastAsia="zh-CN"/>
                    </w:rPr>
                    <w:t>塑料膜</w:t>
                  </w:r>
                </w:p>
              </w:tc>
              <w:tc>
                <w:tcPr>
                  <w:tcW w:w="783" w:type="pct"/>
                  <w:vAlign w:val="center"/>
                </w:tcPr>
                <w:p w14:paraId="4D4786A2">
                  <w:pPr>
                    <w:spacing w:line="240" w:lineRule="atLeast"/>
                    <w:jc w:val="center"/>
                    <w:rPr>
                      <w:rFonts w:ascii="Times New Roman" w:hAnsi="Times New Roman" w:eastAsiaTheme="minorEastAsia"/>
                      <w:color w:val="auto"/>
                      <w:spacing w:val="-2"/>
                      <w:szCs w:val="21"/>
                      <w:highlight w:val="none"/>
                    </w:rPr>
                  </w:pPr>
                  <w:r>
                    <w:rPr>
                      <w:rFonts w:hint="eastAsia" w:ascii="Times New Roman" w:hAnsi="Times New Roman" w:eastAsiaTheme="minorEastAsia"/>
                      <w:color w:val="auto"/>
                      <w:spacing w:val="-2"/>
                      <w:szCs w:val="21"/>
                      <w:highlight w:val="none"/>
                    </w:rPr>
                    <w:t>t/a</w:t>
                  </w:r>
                </w:p>
              </w:tc>
              <w:tc>
                <w:tcPr>
                  <w:tcW w:w="522" w:type="pct"/>
                  <w:vAlign w:val="center"/>
                </w:tcPr>
                <w:p w14:paraId="53E0B885">
                  <w:pPr>
                    <w:autoSpaceDE w:val="0"/>
                    <w:autoSpaceDN w:val="0"/>
                    <w:adjustRightInd w:val="0"/>
                    <w:jc w:val="center"/>
                    <w:rPr>
                      <w:rFonts w:hint="default" w:ascii="Times New Roman" w:hAnsi="Times New Roman" w:eastAsiaTheme="minorEastAsia"/>
                      <w:color w:val="auto"/>
                      <w:kern w:val="0"/>
                      <w:szCs w:val="21"/>
                      <w:highlight w:val="none"/>
                      <w:lang w:val="en-US" w:eastAsia="zh-CN"/>
                    </w:rPr>
                  </w:pPr>
                  <w:r>
                    <w:rPr>
                      <w:rFonts w:hint="eastAsia" w:ascii="Times New Roman" w:hAnsi="Times New Roman" w:eastAsiaTheme="minorEastAsia"/>
                      <w:color w:val="auto"/>
                      <w:kern w:val="0"/>
                      <w:szCs w:val="21"/>
                      <w:highlight w:val="none"/>
                      <w:lang w:val="en-US" w:eastAsia="zh-CN"/>
                    </w:rPr>
                    <w:t>0.3</w:t>
                  </w:r>
                </w:p>
              </w:tc>
              <w:tc>
                <w:tcPr>
                  <w:tcW w:w="1835" w:type="pct"/>
                  <w:vAlign w:val="center"/>
                </w:tcPr>
                <w:p w14:paraId="2EA8BD20">
                  <w:pPr>
                    <w:autoSpaceDE w:val="0"/>
                    <w:autoSpaceDN w:val="0"/>
                    <w:adjustRightIn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用于完整</w:t>
                  </w:r>
                  <w:r>
                    <w:rPr>
                      <w:rFonts w:hint="eastAsia" w:ascii="Times New Roman" w:hAnsi="Times New Roman" w:eastAsiaTheme="minorEastAsia"/>
                      <w:color w:val="auto"/>
                      <w:kern w:val="0"/>
                      <w:szCs w:val="21"/>
                      <w:highlight w:val="none"/>
                      <w:lang w:eastAsia="zh-CN"/>
                    </w:rPr>
                    <w:t>废旧铅酸蓄电池</w:t>
                  </w:r>
                  <w:r>
                    <w:rPr>
                      <w:rFonts w:hint="eastAsia" w:ascii="Times New Roman" w:hAnsi="Times New Roman" w:eastAsiaTheme="minorEastAsia"/>
                      <w:color w:val="auto"/>
                      <w:kern w:val="0"/>
                      <w:szCs w:val="21"/>
                      <w:highlight w:val="none"/>
                    </w:rPr>
                    <w:t>包装使用</w:t>
                  </w:r>
                </w:p>
              </w:tc>
            </w:tr>
            <w:tr w14:paraId="5EDB05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25" w:type="pct"/>
                  <w:vAlign w:val="center"/>
                </w:tcPr>
                <w:p w14:paraId="73C112DA">
                  <w:pPr>
                    <w:wordWrap w:val="0"/>
                    <w:topLinePunct/>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3</w:t>
                  </w:r>
                </w:p>
              </w:tc>
              <w:tc>
                <w:tcPr>
                  <w:tcW w:w="457" w:type="pct"/>
                  <w:vMerge w:val="continue"/>
                  <w:vAlign w:val="center"/>
                </w:tcPr>
                <w:p w14:paraId="3E9B6363">
                  <w:pPr>
                    <w:spacing w:line="240" w:lineRule="atLeast"/>
                    <w:jc w:val="center"/>
                    <w:rPr>
                      <w:rFonts w:ascii="Times New Roman" w:hAnsi="Times New Roman" w:eastAsiaTheme="minorEastAsia"/>
                      <w:color w:val="auto"/>
                      <w:spacing w:val="-2"/>
                      <w:szCs w:val="21"/>
                      <w:highlight w:val="none"/>
                    </w:rPr>
                  </w:pPr>
                </w:p>
              </w:tc>
              <w:tc>
                <w:tcPr>
                  <w:tcW w:w="975" w:type="pct"/>
                  <w:vAlign w:val="center"/>
                </w:tcPr>
                <w:p w14:paraId="6DB94578">
                  <w:pPr>
                    <w:spacing w:line="240" w:lineRule="atLeast"/>
                    <w:jc w:val="center"/>
                    <w:rPr>
                      <w:rFonts w:hint="eastAsia" w:ascii="Times New Roman" w:hAnsi="Times New Roman" w:eastAsiaTheme="minorEastAsia"/>
                      <w:color w:val="auto"/>
                      <w:spacing w:val="-2"/>
                      <w:szCs w:val="21"/>
                      <w:highlight w:val="none"/>
                      <w:lang w:eastAsia="zh-CN"/>
                    </w:rPr>
                  </w:pPr>
                  <w:r>
                    <w:rPr>
                      <w:rFonts w:hint="eastAsia" w:ascii="Times New Roman" w:hAnsi="Times New Roman" w:eastAsiaTheme="minorEastAsia"/>
                      <w:color w:val="auto"/>
                      <w:spacing w:val="-2"/>
                      <w:szCs w:val="21"/>
                      <w:highlight w:val="none"/>
                      <w:lang w:val="en-US" w:eastAsia="zh-CN"/>
                    </w:rPr>
                    <w:t>液碱</w:t>
                  </w:r>
                </w:p>
              </w:tc>
              <w:tc>
                <w:tcPr>
                  <w:tcW w:w="783" w:type="pct"/>
                  <w:vAlign w:val="center"/>
                </w:tcPr>
                <w:p w14:paraId="202B7897">
                  <w:pPr>
                    <w:spacing w:line="240" w:lineRule="atLeast"/>
                    <w:jc w:val="center"/>
                    <w:rPr>
                      <w:rFonts w:ascii="Times New Roman" w:hAnsi="Times New Roman" w:eastAsiaTheme="minorEastAsia"/>
                      <w:color w:val="auto"/>
                      <w:spacing w:val="-2"/>
                      <w:szCs w:val="21"/>
                      <w:highlight w:val="none"/>
                    </w:rPr>
                  </w:pPr>
                  <w:r>
                    <w:rPr>
                      <w:rFonts w:hint="eastAsia" w:ascii="Times New Roman" w:hAnsi="Times New Roman" w:eastAsiaTheme="minorEastAsia"/>
                      <w:color w:val="auto"/>
                      <w:spacing w:val="-2"/>
                      <w:szCs w:val="21"/>
                      <w:highlight w:val="none"/>
                    </w:rPr>
                    <w:t>t/a</w:t>
                  </w:r>
                </w:p>
              </w:tc>
              <w:tc>
                <w:tcPr>
                  <w:tcW w:w="522" w:type="pct"/>
                  <w:vAlign w:val="center"/>
                </w:tcPr>
                <w:p w14:paraId="4EB25F79">
                  <w:pPr>
                    <w:snapToGrid w:val="0"/>
                    <w:jc w:val="center"/>
                    <w:rPr>
                      <w:rFonts w:hint="default" w:ascii="Times New Roman" w:hAnsi="Times New Roman" w:eastAsiaTheme="minorEastAsia"/>
                      <w:color w:val="auto"/>
                      <w:kern w:val="0"/>
                      <w:szCs w:val="21"/>
                      <w:highlight w:val="none"/>
                      <w:lang w:val="en-US" w:eastAsia="zh-CN"/>
                    </w:rPr>
                  </w:pPr>
                  <w:r>
                    <w:rPr>
                      <w:rFonts w:hint="eastAsia" w:ascii="Times New Roman" w:hAnsi="Times New Roman" w:eastAsiaTheme="minorEastAsia"/>
                      <w:color w:val="auto"/>
                      <w:kern w:val="0"/>
                      <w:szCs w:val="21"/>
                      <w:highlight w:val="none"/>
                      <w:lang w:val="en-US" w:eastAsia="zh-CN"/>
                    </w:rPr>
                    <w:t>0.4</w:t>
                  </w:r>
                </w:p>
              </w:tc>
              <w:tc>
                <w:tcPr>
                  <w:tcW w:w="1835" w:type="pct"/>
                  <w:vAlign w:val="center"/>
                </w:tcPr>
                <w:p w14:paraId="72E21B4D">
                  <w:pPr>
                    <w:snapToGrid w:val="0"/>
                    <w:jc w:val="center"/>
                    <w:rPr>
                      <w:rFonts w:hint="eastAsia" w:ascii="Times New Roman" w:hAnsi="Times New Roman" w:eastAsia="宋体"/>
                      <w:color w:val="auto"/>
                      <w:kern w:val="0"/>
                      <w:szCs w:val="21"/>
                      <w:highlight w:val="none"/>
                      <w:lang w:eastAsia="zh-CN"/>
                    </w:rPr>
                  </w:pPr>
                  <w:r>
                    <w:rPr>
                      <w:rFonts w:hint="eastAsia" w:ascii="Times New Roman" w:hAnsi="Times New Roman" w:eastAsiaTheme="minorEastAsia"/>
                      <w:color w:val="auto"/>
                      <w:kern w:val="0"/>
                      <w:szCs w:val="21"/>
                      <w:highlight w:val="none"/>
                    </w:rPr>
                    <w:t>喷淋装置使用药剂</w:t>
                  </w:r>
                  <w:r>
                    <w:rPr>
                      <w:rFonts w:hint="eastAsia" w:ascii="Times New Roman" w:hAnsi="Times New Roman" w:eastAsiaTheme="minorEastAsia"/>
                      <w:color w:val="auto"/>
                      <w:kern w:val="0"/>
                      <w:szCs w:val="21"/>
                      <w:highlight w:val="none"/>
                      <w:lang w:eastAsia="zh-CN"/>
                    </w:rPr>
                    <w:t>，碱液循环使用，循环量为</w:t>
                  </w:r>
                  <w:r>
                    <w:rPr>
                      <w:rFonts w:hint="eastAsia" w:ascii="Times New Roman" w:hAnsi="Times New Roman" w:eastAsiaTheme="minorEastAsia"/>
                      <w:color w:val="auto"/>
                      <w:kern w:val="0"/>
                      <w:szCs w:val="21"/>
                      <w:highlight w:val="none"/>
                      <w:lang w:val="en-US" w:eastAsia="zh-CN"/>
                    </w:rPr>
                    <w:t>0.2</w:t>
                  </w:r>
                  <w:r>
                    <w:rPr>
                      <w:rFonts w:hint="eastAsia" w:ascii="Times New Roman" w:hAnsi="Times New Roman" w:eastAsiaTheme="minorEastAsia"/>
                      <w:color w:val="auto"/>
                      <w:kern w:val="0"/>
                      <w:szCs w:val="21"/>
                      <w:highlight w:val="none"/>
                      <w:lang w:eastAsia="zh-CN"/>
                    </w:rPr>
                    <w:t>t，</w:t>
                  </w:r>
                  <w:r>
                    <w:rPr>
                      <w:rFonts w:hint="eastAsia" w:ascii="Times New Roman" w:hAnsi="Times New Roman" w:eastAsiaTheme="minorEastAsia"/>
                      <w:color w:val="auto"/>
                      <w:kern w:val="0"/>
                      <w:szCs w:val="21"/>
                      <w:highlight w:val="none"/>
                      <w:lang w:val="en-US" w:eastAsia="zh-CN"/>
                    </w:rPr>
                    <w:t>每半年</w:t>
                  </w:r>
                  <w:r>
                    <w:rPr>
                      <w:rFonts w:hint="eastAsia" w:ascii="Times New Roman" w:hAnsi="Times New Roman" w:eastAsiaTheme="minorEastAsia"/>
                      <w:color w:val="auto"/>
                      <w:kern w:val="0"/>
                      <w:szCs w:val="21"/>
                      <w:highlight w:val="none"/>
                      <w:lang w:eastAsia="zh-CN"/>
                    </w:rPr>
                    <w:t>更换一次，</w:t>
                  </w:r>
                  <w:r>
                    <w:rPr>
                      <w:rFonts w:hint="eastAsia" w:ascii="Times New Roman" w:hAnsi="Times New Roman" w:eastAsiaTheme="minorEastAsia"/>
                      <w:color w:val="auto"/>
                      <w:kern w:val="0"/>
                      <w:szCs w:val="21"/>
                      <w:highlight w:val="none"/>
                      <w:lang w:val="en-US" w:eastAsia="zh-CN"/>
                    </w:rPr>
                    <w:t>本项目使用的液碱浓度为</w:t>
                  </w:r>
                  <w:r>
                    <w:rPr>
                      <w:rFonts w:hint="eastAsia" w:ascii="Times New Roman" w:hAnsi="Times New Roman" w:eastAsiaTheme="minorEastAsia"/>
                      <w:color w:val="auto"/>
                      <w:kern w:val="0"/>
                      <w:szCs w:val="21"/>
                      <w:highlight w:val="none"/>
                    </w:rPr>
                    <w:t>40%-42%</w:t>
                  </w:r>
                </w:p>
              </w:tc>
            </w:tr>
            <w:tr w14:paraId="7F80B3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25" w:type="pct"/>
                  <w:vAlign w:val="center"/>
                </w:tcPr>
                <w:p w14:paraId="6B552573">
                  <w:pPr>
                    <w:wordWrap w:val="0"/>
                    <w:topLinePunct/>
                    <w:adjustRightInd w:val="0"/>
                    <w:snapToGrid w:val="0"/>
                    <w:jc w:val="center"/>
                    <w:rPr>
                      <w:rFonts w:hint="eastAsia" w:ascii="Times New Roman" w:hAnsi="Times New Roman" w:eastAsiaTheme="minorEastAsia"/>
                      <w:bCs/>
                      <w:color w:val="auto"/>
                      <w:szCs w:val="21"/>
                      <w:highlight w:val="none"/>
                      <w:lang w:val="en-US" w:eastAsia="zh-CN"/>
                    </w:rPr>
                  </w:pPr>
                  <w:r>
                    <w:rPr>
                      <w:rFonts w:hint="eastAsia" w:ascii="Times New Roman" w:hAnsi="Times New Roman" w:eastAsiaTheme="minorEastAsia"/>
                      <w:bCs/>
                      <w:color w:val="auto"/>
                      <w:szCs w:val="21"/>
                      <w:highlight w:val="none"/>
                      <w:lang w:val="en-US" w:eastAsia="zh-CN"/>
                    </w:rPr>
                    <w:t>4</w:t>
                  </w:r>
                </w:p>
              </w:tc>
              <w:tc>
                <w:tcPr>
                  <w:tcW w:w="457" w:type="pct"/>
                  <w:vMerge w:val="restart"/>
                  <w:vAlign w:val="center"/>
                </w:tcPr>
                <w:p w14:paraId="17951B24">
                  <w:pPr>
                    <w:spacing w:line="240" w:lineRule="atLeast"/>
                    <w:jc w:val="center"/>
                    <w:rPr>
                      <w:rFonts w:hint="eastAsia" w:ascii="Times New Roman" w:hAnsi="Times New Roman" w:eastAsiaTheme="minorEastAsia"/>
                      <w:color w:val="auto"/>
                      <w:spacing w:val="-2"/>
                      <w:szCs w:val="21"/>
                      <w:highlight w:val="none"/>
                      <w:lang w:val="en-US" w:eastAsia="zh-CN"/>
                    </w:rPr>
                  </w:pPr>
                  <w:r>
                    <w:rPr>
                      <w:rFonts w:hint="eastAsia" w:ascii="Times New Roman" w:hAnsi="Times New Roman" w:eastAsiaTheme="minorEastAsia"/>
                      <w:color w:val="auto"/>
                      <w:spacing w:val="-2"/>
                      <w:szCs w:val="21"/>
                      <w:highlight w:val="none"/>
                      <w:lang w:val="en-US" w:eastAsia="zh-CN"/>
                    </w:rPr>
                    <w:t>能源</w:t>
                  </w:r>
                </w:p>
              </w:tc>
              <w:tc>
                <w:tcPr>
                  <w:tcW w:w="975" w:type="pct"/>
                  <w:vAlign w:val="center"/>
                </w:tcPr>
                <w:p w14:paraId="0D9E9E37">
                  <w:pPr>
                    <w:spacing w:line="240" w:lineRule="atLeast"/>
                    <w:jc w:val="center"/>
                    <w:rPr>
                      <w:rFonts w:hint="eastAsia" w:ascii="Times New Roman" w:hAnsi="Times New Roman" w:eastAsiaTheme="minorEastAsia"/>
                      <w:color w:val="auto"/>
                      <w:spacing w:val="-2"/>
                      <w:szCs w:val="21"/>
                      <w:highlight w:val="none"/>
                      <w:lang w:eastAsia="zh-CN"/>
                    </w:rPr>
                  </w:pPr>
                  <w:r>
                    <w:rPr>
                      <w:rFonts w:hint="eastAsia" w:ascii="Times New Roman" w:hAnsi="Times New Roman" w:eastAsiaTheme="minorEastAsia"/>
                      <w:color w:val="auto"/>
                      <w:spacing w:val="-2"/>
                      <w:szCs w:val="21"/>
                      <w:highlight w:val="none"/>
                      <w:lang w:val="en-US" w:eastAsia="zh-CN"/>
                    </w:rPr>
                    <w:t>新鲜水</w:t>
                  </w:r>
                </w:p>
              </w:tc>
              <w:tc>
                <w:tcPr>
                  <w:tcW w:w="783" w:type="pct"/>
                  <w:vAlign w:val="center"/>
                </w:tcPr>
                <w:p w14:paraId="2A6D8B8C">
                  <w:pPr>
                    <w:spacing w:line="240" w:lineRule="atLeast"/>
                    <w:jc w:val="center"/>
                    <w:rPr>
                      <w:rFonts w:ascii="Times New Roman" w:hAnsi="Times New Roman" w:eastAsiaTheme="minorEastAsia"/>
                      <w:color w:val="auto"/>
                      <w:spacing w:val="-2"/>
                      <w:szCs w:val="21"/>
                      <w:highlight w:val="none"/>
                    </w:rPr>
                  </w:pPr>
                  <w:r>
                    <w:rPr>
                      <w:rFonts w:hint="eastAsia" w:ascii="Times New Roman" w:hAnsi="Times New Roman" w:eastAsiaTheme="minorEastAsia"/>
                      <w:color w:val="auto"/>
                      <w:spacing w:val="-2"/>
                      <w:szCs w:val="21"/>
                      <w:highlight w:val="none"/>
                    </w:rPr>
                    <w:t>m³/a</w:t>
                  </w:r>
                </w:p>
              </w:tc>
              <w:tc>
                <w:tcPr>
                  <w:tcW w:w="522" w:type="pct"/>
                  <w:vAlign w:val="center"/>
                </w:tcPr>
                <w:p w14:paraId="0A30D413">
                  <w:pPr>
                    <w:snapToGrid w:val="0"/>
                    <w:jc w:val="center"/>
                    <w:rPr>
                      <w:rFonts w:hint="default" w:ascii="Times New Roman" w:hAnsi="Times New Roman" w:eastAsiaTheme="minorEastAsia"/>
                      <w:color w:val="auto"/>
                      <w:kern w:val="0"/>
                      <w:szCs w:val="21"/>
                      <w:highlight w:val="none"/>
                      <w:lang w:val="en-US" w:eastAsia="zh-CN"/>
                    </w:rPr>
                  </w:pPr>
                  <w:r>
                    <w:rPr>
                      <w:rFonts w:hint="eastAsia" w:ascii="Times New Roman" w:hAnsi="Times New Roman" w:eastAsiaTheme="minorEastAsia"/>
                      <w:color w:val="auto"/>
                      <w:kern w:val="0"/>
                      <w:szCs w:val="21"/>
                      <w:highlight w:val="none"/>
                      <w:lang w:val="en-US" w:eastAsia="zh-CN"/>
                    </w:rPr>
                    <w:t>141</w:t>
                  </w:r>
                </w:p>
              </w:tc>
              <w:tc>
                <w:tcPr>
                  <w:tcW w:w="1835" w:type="pct"/>
                  <w:vAlign w:val="center"/>
                </w:tcPr>
                <w:p w14:paraId="349CEC12">
                  <w:pPr>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园区供水系统供给</w:t>
                  </w:r>
                </w:p>
              </w:tc>
            </w:tr>
            <w:tr w14:paraId="0C7A01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25" w:type="pct"/>
                  <w:vAlign w:val="center"/>
                </w:tcPr>
                <w:p w14:paraId="5535989C">
                  <w:pPr>
                    <w:wordWrap w:val="0"/>
                    <w:topLinePunct/>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5</w:t>
                  </w:r>
                </w:p>
              </w:tc>
              <w:tc>
                <w:tcPr>
                  <w:tcW w:w="457" w:type="pct"/>
                  <w:vMerge w:val="continue"/>
                  <w:vAlign w:val="center"/>
                </w:tcPr>
                <w:p w14:paraId="0A700364">
                  <w:pPr>
                    <w:spacing w:line="240" w:lineRule="atLeast"/>
                    <w:jc w:val="center"/>
                    <w:rPr>
                      <w:rFonts w:ascii="Times New Roman" w:hAnsi="Times New Roman" w:eastAsiaTheme="minorEastAsia"/>
                      <w:color w:val="auto"/>
                      <w:spacing w:val="-2"/>
                      <w:szCs w:val="21"/>
                      <w:highlight w:val="none"/>
                    </w:rPr>
                  </w:pPr>
                </w:p>
              </w:tc>
              <w:tc>
                <w:tcPr>
                  <w:tcW w:w="975" w:type="pct"/>
                  <w:vAlign w:val="center"/>
                </w:tcPr>
                <w:p w14:paraId="3295B531">
                  <w:pPr>
                    <w:widowControl/>
                    <w:spacing w:line="300" w:lineRule="exact"/>
                    <w:jc w:val="center"/>
                    <w:rPr>
                      <w:rFonts w:hint="eastAsia"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电</w:t>
                  </w:r>
                </w:p>
              </w:tc>
              <w:tc>
                <w:tcPr>
                  <w:tcW w:w="783" w:type="pct"/>
                  <w:vAlign w:val="center"/>
                </w:tcPr>
                <w:p w14:paraId="2EEFFD84">
                  <w:pPr>
                    <w:spacing w:line="240" w:lineRule="atLeast"/>
                    <w:jc w:val="center"/>
                    <w:rPr>
                      <w:rFonts w:ascii="Times New Roman" w:hAnsi="Times New Roman" w:eastAsiaTheme="minorEastAsia"/>
                      <w:color w:val="auto"/>
                      <w:spacing w:val="-2"/>
                      <w:szCs w:val="21"/>
                      <w:highlight w:val="none"/>
                    </w:rPr>
                  </w:pPr>
                  <w:r>
                    <w:rPr>
                      <w:rFonts w:hint="eastAsia" w:ascii="Times New Roman" w:hAnsi="Times New Roman" w:eastAsiaTheme="minorEastAsia"/>
                      <w:color w:val="auto"/>
                      <w:spacing w:val="-2"/>
                      <w:szCs w:val="21"/>
                      <w:highlight w:val="none"/>
                    </w:rPr>
                    <w:t>万kW·h/a</w:t>
                  </w:r>
                </w:p>
              </w:tc>
              <w:tc>
                <w:tcPr>
                  <w:tcW w:w="522" w:type="pct"/>
                  <w:vAlign w:val="center"/>
                </w:tcPr>
                <w:p w14:paraId="50D5E6BD">
                  <w:pPr>
                    <w:snapToGrid w:val="0"/>
                    <w:jc w:val="center"/>
                    <w:rPr>
                      <w:rFonts w:hint="eastAsia" w:ascii="Times New Roman" w:hAnsi="Times New Roman" w:eastAsiaTheme="minorEastAsia"/>
                      <w:color w:val="auto"/>
                      <w:kern w:val="0"/>
                      <w:szCs w:val="21"/>
                      <w:highlight w:val="none"/>
                      <w:lang w:val="en-US" w:eastAsia="zh-CN"/>
                    </w:rPr>
                  </w:pPr>
                  <w:r>
                    <w:rPr>
                      <w:rFonts w:hint="eastAsia" w:ascii="Times New Roman" w:hAnsi="Times New Roman" w:eastAsiaTheme="minorEastAsia"/>
                      <w:color w:val="auto"/>
                      <w:kern w:val="0"/>
                      <w:szCs w:val="21"/>
                      <w:highlight w:val="none"/>
                      <w:lang w:val="en-US" w:eastAsia="zh-CN"/>
                    </w:rPr>
                    <w:t>1</w:t>
                  </w:r>
                </w:p>
              </w:tc>
              <w:tc>
                <w:tcPr>
                  <w:tcW w:w="1835" w:type="pct"/>
                  <w:vAlign w:val="center"/>
                </w:tcPr>
                <w:p w14:paraId="3266C327">
                  <w:pPr>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color w:val="auto"/>
                      <w:kern w:val="0"/>
                      <w:szCs w:val="21"/>
                      <w:highlight w:val="none"/>
                    </w:rPr>
                    <w:t>园区供</w:t>
                  </w:r>
                  <w:r>
                    <w:rPr>
                      <w:rFonts w:hint="eastAsia" w:ascii="Times New Roman" w:hAnsi="Times New Roman" w:eastAsiaTheme="minorEastAsia"/>
                      <w:color w:val="auto"/>
                      <w:kern w:val="0"/>
                      <w:szCs w:val="21"/>
                      <w:highlight w:val="none"/>
                      <w:lang w:val="en-US" w:eastAsia="zh-CN"/>
                    </w:rPr>
                    <w:t>电</w:t>
                  </w:r>
                  <w:r>
                    <w:rPr>
                      <w:rFonts w:hint="eastAsia" w:ascii="Times New Roman" w:hAnsi="Times New Roman" w:eastAsiaTheme="minorEastAsia"/>
                      <w:color w:val="auto"/>
                      <w:kern w:val="0"/>
                      <w:szCs w:val="21"/>
                      <w:highlight w:val="none"/>
                    </w:rPr>
                    <w:t>系统供给</w:t>
                  </w:r>
                </w:p>
              </w:tc>
            </w:tr>
          </w:tbl>
          <w:p w14:paraId="58AC45CA">
            <w:pPr>
              <w:spacing w:line="360" w:lineRule="auto"/>
              <w:ind w:firstLine="480" w:firstLineChars="20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原辅料性质</w:t>
            </w:r>
          </w:p>
          <w:p w14:paraId="7685D72D">
            <w:pPr>
              <w:spacing w:line="360" w:lineRule="auto"/>
              <w:ind w:firstLine="480" w:firstLineChars="20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液碱：</w:t>
            </w:r>
            <w:r>
              <w:rPr>
                <w:rFonts w:hint="eastAsia" w:ascii="Times New Roman" w:hAnsi="Times New Roman" w:cs="Times New Roman" w:eastAsiaTheme="minorEastAsia"/>
                <w:color w:val="auto"/>
                <w:sz w:val="24"/>
                <w:szCs w:val="24"/>
                <w:highlight w:val="none"/>
                <w:lang w:val="en-US" w:eastAsia="zh-CN"/>
              </w:rPr>
              <w:t>化学名称为氢氧化钠，</w:t>
            </w:r>
            <w:r>
              <w:rPr>
                <w:rFonts w:hint="default" w:ascii="Times New Roman" w:hAnsi="Times New Roman" w:cs="Times New Roman" w:eastAsiaTheme="minorEastAsia"/>
                <w:color w:val="auto"/>
                <w:sz w:val="24"/>
                <w:szCs w:val="24"/>
                <w:highlight w:val="none"/>
              </w:rPr>
              <w:t>纯品为无色透明液体。相对密度</w:t>
            </w:r>
            <w:r>
              <w:rPr>
                <w:rFonts w:hint="eastAsia" w:ascii="Times New Roman" w:hAnsi="Times New Roman" w:cs="Times New Roman" w:eastAsiaTheme="minorEastAsia"/>
                <w:color w:val="auto"/>
                <w:sz w:val="24"/>
                <w:szCs w:val="24"/>
                <w:highlight w:val="none"/>
                <w:lang w:val="en-US" w:eastAsia="zh-CN"/>
              </w:rPr>
              <w:t>2.130</w:t>
            </w:r>
            <w:r>
              <w:rPr>
                <w:rFonts w:hint="default" w:ascii="Times New Roman" w:hAnsi="Times New Roman" w:cs="Times New Roman" w:eastAsiaTheme="minorEastAsia"/>
                <w:color w:val="auto"/>
                <w:sz w:val="24"/>
                <w:szCs w:val="24"/>
                <w:highlight w:val="none"/>
              </w:rPr>
              <w:t>，熔点318.4℃，沸点1390℃。仪器工业用作酸中和剂、脱色剂、脱臭剂。</w:t>
            </w:r>
          </w:p>
          <w:p w14:paraId="2CFC4350">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注：</w:t>
            </w:r>
            <w:r>
              <w:rPr>
                <w:rFonts w:hint="eastAsia" w:ascii="Times New Roman" w:hAnsi="Times New Roman" w:cs="Times New Roman" w:eastAsiaTheme="minorEastAsia"/>
                <w:color w:val="auto"/>
                <w:sz w:val="24"/>
                <w:szCs w:val="24"/>
                <w:highlight w:val="none"/>
                <w:lang w:val="en-US" w:eastAsia="zh-CN"/>
              </w:rPr>
              <w:t>废旧铅酸蓄电池</w:t>
            </w:r>
            <w:r>
              <w:rPr>
                <w:rFonts w:hint="default" w:ascii="Times New Roman" w:hAnsi="Times New Roman" w:cs="Times New Roman" w:eastAsiaTheme="minorEastAsia"/>
                <w:color w:val="auto"/>
                <w:sz w:val="24"/>
                <w:szCs w:val="24"/>
                <w:highlight w:val="none"/>
                <w:lang w:val="en-US" w:eastAsia="zh-CN"/>
              </w:rPr>
              <w:t>中主要物质的理化性质见本章3、（2）—（4）内容。</w:t>
            </w:r>
          </w:p>
          <w:p w14:paraId="592FAF1B">
            <w:pPr>
              <w:spacing w:line="360" w:lineRule="auto"/>
              <w:ind w:firstLine="480" w:firstLineChars="200"/>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lang w:val="en-US" w:eastAsia="zh-CN"/>
              </w:rPr>
              <w:t>6</w:t>
            </w:r>
            <w:r>
              <w:rPr>
                <w:rFonts w:ascii="Times New Roman" w:hAnsi="Times New Roman" w:eastAsiaTheme="minorEastAsia"/>
                <w:color w:val="auto"/>
                <w:sz w:val="24"/>
                <w:szCs w:val="24"/>
                <w:highlight w:val="none"/>
              </w:rPr>
              <w:t>、劳动定员和工作制度</w:t>
            </w:r>
          </w:p>
          <w:p w14:paraId="5C0E12FB">
            <w:pPr>
              <w:spacing w:line="360" w:lineRule="auto"/>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本项目劳动的定员6人，本项目年工作天数300天，实行</w:t>
            </w:r>
            <w:r>
              <w:rPr>
                <w:rFonts w:hint="eastAsia" w:ascii="Times New Roman" w:hAnsi="Times New Roman" w:eastAsiaTheme="minorEastAsia"/>
                <w:color w:val="auto"/>
                <w:sz w:val="24"/>
                <w:szCs w:val="24"/>
                <w:highlight w:val="none"/>
              </w:rPr>
              <w:t>白</w:t>
            </w:r>
            <w:r>
              <w:rPr>
                <w:rFonts w:ascii="Times New Roman" w:hAnsi="Times New Roman" w:eastAsiaTheme="minorEastAsia"/>
                <w:color w:val="auto"/>
                <w:sz w:val="24"/>
                <w:szCs w:val="24"/>
                <w:highlight w:val="none"/>
              </w:rPr>
              <w:t>班制，每班8小时。</w:t>
            </w:r>
          </w:p>
          <w:p w14:paraId="7E6BFB55">
            <w:pPr>
              <w:spacing w:line="360" w:lineRule="auto"/>
              <w:ind w:firstLine="480" w:firstLineChars="200"/>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lang w:val="en-US" w:eastAsia="zh-CN"/>
              </w:rPr>
              <w:t>7</w:t>
            </w:r>
            <w:r>
              <w:rPr>
                <w:rFonts w:ascii="Times New Roman" w:hAnsi="Times New Roman" w:eastAsiaTheme="minorEastAsia"/>
                <w:color w:val="auto"/>
                <w:sz w:val="24"/>
                <w:szCs w:val="24"/>
                <w:highlight w:val="none"/>
              </w:rPr>
              <w:t>、平面布置</w:t>
            </w:r>
          </w:p>
          <w:p w14:paraId="1160EDB2">
            <w:pPr>
              <w:spacing w:line="360" w:lineRule="auto"/>
              <w:ind w:firstLine="480" w:firstLineChars="200"/>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本项目车间为矩形，车辆入口和人员专用入口位于项目北部，车间内由北至南依次为装卸区、暂存区、完整电池存储区、破损电池存储区，厂区入口处东北侧为</w:t>
            </w:r>
            <w:r>
              <w:rPr>
                <w:rFonts w:ascii="Times New Roman" w:hAnsi="Times New Roman" w:eastAsiaTheme="minorEastAsia"/>
                <w:color w:val="auto"/>
                <w:sz w:val="24"/>
                <w:szCs w:val="24"/>
                <w:highlight w:val="none"/>
              </w:rPr>
              <w:t>危险废物暂存区</w:t>
            </w:r>
            <w:r>
              <w:rPr>
                <w:rFonts w:hint="eastAsia" w:ascii="Times New Roman" w:hAnsi="Times New Roman" w:eastAsiaTheme="minorEastAsia"/>
                <w:color w:val="auto"/>
                <w:sz w:val="24"/>
                <w:szCs w:val="24"/>
                <w:highlight w:val="none"/>
              </w:rPr>
              <w:t>。</w:t>
            </w:r>
          </w:p>
          <w:p w14:paraId="0A951C6A">
            <w:pPr>
              <w:spacing w:line="360" w:lineRule="auto"/>
              <w:ind w:firstLine="480" w:firstLineChars="200"/>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本项目贮存危险废物均分区分类存放，</w:t>
            </w:r>
            <w:r>
              <w:rPr>
                <w:rFonts w:hint="eastAsia" w:ascii="Times New Roman" w:hAnsi="Times New Roman" w:eastAsiaTheme="minorEastAsia"/>
                <w:color w:val="auto"/>
                <w:sz w:val="24"/>
                <w:szCs w:val="24"/>
                <w:highlight w:val="none"/>
                <w:lang w:val="en-US" w:eastAsia="zh-CN"/>
              </w:rPr>
              <w:t>并设置分区</w:t>
            </w:r>
            <w:r>
              <w:rPr>
                <w:rFonts w:hint="eastAsia" w:ascii="Times New Roman" w:hAnsi="Times New Roman" w:eastAsiaTheme="minorEastAsia"/>
                <w:color w:val="auto"/>
                <w:sz w:val="24"/>
                <w:szCs w:val="24"/>
                <w:highlight w:val="none"/>
              </w:rPr>
              <w:t>。</w:t>
            </w:r>
            <w:r>
              <w:rPr>
                <w:rFonts w:hint="eastAsia" w:ascii="Times New Roman" w:hAnsi="Times New Roman" w:eastAsiaTheme="minorEastAsia"/>
                <w:color w:val="auto"/>
                <w:sz w:val="24"/>
                <w:szCs w:val="24"/>
                <w:highlight w:val="none"/>
                <w:lang w:eastAsia="zh-CN"/>
              </w:rPr>
              <w:t>废旧铅酸蓄电池</w:t>
            </w:r>
            <w:r>
              <w:rPr>
                <w:rFonts w:hint="eastAsia" w:ascii="Times New Roman" w:hAnsi="Times New Roman" w:eastAsiaTheme="minorEastAsia"/>
                <w:color w:val="auto"/>
                <w:sz w:val="24"/>
                <w:szCs w:val="24"/>
                <w:highlight w:val="none"/>
              </w:rPr>
              <w:t>存放区内设置废液</w:t>
            </w:r>
            <w:r>
              <w:rPr>
                <w:rFonts w:hint="eastAsia" w:ascii="Times New Roman" w:hAnsi="Times New Roman" w:eastAsiaTheme="minorEastAsia"/>
                <w:color w:val="auto"/>
                <w:sz w:val="24"/>
                <w:szCs w:val="24"/>
                <w:highlight w:val="none"/>
                <w:lang w:val="en-US" w:eastAsia="zh-CN"/>
              </w:rPr>
              <w:t>导流沟</w:t>
            </w:r>
            <w:r>
              <w:rPr>
                <w:rFonts w:hint="eastAsia" w:ascii="Times New Roman" w:hAnsi="Times New Roman" w:eastAsiaTheme="minorEastAsia"/>
                <w:color w:val="auto"/>
                <w:sz w:val="24"/>
                <w:szCs w:val="24"/>
                <w:highlight w:val="none"/>
                <w:lang w:eastAsia="zh-CN"/>
              </w:rPr>
              <w:t>，</w:t>
            </w:r>
            <w:r>
              <w:rPr>
                <w:rFonts w:hint="eastAsia" w:ascii="Times New Roman" w:hAnsi="Times New Roman" w:eastAsiaTheme="minorEastAsia"/>
                <w:color w:val="auto"/>
                <w:sz w:val="24"/>
                <w:szCs w:val="24"/>
                <w:highlight w:val="none"/>
                <w:lang w:val="en-US" w:eastAsia="zh-CN"/>
              </w:rPr>
              <w:t>并连接至</w:t>
            </w:r>
            <w:r>
              <w:rPr>
                <w:rFonts w:hint="eastAsia" w:ascii="Times New Roman" w:hAnsi="Times New Roman" w:eastAsiaTheme="minorEastAsia"/>
                <w:color w:val="auto"/>
                <w:sz w:val="24"/>
                <w:szCs w:val="24"/>
                <w:highlight w:val="none"/>
              </w:rPr>
              <w:t>收集池（</w:t>
            </w:r>
            <w:r>
              <w:rPr>
                <w:rFonts w:ascii="Times New Roman" w:hAnsi="Times New Roman" w:eastAsiaTheme="minorEastAsia"/>
                <w:color w:val="auto"/>
                <w:sz w:val="24"/>
                <w:szCs w:val="24"/>
                <w:highlight w:val="none"/>
              </w:rPr>
              <w:t>2m</w:t>
            </w:r>
            <w:r>
              <w:rPr>
                <w:rFonts w:ascii="Times New Roman" w:hAnsi="Times New Roman" w:eastAsiaTheme="minorEastAsia"/>
                <w:color w:val="auto"/>
                <w:sz w:val="24"/>
                <w:szCs w:val="24"/>
                <w:highlight w:val="none"/>
                <w:vertAlign w:val="superscript"/>
              </w:rPr>
              <w:t>3</w:t>
            </w:r>
            <w:r>
              <w:rPr>
                <w:rFonts w:hint="eastAsia" w:ascii="Times New Roman" w:hAnsi="Times New Roman" w:eastAsiaTheme="minorEastAsia"/>
                <w:color w:val="auto"/>
                <w:sz w:val="24"/>
                <w:szCs w:val="24"/>
                <w:highlight w:val="none"/>
              </w:rPr>
              <w:t>）</w:t>
            </w:r>
            <w:r>
              <w:rPr>
                <w:rFonts w:hint="eastAsia" w:ascii="Times New Roman" w:hAnsi="Times New Roman" w:eastAsiaTheme="minorEastAsia"/>
                <w:color w:val="auto"/>
                <w:sz w:val="24"/>
                <w:szCs w:val="24"/>
                <w:highlight w:val="none"/>
                <w:lang w:eastAsia="zh-CN"/>
              </w:rPr>
              <w:t>，</w:t>
            </w:r>
            <w:r>
              <w:rPr>
                <w:rFonts w:hint="eastAsia" w:ascii="Times New Roman" w:hAnsi="Times New Roman" w:eastAsiaTheme="minorEastAsia"/>
                <w:color w:val="auto"/>
                <w:sz w:val="24"/>
                <w:szCs w:val="24"/>
                <w:highlight w:val="none"/>
                <w:lang w:val="en-US" w:eastAsia="zh-CN"/>
              </w:rPr>
              <w:t>收集池设置与车间外东北侧</w:t>
            </w:r>
            <w:r>
              <w:rPr>
                <w:rFonts w:hint="eastAsia" w:ascii="Times New Roman" w:hAnsi="Times New Roman" w:eastAsiaTheme="minorEastAsia"/>
                <w:color w:val="auto"/>
                <w:sz w:val="24"/>
                <w:szCs w:val="24"/>
                <w:highlight w:val="none"/>
              </w:rPr>
              <w:t>，本项目贮存危险废物均分区分类存放。车间内分区明确，工艺顺畅，总平面布置合理。建完后全厂总平面布置见附图</w:t>
            </w:r>
            <w:r>
              <w:rPr>
                <w:rFonts w:ascii="Times New Roman" w:hAnsi="Times New Roman" w:eastAsiaTheme="minorEastAsia"/>
                <w:color w:val="auto"/>
                <w:sz w:val="24"/>
                <w:szCs w:val="24"/>
                <w:highlight w:val="none"/>
              </w:rPr>
              <w:t>3</w:t>
            </w:r>
            <w:r>
              <w:rPr>
                <w:rFonts w:hint="eastAsia" w:ascii="Times New Roman" w:hAnsi="Times New Roman" w:eastAsiaTheme="minorEastAsia"/>
                <w:color w:val="auto"/>
                <w:sz w:val="24"/>
                <w:szCs w:val="24"/>
                <w:highlight w:val="none"/>
              </w:rPr>
              <w:t>。</w:t>
            </w:r>
          </w:p>
          <w:p w14:paraId="7D889039">
            <w:pPr>
              <w:spacing w:line="360" w:lineRule="auto"/>
              <w:ind w:firstLine="480" w:firstLineChars="200"/>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lang w:val="en-US" w:eastAsia="zh-CN"/>
              </w:rPr>
              <w:t>8</w:t>
            </w:r>
            <w:r>
              <w:rPr>
                <w:rFonts w:ascii="Times New Roman" w:hAnsi="Times New Roman" w:eastAsiaTheme="minorEastAsia"/>
                <w:color w:val="auto"/>
                <w:sz w:val="24"/>
                <w:szCs w:val="24"/>
                <w:highlight w:val="none"/>
              </w:rPr>
              <w:t>、给排水</w:t>
            </w:r>
          </w:p>
          <w:p w14:paraId="7377F19B">
            <w:pPr>
              <w:autoSpaceDE w:val="0"/>
              <w:autoSpaceDN w:val="0"/>
              <w:spacing w:line="360" w:lineRule="auto"/>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（1）给水</w:t>
            </w:r>
          </w:p>
          <w:p w14:paraId="5CA93A69">
            <w:pPr>
              <w:spacing w:line="360" w:lineRule="auto"/>
              <w:ind w:firstLine="480" w:firstLineChars="200"/>
              <w:rPr>
                <w:rFonts w:ascii="Times New Roman" w:hAnsi="Times New Roman" w:eastAsiaTheme="minorEastAsia"/>
                <w:color w:val="auto"/>
                <w:kern w:val="0"/>
                <w:sz w:val="24"/>
                <w:szCs w:val="24"/>
                <w:highlight w:val="none"/>
              </w:rPr>
            </w:pPr>
            <w:r>
              <w:rPr>
                <w:rFonts w:hint="eastAsia" w:ascii="Times New Roman" w:hAnsi="Times New Roman" w:eastAsiaTheme="minorEastAsia"/>
                <w:color w:val="auto"/>
                <w:sz w:val="24"/>
                <w:szCs w:val="24"/>
                <w:highlight w:val="none"/>
              </w:rPr>
              <w:t>本项目</w:t>
            </w:r>
            <w:r>
              <w:rPr>
                <w:rFonts w:hint="eastAsia" w:ascii="Times New Roman" w:hAnsi="Times New Roman" w:eastAsiaTheme="minorEastAsia"/>
                <w:color w:val="auto"/>
                <w:sz w:val="24"/>
                <w:szCs w:val="24"/>
                <w:highlight w:val="none"/>
                <w:lang w:val="en-US" w:eastAsia="zh-CN"/>
              </w:rPr>
              <w:t>建</w:t>
            </w:r>
            <w:r>
              <w:rPr>
                <w:rFonts w:hint="eastAsia" w:ascii="Times New Roman" w:hAnsi="Times New Roman" w:eastAsiaTheme="minorEastAsia"/>
                <w:color w:val="auto"/>
                <w:sz w:val="24"/>
                <w:szCs w:val="24"/>
                <w:highlight w:val="none"/>
              </w:rPr>
              <w:t>设完成后，全厂用水主要为脱硫塔用水、职工生活用水。全厂新鲜用水量为</w:t>
            </w:r>
            <w:r>
              <w:rPr>
                <w:rFonts w:hint="eastAsia" w:ascii="Times New Roman" w:hAnsi="Times New Roman" w:eastAsiaTheme="minorEastAsia"/>
                <w:color w:val="auto"/>
                <w:sz w:val="24"/>
                <w:szCs w:val="24"/>
                <w:highlight w:val="none"/>
                <w:lang w:val="en-US" w:eastAsia="zh-CN"/>
              </w:rPr>
              <w:t>141</w:t>
            </w:r>
            <w:r>
              <w:rPr>
                <w:rFonts w:ascii="Times New Roman" w:hAnsi="Times New Roman" w:eastAsiaTheme="minorEastAsia"/>
                <w:color w:val="auto"/>
                <w:sz w:val="24"/>
                <w:szCs w:val="24"/>
                <w:highlight w:val="none"/>
              </w:rPr>
              <w:t>m</w:t>
            </w:r>
            <w:r>
              <w:rPr>
                <w:rFonts w:ascii="Times New Roman" w:hAnsi="Times New Roman" w:eastAsiaTheme="minorEastAsia"/>
                <w:color w:val="auto"/>
                <w:sz w:val="24"/>
                <w:szCs w:val="24"/>
                <w:highlight w:val="none"/>
                <w:vertAlign w:val="superscript"/>
              </w:rPr>
              <w:t>3</w:t>
            </w:r>
            <w:r>
              <w:rPr>
                <w:rFonts w:ascii="Times New Roman" w:hAnsi="Times New Roman" w:eastAsiaTheme="minorEastAsia"/>
                <w:color w:val="auto"/>
                <w:sz w:val="24"/>
                <w:szCs w:val="24"/>
                <w:highlight w:val="none"/>
              </w:rPr>
              <w:t>/a</w:t>
            </w:r>
            <w:r>
              <w:rPr>
                <w:rFonts w:hint="eastAsia" w:ascii="Times New Roman" w:hAnsi="Times New Roman" w:eastAsiaTheme="minorEastAsia"/>
                <w:color w:val="auto"/>
                <w:sz w:val="24"/>
                <w:szCs w:val="24"/>
                <w:highlight w:val="none"/>
              </w:rPr>
              <w:t>，</w:t>
            </w:r>
            <w:r>
              <w:rPr>
                <w:rFonts w:ascii="Times New Roman" w:hAnsi="Times New Roman" w:eastAsiaTheme="minorEastAsia"/>
                <w:color w:val="auto"/>
                <w:sz w:val="24"/>
                <w:szCs w:val="24"/>
                <w:highlight w:val="none"/>
              </w:rPr>
              <w:t>新鲜</w:t>
            </w:r>
            <w:r>
              <w:rPr>
                <w:rFonts w:ascii="Times New Roman" w:hAnsi="Times New Roman" w:eastAsiaTheme="minorEastAsia"/>
                <w:color w:val="auto"/>
                <w:kern w:val="0"/>
                <w:sz w:val="24"/>
                <w:szCs w:val="24"/>
                <w:highlight w:val="none"/>
              </w:rPr>
              <w:t>水依托车间现有供水系统由河北徐水经济开发区地表水厂供给。</w:t>
            </w:r>
          </w:p>
          <w:p w14:paraId="38354C84">
            <w:pPr>
              <w:spacing w:line="360" w:lineRule="auto"/>
              <w:ind w:firstLine="480" w:firstLineChars="200"/>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lang w:val="en-US" w:eastAsia="zh-CN"/>
              </w:rPr>
              <w:t>脱硫塔</w:t>
            </w:r>
            <w:r>
              <w:rPr>
                <w:rFonts w:hint="eastAsia" w:ascii="Times New Roman" w:hAnsi="Times New Roman" w:eastAsiaTheme="minorEastAsia"/>
                <w:color w:val="auto"/>
                <w:sz w:val="24"/>
                <w:szCs w:val="24"/>
                <w:highlight w:val="none"/>
              </w:rPr>
              <w:t>用水：</w:t>
            </w:r>
            <w:r>
              <w:rPr>
                <w:rFonts w:hint="eastAsia" w:ascii="Times New Roman" w:hAnsi="Times New Roman" w:eastAsiaTheme="minorEastAsia"/>
                <w:color w:val="auto"/>
                <w:sz w:val="24"/>
                <w:szCs w:val="24"/>
                <w:highlight w:val="none"/>
                <w:lang w:val="en-US" w:eastAsia="zh-CN"/>
              </w:rPr>
              <w:t>脱硫塔为碱液喷淋塔，用水包括碱液配置用水和补水。配置用1.5m</w:t>
            </w:r>
            <w:r>
              <w:rPr>
                <w:rFonts w:hint="eastAsia" w:ascii="Times New Roman" w:hAnsi="Times New Roman" w:eastAsiaTheme="minorEastAsia"/>
                <w:color w:val="auto"/>
                <w:sz w:val="24"/>
                <w:szCs w:val="24"/>
                <w:highlight w:val="none"/>
                <w:vertAlign w:val="superscript"/>
                <w:lang w:val="en-US" w:eastAsia="zh-CN"/>
              </w:rPr>
              <w:t>3</w:t>
            </w:r>
            <w:r>
              <w:rPr>
                <w:rFonts w:hint="eastAsia" w:ascii="Times New Roman" w:hAnsi="Times New Roman" w:eastAsiaTheme="minorEastAsia"/>
                <w:color w:val="auto"/>
                <w:sz w:val="24"/>
                <w:szCs w:val="24"/>
                <w:highlight w:val="none"/>
                <w:vertAlign w:val="baseline"/>
                <w:lang w:val="en-US" w:eastAsia="zh-CN"/>
              </w:rPr>
              <w:t>新鲜水溶解0.2t液碱药剂，配置的碱液浓度为5%，</w:t>
            </w:r>
            <w:r>
              <w:rPr>
                <w:rFonts w:hint="eastAsia" w:ascii="Times New Roman" w:hAnsi="Times New Roman" w:eastAsiaTheme="minorEastAsia"/>
                <w:color w:val="auto"/>
                <w:sz w:val="24"/>
                <w:szCs w:val="24"/>
                <w:highlight w:val="none"/>
              </w:rPr>
              <w:t>喷淋塔喷淋水循环使用，循环水量为</w:t>
            </w:r>
            <w:r>
              <w:rPr>
                <w:rFonts w:hint="eastAsia" w:ascii="Times New Roman" w:hAnsi="Times New Roman" w:eastAsiaTheme="minorEastAsia"/>
                <w:color w:val="auto"/>
                <w:sz w:val="24"/>
                <w:szCs w:val="24"/>
                <w:highlight w:val="none"/>
                <w:lang w:val="en-US" w:eastAsia="zh-CN"/>
              </w:rPr>
              <w:t>1.5</w:t>
            </w:r>
            <w:r>
              <w:rPr>
                <w:rFonts w:ascii="Times New Roman" w:hAnsi="Times New Roman" w:eastAsiaTheme="minorEastAsia"/>
                <w:color w:val="auto"/>
                <w:sz w:val="24"/>
                <w:szCs w:val="24"/>
                <w:highlight w:val="none"/>
              </w:rPr>
              <w:t>m</w:t>
            </w:r>
            <w:r>
              <w:rPr>
                <w:rFonts w:ascii="Times New Roman" w:hAnsi="Times New Roman" w:eastAsiaTheme="minorEastAsia"/>
                <w:color w:val="auto"/>
                <w:sz w:val="24"/>
                <w:szCs w:val="24"/>
                <w:highlight w:val="none"/>
                <w:vertAlign w:val="superscript"/>
              </w:rPr>
              <w:t>3</w:t>
            </w:r>
            <w:r>
              <w:rPr>
                <w:rFonts w:ascii="Times New Roman" w:hAnsi="Times New Roman" w:eastAsiaTheme="minorEastAsia"/>
                <w:color w:val="auto"/>
                <w:sz w:val="24"/>
                <w:szCs w:val="24"/>
                <w:highlight w:val="none"/>
              </w:rPr>
              <w:t>/d</w:t>
            </w:r>
            <w:r>
              <w:rPr>
                <w:rFonts w:hint="eastAsia" w:ascii="Times New Roman" w:hAnsi="Times New Roman" w:eastAsiaTheme="minorEastAsia"/>
                <w:color w:val="auto"/>
                <w:sz w:val="24"/>
                <w:szCs w:val="24"/>
                <w:highlight w:val="none"/>
              </w:rPr>
              <w:t>，补水量为</w:t>
            </w:r>
            <w:r>
              <w:rPr>
                <w:rFonts w:ascii="Times New Roman" w:hAnsi="Times New Roman" w:eastAsiaTheme="minorEastAsia"/>
                <w:color w:val="auto"/>
                <w:sz w:val="24"/>
                <w:szCs w:val="24"/>
                <w:highlight w:val="none"/>
              </w:rPr>
              <w:t>0.02m</w:t>
            </w:r>
            <w:r>
              <w:rPr>
                <w:rFonts w:ascii="Times New Roman" w:hAnsi="Times New Roman" w:eastAsiaTheme="minorEastAsia"/>
                <w:color w:val="auto"/>
                <w:sz w:val="24"/>
                <w:szCs w:val="24"/>
                <w:highlight w:val="none"/>
                <w:vertAlign w:val="superscript"/>
              </w:rPr>
              <w:t>3</w:t>
            </w:r>
            <w:r>
              <w:rPr>
                <w:rFonts w:ascii="Times New Roman" w:hAnsi="Times New Roman" w:eastAsiaTheme="minorEastAsia"/>
                <w:color w:val="auto"/>
                <w:sz w:val="24"/>
                <w:szCs w:val="24"/>
                <w:highlight w:val="none"/>
              </w:rPr>
              <w:t>/d</w:t>
            </w:r>
            <w:r>
              <w:rPr>
                <w:rFonts w:hint="eastAsia" w:ascii="Times New Roman" w:hAnsi="Times New Roman" w:eastAsiaTheme="minorEastAsia"/>
                <w:color w:val="auto"/>
                <w:sz w:val="24"/>
                <w:szCs w:val="24"/>
                <w:highlight w:val="none"/>
              </w:rPr>
              <w:t>（</w:t>
            </w:r>
            <w:r>
              <w:rPr>
                <w:rFonts w:ascii="Times New Roman" w:hAnsi="Times New Roman" w:eastAsiaTheme="minorEastAsia"/>
                <w:color w:val="auto"/>
                <w:sz w:val="24"/>
                <w:szCs w:val="24"/>
                <w:highlight w:val="none"/>
              </w:rPr>
              <w:t>6.0m</w:t>
            </w:r>
            <w:r>
              <w:rPr>
                <w:rFonts w:ascii="Times New Roman" w:hAnsi="Times New Roman" w:eastAsiaTheme="minorEastAsia"/>
                <w:color w:val="auto"/>
                <w:sz w:val="24"/>
                <w:szCs w:val="24"/>
                <w:highlight w:val="none"/>
                <w:vertAlign w:val="superscript"/>
              </w:rPr>
              <w:t>3</w:t>
            </w:r>
            <w:r>
              <w:rPr>
                <w:rFonts w:ascii="Times New Roman" w:hAnsi="Times New Roman" w:eastAsiaTheme="minorEastAsia"/>
                <w:color w:val="auto"/>
                <w:sz w:val="24"/>
                <w:szCs w:val="24"/>
                <w:highlight w:val="none"/>
              </w:rPr>
              <w:t>/a</w:t>
            </w:r>
            <w:r>
              <w:rPr>
                <w:rFonts w:hint="eastAsia" w:ascii="Times New Roman" w:hAnsi="Times New Roman" w:eastAsiaTheme="minorEastAsia"/>
                <w:color w:val="auto"/>
                <w:sz w:val="24"/>
                <w:szCs w:val="24"/>
                <w:highlight w:val="none"/>
              </w:rPr>
              <w:t>）。喷淋塔</w:t>
            </w:r>
            <w:r>
              <w:rPr>
                <w:rFonts w:hint="eastAsia" w:ascii="Times New Roman" w:hAnsi="Times New Roman" w:eastAsiaTheme="minorEastAsia"/>
                <w:color w:val="auto"/>
                <w:sz w:val="24"/>
                <w:szCs w:val="24"/>
                <w:highlight w:val="none"/>
                <w:lang w:val="en-US" w:eastAsia="zh-CN"/>
              </w:rPr>
              <w:t>循环水每半年更换一次，废水</w:t>
            </w:r>
            <w:r>
              <w:rPr>
                <w:rFonts w:hint="eastAsia" w:ascii="Times New Roman" w:hAnsi="Times New Roman" w:eastAsiaTheme="minorEastAsia"/>
                <w:color w:val="auto"/>
                <w:sz w:val="24"/>
                <w:szCs w:val="24"/>
                <w:highlight w:val="none"/>
              </w:rPr>
              <w:t>产生量约</w:t>
            </w:r>
            <w:r>
              <w:rPr>
                <w:rFonts w:ascii="Times New Roman" w:hAnsi="Times New Roman" w:eastAsiaTheme="minorEastAsia"/>
                <w:color w:val="auto"/>
                <w:sz w:val="24"/>
                <w:szCs w:val="24"/>
                <w:highlight w:val="none"/>
              </w:rPr>
              <w:t>0</w:t>
            </w:r>
            <w:r>
              <w:rPr>
                <w:rFonts w:hint="eastAsia" w:ascii="Times New Roman" w:hAnsi="Times New Roman" w:eastAsiaTheme="minorEastAsia"/>
                <w:color w:val="auto"/>
                <w:sz w:val="24"/>
                <w:szCs w:val="24"/>
                <w:highlight w:val="none"/>
                <w:lang w:val="en-US" w:eastAsia="zh-CN"/>
              </w:rPr>
              <w:t>.01</w:t>
            </w:r>
            <w:r>
              <w:rPr>
                <w:rFonts w:ascii="Times New Roman" w:hAnsi="Times New Roman" w:eastAsiaTheme="minorEastAsia"/>
                <w:color w:val="auto"/>
                <w:sz w:val="24"/>
                <w:szCs w:val="24"/>
                <w:highlight w:val="none"/>
              </w:rPr>
              <w:t>m</w:t>
            </w:r>
            <w:r>
              <w:rPr>
                <w:rFonts w:ascii="Times New Roman" w:hAnsi="Times New Roman" w:eastAsiaTheme="minorEastAsia"/>
                <w:color w:val="auto"/>
                <w:sz w:val="24"/>
                <w:szCs w:val="24"/>
                <w:highlight w:val="none"/>
                <w:vertAlign w:val="superscript"/>
              </w:rPr>
              <w:t>3</w:t>
            </w:r>
            <w:r>
              <w:rPr>
                <w:rFonts w:ascii="Times New Roman" w:hAnsi="Times New Roman" w:eastAsiaTheme="minorEastAsia"/>
                <w:color w:val="auto"/>
                <w:sz w:val="24"/>
                <w:szCs w:val="24"/>
                <w:highlight w:val="none"/>
              </w:rPr>
              <w:t>/d</w:t>
            </w:r>
            <w:r>
              <w:rPr>
                <w:rFonts w:hint="eastAsia" w:ascii="Times New Roman" w:hAnsi="Times New Roman" w:eastAsiaTheme="minorEastAsia"/>
                <w:color w:val="auto"/>
                <w:sz w:val="24"/>
                <w:szCs w:val="24"/>
                <w:highlight w:val="none"/>
              </w:rPr>
              <w:t>（</w:t>
            </w:r>
            <w:r>
              <w:rPr>
                <w:rFonts w:hint="eastAsia" w:ascii="Times New Roman" w:hAnsi="Times New Roman" w:eastAsiaTheme="minorEastAsia"/>
                <w:color w:val="auto"/>
                <w:sz w:val="24"/>
                <w:szCs w:val="24"/>
                <w:highlight w:val="none"/>
                <w:lang w:val="en-US" w:eastAsia="zh-CN"/>
              </w:rPr>
              <w:t>3</w:t>
            </w:r>
            <w:r>
              <w:rPr>
                <w:rFonts w:ascii="Times New Roman" w:hAnsi="Times New Roman" w:eastAsiaTheme="minorEastAsia"/>
                <w:color w:val="auto"/>
                <w:sz w:val="24"/>
                <w:szCs w:val="24"/>
                <w:highlight w:val="none"/>
              </w:rPr>
              <w:t>m</w:t>
            </w:r>
            <w:r>
              <w:rPr>
                <w:rFonts w:ascii="Times New Roman" w:hAnsi="Times New Roman" w:eastAsiaTheme="minorEastAsia"/>
                <w:color w:val="auto"/>
                <w:sz w:val="24"/>
                <w:szCs w:val="24"/>
                <w:highlight w:val="none"/>
                <w:vertAlign w:val="superscript"/>
              </w:rPr>
              <w:t>3</w:t>
            </w:r>
            <w:r>
              <w:rPr>
                <w:rFonts w:ascii="Times New Roman" w:hAnsi="Times New Roman" w:eastAsiaTheme="minorEastAsia"/>
                <w:color w:val="auto"/>
                <w:sz w:val="24"/>
                <w:szCs w:val="24"/>
                <w:highlight w:val="none"/>
              </w:rPr>
              <w:t>/a</w:t>
            </w:r>
            <w:r>
              <w:rPr>
                <w:rFonts w:hint="eastAsia" w:ascii="Times New Roman" w:hAnsi="Times New Roman" w:eastAsiaTheme="minorEastAsia"/>
                <w:color w:val="auto"/>
                <w:sz w:val="24"/>
                <w:szCs w:val="24"/>
                <w:highlight w:val="none"/>
              </w:rPr>
              <w:t>）</w:t>
            </w:r>
            <w:r>
              <w:rPr>
                <w:rFonts w:hint="eastAsia" w:ascii="Times New Roman" w:hAnsi="Times New Roman" w:eastAsiaTheme="minorEastAsia"/>
                <w:color w:val="auto"/>
                <w:sz w:val="24"/>
                <w:szCs w:val="24"/>
                <w:highlight w:val="none"/>
                <w:lang w:eastAsia="zh-CN"/>
              </w:rPr>
              <w:t>，</w:t>
            </w:r>
            <w:r>
              <w:rPr>
                <w:rFonts w:hint="eastAsia" w:ascii="Times New Roman" w:hAnsi="Times New Roman" w:eastAsiaTheme="minorEastAsia"/>
                <w:color w:val="auto"/>
                <w:sz w:val="24"/>
                <w:szCs w:val="24"/>
                <w:highlight w:val="none"/>
                <w:lang w:val="en-US" w:eastAsia="zh-CN"/>
              </w:rPr>
              <w:t>定期送有资质单位处置</w:t>
            </w:r>
            <w:r>
              <w:rPr>
                <w:rFonts w:hint="eastAsia" w:ascii="Times New Roman" w:hAnsi="Times New Roman" w:eastAsiaTheme="minorEastAsia"/>
                <w:color w:val="auto"/>
                <w:sz w:val="24"/>
                <w:szCs w:val="24"/>
                <w:highlight w:val="none"/>
              </w:rPr>
              <w:t>。</w:t>
            </w:r>
          </w:p>
          <w:p w14:paraId="013E7AC6">
            <w:pPr>
              <w:spacing w:line="360" w:lineRule="auto"/>
              <w:ind w:firstLine="480" w:firstLineChars="200"/>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生活用水：</w:t>
            </w:r>
            <w:r>
              <w:rPr>
                <w:rFonts w:hint="eastAsia" w:ascii="Times New Roman" w:hAnsi="Times New Roman" w:eastAsiaTheme="minorEastAsia"/>
                <w:color w:val="auto"/>
                <w:sz w:val="24"/>
                <w:szCs w:val="24"/>
                <w:highlight w:val="none"/>
                <w:lang w:val="en-US" w:eastAsia="zh-CN"/>
              </w:rPr>
              <w:t>本项目不设食堂，只涉及盥洗用水，</w:t>
            </w:r>
            <w:r>
              <w:rPr>
                <w:rFonts w:hint="eastAsia" w:ascii="Times New Roman" w:hAnsi="Times New Roman" w:eastAsiaTheme="minorEastAsia"/>
                <w:color w:val="auto"/>
                <w:sz w:val="24"/>
                <w:szCs w:val="24"/>
                <w:highlight w:val="none"/>
              </w:rPr>
              <w:t>职工用水参考《生活与服务业用水定额第</w:t>
            </w:r>
            <w:r>
              <w:rPr>
                <w:rFonts w:ascii="Times New Roman" w:hAnsi="Times New Roman" w:eastAsiaTheme="minorEastAsia"/>
                <w:color w:val="auto"/>
                <w:sz w:val="24"/>
                <w:szCs w:val="24"/>
                <w:highlight w:val="none"/>
              </w:rPr>
              <w:t xml:space="preserve">1 </w:t>
            </w:r>
            <w:r>
              <w:rPr>
                <w:rFonts w:hint="eastAsia" w:ascii="Times New Roman" w:hAnsi="Times New Roman" w:eastAsiaTheme="minorEastAsia"/>
                <w:color w:val="auto"/>
                <w:sz w:val="24"/>
                <w:szCs w:val="24"/>
                <w:highlight w:val="none"/>
              </w:rPr>
              <w:t>部分：居民生活》（</w:t>
            </w:r>
            <w:r>
              <w:rPr>
                <w:rFonts w:ascii="Times New Roman" w:hAnsi="Times New Roman" w:eastAsiaTheme="minorEastAsia"/>
                <w:color w:val="auto"/>
                <w:sz w:val="24"/>
                <w:szCs w:val="24"/>
                <w:highlight w:val="none"/>
              </w:rPr>
              <w:t>DB13/T5450.1-2021） 中农村居民用水定额，每人用水量取22m</w:t>
            </w:r>
            <w:r>
              <w:rPr>
                <w:rFonts w:ascii="Times New Roman" w:hAnsi="Times New Roman" w:eastAsiaTheme="minorEastAsia"/>
                <w:color w:val="auto"/>
                <w:sz w:val="24"/>
                <w:szCs w:val="24"/>
                <w:highlight w:val="none"/>
                <w:vertAlign w:val="superscript"/>
              </w:rPr>
              <w:t>3</w:t>
            </w:r>
            <w:r>
              <w:rPr>
                <w:rFonts w:ascii="Times New Roman" w:hAnsi="Times New Roman" w:eastAsiaTheme="minorEastAsia"/>
                <w:color w:val="auto"/>
                <w:sz w:val="24"/>
                <w:szCs w:val="24"/>
                <w:highlight w:val="none"/>
              </w:rPr>
              <w:t>/人•a，企业职工共6 人，则本项目用水量为0.44m</w:t>
            </w:r>
            <w:r>
              <w:rPr>
                <w:rFonts w:ascii="Times New Roman" w:hAnsi="Times New Roman" w:eastAsiaTheme="minorEastAsia"/>
                <w:color w:val="auto"/>
                <w:sz w:val="24"/>
                <w:szCs w:val="24"/>
                <w:highlight w:val="none"/>
                <w:vertAlign w:val="superscript"/>
              </w:rPr>
              <w:t>3</w:t>
            </w:r>
            <w:r>
              <w:rPr>
                <w:rFonts w:ascii="Times New Roman" w:hAnsi="Times New Roman" w:eastAsiaTheme="minorEastAsia"/>
                <w:color w:val="auto"/>
                <w:sz w:val="24"/>
                <w:szCs w:val="24"/>
                <w:highlight w:val="none"/>
              </w:rPr>
              <w:t>/d （132m</w:t>
            </w:r>
            <w:r>
              <w:rPr>
                <w:rFonts w:ascii="Times New Roman" w:hAnsi="Times New Roman" w:eastAsiaTheme="minorEastAsia"/>
                <w:color w:val="auto"/>
                <w:sz w:val="24"/>
                <w:szCs w:val="24"/>
                <w:highlight w:val="none"/>
                <w:vertAlign w:val="superscript"/>
              </w:rPr>
              <w:t>3</w:t>
            </w:r>
            <w:r>
              <w:rPr>
                <w:rFonts w:ascii="Times New Roman" w:hAnsi="Times New Roman" w:eastAsiaTheme="minorEastAsia"/>
                <w:color w:val="auto"/>
                <w:sz w:val="24"/>
                <w:szCs w:val="24"/>
                <w:highlight w:val="none"/>
              </w:rPr>
              <w:t>/a）。</w:t>
            </w:r>
          </w:p>
          <w:p w14:paraId="0FC5206B">
            <w:pPr>
              <w:spacing w:line="360" w:lineRule="auto"/>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（2）排水</w:t>
            </w:r>
          </w:p>
          <w:p w14:paraId="0BDA05A5">
            <w:pPr>
              <w:spacing w:line="360" w:lineRule="auto"/>
              <w:ind w:firstLine="480" w:firstLineChars="200"/>
              <w:rPr>
                <w:rFonts w:ascii="Times New Roman" w:hAnsi="Times New Roman" w:eastAsiaTheme="minorEastAsia"/>
                <w:color w:val="auto"/>
                <w:spacing w:val="5"/>
                <w:sz w:val="24"/>
                <w:szCs w:val="24"/>
                <w:highlight w:val="none"/>
              </w:rPr>
            </w:pPr>
            <w:r>
              <w:rPr>
                <w:rFonts w:ascii="Times New Roman" w:hAnsi="Times New Roman" w:eastAsiaTheme="minorEastAsia"/>
                <w:color w:val="auto"/>
                <w:kern w:val="0"/>
                <w:sz w:val="24"/>
                <w:szCs w:val="24"/>
                <w:highlight w:val="none"/>
              </w:rPr>
              <w:t>本项目生活污水为</w:t>
            </w:r>
            <w:r>
              <w:rPr>
                <w:rFonts w:ascii="Times New Roman" w:hAnsi="Times New Roman" w:eastAsiaTheme="minorEastAsia"/>
                <w:color w:val="auto"/>
                <w:sz w:val="24"/>
                <w:szCs w:val="24"/>
                <w:highlight w:val="none"/>
              </w:rPr>
              <w:t>0.40m</w:t>
            </w:r>
            <w:r>
              <w:rPr>
                <w:rFonts w:ascii="Times New Roman" w:hAnsi="Times New Roman" w:eastAsiaTheme="minorEastAsia"/>
                <w:color w:val="auto"/>
                <w:sz w:val="24"/>
                <w:szCs w:val="24"/>
                <w:highlight w:val="none"/>
                <w:vertAlign w:val="superscript"/>
              </w:rPr>
              <w:t>3</w:t>
            </w:r>
            <w:r>
              <w:rPr>
                <w:rFonts w:ascii="Times New Roman" w:hAnsi="Times New Roman" w:eastAsiaTheme="minorEastAsia"/>
                <w:color w:val="auto"/>
                <w:sz w:val="24"/>
                <w:szCs w:val="24"/>
                <w:highlight w:val="none"/>
              </w:rPr>
              <w:t>/d</w:t>
            </w:r>
            <w:r>
              <w:rPr>
                <w:rFonts w:ascii="Times New Roman" w:hAnsi="Times New Roman" w:eastAsiaTheme="minorEastAsia"/>
                <w:color w:val="auto"/>
                <w:kern w:val="0"/>
                <w:sz w:val="24"/>
                <w:szCs w:val="24"/>
                <w:highlight w:val="none"/>
              </w:rPr>
              <w:t>（</w:t>
            </w:r>
            <w:r>
              <w:rPr>
                <w:rFonts w:hint="eastAsia" w:ascii="Times New Roman" w:hAnsi="Times New Roman" w:eastAsiaTheme="minorEastAsia"/>
                <w:color w:val="auto"/>
                <w:kern w:val="0"/>
                <w:sz w:val="24"/>
                <w:szCs w:val="24"/>
                <w:highlight w:val="none"/>
              </w:rPr>
              <w:t>1</w:t>
            </w:r>
            <w:r>
              <w:rPr>
                <w:rFonts w:ascii="Times New Roman" w:hAnsi="Times New Roman" w:eastAsiaTheme="minorEastAsia"/>
                <w:color w:val="auto"/>
                <w:kern w:val="0"/>
                <w:sz w:val="24"/>
                <w:szCs w:val="24"/>
                <w:highlight w:val="none"/>
              </w:rPr>
              <w:t>20</w:t>
            </w:r>
            <w:r>
              <w:rPr>
                <w:rFonts w:ascii="Times New Roman" w:hAnsi="Times New Roman" w:eastAsiaTheme="minorEastAsia"/>
                <w:color w:val="auto"/>
                <w:sz w:val="24"/>
                <w:szCs w:val="24"/>
                <w:highlight w:val="none"/>
              </w:rPr>
              <w:t xml:space="preserve"> m</w:t>
            </w:r>
            <w:r>
              <w:rPr>
                <w:rFonts w:ascii="Times New Roman" w:hAnsi="Times New Roman" w:eastAsiaTheme="minorEastAsia"/>
                <w:color w:val="auto"/>
                <w:sz w:val="24"/>
                <w:szCs w:val="24"/>
                <w:highlight w:val="none"/>
                <w:vertAlign w:val="superscript"/>
              </w:rPr>
              <w:t>3</w:t>
            </w:r>
            <w:r>
              <w:rPr>
                <w:rFonts w:ascii="Times New Roman" w:hAnsi="Times New Roman" w:eastAsiaTheme="minorEastAsia"/>
                <w:color w:val="auto"/>
                <w:sz w:val="24"/>
                <w:szCs w:val="24"/>
                <w:highlight w:val="none"/>
              </w:rPr>
              <w:t>/a</w:t>
            </w:r>
            <w:r>
              <w:rPr>
                <w:rFonts w:ascii="Times New Roman" w:hAnsi="Times New Roman" w:eastAsiaTheme="minorEastAsia"/>
                <w:color w:val="auto"/>
                <w:kern w:val="0"/>
                <w:sz w:val="24"/>
                <w:szCs w:val="24"/>
                <w:highlight w:val="none"/>
              </w:rPr>
              <w:t>）</w:t>
            </w:r>
            <w:r>
              <w:rPr>
                <w:rFonts w:ascii="Times New Roman" w:hAnsi="Times New Roman" w:eastAsiaTheme="minorEastAsia"/>
                <w:color w:val="auto"/>
                <w:sz w:val="24"/>
                <w:szCs w:val="24"/>
                <w:highlight w:val="none"/>
              </w:rPr>
              <w:t>依托现有排水</w:t>
            </w:r>
            <w:r>
              <w:rPr>
                <w:rFonts w:hint="eastAsia" w:ascii="Times New Roman" w:hAnsi="Times New Roman" w:eastAsiaTheme="minorEastAsia"/>
                <w:color w:val="auto"/>
                <w:sz w:val="24"/>
                <w:szCs w:val="24"/>
                <w:highlight w:val="none"/>
                <w:lang w:val="en-US" w:eastAsia="zh-CN"/>
              </w:rPr>
              <w:t>管网</w:t>
            </w:r>
            <w:r>
              <w:rPr>
                <w:rFonts w:ascii="Times New Roman" w:hAnsi="Times New Roman" w:eastAsiaTheme="minorEastAsia"/>
                <w:color w:val="auto"/>
                <w:sz w:val="24"/>
                <w:szCs w:val="24"/>
                <w:highlight w:val="none"/>
              </w:rPr>
              <w:t>排至徐水区大王店污水处理厂进一步处理；</w:t>
            </w:r>
            <w:r>
              <w:rPr>
                <w:rFonts w:ascii="Times New Roman" w:hAnsi="Times New Roman" w:eastAsiaTheme="minorEastAsia"/>
                <w:color w:val="auto"/>
                <w:spacing w:val="5"/>
                <w:sz w:val="24"/>
                <w:szCs w:val="24"/>
                <w:highlight w:val="none"/>
              </w:rPr>
              <w:t>项目</w:t>
            </w:r>
            <w:r>
              <w:rPr>
                <w:rFonts w:hint="eastAsia" w:ascii="Times New Roman" w:hAnsi="Times New Roman" w:eastAsiaTheme="minorEastAsia"/>
                <w:color w:val="auto"/>
                <w:spacing w:val="5"/>
                <w:sz w:val="24"/>
                <w:szCs w:val="24"/>
                <w:highlight w:val="none"/>
                <w:lang w:val="en-US" w:eastAsia="zh-CN"/>
              </w:rPr>
              <w:t>更换的喷淋塔循环水含碱液，为危险废物，</w:t>
            </w:r>
            <w:r>
              <w:rPr>
                <w:rFonts w:ascii="Times New Roman" w:hAnsi="Times New Roman" w:eastAsiaTheme="minorEastAsia"/>
                <w:color w:val="auto"/>
                <w:kern w:val="0"/>
                <w:sz w:val="24"/>
                <w:szCs w:val="24"/>
                <w:highlight w:val="none"/>
              </w:rPr>
              <w:t>定期送有资质单位处置</w:t>
            </w:r>
            <w:r>
              <w:rPr>
                <w:rFonts w:ascii="Times New Roman" w:hAnsi="Times New Roman" w:eastAsiaTheme="minorEastAsia"/>
                <w:color w:val="auto"/>
                <w:spacing w:val="5"/>
                <w:sz w:val="24"/>
                <w:szCs w:val="24"/>
                <w:highlight w:val="none"/>
              </w:rPr>
              <w:t>，无生产废水外排。</w:t>
            </w:r>
          </w:p>
          <w:p w14:paraId="49E2D5CF">
            <w:pPr>
              <w:pStyle w:val="5"/>
              <w:spacing w:line="360" w:lineRule="auto"/>
              <w:ind w:firstLine="480"/>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全厂水平衡图如下：</w:t>
            </w:r>
          </w:p>
          <w:p w14:paraId="457089F0">
            <w:pPr>
              <w:rPr>
                <w:color w:val="auto"/>
                <w:highlight w:val="none"/>
              </w:rPr>
            </w:pPr>
            <w:r>
              <w:rPr>
                <w:rFonts w:ascii="Times New Roman" w:hAnsi="Times New Roman" w:eastAsiaTheme="minorEastAsia"/>
                <w:color w:val="auto"/>
                <w:kern w:val="0"/>
                <w:sz w:val="24"/>
                <w:highlight w:val="none"/>
              </w:rPr>
              <w:pict>
                <v:shape id="_x0000_s2050" o:spid="_x0000_s2050" o:spt="202" type="#_x0000_t202" style="position:absolute;left:0pt;margin-left:178.6pt;margin-top:8.1pt;height:18.3pt;width:43.65pt;z-index:251672576;mso-width-relative:page;mso-height-relative:page;" filled="f" stroked="f" coordsize="21600,21600">
                  <v:path/>
                  <v:fill on="f" focussize="0,0"/>
                  <v:stroke on="f" joinstyle="miter"/>
                  <v:imagedata o:title=""/>
                  <o:lock v:ext="edit"/>
                  <v:textbox>
                    <w:txbxContent>
                      <w:p w14:paraId="4812B070">
                        <w:pPr>
                          <w:rPr>
                            <w:rFonts w:hint="eastAsia" w:ascii="Times New Roman" w:hAnsi="Times New Roman" w:eastAsia="宋体"/>
                            <w:lang w:eastAsia="zh-CN"/>
                          </w:rPr>
                        </w:pPr>
                        <w:r>
                          <w:rPr>
                            <w:rFonts w:ascii="Times New Roman" w:hAnsi="Times New Roman"/>
                          </w:rPr>
                          <w:t>0.0</w:t>
                        </w:r>
                        <w:r>
                          <w:rPr>
                            <w:rFonts w:hint="eastAsia" w:ascii="Times New Roman" w:hAnsi="Times New Roman"/>
                            <w:lang w:val="en-US" w:eastAsia="zh-CN"/>
                          </w:rPr>
                          <w:t>2</w:t>
                        </w:r>
                      </w:p>
                    </w:txbxContent>
                  </v:textbox>
                </v:shape>
              </w:pict>
            </w:r>
          </w:p>
          <w:p w14:paraId="67AE6735">
            <w:pPr>
              <w:rPr>
                <w:color w:val="auto"/>
                <w:highlight w:val="none"/>
              </w:rPr>
            </w:pPr>
          </w:p>
          <w:p w14:paraId="087DACBF">
            <w:pPr>
              <w:rPr>
                <w:color w:val="auto"/>
                <w:highlight w:val="none"/>
              </w:rPr>
            </w:pPr>
            <w:r>
              <w:rPr>
                <w:rFonts w:ascii="Times New Roman" w:hAnsi="Times New Roman" w:eastAsiaTheme="minorEastAsia"/>
                <w:color w:val="auto"/>
                <w:kern w:val="0"/>
                <w:sz w:val="24"/>
                <w:highlight w:val="none"/>
              </w:rPr>
              <w:pict>
                <v:shape id="_x0000_s2082" o:spid="_x0000_s2082" o:spt="202" type="#_x0000_t202" style="position:absolute;left:0pt;margin-left:84.4pt;margin-top:3.05pt;height:20.45pt;width:48.7pt;z-index:251747328;mso-width-relative:page;mso-height-relative:page;" filled="f" stroked="f" coordsize="21600,21600">
                  <v:path/>
                  <v:fill on="f" focussize="0,0"/>
                  <v:stroke on="f"/>
                  <v:imagedata o:title=""/>
                  <o:lock v:ext="edit" aspectratio="f"/>
                  <v:textbox>
                    <w:txbxContent>
                      <w:p w14:paraId="336869AC">
                        <w:pPr>
                          <w:rPr>
                            <w:rFonts w:hint="default" w:ascii="Times New Roman" w:hAnsi="Times New Roman"/>
                            <w:lang w:val="en-US"/>
                          </w:rPr>
                        </w:pPr>
                        <w:r>
                          <w:rPr>
                            <w:rFonts w:hint="eastAsia" w:ascii="Times New Roman" w:hAnsi="Times New Roman"/>
                            <w:lang w:val="en-US" w:eastAsia="zh-CN"/>
                          </w:rPr>
                          <w:t>0.03</w:t>
                        </w:r>
                      </w:p>
                    </w:txbxContent>
                  </v:textbox>
                </v:shape>
              </w:pict>
            </w:r>
            <w:r>
              <w:rPr>
                <w:rFonts w:ascii="Times New Roman" w:hAnsi="Times New Roman" w:eastAsiaTheme="minorEastAsia"/>
                <w:color w:val="auto"/>
                <w:kern w:val="0"/>
                <w:sz w:val="24"/>
                <w:highlight w:val="none"/>
              </w:rPr>
              <w:pict>
                <v:shape id="_x0000_s2051" o:spid="_x0000_s2051" o:spt="202" type="#_x0000_t202" style="position:absolute;left:0pt;margin-left:210.05pt;margin-top:4.45pt;height:20.45pt;width:43.7pt;z-index:251665408;mso-width-relative:page;mso-height-relative:page;" filled="f" stroked="f" coordsize="21600,21600">
                  <v:path/>
                  <v:fill on="f" focussize="0,0"/>
                  <v:stroke on="f"/>
                  <v:imagedata o:title=""/>
                  <o:lock v:ext="edit" aspectratio="f"/>
                  <v:textbox>
                    <w:txbxContent>
                      <w:p w14:paraId="7180A3D3">
                        <w:pPr>
                          <w:rPr>
                            <w:rFonts w:hint="default" w:ascii="Times New Roman" w:hAnsi="Times New Roman"/>
                            <w:lang w:val="en-US"/>
                          </w:rPr>
                        </w:pPr>
                        <w:r>
                          <w:rPr>
                            <w:rFonts w:hint="eastAsia" w:ascii="Times New Roman" w:hAnsi="Times New Roman"/>
                            <w:lang w:val="en-US" w:eastAsia="zh-CN"/>
                          </w:rPr>
                          <w:t>0.01</w:t>
                        </w:r>
                      </w:p>
                    </w:txbxContent>
                  </v:textbox>
                </v:shape>
              </w:pict>
            </w:r>
            <w:r>
              <w:rPr>
                <w:rFonts w:ascii="Times New Roman" w:hAnsi="Times New Roman" w:eastAsiaTheme="minorEastAsia"/>
                <w:color w:val="auto"/>
                <w:kern w:val="0"/>
                <w:sz w:val="24"/>
                <w:highlight w:val="none"/>
              </w:rPr>
              <w:pict>
                <v:shape id="_x0000_s2054" o:spid="_x0000_s2054" o:spt="202" type="#_x0000_t202" style="position:absolute;left:0pt;margin-left:243.3pt;margin-top:6.9pt;height:36.85pt;width:149.1pt;z-index:251678720;mso-width-relative:page;mso-height-relative:page;" filled="f" stroked="f" coordsize="21600,21600">
                  <v:path/>
                  <v:fill on="f" focussize="0,0"/>
                  <v:stroke on="f"/>
                  <v:imagedata o:title=""/>
                  <o:lock v:ext="edit" aspectratio="f"/>
                  <v:textbox>
                    <w:txbxContent>
                      <w:p w14:paraId="51BBAD2A">
                        <w:r>
                          <w:rPr>
                            <w:rFonts w:hint="eastAsia" w:ascii="宋体" w:hAnsi="Times New Roman" w:cs="宋体"/>
                            <w:kern w:val="0"/>
                            <w:szCs w:val="21"/>
                          </w:rPr>
                          <w:t>定期</w:t>
                        </w:r>
                        <w:r>
                          <w:rPr>
                            <w:rFonts w:hint="eastAsia" w:ascii="宋体" w:hAnsi="Times New Roman" w:cs="宋体"/>
                            <w:kern w:val="0"/>
                            <w:szCs w:val="21"/>
                            <w:lang w:val="en-US" w:eastAsia="zh-CN"/>
                          </w:rPr>
                          <w:t>更换</w:t>
                        </w:r>
                        <w:r>
                          <w:rPr>
                            <w:rFonts w:hint="eastAsia" w:ascii="宋体" w:hAnsi="Times New Roman" w:cs="宋体"/>
                            <w:kern w:val="0"/>
                            <w:szCs w:val="21"/>
                          </w:rPr>
                          <w:t>送有资质单位处置</w:t>
                        </w:r>
                      </w:p>
                    </w:txbxContent>
                  </v:textbox>
                </v:shape>
              </w:pict>
            </w:r>
            <w:r>
              <w:rPr>
                <w:rFonts w:ascii="Times New Roman" w:hAnsi="Times New Roman" w:eastAsiaTheme="minorEastAsia"/>
                <w:color w:val="auto"/>
                <w:kern w:val="0"/>
                <w:sz w:val="24"/>
                <w:highlight w:val="none"/>
              </w:rPr>
              <w:pict>
                <v:shape id="_x0000_s2052" o:spid="_x0000_s2052" o:spt="32" type="#_x0000_t32" style="position:absolute;left:0pt;flip:y;margin-left:164.9pt;margin-top:1.2pt;height:11.25pt;width:32.25pt;z-index:251670528;mso-width-relative:page;mso-height-relative:page;" filled="f" stroked="t" coordsize="21600,21600">
                  <v:path arrowok="t"/>
                  <v:fill on="f" focussize="0,0"/>
                  <v:stroke color="#000000" dashstyle="dashDot" endarrow="block"/>
                  <v:imagedata o:title=""/>
                  <o:lock v:ext="edit" aspectratio="f"/>
                </v:shape>
              </w:pict>
            </w:r>
          </w:p>
          <w:p w14:paraId="36BA4CCC">
            <w:pPr>
              <w:pStyle w:val="5"/>
              <w:ind w:firstLine="480"/>
              <w:rPr>
                <w:color w:val="auto"/>
                <w:highlight w:val="none"/>
              </w:rPr>
            </w:pPr>
            <w:r>
              <w:rPr>
                <w:rFonts w:ascii="Times New Roman" w:hAnsi="Times New Roman" w:eastAsiaTheme="minorEastAsia"/>
                <w:color w:val="auto"/>
                <w:kern w:val="0"/>
                <w:sz w:val="24"/>
                <w:highlight w:val="none"/>
              </w:rPr>
              <w:pict>
                <v:shape id="_x0000_s2079" o:spid="_x0000_s2079" o:spt="32" type="#_x0000_t32" style="position:absolute;left:0pt;margin-left:200.35pt;margin-top:11.75pt;height:0.8pt;width:42.95pt;z-index:251746304;mso-width-relative:page;mso-height-relative:page;" filled="f" stroked="t" coordsize="21600,21600">
                  <v:path arrowok="t"/>
                  <v:fill on="f" focussize="0,0"/>
                  <v:stroke color="#000000" endarrow="block"/>
                  <v:imagedata o:title=""/>
                  <o:lock v:ext="edit" aspectratio="f"/>
                </v:shape>
              </w:pict>
            </w:r>
            <w:r>
              <w:rPr>
                <w:rFonts w:ascii="Times New Roman" w:hAnsi="Times New Roman" w:eastAsiaTheme="minorEastAsia"/>
                <w:color w:val="auto"/>
                <w:kern w:val="0"/>
                <w:sz w:val="24"/>
                <w:highlight w:val="none"/>
              </w:rPr>
              <w:pict>
                <v:shape id="_x0000_s2057" o:spid="_x0000_s2057" o:spt="32" type="#_x0000_t32" style="position:absolute;left:0pt;margin-left:85.9pt;margin-top:12.4pt;height:0pt;width:34.4pt;z-index:251666432;mso-width-relative:page;mso-height-relative:page;" o:connectortype="straight" filled="f" coordsize="21600,21600">
                  <v:path arrowok="t"/>
                  <v:fill on="f" focussize="0,0"/>
                  <v:stroke endarrow="block"/>
                  <v:imagedata o:title=""/>
                  <o:lock v:ext="edit"/>
                </v:shape>
              </w:pict>
            </w:r>
            <w:r>
              <w:rPr>
                <w:color w:val="auto"/>
                <w:highlight w:val="none"/>
              </w:rPr>
              <w:pict>
                <v:shape id="_x0000_s2058" o:spid="_x0000_s2058" o:spt="32" type="#_x0000_t32" style="position:absolute;left:0pt;flip:x;margin-left:85.45pt;margin-top:11.85pt;height:55.6pt;width:0.4pt;z-index:251664384;mso-width-relative:page;mso-height-relative:page;" filled="f" stroked="t" coordsize="21600,21600">
                  <v:path arrowok="t"/>
                  <v:fill on="f" focussize="0,0"/>
                  <v:stroke color="#000000"/>
                  <v:imagedata o:title=""/>
                  <o:lock v:ext="edit" aspectratio="f"/>
                </v:shape>
              </w:pict>
            </w:r>
            <w:r>
              <w:rPr>
                <w:rFonts w:ascii="Times New Roman" w:hAnsi="Times New Roman" w:eastAsiaTheme="minorEastAsia"/>
                <w:color w:val="auto"/>
                <w:kern w:val="0"/>
                <w:sz w:val="24"/>
                <w:highlight w:val="none"/>
              </w:rPr>
              <w:pict>
                <v:rect id="_x0000_s2056" o:spid="_x0000_s2056" o:spt="1" style="position:absolute;left:0pt;margin-left:120.3pt;margin-top:0.2pt;height:23.05pt;width:80.05pt;z-index:251668480;mso-width-relative:page;mso-height-relative:page;" coordsize="21600,21600">
                  <v:path/>
                  <v:fill focussize="0,0"/>
                  <v:stroke/>
                  <v:imagedata o:title=""/>
                  <o:lock v:ext="edit"/>
                  <v:textbox>
                    <w:txbxContent>
                      <w:p w14:paraId="2B44F040">
                        <w:pPr>
                          <w:jc w:val="center"/>
                        </w:pPr>
                        <w:r>
                          <w:t>脱硫塔用水</w:t>
                        </w:r>
                      </w:p>
                    </w:txbxContent>
                  </v:textbox>
                </v:rect>
              </w:pict>
            </w:r>
          </w:p>
          <w:p w14:paraId="7FFDA21F">
            <w:pPr>
              <w:rPr>
                <w:color w:val="auto"/>
                <w:highlight w:val="none"/>
              </w:rPr>
            </w:pPr>
            <w:r>
              <w:rPr>
                <w:rFonts w:ascii="Times New Roman" w:hAnsi="Times New Roman" w:eastAsiaTheme="minorEastAsia"/>
                <w:color w:val="auto"/>
                <w:kern w:val="0"/>
                <w:sz w:val="24"/>
                <w:highlight w:val="none"/>
              </w:rPr>
              <w:pict>
                <v:shape id="_x0000_s2063" o:spid="_x0000_s2063" o:spt="202" type="#_x0000_t202" style="position:absolute;left:0pt;margin-left:46.9pt;margin-top:9.5pt;height:18.3pt;width:48.1pt;z-index:251663360;mso-width-relative:page;mso-height-relative:page;" filled="f" stroked="f" coordsize="21600,21600">
                  <v:path/>
                  <v:fill on="f" focussize="0,0"/>
                  <v:stroke on="f"/>
                  <v:imagedata o:title=""/>
                  <o:lock v:ext="edit" aspectratio="f"/>
                  <v:textbox>
                    <w:txbxContent>
                      <w:p w14:paraId="7EEAC99A">
                        <w:pPr>
                          <w:rPr>
                            <w:rFonts w:hint="default" w:ascii="Times New Roman" w:hAnsi="Times New Roman" w:eastAsia="宋体"/>
                            <w:lang w:val="en-US" w:eastAsia="zh-CN"/>
                          </w:rPr>
                        </w:pPr>
                        <w:r>
                          <w:rPr>
                            <w:rFonts w:ascii="Times New Roman" w:hAnsi="Times New Roman"/>
                          </w:rPr>
                          <w:t>0</w:t>
                        </w:r>
                        <w:r>
                          <w:rPr>
                            <w:rFonts w:hint="eastAsia" w:ascii="Times New Roman" w:hAnsi="Times New Roman"/>
                            <w:lang w:val="en-US" w:eastAsia="zh-CN"/>
                          </w:rPr>
                          <w:t>.47</w:t>
                        </w:r>
                      </w:p>
                    </w:txbxContent>
                  </v:textbox>
                </v:shape>
              </w:pict>
            </w:r>
            <w:r>
              <w:rPr>
                <w:rFonts w:ascii="Times New Roman" w:hAnsi="Times New Roman" w:eastAsiaTheme="minorEastAsia"/>
                <w:color w:val="auto"/>
                <w:kern w:val="0"/>
                <w:sz w:val="24"/>
                <w:highlight w:val="none"/>
              </w:rPr>
              <w:pict>
                <v:shape id="_x0000_s2059" o:spid="_x0000_s2059" o:spt="202" type="#_x0000_t202" style="position:absolute;left:0pt;margin-left:188.2pt;margin-top:8.6pt;height:20.8pt;width:38.4pt;z-index:251677696;mso-width-relative:page;mso-height-relative:page;" filled="f" stroked="f" coordsize="21600,21600">
                  <v:path/>
                  <v:fill on="f" focussize="0,0"/>
                  <v:stroke on="f"/>
                  <v:imagedata o:title=""/>
                  <o:lock v:ext="edit" aspectratio="f"/>
                  <v:textbox>
                    <w:txbxContent>
                      <w:p w14:paraId="4A85DB8E">
                        <w:pPr>
                          <w:rPr>
                            <w:rFonts w:hint="default" w:ascii="Times New Roman" w:hAnsi="Times New Roman" w:eastAsia="宋体"/>
                            <w:lang w:val="en-US" w:eastAsia="zh-CN"/>
                          </w:rPr>
                        </w:pPr>
                        <w:r>
                          <w:rPr>
                            <w:rFonts w:hint="eastAsia" w:ascii="Times New Roman" w:hAnsi="Times New Roman"/>
                            <w:lang w:val="en-US" w:eastAsia="zh-CN"/>
                          </w:rPr>
                          <w:t>1.5</w:t>
                        </w:r>
                      </w:p>
                    </w:txbxContent>
                  </v:textbox>
                </v:shape>
              </w:pict>
            </w:r>
            <w:r>
              <w:rPr>
                <w:rFonts w:ascii="Times New Roman" w:hAnsi="Times New Roman" w:eastAsiaTheme="minorEastAsia"/>
                <w:color w:val="auto"/>
                <w:kern w:val="0"/>
                <w:sz w:val="24"/>
                <w:highlight w:val="none"/>
              </w:rPr>
              <w:pict>
                <v:shape id="_x0000_s2060" o:spid="_x0000_s2060" o:spt="32" type="#_x0000_t32" style="position:absolute;left:0pt;flip:y;margin-left:166.4pt;margin-top:10.05pt;height:13.85pt;width:0pt;z-index:251676672;mso-width-relative:page;mso-height-relative:page;" o:connectortype="straight" filled="f" coordsize="21600,21600">
                  <v:path arrowok="t"/>
                  <v:fill on="f" focussize="0,0"/>
                  <v:stroke endarrow="block"/>
                  <v:imagedata o:title=""/>
                  <o:lock v:ext="edit"/>
                </v:shape>
              </w:pict>
            </w:r>
            <w:r>
              <w:rPr>
                <w:rFonts w:ascii="Times New Roman" w:hAnsi="Times New Roman" w:eastAsiaTheme="minorEastAsia"/>
                <w:color w:val="auto"/>
                <w:kern w:val="0"/>
                <w:sz w:val="24"/>
                <w:highlight w:val="none"/>
              </w:rPr>
              <w:pict>
                <v:shape id="_x0000_s2061" o:spid="_x0000_s2061" o:spt="32" type="#_x0000_t32" style="position:absolute;left:0pt;margin-left:200.65pt;margin-top:6.15pt;height:0pt;width:27.45pt;z-index:251673600;mso-width-relative:page;mso-height-relative:page;" o:connectortype="straight" filled="f" coordsize="21600,21600">
                  <v:path arrowok="t"/>
                  <v:fill on="f" focussize="0,0"/>
                  <v:stroke/>
                  <v:imagedata o:title=""/>
                  <o:lock v:ext="edit"/>
                </v:shape>
              </w:pict>
            </w:r>
            <w:r>
              <w:rPr>
                <w:rFonts w:ascii="Times New Roman" w:hAnsi="Times New Roman" w:eastAsiaTheme="minorEastAsia"/>
                <w:color w:val="auto"/>
                <w:kern w:val="0"/>
                <w:sz w:val="24"/>
                <w:highlight w:val="none"/>
              </w:rPr>
              <w:pict>
                <v:shape id="_x0000_s2062" o:spid="_x0000_s2062" o:spt="32" type="#_x0000_t32" style="position:absolute;left:0pt;margin-left:228.1pt;margin-top:5.6pt;height:18.8pt;width:0pt;z-index:251674624;mso-width-relative:page;mso-height-relative:page;" o:connectortype="straight" filled="f" coordsize="21600,21600">
                  <v:path arrowok="t"/>
                  <v:fill on="f" focussize="0,0"/>
                  <v:stroke/>
                  <v:imagedata o:title=""/>
                  <o:lock v:ext="edit"/>
                </v:shape>
              </w:pict>
            </w:r>
          </w:p>
          <w:p w14:paraId="36AC2E13">
            <w:pPr>
              <w:pStyle w:val="5"/>
              <w:ind w:firstLine="480"/>
              <w:rPr>
                <w:color w:val="auto"/>
                <w:highlight w:val="none"/>
              </w:rPr>
            </w:pPr>
            <w:r>
              <w:rPr>
                <w:rFonts w:ascii="Times New Roman" w:hAnsi="Times New Roman" w:eastAsiaTheme="minorEastAsia"/>
                <w:color w:val="auto"/>
                <w:kern w:val="0"/>
                <w:sz w:val="24"/>
                <w:highlight w:val="none"/>
              </w:rPr>
              <w:pict>
                <v:shape id="_x0000_s2064" o:spid="_x0000_s2064" o:spt="202" type="#_x0000_t202" style="position:absolute;left:0pt;margin-left:148.9pt;margin-top:10.35pt;height:19.25pt;width:37.05pt;z-index:251683840;mso-width-relative:page;mso-height-relative:page;" filled="f" stroked="f" coordsize="21600,21600">
                  <v:path/>
                  <v:fill on="f" focussize="0,0"/>
                  <v:stroke on="f" joinstyle="miter"/>
                  <v:imagedata o:title=""/>
                  <o:lock v:ext="edit"/>
                  <v:textbox>
                    <w:txbxContent>
                      <w:p w14:paraId="276481F1">
                        <w:pPr>
                          <w:rPr>
                            <w:rFonts w:ascii="Times New Roman" w:hAnsi="Times New Roman"/>
                          </w:rPr>
                        </w:pPr>
                        <w:r>
                          <w:rPr>
                            <w:rFonts w:ascii="Times New Roman" w:hAnsi="Times New Roman"/>
                          </w:rPr>
                          <w:t>0.04</w:t>
                        </w:r>
                      </w:p>
                    </w:txbxContent>
                  </v:textbox>
                </v:shape>
              </w:pict>
            </w:r>
            <w:r>
              <w:rPr>
                <w:rFonts w:ascii="Times New Roman" w:hAnsi="Times New Roman" w:eastAsiaTheme="minorEastAsia"/>
                <w:color w:val="auto"/>
                <w:kern w:val="0"/>
                <w:sz w:val="24"/>
                <w:highlight w:val="none"/>
              </w:rPr>
              <w:pict>
                <v:shape id="_x0000_s2065" o:spid="_x0000_s2065" o:spt="32" type="#_x0000_t32" style="position:absolute;left:0pt;margin-left:165.75pt;margin-top:10.85pt;height:0.05pt;width:63.6pt;z-index:251675648;mso-width-relative:page;mso-height-relative:page;" o:connectortype="straight" filled="f" coordsize="21600,21600">
                  <v:path arrowok="t"/>
                  <v:fill on="f" focussize="0,0"/>
                  <v:stroke/>
                  <v:imagedata o:title=""/>
                  <o:lock v:ext="edit"/>
                </v:shape>
              </w:pict>
            </w:r>
            <w:r>
              <w:rPr>
                <w:color w:val="auto"/>
                <w:highlight w:val="none"/>
              </w:rPr>
              <w:pict>
                <v:shape id="_x0000_s2066" o:spid="_x0000_s2066" o:spt="202" type="#_x0000_t202" style="position:absolute;left:0pt;margin-left:5.9pt;margin-top:2.55pt;height:24.75pt;width:53.7pt;z-index:251661312;mso-width-relative:page;mso-height-relative:page;" filled="f" stroked="f" coordsize="21600,21600">
                  <v:path/>
                  <v:fill on="f" focussize="0,0"/>
                  <v:stroke on="f" joinstyle="miter"/>
                  <v:imagedata o:title=""/>
                  <o:lock v:ext="edit"/>
                  <v:textbox>
                    <w:txbxContent>
                      <w:p w14:paraId="48C97E53">
                        <w:r>
                          <w:t>新鲜水</w:t>
                        </w:r>
                      </w:p>
                    </w:txbxContent>
                  </v:textbox>
                </v:shape>
              </w:pict>
            </w:r>
          </w:p>
          <w:p w14:paraId="51D6ACD3">
            <w:pPr>
              <w:rPr>
                <w:color w:val="auto"/>
                <w:highlight w:val="none"/>
              </w:rPr>
            </w:pPr>
            <w:r>
              <w:rPr>
                <w:rFonts w:ascii="Times New Roman" w:hAnsi="Times New Roman" w:eastAsiaTheme="minorEastAsia"/>
                <w:color w:val="auto"/>
                <w:kern w:val="0"/>
                <w:sz w:val="24"/>
                <w:highlight w:val="none"/>
              </w:rPr>
              <w:pict>
                <v:shape id="_x0000_s2067" o:spid="_x0000_s2067" o:spt="32" type="#_x0000_t32" style="position:absolute;left:0pt;flip:y;margin-left:122.3pt;margin-top:5.4pt;height:11.25pt;width:32.25pt;z-index:251671552;mso-width-relative:page;mso-height-relative:page;" filled="f" stroked="t" coordsize="21600,21600">
                  <v:path arrowok="t"/>
                  <v:fill on="f" focussize="0,0"/>
                  <v:stroke color="#000000" dashstyle="dashDot" endarrow="block"/>
                  <v:imagedata o:title=""/>
                  <o:lock v:ext="edit" aspectratio="f"/>
                </v:shape>
              </w:pict>
            </w:r>
            <w:r>
              <w:rPr>
                <w:rFonts w:ascii="Times New Roman" w:hAnsi="Times New Roman" w:eastAsiaTheme="minorEastAsia"/>
                <w:color w:val="auto"/>
                <w:kern w:val="0"/>
                <w:sz w:val="24"/>
                <w:highlight w:val="none"/>
              </w:rPr>
              <w:pict>
                <v:shape id="_x0000_s2068" o:spid="_x0000_s2068" o:spt="202" type="#_x0000_t202" style="position:absolute;left:0pt;margin-left:200.6pt;margin-top:10.15pt;height:20.45pt;width:37.05pt;z-index:251682816;mso-width-relative:page;mso-height-relative:page;" filled="f" stroked="f" coordsize="21600,21600">
                  <v:path/>
                  <v:fill on="f" focussize="0,0"/>
                  <v:stroke on="f" joinstyle="miter"/>
                  <v:imagedata o:title=""/>
                  <o:lock v:ext="edit"/>
                  <v:textbox>
                    <w:txbxContent>
                      <w:p w14:paraId="708F5971">
                        <w:pPr>
                          <w:rPr>
                            <w:rFonts w:ascii="Times New Roman" w:hAnsi="Times New Roman"/>
                          </w:rPr>
                        </w:pPr>
                        <w:r>
                          <w:rPr>
                            <w:rFonts w:ascii="Times New Roman" w:hAnsi="Times New Roman"/>
                          </w:rPr>
                          <w:t>0.40</w:t>
                        </w:r>
                      </w:p>
                    </w:txbxContent>
                  </v:textbox>
                </v:shape>
              </w:pict>
            </w:r>
            <w:r>
              <w:rPr>
                <w:rFonts w:ascii="Times New Roman" w:hAnsi="Times New Roman" w:eastAsiaTheme="minorEastAsia"/>
                <w:color w:val="auto"/>
                <w:kern w:val="0"/>
                <w:sz w:val="24"/>
                <w:highlight w:val="none"/>
              </w:rPr>
              <w:pict>
                <v:shape id="_x0000_s2069" o:spid="_x0000_s2069" o:spt="202" type="#_x0000_t202" style="position:absolute;left:0pt;margin-left:85pt;margin-top:10.65pt;height:20.45pt;width:37.05pt;z-index:251681792;mso-width-relative:page;mso-height-relative:page;" filled="f" stroked="f" coordsize="21600,21600">
                  <v:path/>
                  <v:fill on="f" focussize="0,0"/>
                  <v:stroke on="f" joinstyle="miter"/>
                  <v:imagedata o:title=""/>
                  <o:lock v:ext="edit"/>
                  <v:textbox>
                    <w:txbxContent>
                      <w:p w14:paraId="745C935C">
                        <w:pPr>
                          <w:rPr>
                            <w:rFonts w:ascii="Times New Roman" w:hAnsi="Times New Roman"/>
                          </w:rPr>
                        </w:pPr>
                        <w:r>
                          <w:rPr>
                            <w:rFonts w:ascii="Times New Roman" w:hAnsi="Times New Roman"/>
                          </w:rPr>
                          <w:t>0.44</w:t>
                        </w:r>
                      </w:p>
                    </w:txbxContent>
                  </v:textbox>
                </v:shape>
              </w:pict>
            </w:r>
            <w:r>
              <w:rPr>
                <w:color w:val="auto"/>
                <w:highlight w:val="none"/>
              </w:rPr>
              <w:pict>
                <v:shape id="_x0000_s2070" o:spid="_x0000_s2070" o:spt="32" type="#_x0000_t32" style="position:absolute;left:0pt;margin-left:51pt;margin-top:0.95pt;height:0pt;width:34.4pt;z-index:251662336;mso-width-relative:page;mso-height-relative:page;" o:connectortype="straight" filled="f" coordsize="21600,21600">
                  <v:path arrowok="t"/>
                  <v:fill on="f" focussize="0,0"/>
                  <v:stroke endarrow="block"/>
                  <v:imagedata o:title=""/>
                  <o:lock v:ext="edit"/>
                </v:shape>
              </w:pict>
            </w:r>
          </w:p>
          <w:p w14:paraId="72E96DF5">
            <w:pPr>
              <w:pStyle w:val="5"/>
              <w:ind w:firstLine="480"/>
              <w:rPr>
                <w:color w:val="auto"/>
                <w:highlight w:val="none"/>
              </w:rPr>
            </w:pPr>
            <w:r>
              <w:rPr>
                <w:rFonts w:ascii="Times New Roman" w:hAnsi="Times New Roman" w:eastAsiaTheme="minorEastAsia"/>
                <w:color w:val="auto"/>
                <w:kern w:val="0"/>
                <w:sz w:val="24"/>
                <w:highlight w:val="none"/>
              </w:rPr>
              <w:pict>
                <v:shape id="_x0000_s2071" o:spid="_x0000_s2071" o:spt="202" type="#_x0000_t202" style="position:absolute;left:0pt;margin-left:236.35pt;margin-top:3.45pt;height:35.6pt;width:120pt;z-index:251680768;mso-width-relative:page;mso-height-relative:page;" filled="f" stroked="f" coordsize="21600,21600">
                  <v:path/>
                  <v:fill on="f" focussize="0,0"/>
                  <v:stroke on="f"/>
                  <v:imagedata o:title=""/>
                  <o:lock v:ext="edit" aspectratio="f"/>
                  <v:textbox>
                    <w:txbxContent>
                      <w:p w14:paraId="32B9BA38">
                        <w:pPr>
                          <w:rPr>
                            <w:szCs w:val="21"/>
                          </w:rPr>
                        </w:pPr>
                        <w:r>
                          <w:rPr>
                            <w:rFonts w:hint="eastAsia" w:ascii="Times New Roman" w:hAnsi="Times New Roman" w:eastAsiaTheme="minorEastAsia"/>
                            <w:color w:val="000000" w:themeColor="text1"/>
                            <w:szCs w:val="21"/>
                            <w:lang w:val="en-US" w:eastAsia="zh-CN"/>
                          </w:rPr>
                          <w:t>经排水管网排放至</w:t>
                        </w:r>
                        <w:r>
                          <w:rPr>
                            <w:rFonts w:ascii="Times New Roman" w:hAnsi="Times New Roman" w:eastAsiaTheme="minorEastAsia"/>
                            <w:color w:val="000000" w:themeColor="text1"/>
                            <w:szCs w:val="21"/>
                          </w:rPr>
                          <w:t>徐水区大王店污水处理厂</w:t>
                        </w:r>
                      </w:p>
                    </w:txbxContent>
                  </v:textbox>
                </v:shape>
              </w:pict>
            </w:r>
            <w:r>
              <w:rPr>
                <w:rFonts w:ascii="Times New Roman" w:hAnsi="Times New Roman" w:eastAsiaTheme="minorEastAsia"/>
                <w:color w:val="auto"/>
                <w:kern w:val="0"/>
                <w:sz w:val="24"/>
                <w:highlight w:val="none"/>
              </w:rPr>
              <w:pict>
                <v:rect id="_x0000_s2072" o:spid="_x0000_s2072" o:spt="1" style="position:absolute;left:0pt;margin-left:120.3pt;margin-top:3.45pt;height:23.05pt;width:80.05pt;z-index:251669504;mso-width-relative:page;mso-height-relative:page;" coordsize="21600,21600">
                  <v:path/>
                  <v:fill focussize="0,0"/>
                  <v:stroke/>
                  <v:imagedata o:title=""/>
                  <o:lock v:ext="edit"/>
                  <v:textbox>
                    <w:txbxContent>
                      <w:p w14:paraId="7B7D8FD2">
                        <w:pPr>
                          <w:jc w:val="center"/>
                        </w:pPr>
                        <w:r>
                          <w:t>职工生活</w:t>
                        </w:r>
                      </w:p>
                    </w:txbxContent>
                  </v:textbox>
                </v:rect>
              </w:pict>
            </w:r>
          </w:p>
          <w:p w14:paraId="599CF472">
            <w:pPr>
              <w:rPr>
                <w:color w:val="auto"/>
                <w:highlight w:val="none"/>
              </w:rPr>
            </w:pPr>
            <w:r>
              <w:rPr>
                <w:rFonts w:ascii="Times New Roman" w:hAnsi="Times New Roman" w:eastAsiaTheme="minorEastAsia"/>
                <w:color w:val="auto"/>
                <w:kern w:val="0"/>
                <w:sz w:val="24"/>
                <w:highlight w:val="none"/>
              </w:rPr>
              <w:pict>
                <v:shape id="_x0000_s2073" o:spid="_x0000_s2073" o:spt="32" type="#_x0000_t32" style="position:absolute;left:0pt;margin-left:201.45pt;margin-top:2.05pt;height:0pt;width:34.4pt;z-index:251679744;mso-width-relative:page;mso-height-relative:page;" o:connectortype="straight" filled="f" coordsize="21600,21600">
                  <v:path arrowok="t"/>
                  <v:fill on="f" focussize="0,0"/>
                  <v:stroke endarrow="block"/>
                  <v:imagedata o:title=""/>
                  <o:lock v:ext="edit"/>
                </v:shape>
              </w:pict>
            </w:r>
            <w:r>
              <w:rPr>
                <w:rFonts w:ascii="Times New Roman" w:hAnsi="Times New Roman" w:eastAsiaTheme="minorEastAsia"/>
                <w:color w:val="auto"/>
                <w:kern w:val="0"/>
                <w:sz w:val="24"/>
                <w:highlight w:val="none"/>
              </w:rPr>
              <w:pict>
                <v:shape id="_x0000_s2074" o:spid="_x0000_s2074" o:spt="32" type="#_x0000_t32" style="position:absolute;left:0pt;margin-left:85.9pt;margin-top:3.25pt;height:0pt;width:34.4pt;z-index:251667456;mso-width-relative:page;mso-height-relative:page;" o:connectortype="straight" filled="f" coordsize="21600,21600">
                  <v:path arrowok="t"/>
                  <v:fill on="f" focussize="0,0"/>
                  <v:stroke endarrow="block"/>
                  <v:imagedata o:title=""/>
                  <o:lock v:ext="edit"/>
                </v:shape>
              </w:pict>
            </w:r>
          </w:p>
          <w:p w14:paraId="1411AEEB">
            <w:pPr>
              <w:pStyle w:val="5"/>
              <w:rPr>
                <w:rFonts w:hint="eastAsia"/>
                <w:color w:val="auto"/>
                <w:highlight w:val="none"/>
              </w:rPr>
            </w:pPr>
          </w:p>
          <w:p w14:paraId="7E3CE278">
            <w:pPr>
              <w:pStyle w:val="5"/>
              <w:rPr>
                <w:rFonts w:hint="eastAsia"/>
                <w:color w:val="auto"/>
                <w:highlight w:val="none"/>
              </w:rPr>
            </w:pPr>
            <w:r>
              <w:rPr>
                <w:rFonts w:ascii="Times New Roman" w:hAnsi="Times New Roman" w:eastAsiaTheme="minorEastAsia"/>
                <w:color w:val="auto"/>
                <w:kern w:val="0"/>
                <w:sz w:val="24"/>
                <w:highlight w:val="none"/>
              </w:rPr>
              <w:pict>
                <v:shape id="_x0000_s2144" o:spid="_x0000_s2144" o:spt="202" type="#_x0000_t202" style="position:absolute;left:0pt;margin-left:335.55pt;margin-top:2.4pt;height:36.85pt;width:78.75pt;z-index:251748352;mso-width-relative:page;mso-height-relative:page;" filled="f" stroked="f" coordsize="21600,21600">
                  <v:path/>
                  <v:fill on="f" focussize="0,0"/>
                  <v:stroke on="f"/>
                  <v:imagedata o:title=""/>
                  <o:lock v:ext="edit" aspectratio="f"/>
                  <v:textbox>
                    <w:txbxContent>
                      <w:p w14:paraId="4D3BB547">
                        <w:pPr>
                          <w:rPr>
                            <w:rFonts w:hint="eastAsia" w:ascii="宋体" w:hAnsi="Times New Roman" w:cs="宋体"/>
                            <w:kern w:val="0"/>
                            <w:szCs w:val="21"/>
                            <w:lang w:val="en-US" w:eastAsia="zh-CN"/>
                          </w:rPr>
                        </w:pPr>
                        <w:r>
                          <w:rPr>
                            <w:rFonts w:hint="eastAsia" w:ascii="宋体" w:hAnsi="Times New Roman" w:cs="宋体"/>
                            <w:kern w:val="0"/>
                            <w:szCs w:val="21"/>
                            <w:lang w:val="en-US" w:eastAsia="zh-CN"/>
                          </w:rPr>
                          <w:t>图例：</w:t>
                        </w:r>
                      </w:p>
                      <w:p w14:paraId="1065CD9E">
                        <w:pPr>
                          <w:rPr>
                            <w:rFonts w:hint="default" w:ascii="宋体" w:hAnsi="Times New Roman" w:cs="宋体"/>
                            <w:kern w:val="0"/>
                            <w:szCs w:val="21"/>
                            <w:lang w:val="en-US" w:eastAsia="zh-CN"/>
                          </w:rPr>
                        </w:pPr>
                        <w:r>
                          <w:rPr>
                            <w:rFonts w:hint="eastAsia" w:ascii="宋体" w:hAnsi="Times New Roman" w:cs="宋体"/>
                            <w:kern w:val="0"/>
                            <w:szCs w:val="21"/>
                            <w:lang w:val="en-US" w:eastAsia="zh-CN"/>
                          </w:rPr>
                          <w:t xml:space="preserve">     损耗</w:t>
                        </w:r>
                      </w:p>
                    </w:txbxContent>
                  </v:textbox>
                </v:shape>
              </w:pict>
            </w:r>
          </w:p>
          <w:p w14:paraId="633E9DA6">
            <w:pPr>
              <w:pStyle w:val="5"/>
              <w:rPr>
                <w:rFonts w:hint="eastAsia"/>
                <w:color w:val="auto"/>
                <w:highlight w:val="none"/>
              </w:rPr>
            </w:pPr>
            <w:r>
              <w:rPr>
                <w:rFonts w:ascii="Times New Roman" w:hAnsi="Times New Roman" w:eastAsiaTheme="minorEastAsia"/>
                <w:color w:val="auto"/>
                <w:kern w:val="0"/>
                <w:sz w:val="24"/>
                <w:highlight w:val="none"/>
              </w:rPr>
              <w:pict>
                <v:shape id="_x0000_s2053" o:spid="_x0000_s2053" o:spt="32" type="#_x0000_t32" style="position:absolute;left:0pt;margin-left:343.9pt;margin-top:13.4pt;height:0pt;width:21.55pt;z-index:251749376;mso-width-relative:page;mso-height-relative:page;" filled="f" stroked="t" coordsize="21600,21600">
                  <v:path arrowok="t"/>
                  <v:fill on="f" focussize="0,0"/>
                  <v:stroke color="#000000" dashstyle="dashDot" endarrow="block"/>
                  <v:imagedata o:title=""/>
                  <o:lock v:ext="edit" aspectratio="f"/>
                </v:shape>
              </w:pict>
            </w:r>
          </w:p>
          <w:p w14:paraId="377F11C7">
            <w:pPr>
              <w:pStyle w:val="5"/>
              <w:rPr>
                <w:rFonts w:hint="eastAsia"/>
                <w:color w:val="auto"/>
                <w:highlight w:val="none"/>
              </w:rPr>
            </w:pPr>
          </w:p>
          <w:p w14:paraId="15AD5BBF">
            <w:pPr>
              <w:pStyle w:val="5"/>
              <w:jc w:val="center"/>
              <w:rPr>
                <w:rFonts w:hint="eastAsia" w:eastAsia="宋体"/>
                <w:color w:val="auto"/>
                <w:highlight w:val="none"/>
                <w:lang w:val="en-US" w:eastAsia="zh-CN"/>
              </w:rPr>
            </w:pPr>
            <w:r>
              <w:rPr>
                <w:rFonts w:ascii="Times New Roman" w:hAnsi="Times New Roman" w:eastAsiaTheme="minorEastAsia"/>
                <w:bCs/>
                <w:color w:val="auto"/>
                <w:sz w:val="24"/>
                <w:szCs w:val="24"/>
                <w:highlight w:val="none"/>
              </w:rPr>
              <w:t>图2-</w:t>
            </w:r>
            <w:r>
              <w:rPr>
                <w:rFonts w:hint="eastAsia" w:ascii="Times New Roman" w:hAnsi="Times New Roman" w:eastAsiaTheme="minorEastAsia"/>
                <w:bCs/>
                <w:color w:val="auto"/>
                <w:sz w:val="24"/>
                <w:szCs w:val="24"/>
                <w:highlight w:val="none"/>
                <w:lang w:val="en-US" w:eastAsia="zh-CN"/>
              </w:rPr>
              <w:t>2</w:t>
            </w:r>
            <w:r>
              <w:rPr>
                <w:rFonts w:ascii="Times New Roman" w:hAnsi="Times New Roman" w:eastAsiaTheme="minorEastAsia"/>
                <w:bCs/>
                <w:color w:val="auto"/>
                <w:sz w:val="24"/>
                <w:szCs w:val="24"/>
                <w:highlight w:val="none"/>
              </w:rPr>
              <w:t xml:space="preserve">   </w:t>
            </w:r>
            <w:r>
              <w:rPr>
                <w:rFonts w:hint="eastAsia" w:ascii="宋体" w:hAnsi="Times New Roman" w:cs="宋体" w:eastAsiaTheme="minorEastAsia"/>
                <w:color w:val="auto"/>
                <w:kern w:val="0"/>
                <w:sz w:val="24"/>
                <w:szCs w:val="24"/>
                <w:highlight w:val="none"/>
                <w:lang w:val="en-US" w:eastAsia="zh-CN"/>
              </w:rPr>
              <w:t>全厂水平衡</w:t>
            </w:r>
            <w:r>
              <w:rPr>
                <w:rFonts w:hint="eastAsia" w:ascii="宋体" w:hAnsi="Times New Roman" w:cs="宋体"/>
                <w:color w:val="auto"/>
                <w:kern w:val="0"/>
                <w:sz w:val="24"/>
                <w:szCs w:val="24"/>
                <w:highlight w:val="none"/>
              </w:rPr>
              <w:t>图</w:t>
            </w:r>
            <w:r>
              <w:rPr>
                <w:rFonts w:hint="eastAsia" w:ascii="宋体" w:hAnsi="Times New Roman" w:cs="宋体"/>
                <w:color w:val="auto"/>
                <w:kern w:val="0"/>
                <w:sz w:val="24"/>
                <w:szCs w:val="24"/>
                <w:highlight w:val="none"/>
                <w:lang w:eastAsia="zh-CN"/>
              </w:rPr>
              <w:t>（</w:t>
            </w:r>
            <w:r>
              <w:rPr>
                <w:rFonts w:hint="eastAsia" w:ascii="宋体" w:hAnsi="Times New Roman" w:cs="宋体"/>
                <w:color w:val="auto"/>
                <w:kern w:val="0"/>
                <w:sz w:val="24"/>
                <w:szCs w:val="24"/>
                <w:highlight w:val="none"/>
                <w:lang w:val="en-US" w:eastAsia="zh-CN"/>
              </w:rPr>
              <w:t>单位：</w:t>
            </w:r>
            <w:r>
              <w:rPr>
                <w:rFonts w:ascii="Times New Roman" w:hAnsi="Times New Roman" w:eastAsiaTheme="minorEastAsia"/>
                <w:color w:val="auto"/>
                <w:sz w:val="24"/>
                <w:szCs w:val="24"/>
                <w:highlight w:val="none"/>
              </w:rPr>
              <w:t>m</w:t>
            </w:r>
            <w:r>
              <w:rPr>
                <w:rFonts w:ascii="Times New Roman" w:hAnsi="Times New Roman" w:eastAsiaTheme="minorEastAsia"/>
                <w:color w:val="auto"/>
                <w:sz w:val="24"/>
                <w:szCs w:val="24"/>
                <w:highlight w:val="none"/>
                <w:vertAlign w:val="superscript"/>
              </w:rPr>
              <w:t>3</w:t>
            </w:r>
            <w:r>
              <w:rPr>
                <w:rFonts w:ascii="Times New Roman" w:hAnsi="Times New Roman" w:eastAsiaTheme="minorEastAsia"/>
                <w:color w:val="auto"/>
                <w:sz w:val="24"/>
                <w:szCs w:val="24"/>
                <w:highlight w:val="none"/>
              </w:rPr>
              <w:t>/d</w:t>
            </w:r>
            <w:r>
              <w:rPr>
                <w:rFonts w:hint="eastAsia" w:ascii="宋体" w:hAnsi="Times New Roman" w:cs="宋体"/>
                <w:color w:val="auto"/>
                <w:kern w:val="0"/>
                <w:sz w:val="24"/>
                <w:szCs w:val="24"/>
                <w:highlight w:val="none"/>
                <w:lang w:eastAsia="zh-CN"/>
              </w:rPr>
              <w:t>）</w:t>
            </w:r>
          </w:p>
          <w:p w14:paraId="6759F702">
            <w:pPr>
              <w:spacing w:line="480" w:lineRule="exact"/>
              <w:ind w:firstLine="480" w:firstLineChars="200"/>
              <w:rPr>
                <w:rFonts w:ascii="Times New Roman" w:hAnsi="Times New Roman" w:eastAsiaTheme="minorEastAsia"/>
                <w:color w:val="auto"/>
                <w:kern w:val="0"/>
                <w:sz w:val="24"/>
                <w:szCs w:val="24"/>
                <w:highlight w:val="none"/>
              </w:rPr>
            </w:pPr>
            <w:r>
              <w:rPr>
                <w:rFonts w:hint="eastAsia" w:ascii="Times New Roman" w:hAnsi="Times New Roman" w:eastAsiaTheme="minorEastAsia"/>
                <w:color w:val="auto"/>
                <w:kern w:val="0"/>
                <w:sz w:val="24"/>
                <w:szCs w:val="24"/>
                <w:highlight w:val="none"/>
                <w:lang w:val="en-US" w:eastAsia="zh-CN"/>
              </w:rPr>
              <w:t>9</w:t>
            </w:r>
            <w:r>
              <w:rPr>
                <w:rFonts w:ascii="Times New Roman" w:hAnsi="Times New Roman" w:eastAsiaTheme="minorEastAsia"/>
                <w:color w:val="auto"/>
                <w:kern w:val="0"/>
                <w:sz w:val="24"/>
                <w:szCs w:val="24"/>
                <w:highlight w:val="none"/>
              </w:rPr>
              <w:t>、供电</w:t>
            </w:r>
          </w:p>
          <w:p w14:paraId="4584AA6E">
            <w:pPr>
              <w:spacing w:line="480" w:lineRule="exact"/>
              <w:ind w:firstLine="480" w:firstLineChars="200"/>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本项目用电量为</w:t>
            </w:r>
            <w:r>
              <w:rPr>
                <w:rFonts w:hint="eastAsia" w:ascii="Times New Roman" w:hAnsi="Times New Roman" w:eastAsiaTheme="minorEastAsia"/>
                <w:color w:val="auto"/>
                <w:kern w:val="0"/>
                <w:sz w:val="24"/>
                <w:szCs w:val="24"/>
                <w:highlight w:val="none"/>
                <w:lang w:val="en-US" w:eastAsia="zh-CN"/>
              </w:rPr>
              <w:t>1</w:t>
            </w:r>
            <w:r>
              <w:rPr>
                <w:rFonts w:ascii="Times New Roman" w:hAnsi="Times New Roman" w:eastAsiaTheme="minorEastAsia"/>
                <w:color w:val="auto"/>
                <w:kern w:val="0"/>
                <w:sz w:val="24"/>
                <w:szCs w:val="24"/>
                <w:highlight w:val="none"/>
              </w:rPr>
              <w:t>万kW·h/a，依托车间现有供电系统供给。</w:t>
            </w:r>
          </w:p>
          <w:p w14:paraId="083F40B1">
            <w:pPr>
              <w:spacing w:line="360" w:lineRule="auto"/>
              <w:ind w:firstLine="480" w:firstLineChars="200"/>
              <w:rPr>
                <w:rFonts w:ascii="Times New Roman" w:hAnsi="Times New Roman" w:eastAsiaTheme="minorEastAsia"/>
                <w:color w:val="auto"/>
                <w:kern w:val="0"/>
                <w:sz w:val="24"/>
                <w:szCs w:val="24"/>
                <w:highlight w:val="none"/>
              </w:rPr>
            </w:pPr>
            <w:r>
              <w:rPr>
                <w:rFonts w:hint="eastAsia" w:ascii="Times New Roman" w:hAnsi="Times New Roman" w:eastAsiaTheme="minorEastAsia"/>
                <w:color w:val="auto"/>
                <w:kern w:val="0"/>
                <w:sz w:val="24"/>
                <w:szCs w:val="24"/>
                <w:highlight w:val="none"/>
                <w:lang w:val="en-US" w:eastAsia="zh-CN"/>
              </w:rPr>
              <w:t>10</w:t>
            </w:r>
            <w:r>
              <w:rPr>
                <w:rFonts w:ascii="Times New Roman" w:hAnsi="Times New Roman" w:eastAsiaTheme="minorEastAsia"/>
                <w:color w:val="auto"/>
                <w:kern w:val="0"/>
                <w:sz w:val="24"/>
                <w:szCs w:val="24"/>
                <w:highlight w:val="none"/>
              </w:rPr>
              <w:t>、供热</w:t>
            </w:r>
          </w:p>
          <w:p w14:paraId="3F18D5C4">
            <w:pPr>
              <w:spacing w:line="360" w:lineRule="auto"/>
              <w:ind w:firstLine="480" w:firstLineChars="200"/>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本项目仓储过程不用供暖。办公室冬季采用空调取暖。</w:t>
            </w:r>
          </w:p>
          <w:p w14:paraId="4EE204DD">
            <w:pPr>
              <w:pStyle w:val="5"/>
              <w:spacing w:line="360" w:lineRule="auto"/>
              <w:ind w:firstLine="48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1</w:t>
            </w:r>
            <w:r>
              <w:rPr>
                <w:rFonts w:hint="eastAsia" w:ascii="Times New Roman" w:hAnsi="Times New Roman" w:eastAsiaTheme="minorEastAsia"/>
                <w:color w:val="auto"/>
                <w:sz w:val="24"/>
                <w:szCs w:val="24"/>
                <w:highlight w:val="none"/>
                <w:lang w:val="en-US" w:eastAsia="zh-CN"/>
              </w:rPr>
              <w:t>1</w:t>
            </w:r>
            <w:r>
              <w:rPr>
                <w:rFonts w:ascii="Times New Roman" w:hAnsi="Times New Roman" w:eastAsiaTheme="minorEastAsia"/>
                <w:color w:val="auto"/>
                <w:sz w:val="24"/>
                <w:szCs w:val="24"/>
                <w:highlight w:val="none"/>
              </w:rPr>
              <w:t>、储运方式</w:t>
            </w:r>
          </w:p>
          <w:p w14:paraId="3122C103">
            <w:pPr>
              <w:pStyle w:val="5"/>
              <w:spacing w:line="360" w:lineRule="auto"/>
              <w:ind w:firstLine="480"/>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根据《危险废物收集、贮存、运输技术规范》（HJ2025-2012）中规定：“从事危险废物收集、贮存、运输经营活动的单位应具有危险废物经营许可证”，因此，本环评要求建设单位在未取得危废经营许可证之前，不得开展经营活动。</w:t>
            </w:r>
          </w:p>
          <w:p w14:paraId="15470105">
            <w:pPr>
              <w:pStyle w:val="5"/>
              <w:numPr>
                <w:ilvl w:val="0"/>
                <w:numId w:val="3"/>
              </w:numPr>
              <w:spacing w:line="360" w:lineRule="auto"/>
              <w:ind w:firstLineChars="0"/>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收集、运输方式</w:t>
            </w:r>
          </w:p>
          <w:p w14:paraId="34E6265D">
            <w:pPr>
              <w:pStyle w:val="5"/>
              <w:spacing w:line="360" w:lineRule="auto"/>
              <w:ind w:left="0" w:leftChars="0" w:firstLine="480" w:firstLineChars="200"/>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本项目取得危废经营许可证后，按危险废物收集要求进行收集工作</w:t>
            </w:r>
            <w:r>
              <w:rPr>
                <w:rFonts w:hint="eastAsia" w:ascii="Times New Roman" w:hAnsi="Times New Roman" w:eastAsiaTheme="minorEastAsia"/>
                <w:color w:val="auto"/>
                <w:kern w:val="0"/>
                <w:sz w:val="24"/>
                <w:szCs w:val="24"/>
                <w:highlight w:val="none"/>
                <w:lang w:eastAsia="zh-CN"/>
              </w:rPr>
              <w:t>，</w:t>
            </w:r>
            <w:r>
              <w:rPr>
                <w:rFonts w:hint="eastAsia" w:ascii="Times New Roman" w:hAnsi="Times New Roman" w:eastAsiaTheme="minorEastAsia"/>
                <w:color w:val="auto"/>
                <w:kern w:val="0"/>
                <w:sz w:val="24"/>
                <w:szCs w:val="24"/>
                <w:highlight w:val="none"/>
                <w:lang w:val="en-US" w:eastAsia="zh-CN"/>
              </w:rPr>
              <w:t>本项目只收集未破损的电池，拒收破损电池</w:t>
            </w:r>
            <w:r>
              <w:rPr>
                <w:rFonts w:ascii="Times New Roman" w:hAnsi="Times New Roman" w:eastAsiaTheme="minorEastAsia"/>
                <w:color w:val="auto"/>
                <w:kern w:val="0"/>
                <w:sz w:val="24"/>
                <w:szCs w:val="24"/>
                <w:highlight w:val="none"/>
              </w:rPr>
              <w:t>。</w:t>
            </w:r>
          </w:p>
          <w:p w14:paraId="0CDED86D">
            <w:pPr>
              <w:pStyle w:val="5"/>
              <w:spacing w:line="360" w:lineRule="auto"/>
              <w:ind w:firstLine="480"/>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本项目厂内采取</w:t>
            </w:r>
            <w:r>
              <w:rPr>
                <w:rFonts w:hint="eastAsia" w:ascii="Times New Roman" w:hAnsi="Times New Roman" w:eastAsiaTheme="minorEastAsia"/>
                <w:color w:val="auto"/>
                <w:kern w:val="0"/>
                <w:sz w:val="24"/>
                <w:szCs w:val="24"/>
                <w:highlight w:val="none"/>
                <w:lang w:val="en-US" w:eastAsia="zh-CN"/>
              </w:rPr>
              <w:t>自备</w:t>
            </w:r>
            <w:r>
              <w:rPr>
                <w:rFonts w:ascii="Times New Roman" w:hAnsi="Times New Roman" w:eastAsiaTheme="minorEastAsia"/>
                <w:color w:val="auto"/>
                <w:kern w:val="0"/>
                <w:sz w:val="24"/>
                <w:szCs w:val="24"/>
                <w:highlight w:val="none"/>
              </w:rPr>
              <w:t>叉车运输。</w:t>
            </w:r>
          </w:p>
          <w:p w14:paraId="3DF196A7">
            <w:pPr>
              <w:pStyle w:val="5"/>
              <w:spacing w:line="360" w:lineRule="auto"/>
              <w:ind w:firstLine="480"/>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厂外</w:t>
            </w:r>
            <w:r>
              <w:rPr>
                <w:rFonts w:hint="eastAsia" w:ascii="Times New Roman" w:hAnsi="Times New Roman" w:eastAsiaTheme="minorEastAsia"/>
                <w:color w:val="auto"/>
                <w:kern w:val="0"/>
                <w:sz w:val="24"/>
                <w:szCs w:val="24"/>
                <w:highlight w:val="none"/>
                <w:lang w:val="en-US" w:eastAsia="zh-CN"/>
              </w:rPr>
              <w:t>委托</w:t>
            </w:r>
            <w:r>
              <w:rPr>
                <w:rFonts w:ascii="Times New Roman" w:hAnsi="Times New Roman" w:eastAsiaTheme="minorEastAsia"/>
                <w:color w:val="auto"/>
                <w:kern w:val="0"/>
                <w:sz w:val="24"/>
                <w:szCs w:val="24"/>
                <w:highlight w:val="none"/>
              </w:rPr>
              <w:t>专用车辆运输，</w:t>
            </w:r>
            <w:bookmarkStart w:id="17" w:name="_Toc92441626"/>
            <w:r>
              <w:rPr>
                <w:rFonts w:hint="eastAsia" w:ascii="Times New Roman" w:hAnsi="Times New Roman" w:eastAsiaTheme="minorEastAsia"/>
                <w:color w:val="auto"/>
                <w:kern w:val="0"/>
                <w:sz w:val="24"/>
                <w:szCs w:val="24"/>
                <w:highlight w:val="none"/>
                <w:lang w:val="en-US" w:eastAsia="zh-CN"/>
              </w:rPr>
              <w:t>根据《</w:t>
            </w:r>
            <w:r>
              <w:rPr>
                <w:rFonts w:hint="eastAsia" w:ascii="Times New Roman" w:hAnsi="Times New Roman" w:eastAsiaTheme="minorEastAsia"/>
                <w:color w:val="auto"/>
                <w:kern w:val="0"/>
                <w:sz w:val="24"/>
                <w:szCs w:val="24"/>
                <w:highlight w:val="none"/>
              </w:rPr>
              <w:t>国家危险废物名录（</w:t>
            </w:r>
            <w:r>
              <w:rPr>
                <w:rFonts w:ascii="Times New Roman" w:hAnsi="Times New Roman" w:eastAsiaTheme="minorEastAsia"/>
                <w:color w:val="auto"/>
                <w:kern w:val="0"/>
                <w:sz w:val="24"/>
                <w:szCs w:val="24"/>
                <w:highlight w:val="none"/>
              </w:rPr>
              <w:t>202</w:t>
            </w:r>
            <w:r>
              <w:rPr>
                <w:rFonts w:hint="eastAsia" w:ascii="Times New Roman" w:hAnsi="Times New Roman" w:eastAsiaTheme="minorEastAsia"/>
                <w:color w:val="auto"/>
                <w:kern w:val="0"/>
                <w:sz w:val="24"/>
                <w:szCs w:val="24"/>
                <w:highlight w:val="none"/>
                <w:lang w:val="en-US" w:eastAsia="zh-CN"/>
              </w:rPr>
              <w:t>5</w:t>
            </w:r>
            <w:r>
              <w:rPr>
                <w:rFonts w:hint="eastAsia" w:ascii="Times New Roman" w:hAnsi="Times New Roman" w:eastAsiaTheme="minorEastAsia"/>
                <w:color w:val="auto"/>
                <w:kern w:val="0"/>
                <w:sz w:val="24"/>
                <w:szCs w:val="24"/>
                <w:highlight w:val="none"/>
              </w:rPr>
              <w:t>年版）</w:t>
            </w:r>
            <w:r>
              <w:rPr>
                <w:rFonts w:hint="eastAsia" w:ascii="Times New Roman" w:hAnsi="Times New Roman" w:eastAsiaTheme="minorEastAsia"/>
                <w:color w:val="auto"/>
                <w:kern w:val="0"/>
                <w:sz w:val="24"/>
                <w:szCs w:val="24"/>
                <w:highlight w:val="none"/>
                <w:lang w:val="en-US" w:eastAsia="zh-CN"/>
              </w:rPr>
              <w:t>》</w:t>
            </w:r>
            <w:bookmarkEnd w:id="17"/>
            <w:r>
              <w:rPr>
                <w:rFonts w:hint="eastAsia" w:ascii="Times New Roman" w:hAnsi="Times New Roman" w:eastAsiaTheme="minorEastAsia"/>
                <w:color w:val="auto"/>
                <w:kern w:val="0"/>
                <w:sz w:val="24"/>
                <w:szCs w:val="24"/>
                <w:highlight w:val="none"/>
                <w:lang w:val="en-US" w:eastAsia="zh-CN"/>
              </w:rPr>
              <w:t>附录</w:t>
            </w:r>
            <w:r>
              <w:rPr>
                <w:rFonts w:hint="eastAsia" w:ascii="Times New Roman" w:hAnsi="Times New Roman" w:eastAsiaTheme="minorEastAsia"/>
                <w:color w:val="auto"/>
                <w:kern w:val="0"/>
                <w:sz w:val="24"/>
                <w:szCs w:val="24"/>
                <w:highlight w:val="none"/>
              </w:rPr>
              <w:t>危险废物豁免管理清单</w:t>
            </w:r>
            <w:r>
              <w:rPr>
                <w:rFonts w:hint="eastAsia" w:ascii="Times New Roman" w:hAnsi="Times New Roman" w:eastAsiaTheme="minorEastAsia"/>
                <w:color w:val="auto"/>
                <w:kern w:val="0"/>
                <w:sz w:val="24"/>
                <w:szCs w:val="24"/>
                <w:highlight w:val="none"/>
                <w:lang w:eastAsia="zh-CN"/>
              </w:rPr>
              <w:t>，</w:t>
            </w:r>
            <w:r>
              <w:rPr>
                <w:rFonts w:hint="eastAsia" w:ascii="Times New Roman" w:hAnsi="Times New Roman" w:eastAsiaTheme="minorEastAsia"/>
                <w:color w:val="auto"/>
                <w:kern w:val="0"/>
                <w:sz w:val="24"/>
                <w:szCs w:val="24"/>
                <w:highlight w:val="none"/>
              </w:rPr>
              <w:t>未破损的</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900-052-31</w:t>
            </w:r>
            <w:r>
              <w:rPr>
                <w:rFonts w:hint="eastAsia" w:ascii="Times New Roman" w:hAnsi="Times New Roman" w:eastAsiaTheme="minorEastAsia"/>
                <w:color w:val="auto"/>
                <w:kern w:val="0"/>
                <w:sz w:val="24"/>
                <w:szCs w:val="24"/>
                <w:highlight w:val="none"/>
                <w:lang w:eastAsia="zh-CN"/>
              </w:rPr>
              <w:t>），</w:t>
            </w:r>
            <w:r>
              <w:rPr>
                <w:rFonts w:hint="eastAsia" w:ascii="Times New Roman" w:hAnsi="Times New Roman" w:eastAsiaTheme="minorEastAsia"/>
                <w:color w:val="auto"/>
                <w:kern w:val="0"/>
                <w:sz w:val="24"/>
                <w:szCs w:val="24"/>
                <w:highlight w:val="none"/>
              </w:rPr>
              <w:t>运输工具满足防雨、防渗漏、防遗撒要求</w:t>
            </w:r>
            <w:r>
              <w:rPr>
                <w:rFonts w:hint="eastAsia" w:ascii="Times New Roman" w:hAnsi="Times New Roman" w:eastAsiaTheme="minorEastAsia"/>
                <w:color w:val="auto"/>
                <w:kern w:val="0"/>
                <w:sz w:val="24"/>
                <w:szCs w:val="24"/>
                <w:highlight w:val="none"/>
                <w:lang w:eastAsia="zh-CN"/>
              </w:rPr>
              <w:t>，</w:t>
            </w:r>
            <w:r>
              <w:rPr>
                <w:rFonts w:hint="eastAsia" w:ascii="Times New Roman" w:hAnsi="Times New Roman" w:eastAsiaTheme="minorEastAsia"/>
                <w:color w:val="auto"/>
                <w:kern w:val="0"/>
                <w:sz w:val="24"/>
                <w:szCs w:val="24"/>
                <w:highlight w:val="none"/>
                <w:lang w:val="en-US" w:eastAsia="zh-CN"/>
              </w:rPr>
              <w:t>在运输环节</w:t>
            </w:r>
            <w:r>
              <w:rPr>
                <w:rFonts w:hint="eastAsia" w:ascii="Times New Roman" w:hAnsi="Times New Roman" w:eastAsiaTheme="minorEastAsia"/>
                <w:color w:val="auto"/>
                <w:kern w:val="0"/>
                <w:sz w:val="24"/>
                <w:szCs w:val="24"/>
                <w:highlight w:val="none"/>
              </w:rPr>
              <w:t>不按危险废物进行运输。</w:t>
            </w:r>
            <w:r>
              <w:rPr>
                <w:rFonts w:hint="eastAsia" w:ascii="Times New Roman" w:hAnsi="Times New Roman" w:eastAsiaTheme="minorEastAsia"/>
                <w:color w:val="auto"/>
                <w:kern w:val="0"/>
                <w:sz w:val="24"/>
                <w:szCs w:val="24"/>
                <w:highlight w:val="none"/>
                <w:lang w:val="en-US" w:eastAsia="zh-CN"/>
              </w:rPr>
              <w:t>本项目只运输未破损的电池，</w:t>
            </w:r>
            <w:r>
              <w:rPr>
                <w:rFonts w:ascii="Times New Roman" w:hAnsi="Times New Roman" w:eastAsiaTheme="minorEastAsia"/>
                <w:color w:val="auto"/>
                <w:kern w:val="0"/>
                <w:sz w:val="24"/>
                <w:szCs w:val="24"/>
                <w:highlight w:val="none"/>
              </w:rPr>
              <w:t>运输车辆设置防淋</w:t>
            </w:r>
            <w:r>
              <w:rPr>
                <w:rFonts w:hint="eastAsia" w:ascii="Times New Roman" w:hAnsi="Times New Roman" w:eastAsiaTheme="minorEastAsia"/>
                <w:color w:val="auto"/>
                <w:kern w:val="0"/>
                <w:sz w:val="24"/>
                <w:szCs w:val="24"/>
                <w:highlight w:val="none"/>
                <w:lang w:val="en-US" w:eastAsia="zh-CN"/>
              </w:rPr>
              <w:t>苫布，车辆配备足够的耐腐蚀</w:t>
            </w:r>
            <w:r>
              <w:rPr>
                <w:rFonts w:ascii="Times New Roman" w:hAnsi="Times New Roman" w:eastAsiaTheme="minorEastAsia"/>
                <w:color w:val="auto"/>
                <w:kern w:val="0"/>
                <w:sz w:val="24"/>
                <w:szCs w:val="24"/>
                <w:highlight w:val="none"/>
              </w:rPr>
              <w:t>托盘、塑料箱。运输车辆具有危险货物运输资质和对危险废物包装发生破裂、泄漏或其他事故进行处理的能力。运输车辆在公路上行驶应持有通行证，其上应证明废物的来源、性质、运往地点。</w:t>
            </w:r>
          </w:p>
          <w:p w14:paraId="31A127BA">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根据当天收集量、厂区内暂存量，安排转运车辆数量。并根据《危险废物转移管理办法》的规定，办理危险废物转移联单手续。</w:t>
            </w:r>
          </w:p>
          <w:p w14:paraId="66A76328">
            <w:pPr>
              <w:pStyle w:val="5"/>
              <w:spacing w:line="360" w:lineRule="auto"/>
              <w:ind w:firstLineChars="0"/>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企业在与客户签订正式收运合同前，将派出专业人员对企业产生的铅蓄电池种类和数量进行实地</w:t>
            </w:r>
            <w:r>
              <w:rPr>
                <w:rFonts w:hint="eastAsia" w:ascii="Times New Roman" w:hAnsi="Times New Roman" w:eastAsiaTheme="minorEastAsia"/>
                <w:color w:val="auto"/>
                <w:kern w:val="0"/>
                <w:sz w:val="24"/>
                <w:szCs w:val="24"/>
                <w:highlight w:val="none"/>
                <w:lang w:val="en-US" w:eastAsia="zh-CN"/>
              </w:rPr>
              <w:t>核查</w:t>
            </w:r>
            <w:r>
              <w:rPr>
                <w:rFonts w:ascii="Times New Roman" w:hAnsi="Times New Roman" w:eastAsiaTheme="minorEastAsia"/>
                <w:color w:val="auto"/>
                <w:kern w:val="0"/>
                <w:sz w:val="24"/>
                <w:szCs w:val="24"/>
                <w:highlight w:val="none"/>
              </w:rPr>
              <w:t>，并指导企业规范收集和贮存危险废物，以便于后续转运。</w:t>
            </w:r>
          </w:p>
          <w:p w14:paraId="6D91E94D">
            <w:pPr>
              <w:pStyle w:val="5"/>
              <w:numPr>
                <w:ilvl w:val="0"/>
                <w:numId w:val="3"/>
              </w:numPr>
              <w:spacing w:line="360" w:lineRule="auto"/>
              <w:ind w:firstLineChars="0"/>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主要运输路线</w:t>
            </w:r>
          </w:p>
          <w:p w14:paraId="21765667">
            <w:pPr>
              <w:pStyle w:val="5"/>
              <w:spacing w:line="360" w:lineRule="auto"/>
              <w:ind w:firstLineChars="0"/>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因收集点多而分散，每个收集点一定时期内收集到的各类危险废物不一致，收集时间也不统一，本环评要求各收集点在运行前设定转运路线，转运路线确定的总体原则为：转运车辆运输途中</w:t>
            </w:r>
            <w:r>
              <w:rPr>
                <w:rFonts w:hint="eastAsia" w:ascii="Times New Roman" w:hAnsi="Times New Roman" w:eastAsiaTheme="minorEastAsia"/>
                <w:color w:val="auto"/>
                <w:kern w:val="0"/>
                <w:sz w:val="24"/>
                <w:szCs w:val="24"/>
                <w:highlight w:val="none"/>
                <w:lang w:val="en-US" w:eastAsia="zh-CN"/>
              </w:rPr>
              <w:t>尽量避开</w:t>
            </w:r>
            <w:r>
              <w:rPr>
                <w:rFonts w:ascii="Times New Roman" w:hAnsi="Times New Roman" w:eastAsiaTheme="minorEastAsia"/>
                <w:color w:val="auto"/>
                <w:kern w:val="0"/>
                <w:sz w:val="24"/>
                <w:szCs w:val="24"/>
                <w:highlight w:val="none"/>
              </w:rPr>
              <w:t>经过医院、学校和居民区等人口密集区，避开饮用水水源保护区、自然保护区等敏感区域。</w:t>
            </w:r>
          </w:p>
          <w:p w14:paraId="50D49F23">
            <w:pPr>
              <w:pStyle w:val="5"/>
              <w:spacing w:line="360" w:lineRule="auto"/>
              <w:ind w:firstLineChars="0"/>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运输车辆需配置GPS定位系统，按照规定路线行驶。运输单位为运输过程中的环保责任主体，运输车辆按照《道路危险货物运输车辆标志》（GB13392-2005）中规定悬挂相应标志灯相关要求。</w:t>
            </w:r>
          </w:p>
          <w:p w14:paraId="28D010E9">
            <w:pPr>
              <w:pStyle w:val="52"/>
              <w:numPr>
                <w:ilvl w:val="0"/>
                <w:numId w:val="3"/>
              </w:numPr>
              <w:autoSpaceDE w:val="0"/>
              <w:autoSpaceDN w:val="0"/>
              <w:adjustRightInd w:val="0"/>
              <w:spacing w:line="360" w:lineRule="auto"/>
              <w:ind w:firstLineChars="0"/>
              <w:jc w:val="left"/>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储存方式</w:t>
            </w:r>
          </w:p>
          <w:p w14:paraId="018EDD06">
            <w:pPr>
              <w:autoSpaceDE w:val="0"/>
              <w:autoSpaceDN w:val="0"/>
              <w:adjustRightInd w:val="0"/>
              <w:spacing w:line="360" w:lineRule="auto"/>
              <w:ind w:firstLine="480" w:firstLineChars="200"/>
              <w:jc w:val="left"/>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本项目贮存危险废物均分区分类存放，设置</w:t>
            </w:r>
            <w:r>
              <w:rPr>
                <w:rFonts w:hint="eastAsia" w:ascii="Times New Roman" w:hAnsi="Times New Roman" w:eastAsiaTheme="minorEastAsia"/>
                <w:color w:val="auto"/>
                <w:kern w:val="0"/>
                <w:sz w:val="24"/>
                <w:szCs w:val="24"/>
                <w:highlight w:val="none"/>
                <w:lang w:val="en-US" w:eastAsia="zh-CN"/>
              </w:rPr>
              <w:t>通道</w:t>
            </w:r>
            <w:r>
              <w:rPr>
                <w:rFonts w:ascii="Times New Roman" w:hAnsi="Times New Roman" w:eastAsiaTheme="minorEastAsia"/>
                <w:color w:val="auto"/>
                <w:kern w:val="0"/>
                <w:sz w:val="24"/>
                <w:szCs w:val="24"/>
                <w:highlight w:val="none"/>
              </w:rPr>
              <w:t>、导流沟和收集</w:t>
            </w:r>
            <w:r>
              <w:rPr>
                <w:rFonts w:hint="eastAsia" w:ascii="Times New Roman" w:hAnsi="Times New Roman" w:eastAsiaTheme="minorEastAsia"/>
                <w:color w:val="auto"/>
                <w:kern w:val="0"/>
                <w:sz w:val="24"/>
                <w:szCs w:val="24"/>
                <w:highlight w:val="none"/>
                <w:lang w:val="en-US" w:eastAsia="zh-CN"/>
              </w:rPr>
              <w:t>池</w:t>
            </w:r>
            <w:r>
              <w:rPr>
                <w:rFonts w:ascii="Times New Roman" w:hAnsi="Times New Roman" w:eastAsiaTheme="minorEastAsia"/>
                <w:color w:val="auto"/>
                <w:kern w:val="0"/>
                <w:sz w:val="24"/>
                <w:szCs w:val="24"/>
                <w:highlight w:val="none"/>
              </w:rPr>
              <w:t>（2m³）。</w:t>
            </w:r>
          </w:p>
          <w:p w14:paraId="5728F843">
            <w:pPr>
              <w:autoSpaceDE w:val="0"/>
              <w:autoSpaceDN w:val="0"/>
              <w:adjustRightInd w:val="0"/>
              <w:spacing w:line="360" w:lineRule="auto"/>
              <w:ind w:firstLine="480" w:firstLineChars="200"/>
              <w:jc w:val="left"/>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本项目贮存危险废物形态主要为固态、半固态，包含未破损的密封式免维护</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（第I类</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）、开口式</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和破损的密封式免维护</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（第Ⅱ类</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w:t>
            </w:r>
          </w:p>
          <w:p w14:paraId="5955F68C">
            <w:pPr>
              <w:autoSpaceDE w:val="0"/>
              <w:autoSpaceDN w:val="0"/>
              <w:adjustRightInd w:val="0"/>
              <w:spacing w:line="360" w:lineRule="auto"/>
              <w:ind w:firstLine="480" w:firstLineChars="200"/>
              <w:jc w:val="left"/>
              <w:rPr>
                <w:rFonts w:ascii="Times New Roman" w:hAnsi="Times New Roman" w:eastAsiaTheme="minorEastAsia"/>
                <w:color w:val="auto"/>
                <w:kern w:val="0"/>
                <w:sz w:val="24"/>
                <w:szCs w:val="24"/>
                <w:highlight w:val="none"/>
              </w:rPr>
            </w:pP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储存方式：</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存放区分为完好废电池存放区和破损废电池存放区，第I 类</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采用塑料薄膜缠绕包装后放入防渗防腐塑料托盘中，在完好废电池存放区暂存；第Ⅱ类</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入带盖的耐腐蚀的PV塑料箱中，在破损废电池存放区暂存。</w:t>
            </w:r>
          </w:p>
          <w:p w14:paraId="5A15AC65">
            <w:pPr>
              <w:autoSpaceDE w:val="0"/>
              <w:autoSpaceDN w:val="0"/>
              <w:adjustRightInd w:val="0"/>
              <w:spacing w:line="360" w:lineRule="auto"/>
              <w:ind w:firstLine="480" w:firstLineChars="200"/>
              <w:jc w:val="left"/>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危险废物进场后，按照其类别分类后，分别放置在相应的存放区暂存。本项目危险废物贮存时间根据实际周转量、贮存能力来定，本项目最大存储时间不超过</w:t>
            </w:r>
            <w:r>
              <w:rPr>
                <w:rFonts w:hint="eastAsia" w:ascii="Times New Roman" w:hAnsi="Times New Roman" w:eastAsiaTheme="minorEastAsia"/>
                <w:color w:val="auto"/>
                <w:kern w:val="0"/>
                <w:sz w:val="24"/>
                <w:szCs w:val="24"/>
                <w:highlight w:val="none"/>
                <w:lang w:val="en-US" w:eastAsia="zh-CN"/>
              </w:rPr>
              <w:t>7</w:t>
            </w:r>
            <w:r>
              <w:rPr>
                <w:rFonts w:ascii="Times New Roman" w:hAnsi="Times New Roman" w:eastAsiaTheme="minorEastAsia"/>
                <w:color w:val="auto"/>
                <w:kern w:val="0"/>
                <w:sz w:val="24"/>
                <w:szCs w:val="24"/>
                <w:highlight w:val="none"/>
              </w:rPr>
              <w:t>天。本项目严格按照危险废物的种类和特性分区储存，入库与转运出库的包装方式不变，不拆包装。</w:t>
            </w:r>
          </w:p>
          <w:p w14:paraId="2CE040A2">
            <w:pPr>
              <w:pStyle w:val="52"/>
              <w:numPr>
                <w:ilvl w:val="0"/>
                <w:numId w:val="3"/>
              </w:numPr>
              <w:autoSpaceDE w:val="0"/>
              <w:autoSpaceDN w:val="0"/>
              <w:adjustRightInd w:val="0"/>
              <w:spacing w:line="360" w:lineRule="auto"/>
              <w:ind w:firstLineChars="0"/>
              <w:jc w:val="left"/>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贮存能力分析</w:t>
            </w:r>
          </w:p>
          <w:p w14:paraId="31FAD3B6">
            <w:pPr>
              <w:autoSpaceDE w:val="0"/>
              <w:autoSpaceDN w:val="0"/>
              <w:adjustRightInd w:val="0"/>
              <w:spacing w:line="360" w:lineRule="auto"/>
              <w:ind w:firstLine="480" w:firstLineChars="200"/>
              <w:jc w:val="left"/>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根据《电池废料贮运规范》（GB/T26493-2011）要求：“列入国家危险废物名录的电池废料，对于不同组别采用分离贮存，同一组别采用隔离贮存。”本项目主要收集废电池，属于危险固废，因此需采用隔离贮存的方式进行储存。贮存方式按（GB/T26493-2011）中表2-</w:t>
            </w:r>
            <w:r>
              <w:rPr>
                <w:rFonts w:hint="eastAsia" w:ascii="Times New Roman" w:hAnsi="Times New Roman" w:eastAsiaTheme="minorEastAsia"/>
                <w:color w:val="auto"/>
                <w:kern w:val="0"/>
                <w:sz w:val="24"/>
                <w:szCs w:val="24"/>
                <w:highlight w:val="none"/>
                <w:lang w:val="en-US" w:eastAsia="zh-CN"/>
              </w:rPr>
              <w:t>7</w:t>
            </w:r>
            <w:r>
              <w:rPr>
                <w:rFonts w:ascii="Times New Roman" w:hAnsi="Times New Roman" w:eastAsiaTheme="minorEastAsia"/>
                <w:color w:val="auto"/>
                <w:kern w:val="0"/>
                <w:sz w:val="24"/>
                <w:szCs w:val="24"/>
                <w:highlight w:val="none"/>
              </w:rPr>
              <w:t>要求进行设计，详见下表。</w:t>
            </w:r>
          </w:p>
          <w:p w14:paraId="679472FD">
            <w:pPr>
              <w:spacing w:line="360" w:lineRule="auto"/>
              <w:jc w:val="center"/>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表2-</w:t>
            </w:r>
            <w:r>
              <w:rPr>
                <w:rFonts w:hint="eastAsia" w:ascii="Times New Roman" w:hAnsi="Times New Roman" w:eastAsiaTheme="minorEastAsia"/>
                <w:color w:val="auto"/>
                <w:sz w:val="24"/>
                <w:szCs w:val="24"/>
                <w:highlight w:val="none"/>
                <w:lang w:val="en-US" w:eastAsia="zh-CN"/>
              </w:rPr>
              <w:t>7</w:t>
            </w:r>
            <w:r>
              <w:rPr>
                <w:rFonts w:ascii="Times New Roman" w:hAnsi="Times New Roman" w:eastAsiaTheme="minorEastAsia"/>
                <w:color w:val="auto"/>
                <w:sz w:val="24"/>
                <w:szCs w:val="24"/>
                <w:highlight w:val="none"/>
              </w:rPr>
              <w:t xml:space="preserve">  </w:t>
            </w:r>
            <w:r>
              <w:rPr>
                <w:rFonts w:ascii="Times New Roman" w:hAnsi="Times New Roman" w:eastAsiaTheme="minorEastAsia"/>
                <w:color w:val="auto"/>
                <w:kern w:val="0"/>
                <w:sz w:val="24"/>
                <w:szCs w:val="24"/>
                <w:highlight w:val="none"/>
              </w:rPr>
              <w:t>《电池废料贮运规范》中隔离贮存方式要求</w:t>
            </w:r>
          </w:p>
          <w:tbl>
            <w:tblPr>
              <w:tblStyle w:val="31"/>
              <w:tblW w:w="494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7"/>
              <w:gridCol w:w="3771"/>
              <w:gridCol w:w="3690"/>
            </w:tblGrid>
            <w:tr w14:paraId="490865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vAlign w:val="center"/>
                </w:tcPr>
                <w:p w14:paraId="67E0224B">
                  <w:pPr>
                    <w:topLinePunct/>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序号</w:t>
                  </w:r>
                </w:p>
              </w:tc>
              <w:tc>
                <w:tcPr>
                  <w:tcW w:w="2297" w:type="pct"/>
                  <w:vAlign w:val="center"/>
                </w:tcPr>
                <w:p w14:paraId="0DA0B529">
                  <w:pPr>
                    <w:wordWrap w:val="0"/>
                    <w:topLinePunct/>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color w:val="auto"/>
                      <w:kern w:val="0"/>
                      <w:szCs w:val="21"/>
                      <w:highlight w:val="none"/>
                    </w:rPr>
                    <w:t>贮存方式要求</w:t>
                  </w:r>
                </w:p>
              </w:tc>
              <w:tc>
                <w:tcPr>
                  <w:tcW w:w="2248" w:type="pct"/>
                  <w:vAlign w:val="center"/>
                </w:tcPr>
                <w:p w14:paraId="1E817348">
                  <w:pPr>
                    <w:wordWrap w:val="0"/>
                    <w:topLinePunct/>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color w:val="auto"/>
                      <w:kern w:val="0"/>
                      <w:szCs w:val="21"/>
                      <w:highlight w:val="none"/>
                    </w:rPr>
                    <w:t>隔离贮存</w:t>
                  </w:r>
                </w:p>
              </w:tc>
            </w:tr>
            <w:tr w14:paraId="48D731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vAlign w:val="center"/>
                </w:tcPr>
                <w:p w14:paraId="484A177C">
                  <w:pPr>
                    <w:wordWrap w:val="0"/>
                    <w:topLinePunct/>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1</w:t>
                  </w:r>
                </w:p>
              </w:tc>
              <w:tc>
                <w:tcPr>
                  <w:tcW w:w="2297" w:type="pct"/>
                  <w:vAlign w:val="center"/>
                </w:tcPr>
                <w:p w14:paraId="3A5F76C6">
                  <w:pPr>
                    <w:autoSpaceDE w:val="0"/>
                    <w:autoSpaceDN w:val="0"/>
                    <w:adjustRightInd w:val="0"/>
                    <w:jc w:val="center"/>
                    <w:rPr>
                      <w:rFonts w:ascii="Times New Roman" w:hAnsi="Times New Roman" w:eastAsiaTheme="minorEastAsia"/>
                      <w:color w:val="auto"/>
                      <w:spacing w:val="-2"/>
                      <w:szCs w:val="21"/>
                      <w:highlight w:val="none"/>
                    </w:rPr>
                  </w:pPr>
                  <w:r>
                    <w:rPr>
                      <w:rFonts w:ascii="Times New Roman" w:hAnsi="Times New Roman" w:eastAsiaTheme="minorEastAsia"/>
                      <w:color w:val="auto"/>
                      <w:kern w:val="0"/>
                      <w:szCs w:val="21"/>
                      <w:highlight w:val="none"/>
                    </w:rPr>
                    <w:t>平均单位面积的贮存量/（t/m</w:t>
                  </w:r>
                  <w:r>
                    <w:rPr>
                      <w:rFonts w:ascii="Times New Roman" w:hAnsi="Times New Roman" w:eastAsiaTheme="minorEastAsia"/>
                      <w:color w:val="auto"/>
                      <w:kern w:val="0"/>
                      <w:szCs w:val="21"/>
                      <w:highlight w:val="none"/>
                      <w:vertAlign w:val="superscript"/>
                    </w:rPr>
                    <w:t>2</w:t>
                  </w:r>
                  <w:r>
                    <w:rPr>
                      <w:rFonts w:ascii="Times New Roman" w:hAnsi="Times New Roman" w:eastAsiaTheme="minorEastAsia"/>
                      <w:color w:val="auto"/>
                      <w:kern w:val="0"/>
                      <w:szCs w:val="21"/>
                      <w:highlight w:val="none"/>
                    </w:rPr>
                    <w:t>）</w:t>
                  </w:r>
                </w:p>
              </w:tc>
              <w:tc>
                <w:tcPr>
                  <w:tcW w:w="2248" w:type="pct"/>
                  <w:vAlign w:val="center"/>
                </w:tcPr>
                <w:p w14:paraId="0CA743E9">
                  <w:pPr>
                    <w:spacing w:line="240" w:lineRule="atLeast"/>
                    <w:jc w:val="center"/>
                    <w:rPr>
                      <w:rFonts w:ascii="Times New Roman" w:hAnsi="Times New Roman" w:eastAsiaTheme="minorEastAsia"/>
                      <w:color w:val="auto"/>
                      <w:spacing w:val="-2"/>
                      <w:szCs w:val="21"/>
                      <w:highlight w:val="none"/>
                    </w:rPr>
                  </w:pPr>
                  <w:r>
                    <w:rPr>
                      <w:rFonts w:ascii="Times New Roman" w:hAnsi="Times New Roman" w:eastAsiaTheme="minorEastAsia"/>
                      <w:color w:val="auto"/>
                      <w:spacing w:val="-2"/>
                      <w:szCs w:val="21"/>
                      <w:highlight w:val="none"/>
                    </w:rPr>
                    <w:t>1.5</w:t>
                  </w:r>
                  <w:r>
                    <w:rPr>
                      <w:rFonts w:ascii="Times New Roman" w:hAnsi="Times New Roman" w:eastAsiaTheme="minorEastAsia"/>
                      <w:color w:val="auto"/>
                      <w:kern w:val="0"/>
                      <w:szCs w:val="21"/>
                      <w:highlight w:val="none"/>
                    </w:rPr>
                    <w:t>～</w:t>
                  </w:r>
                  <w:r>
                    <w:rPr>
                      <w:rFonts w:ascii="Times New Roman" w:hAnsi="Times New Roman" w:eastAsiaTheme="minorEastAsia"/>
                      <w:color w:val="auto"/>
                      <w:spacing w:val="-2"/>
                      <w:szCs w:val="21"/>
                      <w:highlight w:val="none"/>
                    </w:rPr>
                    <w:t>2.0</w:t>
                  </w:r>
                </w:p>
              </w:tc>
            </w:tr>
            <w:tr w14:paraId="7AFF7F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vAlign w:val="center"/>
                </w:tcPr>
                <w:p w14:paraId="090165F0">
                  <w:pPr>
                    <w:wordWrap w:val="0"/>
                    <w:topLinePunct/>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2</w:t>
                  </w:r>
                </w:p>
              </w:tc>
              <w:tc>
                <w:tcPr>
                  <w:tcW w:w="2297" w:type="pct"/>
                  <w:vAlign w:val="center"/>
                </w:tcPr>
                <w:p w14:paraId="6C704048">
                  <w:pPr>
                    <w:spacing w:line="240" w:lineRule="atLeast"/>
                    <w:jc w:val="center"/>
                    <w:rPr>
                      <w:rFonts w:ascii="Times New Roman" w:hAnsi="Times New Roman" w:eastAsiaTheme="minorEastAsia"/>
                      <w:color w:val="auto"/>
                      <w:spacing w:val="-2"/>
                      <w:szCs w:val="21"/>
                      <w:highlight w:val="none"/>
                    </w:rPr>
                  </w:pPr>
                  <w:r>
                    <w:rPr>
                      <w:rFonts w:ascii="Times New Roman" w:hAnsi="Times New Roman" w:eastAsiaTheme="minorEastAsia"/>
                      <w:color w:val="auto"/>
                      <w:kern w:val="0"/>
                      <w:szCs w:val="21"/>
                      <w:highlight w:val="none"/>
                    </w:rPr>
                    <w:t>单一贮存区最大贮存量/t</w:t>
                  </w:r>
                </w:p>
              </w:tc>
              <w:tc>
                <w:tcPr>
                  <w:tcW w:w="2248" w:type="pct"/>
                  <w:vAlign w:val="center"/>
                </w:tcPr>
                <w:p w14:paraId="2B70161C">
                  <w:pPr>
                    <w:spacing w:line="240" w:lineRule="atLeast"/>
                    <w:jc w:val="center"/>
                    <w:rPr>
                      <w:rFonts w:ascii="Times New Roman" w:hAnsi="Times New Roman" w:eastAsiaTheme="minorEastAsia"/>
                      <w:color w:val="auto"/>
                      <w:spacing w:val="-2"/>
                      <w:szCs w:val="21"/>
                      <w:highlight w:val="none"/>
                    </w:rPr>
                  </w:pPr>
                  <w:r>
                    <w:rPr>
                      <w:rFonts w:ascii="Times New Roman" w:hAnsi="Times New Roman" w:eastAsiaTheme="minorEastAsia"/>
                      <w:color w:val="auto"/>
                      <w:kern w:val="0"/>
                      <w:szCs w:val="21"/>
                      <w:highlight w:val="none"/>
                    </w:rPr>
                    <w:t>200～300</w:t>
                  </w:r>
                </w:p>
              </w:tc>
            </w:tr>
            <w:tr w14:paraId="40D7A4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vAlign w:val="center"/>
                </w:tcPr>
                <w:p w14:paraId="30C27C18">
                  <w:pPr>
                    <w:wordWrap w:val="0"/>
                    <w:topLinePunct/>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3</w:t>
                  </w:r>
                </w:p>
              </w:tc>
              <w:tc>
                <w:tcPr>
                  <w:tcW w:w="2297" w:type="pct"/>
                  <w:vAlign w:val="center"/>
                </w:tcPr>
                <w:p w14:paraId="07F8909F">
                  <w:pPr>
                    <w:spacing w:line="240" w:lineRule="atLeast"/>
                    <w:jc w:val="center"/>
                    <w:rPr>
                      <w:rFonts w:ascii="Times New Roman" w:hAnsi="Times New Roman" w:eastAsiaTheme="minorEastAsia"/>
                      <w:color w:val="auto"/>
                      <w:spacing w:val="-2"/>
                      <w:szCs w:val="21"/>
                      <w:highlight w:val="none"/>
                    </w:rPr>
                  </w:pPr>
                  <w:r>
                    <w:rPr>
                      <w:rFonts w:ascii="Times New Roman" w:hAnsi="Times New Roman" w:eastAsiaTheme="minorEastAsia"/>
                      <w:color w:val="auto"/>
                      <w:kern w:val="0"/>
                      <w:szCs w:val="21"/>
                      <w:highlight w:val="none"/>
                    </w:rPr>
                    <w:t>贮存区间距/m</w:t>
                  </w:r>
                </w:p>
              </w:tc>
              <w:tc>
                <w:tcPr>
                  <w:tcW w:w="2248" w:type="pct"/>
                  <w:vAlign w:val="center"/>
                </w:tcPr>
                <w:p w14:paraId="4B9DC89E">
                  <w:pPr>
                    <w:spacing w:line="240" w:lineRule="atLeast"/>
                    <w:jc w:val="center"/>
                    <w:rPr>
                      <w:rFonts w:ascii="Times New Roman" w:hAnsi="Times New Roman" w:eastAsiaTheme="minorEastAsia"/>
                      <w:color w:val="auto"/>
                      <w:spacing w:val="-2"/>
                      <w:szCs w:val="21"/>
                      <w:highlight w:val="none"/>
                    </w:rPr>
                  </w:pPr>
                  <w:r>
                    <w:rPr>
                      <w:rFonts w:ascii="Times New Roman" w:hAnsi="Times New Roman" w:eastAsiaTheme="minorEastAsia"/>
                      <w:color w:val="auto"/>
                      <w:kern w:val="0"/>
                      <w:szCs w:val="21"/>
                      <w:highlight w:val="none"/>
                    </w:rPr>
                    <w:t>0.3～0.5</w:t>
                  </w:r>
                </w:p>
              </w:tc>
            </w:tr>
            <w:tr w14:paraId="198F8C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vAlign w:val="center"/>
                </w:tcPr>
                <w:p w14:paraId="1D4F38B8">
                  <w:pPr>
                    <w:wordWrap w:val="0"/>
                    <w:topLinePunct/>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4</w:t>
                  </w:r>
                </w:p>
              </w:tc>
              <w:tc>
                <w:tcPr>
                  <w:tcW w:w="2297" w:type="pct"/>
                  <w:vAlign w:val="center"/>
                </w:tcPr>
                <w:p w14:paraId="4FA28D56">
                  <w:pPr>
                    <w:spacing w:line="240" w:lineRule="atLeast"/>
                    <w:jc w:val="center"/>
                    <w:rPr>
                      <w:rFonts w:ascii="Times New Roman" w:hAnsi="Times New Roman" w:eastAsiaTheme="minorEastAsia"/>
                      <w:color w:val="auto"/>
                      <w:spacing w:val="-2"/>
                      <w:szCs w:val="21"/>
                      <w:highlight w:val="none"/>
                    </w:rPr>
                  </w:pPr>
                  <w:r>
                    <w:rPr>
                      <w:rFonts w:ascii="Times New Roman" w:hAnsi="Times New Roman" w:eastAsiaTheme="minorEastAsia"/>
                      <w:color w:val="auto"/>
                      <w:kern w:val="0"/>
                      <w:szCs w:val="21"/>
                      <w:highlight w:val="none"/>
                    </w:rPr>
                    <w:t>通道宽度/m</w:t>
                  </w:r>
                </w:p>
              </w:tc>
              <w:tc>
                <w:tcPr>
                  <w:tcW w:w="2248" w:type="pct"/>
                  <w:vAlign w:val="center"/>
                </w:tcPr>
                <w:p w14:paraId="23A79FF8">
                  <w:pPr>
                    <w:spacing w:line="240" w:lineRule="atLeast"/>
                    <w:jc w:val="center"/>
                    <w:rPr>
                      <w:rFonts w:ascii="Times New Roman" w:hAnsi="Times New Roman" w:eastAsiaTheme="minorEastAsia"/>
                      <w:color w:val="auto"/>
                      <w:spacing w:val="-2"/>
                      <w:szCs w:val="21"/>
                      <w:highlight w:val="none"/>
                    </w:rPr>
                  </w:pPr>
                  <w:r>
                    <w:rPr>
                      <w:rFonts w:ascii="Times New Roman" w:hAnsi="Times New Roman" w:eastAsiaTheme="minorEastAsia"/>
                      <w:color w:val="auto"/>
                      <w:kern w:val="0"/>
                      <w:szCs w:val="21"/>
                      <w:highlight w:val="none"/>
                    </w:rPr>
                    <w:t>1～2</w:t>
                  </w:r>
                </w:p>
              </w:tc>
            </w:tr>
            <w:tr w14:paraId="08CA8A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vAlign w:val="center"/>
                </w:tcPr>
                <w:p w14:paraId="1482EA23">
                  <w:pPr>
                    <w:wordWrap w:val="0"/>
                    <w:topLinePunct/>
                    <w:adjustRightInd w:val="0"/>
                    <w:snapToGrid w:val="0"/>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5</w:t>
                  </w:r>
                </w:p>
              </w:tc>
              <w:tc>
                <w:tcPr>
                  <w:tcW w:w="2297" w:type="pct"/>
                  <w:vAlign w:val="center"/>
                </w:tcPr>
                <w:p w14:paraId="11D471D1">
                  <w:pPr>
                    <w:spacing w:line="240" w:lineRule="atLeast"/>
                    <w:jc w:val="center"/>
                    <w:rPr>
                      <w:rFonts w:ascii="Times New Roman" w:hAnsi="Times New Roman" w:eastAsiaTheme="minorEastAsia"/>
                      <w:color w:val="auto"/>
                      <w:spacing w:val="-2"/>
                      <w:szCs w:val="21"/>
                      <w:highlight w:val="none"/>
                    </w:rPr>
                  </w:pPr>
                  <w:r>
                    <w:rPr>
                      <w:rFonts w:ascii="Times New Roman" w:hAnsi="Times New Roman" w:eastAsiaTheme="minorEastAsia"/>
                      <w:color w:val="auto"/>
                      <w:kern w:val="0"/>
                      <w:szCs w:val="21"/>
                      <w:highlight w:val="none"/>
                    </w:rPr>
                    <w:t>墙距宽度/m</w:t>
                  </w:r>
                </w:p>
              </w:tc>
              <w:tc>
                <w:tcPr>
                  <w:tcW w:w="2248" w:type="pct"/>
                  <w:vAlign w:val="center"/>
                </w:tcPr>
                <w:p w14:paraId="6B530308">
                  <w:pPr>
                    <w:widowControl/>
                    <w:spacing w:line="300" w:lineRule="exact"/>
                    <w:jc w:val="center"/>
                    <w:rPr>
                      <w:rFonts w:ascii="Times New Roman" w:hAnsi="Times New Roman" w:eastAsiaTheme="minorEastAsia"/>
                      <w:color w:val="auto"/>
                      <w:szCs w:val="21"/>
                      <w:highlight w:val="none"/>
                    </w:rPr>
                  </w:pPr>
                  <w:r>
                    <w:rPr>
                      <w:rFonts w:ascii="Times New Roman" w:hAnsi="Times New Roman" w:eastAsiaTheme="minorEastAsia"/>
                      <w:color w:val="auto"/>
                      <w:kern w:val="0"/>
                      <w:szCs w:val="21"/>
                      <w:highlight w:val="none"/>
                    </w:rPr>
                    <w:t>0.3～0.5</w:t>
                  </w:r>
                </w:p>
              </w:tc>
            </w:tr>
          </w:tbl>
          <w:p w14:paraId="18D2B4A7">
            <w:pPr>
              <w:autoSpaceDE w:val="0"/>
              <w:autoSpaceDN w:val="0"/>
              <w:adjustRightInd w:val="0"/>
              <w:spacing w:line="360" w:lineRule="auto"/>
              <w:ind w:firstLine="480" w:firstLineChars="200"/>
              <w:jc w:val="left"/>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注：（GB/T26493-2011）中关于隔离贮存定义为：“在同一房间或同一区域内，不同的物料之间分开一定距离用通道保持空间的贮存方式。”</w:t>
            </w:r>
          </w:p>
          <w:p w14:paraId="06070609">
            <w:pPr>
              <w:autoSpaceDE w:val="0"/>
              <w:autoSpaceDN w:val="0"/>
              <w:adjustRightInd w:val="0"/>
              <w:spacing w:line="360" w:lineRule="auto"/>
              <w:ind w:firstLine="480" w:firstLineChars="200"/>
              <w:jc w:val="left"/>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本项目贮存面积为</w:t>
            </w:r>
            <w:r>
              <w:rPr>
                <w:rFonts w:hint="eastAsia" w:ascii="Times New Roman" w:hAnsi="Times New Roman" w:eastAsiaTheme="minorEastAsia"/>
                <w:color w:val="auto"/>
                <w:kern w:val="0"/>
                <w:sz w:val="24"/>
                <w:szCs w:val="24"/>
                <w:highlight w:val="none"/>
                <w:lang w:eastAsia="zh-CN"/>
              </w:rPr>
              <w:t>1060</w:t>
            </w:r>
            <w:r>
              <w:rPr>
                <w:rFonts w:ascii="Times New Roman" w:hAnsi="Times New Roman" w:eastAsiaTheme="minorEastAsia"/>
                <w:color w:val="auto"/>
                <w:kern w:val="0"/>
                <w:sz w:val="24"/>
                <w:szCs w:val="24"/>
                <w:highlight w:val="none"/>
              </w:rPr>
              <w:t>m</w:t>
            </w:r>
            <w:r>
              <w:rPr>
                <w:rFonts w:ascii="Times New Roman" w:hAnsi="Times New Roman" w:eastAsiaTheme="minorEastAsia"/>
                <w:color w:val="auto"/>
                <w:kern w:val="0"/>
                <w:sz w:val="24"/>
                <w:szCs w:val="24"/>
                <w:highlight w:val="none"/>
                <w:vertAlign w:val="superscript"/>
              </w:rPr>
              <w:t>2</w:t>
            </w:r>
            <w:r>
              <w:rPr>
                <w:rFonts w:ascii="Times New Roman" w:hAnsi="Times New Roman" w:eastAsiaTheme="minorEastAsia"/>
                <w:color w:val="auto"/>
                <w:kern w:val="0"/>
                <w:sz w:val="24"/>
                <w:szCs w:val="24"/>
                <w:highlight w:val="none"/>
              </w:rPr>
              <w:t>，</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设计最大存放量为</w:t>
            </w:r>
            <w:r>
              <w:rPr>
                <w:rFonts w:hint="eastAsia" w:ascii="Times New Roman" w:hAnsi="Times New Roman" w:eastAsiaTheme="minorEastAsia"/>
                <w:color w:val="auto"/>
                <w:kern w:val="0"/>
                <w:sz w:val="24"/>
                <w:szCs w:val="24"/>
                <w:highlight w:val="none"/>
                <w:lang w:val="en-US" w:eastAsia="zh-CN"/>
              </w:rPr>
              <w:t>7</w:t>
            </w:r>
            <w:r>
              <w:rPr>
                <w:rFonts w:ascii="Times New Roman" w:hAnsi="Times New Roman" w:eastAsiaTheme="minorEastAsia"/>
                <w:color w:val="auto"/>
                <w:kern w:val="0"/>
                <w:sz w:val="24"/>
                <w:szCs w:val="24"/>
                <w:highlight w:val="none"/>
              </w:rPr>
              <w:t>0t，平均单位面积的贮存量为0.</w:t>
            </w:r>
            <w:r>
              <w:rPr>
                <w:rFonts w:hint="eastAsia" w:ascii="Times New Roman" w:hAnsi="Times New Roman" w:eastAsiaTheme="minorEastAsia"/>
                <w:color w:val="auto"/>
                <w:kern w:val="0"/>
                <w:sz w:val="24"/>
                <w:szCs w:val="24"/>
                <w:highlight w:val="none"/>
                <w:lang w:val="en-US" w:eastAsia="zh-CN"/>
              </w:rPr>
              <w:t>07</w:t>
            </w:r>
            <w:r>
              <w:rPr>
                <w:rFonts w:ascii="Times New Roman" w:hAnsi="Times New Roman" w:eastAsiaTheme="minorEastAsia"/>
                <w:color w:val="auto"/>
                <w:kern w:val="0"/>
                <w:sz w:val="24"/>
                <w:szCs w:val="24"/>
                <w:highlight w:val="none"/>
              </w:rPr>
              <w:t>t/m</w:t>
            </w:r>
            <w:r>
              <w:rPr>
                <w:rFonts w:ascii="Times New Roman" w:hAnsi="Times New Roman" w:eastAsiaTheme="minorEastAsia"/>
                <w:color w:val="auto"/>
                <w:kern w:val="0"/>
                <w:sz w:val="24"/>
                <w:szCs w:val="24"/>
                <w:highlight w:val="none"/>
                <w:vertAlign w:val="superscript"/>
              </w:rPr>
              <w:t>2</w:t>
            </w:r>
            <w:r>
              <w:rPr>
                <w:rFonts w:hint="eastAsia" w:ascii="Times New Roman" w:hAnsi="Times New Roman" w:eastAsiaTheme="minorEastAsia"/>
                <w:color w:val="auto"/>
                <w:kern w:val="0"/>
                <w:sz w:val="24"/>
                <w:szCs w:val="24"/>
                <w:highlight w:val="none"/>
                <w:vertAlign w:val="baseline"/>
                <w:lang w:eastAsia="zh-CN"/>
              </w:rPr>
              <w:t>，</w:t>
            </w:r>
            <w:r>
              <w:rPr>
                <w:rFonts w:hint="eastAsia" w:ascii="Times New Roman" w:hAnsi="Times New Roman" w:eastAsiaTheme="minorEastAsia"/>
                <w:color w:val="auto"/>
                <w:kern w:val="0"/>
                <w:sz w:val="24"/>
                <w:szCs w:val="24"/>
                <w:highlight w:val="none"/>
                <w:vertAlign w:val="baseline"/>
                <w:lang w:val="en-US" w:eastAsia="zh-CN"/>
              </w:rPr>
              <w:t>设置的通道为1.5m</w:t>
            </w:r>
            <w:r>
              <w:rPr>
                <w:rFonts w:ascii="Times New Roman" w:hAnsi="Times New Roman" w:eastAsiaTheme="minorEastAsia"/>
                <w:color w:val="auto"/>
                <w:kern w:val="0"/>
                <w:sz w:val="24"/>
                <w:szCs w:val="24"/>
                <w:highlight w:val="none"/>
              </w:rPr>
              <w:t>。根据《电池废料贮运规范》（GB/T26493-2011）隔离贮存平均单位面积的贮存量为1.5~2.0t/m</w:t>
            </w:r>
            <w:r>
              <w:rPr>
                <w:rFonts w:ascii="Times New Roman" w:hAnsi="Times New Roman" w:eastAsiaTheme="minorEastAsia"/>
                <w:color w:val="auto"/>
                <w:kern w:val="0"/>
                <w:sz w:val="24"/>
                <w:szCs w:val="24"/>
                <w:highlight w:val="none"/>
                <w:vertAlign w:val="superscript"/>
              </w:rPr>
              <w:t>2</w:t>
            </w:r>
            <w:r>
              <w:rPr>
                <w:rFonts w:ascii="Times New Roman" w:hAnsi="Times New Roman" w:eastAsiaTheme="minorEastAsia"/>
                <w:color w:val="auto"/>
                <w:kern w:val="0"/>
                <w:sz w:val="24"/>
                <w:szCs w:val="24"/>
                <w:highlight w:val="none"/>
              </w:rPr>
              <w:t>，因此，本项目</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仓库贮存能力能满足相国家规范要求，同时项目运营过程中，建设单位应加强监管，严格执行《</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处理污染控制技术规范》（HJ519-2020）中的规定。</w:t>
            </w:r>
          </w:p>
          <w:p w14:paraId="2FA1C50D">
            <w:pPr>
              <w:pStyle w:val="13"/>
              <w:rPr>
                <w:rFonts w:hint="eastAsia"/>
                <w:color w:val="auto"/>
                <w:highlight w:val="none"/>
              </w:rPr>
            </w:pPr>
          </w:p>
          <w:p w14:paraId="24BD6A1B">
            <w:pPr>
              <w:rPr>
                <w:rFonts w:hint="eastAsia"/>
                <w:color w:val="auto"/>
                <w:highlight w:val="none"/>
              </w:rPr>
            </w:pPr>
          </w:p>
        </w:tc>
      </w:tr>
      <w:tr w14:paraId="7E3217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5" w:hRule="atLeast"/>
          <w:jc w:val="center"/>
        </w:trPr>
        <w:tc>
          <w:tcPr>
            <w:tcW w:w="294" w:type="pct"/>
            <w:vAlign w:val="center"/>
          </w:tcPr>
          <w:p w14:paraId="4292563C">
            <w:pPr>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工艺流程和产排污环节</w:t>
            </w:r>
          </w:p>
          <w:p w14:paraId="198C3BA1">
            <w:pPr>
              <w:pStyle w:val="5"/>
              <w:rPr>
                <w:rFonts w:ascii="Times New Roman" w:hAnsi="Times New Roman"/>
                <w:color w:val="auto"/>
                <w:highlight w:val="none"/>
              </w:rPr>
            </w:pPr>
          </w:p>
        </w:tc>
        <w:tc>
          <w:tcPr>
            <w:tcW w:w="4705" w:type="pct"/>
          </w:tcPr>
          <w:p w14:paraId="534BFD7F">
            <w:pPr>
              <w:pStyle w:val="21"/>
              <w:numPr>
                <w:ilvl w:val="0"/>
                <w:numId w:val="0"/>
              </w:numPr>
              <w:tabs>
                <w:tab w:val="right" w:leader="dot" w:pos="8949"/>
              </w:tabs>
              <w:spacing w:line="480" w:lineRule="exact"/>
              <w:ind w:left="420" w:leftChars="0"/>
              <w:rPr>
                <w:rFonts w:eastAsiaTheme="minorEastAsia"/>
                <w:b/>
                <w:bCs/>
                <w:color w:val="auto"/>
                <w:sz w:val="24"/>
                <w:szCs w:val="24"/>
                <w:highlight w:val="none"/>
              </w:rPr>
            </w:pPr>
            <w:r>
              <w:rPr>
                <w:rFonts w:hint="eastAsia" w:eastAsiaTheme="minorEastAsia"/>
                <w:b/>
                <w:bCs/>
                <w:color w:val="auto"/>
                <w:sz w:val="24"/>
                <w:szCs w:val="24"/>
                <w:highlight w:val="none"/>
                <w:lang w:val="en-US" w:eastAsia="zh-CN"/>
              </w:rPr>
              <w:t>1、施工</w:t>
            </w:r>
            <w:r>
              <w:rPr>
                <w:rFonts w:eastAsiaTheme="minorEastAsia"/>
                <w:b/>
                <w:bCs/>
                <w:color w:val="auto"/>
                <w:sz w:val="24"/>
                <w:szCs w:val="24"/>
                <w:highlight w:val="none"/>
              </w:rPr>
              <w:t>期</w:t>
            </w:r>
          </w:p>
          <w:p w14:paraId="28546E1B">
            <w:pPr>
              <w:adjustRightInd w:val="0"/>
              <w:snapToGrid w:val="0"/>
              <w:spacing w:line="480" w:lineRule="exact"/>
              <w:ind w:firstLine="480" w:firstLineChars="200"/>
              <w:textAlignment w:val="baseline"/>
              <w:rPr>
                <w:rFonts w:hint="eastAsia"/>
                <w:bCs/>
                <w:color w:val="auto"/>
                <w:sz w:val="24"/>
                <w:szCs w:val="24"/>
                <w:highlight w:val="none"/>
              </w:rPr>
            </w:pPr>
            <w:r>
              <w:rPr>
                <w:bCs/>
                <w:color w:val="auto"/>
                <w:sz w:val="24"/>
                <w:szCs w:val="24"/>
                <w:highlight w:val="none"/>
              </w:rPr>
              <w:t>本项目无土建施工，只是</w:t>
            </w:r>
            <w:r>
              <w:rPr>
                <w:rFonts w:hint="eastAsia"/>
                <w:color w:val="auto"/>
                <w:sz w:val="24"/>
                <w:szCs w:val="24"/>
                <w:highlight w:val="none"/>
              </w:rPr>
              <w:t>厂房</w:t>
            </w:r>
            <w:r>
              <w:rPr>
                <w:rFonts w:hint="eastAsia"/>
                <w:color w:val="auto"/>
                <w:sz w:val="24"/>
                <w:szCs w:val="24"/>
                <w:highlight w:val="none"/>
                <w:lang w:val="en-US" w:eastAsia="zh-CN"/>
              </w:rPr>
              <w:t>进行</w:t>
            </w:r>
            <w:r>
              <w:rPr>
                <w:rFonts w:hint="eastAsia"/>
                <w:color w:val="auto"/>
                <w:sz w:val="24"/>
                <w:szCs w:val="24"/>
                <w:highlight w:val="none"/>
              </w:rPr>
              <w:t>布局调整</w:t>
            </w:r>
            <w:r>
              <w:rPr>
                <w:rFonts w:hint="eastAsia"/>
                <w:color w:val="auto"/>
                <w:sz w:val="24"/>
                <w:szCs w:val="24"/>
                <w:highlight w:val="none"/>
                <w:lang w:eastAsia="zh-CN"/>
              </w:rPr>
              <w:t>，</w:t>
            </w:r>
            <w:r>
              <w:rPr>
                <w:rFonts w:hint="eastAsia"/>
                <w:color w:val="auto"/>
                <w:sz w:val="24"/>
                <w:szCs w:val="24"/>
                <w:highlight w:val="none"/>
                <w:lang w:val="en-US" w:eastAsia="zh-CN"/>
              </w:rPr>
              <w:t>搭建隔断、建设办公用房</w:t>
            </w:r>
            <w:r>
              <w:rPr>
                <w:rFonts w:hint="eastAsia"/>
                <w:color w:val="auto"/>
                <w:sz w:val="24"/>
                <w:szCs w:val="24"/>
                <w:highlight w:val="none"/>
                <w:lang w:eastAsia="zh-CN"/>
              </w:rPr>
              <w:t>，</w:t>
            </w:r>
            <w:r>
              <w:rPr>
                <w:rFonts w:hint="eastAsia"/>
                <w:color w:val="auto"/>
                <w:sz w:val="24"/>
                <w:szCs w:val="24"/>
                <w:highlight w:val="none"/>
                <w:lang w:val="en-US" w:eastAsia="zh-CN"/>
              </w:rPr>
              <w:t>对地面进行防渗，设置各分区及废液收集系统（导流槽、收集池），安装地磅等设备。</w:t>
            </w:r>
            <w:r>
              <w:rPr>
                <w:bCs/>
                <w:color w:val="auto"/>
                <w:sz w:val="24"/>
                <w:szCs w:val="24"/>
                <w:highlight w:val="none"/>
              </w:rPr>
              <w:t>施工期产生的影响主要</w:t>
            </w:r>
            <w:r>
              <w:rPr>
                <w:rFonts w:hint="eastAsia"/>
                <w:bCs/>
                <w:color w:val="auto"/>
                <w:sz w:val="24"/>
                <w:szCs w:val="24"/>
                <w:highlight w:val="none"/>
                <w:lang w:val="en-US" w:eastAsia="zh-CN"/>
              </w:rPr>
              <w:t>施工车辆的扬尘、施工噪声及施工车辆交通噪声、施工人员生活废水以及设备包装及施工人员生活垃圾等</w:t>
            </w:r>
            <w:r>
              <w:rPr>
                <w:rFonts w:hint="eastAsia"/>
                <w:bCs/>
                <w:color w:val="auto"/>
                <w:sz w:val="24"/>
                <w:szCs w:val="24"/>
                <w:highlight w:val="none"/>
              </w:rPr>
              <w:t>固体废物。</w:t>
            </w:r>
          </w:p>
          <w:p w14:paraId="6B6917E3">
            <w:pPr>
              <w:adjustRightInd w:val="0"/>
              <w:snapToGrid w:val="0"/>
              <w:spacing w:line="480" w:lineRule="exact"/>
              <w:ind w:firstLine="420" w:firstLineChars="200"/>
              <w:textAlignment w:val="baseline"/>
              <w:rPr>
                <w:rFonts w:hint="eastAsia"/>
                <w:bCs/>
                <w:color w:val="auto"/>
                <w:highlight w:val="none"/>
              </w:rPr>
            </w:pPr>
          </w:p>
          <w:p w14:paraId="4232B6E9">
            <w:pPr>
              <w:spacing w:line="480" w:lineRule="exact"/>
              <w:ind w:firstLine="482" w:firstLineChars="200"/>
              <w:rPr>
                <w:rFonts w:ascii="Times New Roman" w:hAnsi="Times New Roman" w:eastAsiaTheme="minorEastAsia"/>
                <w:b/>
                <w:bCs/>
                <w:color w:val="auto"/>
                <w:sz w:val="24"/>
                <w:szCs w:val="24"/>
                <w:highlight w:val="none"/>
              </w:rPr>
            </w:pPr>
          </w:p>
          <w:p w14:paraId="39D21548">
            <w:pPr>
              <w:spacing w:line="480" w:lineRule="exact"/>
              <w:ind w:firstLine="482" w:firstLineChars="200"/>
              <w:rPr>
                <w:rFonts w:ascii="Times New Roman" w:hAnsi="Times New Roman" w:eastAsiaTheme="minorEastAsia"/>
                <w:b/>
                <w:bCs/>
                <w:color w:val="auto"/>
                <w:sz w:val="24"/>
                <w:szCs w:val="24"/>
                <w:highlight w:val="none"/>
              </w:rPr>
            </w:pPr>
          </w:p>
          <w:p w14:paraId="6EBD8EF3">
            <w:pPr>
              <w:spacing w:line="480" w:lineRule="exact"/>
              <w:ind w:firstLine="482" w:firstLineChars="200"/>
              <w:rPr>
                <w:rFonts w:ascii="Times New Roman" w:hAnsi="Times New Roman" w:eastAsiaTheme="minorEastAsia"/>
                <w:b/>
                <w:bCs/>
                <w:color w:val="auto"/>
                <w:sz w:val="24"/>
                <w:szCs w:val="24"/>
                <w:highlight w:val="none"/>
              </w:rPr>
            </w:pPr>
          </w:p>
          <w:p w14:paraId="2C80B063">
            <w:pPr>
              <w:spacing w:line="480" w:lineRule="exact"/>
              <w:ind w:firstLine="482" w:firstLineChars="200"/>
              <w:rPr>
                <w:rFonts w:ascii="Times New Roman" w:hAnsi="Times New Roman" w:eastAsiaTheme="minorEastAsia"/>
                <w:b/>
                <w:bCs/>
                <w:color w:val="auto"/>
                <w:sz w:val="24"/>
                <w:szCs w:val="24"/>
                <w:highlight w:val="none"/>
              </w:rPr>
            </w:pPr>
          </w:p>
          <w:p w14:paraId="0948B2F0">
            <w:pPr>
              <w:spacing w:line="480" w:lineRule="exact"/>
              <w:ind w:firstLine="482" w:firstLineChars="200"/>
              <w:rPr>
                <w:rFonts w:ascii="Times New Roman" w:hAnsi="Times New Roman" w:eastAsiaTheme="minorEastAsia"/>
                <w:b/>
                <w:bCs/>
                <w:color w:val="auto"/>
                <w:sz w:val="24"/>
                <w:szCs w:val="24"/>
                <w:highlight w:val="none"/>
              </w:rPr>
            </w:pPr>
          </w:p>
          <w:p w14:paraId="1DE27B90">
            <w:pPr>
              <w:spacing w:line="480" w:lineRule="exact"/>
              <w:ind w:firstLine="482" w:firstLineChars="200"/>
              <w:rPr>
                <w:rFonts w:ascii="Times New Roman" w:hAnsi="Times New Roman" w:eastAsiaTheme="minorEastAsia"/>
                <w:b/>
                <w:bCs/>
                <w:color w:val="auto"/>
                <w:sz w:val="24"/>
                <w:szCs w:val="24"/>
                <w:highlight w:val="none"/>
              </w:rPr>
            </w:pPr>
          </w:p>
          <w:p w14:paraId="4316F986">
            <w:pPr>
              <w:spacing w:line="480" w:lineRule="exact"/>
              <w:ind w:firstLine="482" w:firstLineChars="200"/>
              <w:rPr>
                <w:rFonts w:ascii="Times New Roman" w:hAnsi="Times New Roman" w:eastAsiaTheme="minorEastAsia"/>
                <w:b/>
                <w:bCs/>
                <w:color w:val="auto"/>
                <w:sz w:val="24"/>
                <w:szCs w:val="24"/>
                <w:highlight w:val="none"/>
              </w:rPr>
            </w:pPr>
          </w:p>
          <w:p w14:paraId="05B8EA4A">
            <w:pPr>
              <w:spacing w:line="480" w:lineRule="exact"/>
              <w:ind w:firstLine="482" w:firstLineChars="200"/>
              <w:rPr>
                <w:rFonts w:ascii="Times New Roman" w:hAnsi="Times New Roman" w:eastAsiaTheme="minorEastAsia"/>
                <w:b/>
                <w:bCs/>
                <w:color w:val="auto"/>
                <w:sz w:val="24"/>
                <w:szCs w:val="24"/>
                <w:highlight w:val="none"/>
              </w:rPr>
            </w:pPr>
          </w:p>
          <w:p w14:paraId="1C85B340">
            <w:pPr>
              <w:spacing w:line="480" w:lineRule="exact"/>
              <w:ind w:firstLine="482" w:firstLineChars="200"/>
              <w:rPr>
                <w:rFonts w:ascii="Times New Roman" w:hAnsi="Times New Roman" w:eastAsiaTheme="minorEastAsia"/>
                <w:b/>
                <w:bCs/>
                <w:color w:val="auto"/>
                <w:sz w:val="24"/>
                <w:szCs w:val="24"/>
                <w:highlight w:val="none"/>
              </w:rPr>
            </w:pPr>
          </w:p>
          <w:p w14:paraId="0D217490">
            <w:pPr>
              <w:spacing w:line="480" w:lineRule="exact"/>
              <w:ind w:firstLine="482" w:firstLineChars="200"/>
              <w:rPr>
                <w:rFonts w:ascii="Times New Roman" w:hAnsi="Times New Roman" w:eastAsiaTheme="minorEastAsia"/>
                <w:b/>
                <w:bCs/>
                <w:color w:val="auto"/>
                <w:sz w:val="24"/>
                <w:szCs w:val="24"/>
                <w:highlight w:val="none"/>
              </w:rPr>
            </w:pPr>
          </w:p>
          <w:p w14:paraId="707998C8">
            <w:pPr>
              <w:spacing w:line="480" w:lineRule="exact"/>
              <w:ind w:firstLine="482" w:firstLineChars="200"/>
              <w:rPr>
                <w:rFonts w:ascii="Times New Roman" w:hAnsi="Times New Roman" w:eastAsiaTheme="minorEastAsia"/>
                <w:b/>
                <w:bCs/>
                <w:color w:val="auto"/>
                <w:sz w:val="24"/>
                <w:szCs w:val="24"/>
                <w:highlight w:val="none"/>
              </w:rPr>
            </w:pPr>
          </w:p>
          <w:p w14:paraId="7C1B4BC9">
            <w:pPr>
              <w:spacing w:line="480" w:lineRule="exact"/>
              <w:ind w:firstLine="482" w:firstLineChars="200"/>
              <w:rPr>
                <w:rFonts w:ascii="Times New Roman" w:hAnsi="Times New Roman" w:eastAsiaTheme="minorEastAsia"/>
                <w:b/>
                <w:bCs/>
                <w:color w:val="auto"/>
                <w:sz w:val="24"/>
                <w:szCs w:val="24"/>
                <w:highlight w:val="none"/>
              </w:rPr>
            </w:pPr>
          </w:p>
          <w:p w14:paraId="23324FD6">
            <w:pPr>
              <w:spacing w:line="480" w:lineRule="exact"/>
              <w:ind w:firstLine="482" w:firstLineChars="200"/>
              <w:rPr>
                <w:rFonts w:ascii="Times New Roman" w:hAnsi="Times New Roman" w:eastAsiaTheme="minorEastAsia"/>
                <w:b/>
                <w:bCs/>
                <w:color w:val="auto"/>
                <w:sz w:val="24"/>
                <w:szCs w:val="24"/>
                <w:highlight w:val="none"/>
              </w:rPr>
            </w:pPr>
          </w:p>
          <w:p w14:paraId="3E340DA4">
            <w:pPr>
              <w:spacing w:line="480" w:lineRule="exact"/>
              <w:ind w:firstLine="482" w:firstLineChars="200"/>
              <w:rPr>
                <w:rFonts w:ascii="Times New Roman" w:hAnsi="Times New Roman" w:eastAsiaTheme="minorEastAsia"/>
                <w:b/>
                <w:bCs/>
                <w:color w:val="auto"/>
                <w:sz w:val="24"/>
                <w:szCs w:val="24"/>
                <w:highlight w:val="none"/>
              </w:rPr>
            </w:pPr>
          </w:p>
          <w:p w14:paraId="1AB58C0F">
            <w:pPr>
              <w:spacing w:line="480" w:lineRule="exact"/>
              <w:ind w:firstLine="482" w:firstLineChars="200"/>
              <w:rPr>
                <w:rFonts w:ascii="Times New Roman" w:hAnsi="Times New Roman" w:eastAsiaTheme="minorEastAsia"/>
                <w:b/>
                <w:bCs/>
                <w:color w:val="auto"/>
                <w:sz w:val="24"/>
                <w:szCs w:val="24"/>
                <w:highlight w:val="none"/>
              </w:rPr>
            </w:pPr>
          </w:p>
          <w:p w14:paraId="5CDCD375">
            <w:pPr>
              <w:spacing w:line="480" w:lineRule="exact"/>
              <w:ind w:firstLine="482" w:firstLineChars="200"/>
              <w:rPr>
                <w:rFonts w:ascii="Times New Roman" w:hAnsi="Times New Roman" w:eastAsiaTheme="minorEastAsia"/>
                <w:b/>
                <w:bCs/>
                <w:color w:val="auto"/>
                <w:sz w:val="24"/>
                <w:szCs w:val="24"/>
                <w:highlight w:val="none"/>
              </w:rPr>
            </w:pPr>
          </w:p>
          <w:p w14:paraId="74A4C2BE">
            <w:pPr>
              <w:spacing w:line="480" w:lineRule="exact"/>
              <w:ind w:firstLine="482" w:firstLineChars="200"/>
              <w:rPr>
                <w:rFonts w:ascii="Times New Roman" w:hAnsi="Times New Roman" w:eastAsiaTheme="minorEastAsia"/>
                <w:b/>
                <w:bCs/>
                <w:color w:val="auto"/>
                <w:sz w:val="24"/>
                <w:szCs w:val="24"/>
                <w:highlight w:val="none"/>
              </w:rPr>
            </w:pPr>
          </w:p>
          <w:p w14:paraId="33649653">
            <w:pPr>
              <w:pStyle w:val="5"/>
              <w:rPr>
                <w:color w:val="auto"/>
                <w:highlight w:val="none"/>
              </w:rPr>
            </w:pPr>
          </w:p>
          <w:p w14:paraId="482EABE2">
            <w:pPr>
              <w:rPr>
                <w:color w:val="auto"/>
                <w:highlight w:val="none"/>
              </w:rPr>
            </w:pPr>
          </w:p>
          <w:p w14:paraId="42714B07">
            <w:pPr>
              <w:pStyle w:val="5"/>
              <w:rPr>
                <w:color w:val="auto"/>
                <w:highlight w:val="none"/>
              </w:rPr>
            </w:pPr>
          </w:p>
          <w:p w14:paraId="58FC0CA1">
            <w:pPr>
              <w:rPr>
                <w:color w:val="auto"/>
                <w:highlight w:val="none"/>
              </w:rPr>
            </w:pPr>
          </w:p>
          <w:p w14:paraId="68081208">
            <w:pPr>
              <w:pStyle w:val="5"/>
              <w:rPr>
                <w:color w:val="auto"/>
                <w:highlight w:val="none"/>
              </w:rPr>
            </w:pPr>
          </w:p>
          <w:p w14:paraId="552C9630">
            <w:pPr>
              <w:rPr>
                <w:color w:val="auto"/>
                <w:highlight w:val="none"/>
              </w:rPr>
            </w:pPr>
          </w:p>
          <w:p w14:paraId="1DE6C676">
            <w:pPr>
              <w:pStyle w:val="5"/>
              <w:rPr>
                <w:color w:val="auto"/>
                <w:highlight w:val="none"/>
              </w:rPr>
            </w:pPr>
          </w:p>
          <w:p w14:paraId="25B0C263">
            <w:pPr>
              <w:tabs>
                <w:tab w:val="left" w:pos="651"/>
              </w:tabs>
              <w:rPr>
                <w:rFonts w:hint="eastAsia"/>
                <w:color w:val="auto"/>
                <w:highlight w:val="none"/>
                <w:lang w:eastAsia="zh-CN"/>
              </w:rPr>
            </w:pPr>
            <w:r>
              <w:rPr>
                <w:rFonts w:hint="eastAsia"/>
                <w:color w:val="auto"/>
                <w:highlight w:val="none"/>
                <w:lang w:eastAsia="zh-CN"/>
              </w:rPr>
              <w:tab/>
            </w:r>
          </w:p>
          <w:p w14:paraId="0D6987DA">
            <w:pPr>
              <w:pStyle w:val="21"/>
              <w:rPr>
                <w:color w:val="auto"/>
                <w:highlight w:val="none"/>
              </w:rPr>
            </w:pPr>
          </w:p>
          <w:p w14:paraId="0958A10F">
            <w:pPr>
              <w:spacing w:line="480" w:lineRule="exact"/>
              <w:ind w:firstLine="482" w:firstLineChars="200"/>
              <w:rPr>
                <w:rFonts w:hint="eastAsia" w:ascii="Times New Roman" w:hAnsi="Times New Roman" w:eastAsiaTheme="minorEastAsia"/>
                <w:b/>
                <w:bCs/>
                <w:color w:val="auto"/>
                <w:sz w:val="24"/>
                <w:szCs w:val="24"/>
                <w:highlight w:val="none"/>
              </w:rPr>
            </w:pPr>
            <w:r>
              <w:rPr>
                <w:rFonts w:hint="eastAsia" w:ascii="Times New Roman" w:hAnsi="Times New Roman" w:eastAsiaTheme="minorEastAsia"/>
                <w:b/>
                <w:bCs/>
                <w:color w:val="auto"/>
                <w:sz w:val="24"/>
                <w:szCs w:val="24"/>
                <w:highlight w:val="none"/>
              </w:rPr>
              <w:t>2</w:t>
            </w:r>
            <w:r>
              <w:rPr>
                <w:rFonts w:ascii="Times New Roman" w:hAnsi="Times New Roman" w:eastAsiaTheme="minorEastAsia"/>
                <w:b/>
                <w:bCs/>
                <w:color w:val="auto"/>
                <w:sz w:val="24"/>
                <w:szCs w:val="24"/>
                <w:highlight w:val="none"/>
              </w:rPr>
              <w:t>、运营期</w:t>
            </w:r>
          </w:p>
          <w:p w14:paraId="38062450">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color w:val="auto"/>
                <w:sz w:val="24"/>
                <w:szCs w:val="24"/>
                <w:highlight w:val="none"/>
              </w:rPr>
              <w:t>工艺流程图及产污环节如下图。</w:t>
            </w:r>
          </w:p>
          <w:p w14:paraId="4E063571">
            <w:pPr>
              <w:pStyle w:val="5"/>
              <w:rPr>
                <w:rFonts w:hint="eastAsia"/>
                <w:color w:val="auto"/>
                <w:highlight w:val="none"/>
              </w:rPr>
            </w:pPr>
            <w:r>
              <w:rPr>
                <w:color w:val="auto"/>
                <w:highlight w:val="none"/>
              </w:rPr>
              <w:pict>
                <v:shape id="_x0000_s2075" o:spid="_x0000_s2075" o:spt="202" type="#_x0000_t202" style="position:absolute;left:0pt;margin-left:163.55pt;margin-top:0.15pt;height:19.8pt;width:80.8pt;z-index:251684864;mso-width-relative:page;mso-height-relative:page;" filled="f" stroked="f" coordsize="21600,21600">
                  <v:path/>
                  <v:fill on="f" focussize="0,0"/>
                  <v:stroke on="f" joinstyle="miter"/>
                  <v:imagedata o:title=""/>
                  <o:lock v:ext="edit"/>
                  <v:textbox>
                    <w:txbxContent>
                      <w:p w14:paraId="4689E361">
                        <w:pPr>
                          <w:jc w:val="center"/>
                          <w:rPr>
                            <w:rFonts w:hint="eastAsia" w:eastAsia="宋体"/>
                            <w:szCs w:val="21"/>
                            <w:lang w:eastAsia="zh-CN"/>
                          </w:rPr>
                        </w:pPr>
                        <w:r>
                          <w:rPr>
                            <w:rFonts w:hint="eastAsia" w:ascii="宋体" w:hAnsi="Times New Roman" w:cs="宋体"/>
                            <w:kern w:val="0"/>
                            <w:szCs w:val="21"/>
                            <w:lang w:eastAsia="zh-CN"/>
                          </w:rPr>
                          <w:t>废旧铅酸蓄电池</w:t>
                        </w:r>
                      </w:p>
                    </w:txbxContent>
                  </v:textbox>
                </v:shape>
              </w:pict>
            </w:r>
          </w:p>
          <w:p w14:paraId="566507F7">
            <w:pPr>
              <w:rPr>
                <w:color w:val="auto"/>
                <w:highlight w:val="none"/>
              </w:rPr>
            </w:pPr>
            <w:r>
              <w:rPr>
                <w:rFonts w:eastAsiaTheme="minorEastAsia"/>
                <w:b/>
                <w:bCs/>
                <w:color w:val="auto"/>
                <w:sz w:val="24"/>
                <w:szCs w:val="24"/>
                <w:highlight w:val="none"/>
              </w:rPr>
              <w:pict>
                <v:shape id="_x0000_s2076" o:spid="_x0000_s2076" o:spt="32" type="#_x0000_t32" style="position:absolute;left:0pt;margin-left:204.55pt;margin-top:9.4pt;height:15.3pt;width:0pt;z-index:251730944;mso-width-relative:page;mso-height-relative:page;" o:connectortype="straight" filled="f" coordsize="21600,21600">
                  <v:path arrowok="t"/>
                  <v:fill on="f" focussize="0,0"/>
                  <v:stroke endarrow="block"/>
                  <v:imagedata o:title=""/>
                  <o:lock v:ext="edit"/>
                </v:shape>
              </w:pict>
            </w:r>
          </w:p>
          <w:p w14:paraId="45915BBA">
            <w:pPr>
              <w:pStyle w:val="5"/>
              <w:rPr>
                <w:color w:val="auto"/>
                <w:highlight w:val="none"/>
              </w:rPr>
            </w:pPr>
          </w:p>
          <w:p w14:paraId="363BD288">
            <w:pPr>
              <w:rPr>
                <w:color w:val="auto"/>
                <w:highlight w:val="none"/>
              </w:rPr>
            </w:pPr>
            <w:r>
              <w:rPr>
                <w:color w:val="auto"/>
                <w:sz w:val="24"/>
                <w:szCs w:val="24"/>
                <w:highlight w:val="none"/>
              </w:rPr>
              <w:pict>
                <v:rect id="_x0000_s2077" o:spid="_x0000_s2077" o:spt="1" style="position:absolute;left:0pt;margin-left:164.65pt;margin-top:0.3pt;height:23.05pt;width:80.05pt;z-index:251685888;mso-width-relative:page;mso-height-relative:page;" coordsize="21600,21600">
                  <v:path/>
                  <v:fill focussize="0,0"/>
                  <v:stroke/>
                  <v:imagedata o:title=""/>
                  <o:lock v:ext="edit"/>
                  <v:textbox>
                    <w:txbxContent>
                      <w:p w14:paraId="22636386">
                        <w:pPr>
                          <w:jc w:val="center"/>
                        </w:pPr>
                        <w:r>
                          <w:t>收集</w:t>
                        </w:r>
                      </w:p>
                    </w:txbxContent>
                  </v:textbox>
                </v:rect>
              </w:pict>
            </w:r>
          </w:p>
          <w:p w14:paraId="7151224E">
            <w:pPr>
              <w:rPr>
                <w:color w:val="auto"/>
                <w:highlight w:val="none"/>
              </w:rPr>
            </w:pPr>
            <w:r>
              <w:rPr>
                <w:color w:val="auto"/>
                <w:sz w:val="24"/>
                <w:szCs w:val="24"/>
                <w:highlight w:val="none"/>
              </w:rPr>
              <w:pict>
                <v:shape id="_x0000_s2083" o:spid="_x0000_s2083" o:spt="202" type="#_x0000_t202" style="position:absolute;left:0pt;margin-left:278.45pt;margin-top:11.55pt;height:49pt;width:108.55pt;z-index:251692032;mso-width-relative:page;mso-height-relative:page;" filled="f" stroked="f" coordsize="21600,21600">
                  <v:path/>
                  <v:fill on="f" focussize="0,0"/>
                  <v:stroke on="f"/>
                  <v:imagedata o:title=""/>
                  <o:lock v:ext="edit" aspectratio="f"/>
                  <v:textbox>
                    <w:txbxContent>
                      <w:p w14:paraId="22BA7C3D">
                        <w:pPr>
                          <w:autoSpaceDE w:val="0"/>
                          <w:autoSpaceDN w:val="0"/>
                          <w:adjustRightInd w:val="0"/>
                          <w:jc w:val="center"/>
                          <w:rPr>
                            <w:rFonts w:hint="eastAsia"/>
                            <w:szCs w:val="21"/>
                          </w:rPr>
                        </w:pPr>
                        <w:r>
                          <w:rPr>
                            <w:rFonts w:ascii="Times New Roman" w:hAnsi="Times New Roman" w:eastAsiaTheme="minorEastAsia"/>
                            <w:kern w:val="0"/>
                            <w:szCs w:val="21"/>
                          </w:rPr>
                          <w:t>第Ⅱ类</w:t>
                        </w:r>
                        <w:r>
                          <w:rPr>
                            <w:rFonts w:hint="eastAsia" w:ascii="Times New Roman" w:hAnsi="Times New Roman" w:eastAsiaTheme="minorEastAsia"/>
                            <w:kern w:val="0"/>
                            <w:szCs w:val="21"/>
                            <w:lang w:eastAsia="zh-CN"/>
                          </w:rPr>
                          <w:t>废旧铅酸蓄电池</w:t>
                        </w:r>
                        <w:r>
                          <w:rPr>
                            <w:rFonts w:hint="eastAsia" w:ascii="Times New Roman" w:hAnsi="Times New Roman" w:eastAsiaTheme="minorEastAsia"/>
                            <w:kern w:val="0"/>
                            <w:szCs w:val="21"/>
                            <w:lang w:val="en-US" w:eastAsia="zh-CN"/>
                          </w:rPr>
                          <w:t>及</w:t>
                        </w:r>
                        <w:r>
                          <w:rPr>
                            <w:rFonts w:hint="eastAsia" w:ascii="宋体" w:hAnsi="Times New Roman" w:cs="宋体"/>
                            <w:kern w:val="0"/>
                            <w:szCs w:val="21"/>
                          </w:rPr>
                          <w:t>不符合收集、贮存要求的，不予接收</w:t>
                        </w:r>
                      </w:p>
                      <w:p w14:paraId="4C5B4F2E">
                        <w:pPr>
                          <w:jc w:val="center"/>
                          <w:rPr>
                            <w:rFonts w:hint="eastAsia" w:eastAsiaTheme="minorEastAsia"/>
                            <w:szCs w:val="21"/>
                            <w:lang w:val="en-US" w:eastAsia="zh-CN"/>
                          </w:rPr>
                        </w:pPr>
                      </w:p>
                    </w:txbxContent>
                  </v:textbox>
                </v:shape>
              </w:pict>
            </w:r>
            <w:r>
              <w:rPr>
                <w:rFonts w:eastAsiaTheme="minorEastAsia"/>
                <w:b/>
                <w:bCs/>
                <w:color w:val="auto"/>
                <w:sz w:val="24"/>
                <w:szCs w:val="24"/>
                <w:highlight w:val="none"/>
              </w:rPr>
              <w:pict>
                <v:shape id="_x0000_s2078" o:spid="_x0000_s2078" o:spt="32" type="#_x0000_t32" style="position:absolute;left:0pt;margin-left:204.35pt;margin-top:10.65pt;height:15.3pt;width:0pt;z-index:251729920;mso-width-relative:page;mso-height-relative:page;" o:connectortype="straight" filled="f" coordsize="21600,21600">
                  <v:path arrowok="t"/>
                  <v:fill on="f" focussize="0,0"/>
                  <v:stroke endarrow="block"/>
                  <v:imagedata o:title=""/>
                  <o:lock v:ext="edit"/>
                </v:shape>
              </w:pict>
            </w:r>
          </w:p>
          <w:p w14:paraId="39918A24">
            <w:pPr>
              <w:pStyle w:val="5"/>
              <w:ind w:firstLine="480"/>
              <w:rPr>
                <w:color w:val="auto"/>
                <w:highlight w:val="none"/>
              </w:rPr>
            </w:pPr>
            <w:r>
              <w:rPr>
                <w:color w:val="auto"/>
                <w:sz w:val="24"/>
                <w:szCs w:val="24"/>
                <w:highlight w:val="none"/>
              </w:rPr>
              <w:pict>
                <v:rect id="_x0000_s2080" o:spid="_x0000_s2080" o:spt="1" style="position:absolute;left:0pt;margin-left:165.1pt;margin-top:12.4pt;height:23.05pt;width:80.05pt;z-index:251686912;mso-width-relative:page;mso-height-relative:page;" coordsize="21600,21600">
                  <v:path/>
                  <v:fill focussize="0,0"/>
                  <v:stroke/>
                  <v:imagedata o:title=""/>
                  <o:lock v:ext="edit"/>
                  <v:textbox>
                    <w:txbxContent>
                      <w:p w14:paraId="18E18D9D">
                        <w:pPr>
                          <w:jc w:val="center"/>
                          <w:rPr>
                            <w:rFonts w:hint="eastAsia"/>
                            <w:sz w:val="21"/>
                            <w:szCs w:val="21"/>
                          </w:rPr>
                        </w:pPr>
                        <w:r>
                          <w:rPr>
                            <w:sz w:val="21"/>
                            <w:szCs w:val="21"/>
                          </w:rPr>
                          <w:t>评估、</w:t>
                        </w:r>
                        <w:r>
                          <w:rPr>
                            <w:rFonts w:hint="eastAsia" w:ascii="宋体" w:hAnsi="Times New Roman" w:cs="宋体"/>
                            <w:kern w:val="0"/>
                            <w:sz w:val="21"/>
                            <w:szCs w:val="21"/>
                          </w:rPr>
                          <w:t>检查</w:t>
                        </w:r>
                      </w:p>
                    </w:txbxContent>
                  </v:textbox>
                </v:rect>
              </w:pict>
            </w:r>
          </w:p>
          <w:p w14:paraId="2899FFA5">
            <w:pPr>
              <w:pStyle w:val="5"/>
              <w:ind w:firstLine="480"/>
              <w:rPr>
                <w:color w:val="auto"/>
                <w:highlight w:val="none"/>
              </w:rPr>
            </w:pPr>
            <w:r>
              <w:rPr>
                <w:color w:val="auto"/>
                <w:sz w:val="24"/>
                <w:szCs w:val="24"/>
                <w:highlight w:val="none"/>
              </w:rPr>
              <w:pict>
                <v:shape id="_x0000_s2081" o:spid="_x0000_s2081" o:spt="32" type="#_x0000_t32" style="position:absolute;left:0pt;margin-left:244.95pt;margin-top:10.3pt;height:0pt;width:34.4pt;z-index:251687936;mso-width-relative:page;mso-height-relative:page;" o:connectortype="straight" filled="f" coordsize="21600,21600">
                  <v:path arrowok="t"/>
                  <v:fill on="f" focussize="0,0"/>
                  <v:stroke endarrow="block"/>
                  <v:imagedata o:title=""/>
                  <o:lock v:ext="edit"/>
                </v:shape>
              </w:pict>
            </w:r>
          </w:p>
          <w:p w14:paraId="11A5E824">
            <w:pPr>
              <w:rPr>
                <w:color w:val="auto"/>
                <w:highlight w:val="none"/>
              </w:rPr>
            </w:pPr>
            <w:r>
              <w:rPr>
                <w:color w:val="auto"/>
                <w:sz w:val="24"/>
                <w:szCs w:val="24"/>
                <w:highlight w:val="none"/>
              </w:rPr>
              <w:pict>
                <v:shape id="_x0000_s2085" o:spid="_x0000_s2085" o:spt="32" type="#_x0000_t32" style="position:absolute;left:0pt;margin-left:205.2pt;margin-top:9.5pt;height:26.3pt;width:0pt;z-index:251688960;mso-width-relative:page;mso-height-relative:page;" o:connectortype="straight" filled="f" coordsize="21600,21600">
                  <v:path arrowok="t"/>
                  <v:fill on="f" focussize="0,0"/>
                  <v:stroke endarrow="block"/>
                  <v:imagedata o:title=""/>
                  <o:lock v:ext="edit"/>
                </v:shape>
              </w:pict>
            </w:r>
            <w:r>
              <w:rPr>
                <w:color w:val="auto"/>
                <w:sz w:val="24"/>
                <w:szCs w:val="24"/>
                <w:highlight w:val="none"/>
              </w:rPr>
              <w:pict>
                <v:shape id="_x0000_s2084" o:spid="_x0000_s2084" o:spt="202" type="#_x0000_t202" style="position:absolute;left:0pt;margin-left:87.05pt;margin-top:11.3pt;height:19.8pt;width:101.05pt;z-index:251691008;mso-width-relative:page;mso-height-relative:page;" filled="f" stroked="f" coordsize="21600,21600">
                  <v:path/>
                  <v:fill on="f" focussize="0,0"/>
                  <v:stroke on="f" joinstyle="miter"/>
                  <v:imagedata o:title=""/>
                  <o:lock v:ext="edit"/>
                  <v:textbox>
                    <w:txbxContent>
                      <w:p w14:paraId="2CA7C546">
                        <w:pPr>
                          <w:jc w:val="center"/>
                          <w:rPr>
                            <w:rFonts w:hint="eastAsia" w:ascii="Times New Roman" w:hAnsi="Times New Roman" w:eastAsiaTheme="minorEastAsia"/>
                            <w:szCs w:val="21"/>
                            <w:lang w:eastAsia="zh-CN"/>
                          </w:rPr>
                        </w:pPr>
                        <w:r>
                          <w:rPr>
                            <w:rFonts w:ascii="Times New Roman" w:hAnsi="Times New Roman" w:eastAsiaTheme="minorEastAsia"/>
                            <w:kern w:val="0"/>
                            <w:szCs w:val="21"/>
                          </w:rPr>
                          <w:t>第I 类</w:t>
                        </w:r>
                        <w:r>
                          <w:rPr>
                            <w:rFonts w:hint="eastAsia" w:ascii="Times New Roman" w:hAnsi="Times New Roman" w:eastAsiaTheme="minorEastAsia"/>
                            <w:kern w:val="0"/>
                            <w:szCs w:val="21"/>
                            <w:lang w:eastAsia="zh-CN"/>
                          </w:rPr>
                          <w:t>废旧铅酸蓄电池</w:t>
                        </w:r>
                      </w:p>
                    </w:txbxContent>
                  </v:textbox>
                </v:shape>
              </w:pict>
            </w:r>
          </w:p>
          <w:p w14:paraId="05795E92">
            <w:pPr>
              <w:pStyle w:val="5"/>
              <w:ind w:firstLine="480"/>
              <w:rPr>
                <w:color w:val="auto"/>
                <w:highlight w:val="none"/>
              </w:rPr>
            </w:pPr>
          </w:p>
          <w:p w14:paraId="7D7A827E">
            <w:pPr>
              <w:rPr>
                <w:color w:val="auto"/>
                <w:highlight w:val="none"/>
              </w:rPr>
            </w:pPr>
            <w:r>
              <w:rPr>
                <w:color w:val="auto"/>
                <w:sz w:val="24"/>
                <w:szCs w:val="24"/>
                <w:highlight w:val="none"/>
              </w:rPr>
              <w:pict>
                <v:rect id="_x0000_s2089" o:spid="_x0000_s2089" o:spt="1" style="position:absolute;left:0pt;margin-left:164.3pt;margin-top:9.7pt;height:36.55pt;width:80.05pt;z-index:251689984;mso-width-relative:page;mso-height-relative:page;" coordsize="21600,21600">
                  <v:path/>
                  <v:fill focussize="0,0"/>
                  <v:stroke/>
                  <v:imagedata o:title=""/>
                  <o:lock v:ext="edit"/>
                  <v:textbox>
                    <w:txbxContent>
                      <w:p w14:paraId="32638749">
                        <w:pPr>
                          <w:autoSpaceDE w:val="0"/>
                          <w:autoSpaceDN w:val="0"/>
                          <w:adjustRightInd w:val="0"/>
                          <w:jc w:val="center"/>
                          <w:rPr>
                            <w:rFonts w:hint="default" w:eastAsia="宋体"/>
                            <w:szCs w:val="21"/>
                            <w:lang w:val="en-US" w:eastAsia="zh-CN"/>
                          </w:rPr>
                        </w:pPr>
                        <w:r>
                          <w:rPr>
                            <w:rFonts w:hint="eastAsia" w:ascii="宋体" w:hAnsi="Times New Roman" w:cs="宋体"/>
                            <w:kern w:val="0"/>
                            <w:szCs w:val="21"/>
                          </w:rPr>
                          <w:t>耐酸、耐腐蚀托盘</w:t>
                        </w:r>
                        <w:r>
                          <w:rPr>
                            <w:rFonts w:hint="eastAsia" w:ascii="宋体" w:hAnsi="Times New Roman" w:cs="宋体"/>
                            <w:kern w:val="0"/>
                            <w:szCs w:val="21"/>
                            <w:lang w:eastAsia="zh-CN"/>
                          </w:rPr>
                          <w:t>、</w:t>
                        </w:r>
                        <w:r>
                          <w:rPr>
                            <w:rFonts w:hint="eastAsia" w:ascii="宋体" w:hAnsi="Times New Roman" w:cs="宋体"/>
                            <w:kern w:val="0"/>
                            <w:szCs w:val="21"/>
                            <w:lang w:val="en-US" w:eastAsia="zh-CN"/>
                          </w:rPr>
                          <w:t>塑料箱</w:t>
                        </w:r>
                      </w:p>
                    </w:txbxContent>
                  </v:textbox>
                </v:rect>
              </w:pict>
            </w:r>
          </w:p>
          <w:p w14:paraId="66EE46D7">
            <w:pPr>
              <w:pStyle w:val="5"/>
              <w:ind w:firstLine="480"/>
              <w:rPr>
                <w:color w:val="auto"/>
                <w:highlight w:val="none"/>
              </w:rPr>
            </w:pPr>
          </w:p>
          <w:p w14:paraId="67664FE5">
            <w:pPr>
              <w:rPr>
                <w:color w:val="auto"/>
                <w:highlight w:val="none"/>
              </w:rPr>
            </w:pPr>
          </w:p>
          <w:p w14:paraId="30A45C66">
            <w:pPr>
              <w:pStyle w:val="5"/>
              <w:rPr>
                <w:color w:val="auto"/>
                <w:highlight w:val="none"/>
              </w:rPr>
            </w:pPr>
            <w:r>
              <w:rPr>
                <w:rFonts w:eastAsiaTheme="minorEastAsia"/>
                <w:b/>
                <w:bCs/>
                <w:color w:val="auto"/>
                <w:sz w:val="24"/>
                <w:szCs w:val="24"/>
                <w:highlight w:val="none"/>
              </w:rPr>
              <w:pict>
                <v:shape id="_x0000_s2092" o:spid="_x0000_s2092" o:spt="202" type="#_x0000_t202" style="position:absolute;left:0pt;margin-left:275.45pt;margin-top:11.25pt;height:20.15pt;width:61.35pt;z-index:251695104;mso-width-relative:page;mso-height-relative:page;" filled="f" stroked="f" coordsize="21600,21600">
                  <v:path/>
                  <v:fill on="f" focussize="0,0"/>
                  <v:stroke on="f"/>
                  <v:imagedata o:title=""/>
                  <o:lock v:ext="edit" aspectratio="f"/>
                  <v:textbox>
                    <w:txbxContent>
                      <w:p w14:paraId="79AD7FB5">
                        <w:pPr>
                          <w:jc w:val="center"/>
                          <w:rPr>
                            <w:rFonts w:ascii="Times New Roman" w:hAnsi="Times New Roman" w:eastAsiaTheme="minorEastAsia"/>
                            <w:szCs w:val="21"/>
                          </w:rPr>
                        </w:pPr>
                        <w:r>
                          <w:rPr>
                            <w:rFonts w:hint="eastAsia" w:ascii="Times New Roman" w:hAnsi="Times New Roman" w:eastAsiaTheme="minorEastAsia"/>
                            <w:kern w:val="0"/>
                            <w:szCs w:val="21"/>
                          </w:rPr>
                          <w:t>G</w:t>
                        </w:r>
                        <w:r>
                          <w:rPr>
                            <w:rFonts w:ascii="Times New Roman" w:hAnsi="Times New Roman" w:eastAsiaTheme="minorEastAsia"/>
                            <w:kern w:val="0"/>
                            <w:szCs w:val="21"/>
                          </w:rPr>
                          <w:t>1、</w:t>
                        </w:r>
                        <w:r>
                          <w:rPr>
                            <w:rFonts w:hint="eastAsia" w:ascii="Times New Roman" w:hAnsi="Times New Roman" w:eastAsiaTheme="minorEastAsia"/>
                            <w:kern w:val="0"/>
                            <w:szCs w:val="21"/>
                          </w:rPr>
                          <w:t>N</w:t>
                        </w:r>
                        <w:r>
                          <w:rPr>
                            <w:rFonts w:ascii="Times New Roman" w:hAnsi="Times New Roman" w:eastAsiaTheme="minorEastAsia"/>
                            <w:kern w:val="0"/>
                            <w:szCs w:val="21"/>
                          </w:rPr>
                          <w:t>1</w:t>
                        </w:r>
                      </w:p>
                    </w:txbxContent>
                  </v:textbox>
                </v:shape>
              </w:pict>
            </w:r>
            <w:r>
              <w:rPr>
                <w:rFonts w:eastAsiaTheme="minorEastAsia"/>
                <w:b/>
                <w:bCs/>
                <w:color w:val="auto"/>
                <w:sz w:val="24"/>
                <w:szCs w:val="24"/>
                <w:highlight w:val="none"/>
              </w:rPr>
              <w:pict>
                <v:shape id="_x0000_s2094" o:spid="_x0000_s2094" o:spt="32" type="#_x0000_t32" style="position:absolute;left:0pt;flip:x;margin-left:203.9pt;margin-top:7.8pt;height:19pt;width:0.45pt;z-index:251728896;mso-width-relative:page;mso-height-relative:page;" filled="f" stroked="t" coordsize="21600,21600">
                  <v:path arrowok="t"/>
                  <v:fill on="f" focussize="0,0"/>
                  <v:stroke color="#000000" endarrow="block"/>
                  <v:imagedata o:title=""/>
                  <o:lock v:ext="edit" aspectratio="f"/>
                </v:shape>
              </w:pict>
            </w:r>
          </w:p>
          <w:p w14:paraId="1A9BA008">
            <w:pPr>
              <w:rPr>
                <w:color w:val="auto"/>
                <w:highlight w:val="none"/>
              </w:rPr>
            </w:pPr>
            <w:r>
              <w:rPr>
                <w:rFonts w:eastAsiaTheme="minorEastAsia"/>
                <w:b/>
                <w:bCs/>
                <w:color w:val="auto"/>
                <w:sz w:val="24"/>
                <w:szCs w:val="24"/>
                <w:highlight w:val="none"/>
              </w:rPr>
              <w:pict>
                <v:shape id="_x0000_s2095" o:spid="_x0000_s2095" o:spt="32" type="#_x0000_t32" style="position:absolute;left:0pt;flip:y;margin-left:246.1pt;margin-top:10.8pt;height:11.15pt;width:31.4pt;z-index:251694080;mso-width-relative:page;mso-height-relative:page;" o:connectortype="straight" filled="f" coordsize="21600,21600">
                  <v:path arrowok="t"/>
                  <v:fill on="f" focussize="0,0"/>
                  <v:stroke dashstyle="dashDot" endarrow="block"/>
                  <v:imagedata o:title=""/>
                  <o:lock v:ext="edit"/>
                </v:shape>
              </w:pict>
            </w:r>
          </w:p>
          <w:p w14:paraId="79A5D387">
            <w:pPr>
              <w:rPr>
                <w:color w:val="auto"/>
                <w:highlight w:val="none"/>
              </w:rPr>
            </w:pPr>
            <w:r>
              <w:rPr>
                <w:rFonts w:eastAsiaTheme="minorEastAsia"/>
                <w:b/>
                <w:bCs/>
                <w:color w:val="auto"/>
                <w:sz w:val="24"/>
                <w:szCs w:val="24"/>
                <w:highlight w:val="none"/>
              </w:rPr>
              <w:pict>
                <v:rect id="_x0000_s2096" o:spid="_x0000_s2096" o:spt="1" style="position:absolute;left:0pt;margin-left:163.05pt;margin-top:0.2pt;height:23.05pt;width:80.05pt;z-index:251693056;mso-width-relative:page;mso-height-relative:page;" coordsize="21600,21600">
                  <v:path/>
                  <v:fill focussize="0,0"/>
                  <v:stroke/>
                  <v:imagedata o:title=""/>
                  <o:lock v:ext="edit"/>
                  <v:textbox>
                    <w:txbxContent>
                      <w:p w14:paraId="61C0F790">
                        <w:pPr>
                          <w:jc w:val="center"/>
                        </w:pPr>
                        <w:r>
                          <w:t>运输</w:t>
                        </w:r>
                      </w:p>
                    </w:txbxContent>
                  </v:textbox>
                </v:rect>
              </w:pict>
            </w:r>
          </w:p>
          <w:p w14:paraId="4DC17DE8">
            <w:pPr>
              <w:rPr>
                <w:color w:val="auto"/>
                <w:highlight w:val="none"/>
              </w:rPr>
            </w:pPr>
            <w:r>
              <w:rPr>
                <w:rFonts w:eastAsiaTheme="minorEastAsia"/>
                <w:b/>
                <w:bCs/>
                <w:color w:val="auto"/>
                <w:sz w:val="24"/>
                <w:szCs w:val="24"/>
                <w:highlight w:val="none"/>
              </w:rPr>
              <w:pict>
                <v:shape id="_x0000_s2097" o:spid="_x0000_s2097" o:spt="202" type="#_x0000_t202" style="position:absolute;left:0pt;margin-left:276pt;margin-top:12.3pt;height:20.15pt;width:44.8pt;z-index:251723776;mso-width-relative:page;mso-height-relative:page;" filled="f" stroked="f" coordsize="21600,21600">
                  <v:path/>
                  <v:fill on="f" focussize="0,0"/>
                  <v:stroke on="f" joinstyle="miter"/>
                  <v:imagedata o:title=""/>
                  <o:lock v:ext="edit"/>
                  <v:textbox>
                    <w:txbxContent>
                      <w:p w14:paraId="5C3C55D2">
                        <w:pPr>
                          <w:jc w:val="center"/>
                          <w:rPr>
                            <w:rFonts w:ascii="Times New Roman" w:hAnsi="Times New Roman" w:eastAsiaTheme="minorEastAsia"/>
                            <w:szCs w:val="21"/>
                          </w:rPr>
                        </w:pPr>
                        <w:r>
                          <w:rPr>
                            <w:rFonts w:hint="eastAsia" w:ascii="Times New Roman" w:hAnsi="Times New Roman" w:eastAsiaTheme="minorEastAsia"/>
                            <w:kern w:val="0"/>
                            <w:szCs w:val="21"/>
                          </w:rPr>
                          <w:t>N</w:t>
                        </w:r>
                        <w:r>
                          <w:rPr>
                            <w:rFonts w:ascii="Times New Roman" w:hAnsi="Times New Roman" w:eastAsiaTheme="minorEastAsia"/>
                            <w:kern w:val="0"/>
                            <w:szCs w:val="21"/>
                          </w:rPr>
                          <w:t>2</w:t>
                        </w:r>
                      </w:p>
                    </w:txbxContent>
                  </v:textbox>
                </v:shape>
              </w:pict>
            </w:r>
            <w:r>
              <w:rPr>
                <w:rFonts w:eastAsiaTheme="minorEastAsia"/>
                <w:b/>
                <w:bCs/>
                <w:color w:val="auto"/>
                <w:sz w:val="24"/>
                <w:szCs w:val="24"/>
                <w:highlight w:val="none"/>
              </w:rPr>
              <w:pict>
                <v:shape id="_x0000_s2098" o:spid="_x0000_s2098" o:spt="32" type="#_x0000_t32" style="position:absolute;left:0pt;margin-left:204.9pt;margin-top:10.55pt;height:15.3pt;width:0pt;z-index:251727872;mso-width-relative:page;mso-height-relative:page;" o:connectortype="straight" filled="f" coordsize="21600,21600">
                  <v:path arrowok="t"/>
                  <v:fill on="f" focussize="0,0"/>
                  <v:stroke endarrow="block"/>
                  <v:imagedata o:title=""/>
                  <o:lock v:ext="edit"/>
                </v:shape>
              </w:pict>
            </w:r>
          </w:p>
          <w:p w14:paraId="6BC0BF68">
            <w:pPr>
              <w:pStyle w:val="5"/>
              <w:ind w:firstLine="482"/>
              <w:rPr>
                <w:color w:val="auto"/>
                <w:highlight w:val="none"/>
              </w:rPr>
            </w:pPr>
            <w:r>
              <w:rPr>
                <w:rFonts w:eastAsiaTheme="minorEastAsia"/>
                <w:b/>
                <w:bCs/>
                <w:color w:val="auto"/>
                <w:sz w:val="24"/>
                <w:szCs w:val="24"/>
                <w:highlight w:val="none"/>
              </w:rPr>
              <w:pict>
                <v:shape id="_x0000_s2099" o:spid="_x0000_s2099" o:spt="32" type="#_x0000_t32" style="position:absolute;left:0pt;flip:y;margin-left:244.15pt;margin-top:8.35pt;height:11.15pt;width:31.4pt;z-index:251722752;mso-width-relative:page;mso-height-relative:page;" o:connectortype="straight" filled="f" coordsize="21600,21600">
                  <v:path arrowok="t"/>
                  <v:fill on="f" focussize="0,0"/>
                  <v:stroke dashstyle="dashDot" endarrow="block"/>
                  <v:imagedata o:title=""/>
                  <o:lock v:ext="edit"/>
                </v:shape>
              </w:pict>
            </w:r>
            <w:r>
              <w:rPr>
                <w:rFonts w:eastAsiaTheme="minorEastAsia"/>
                <w:b/>
                <w:bCs/>
                <w:color w:val="auto"/>
                <w:sz w:val="24"/>
                <w:szCs w:val="24"/>
                <w:highlight w:val="none"/>
              </w:rPr>
              <w:pict>
                <v:rect id="_x0000_s2100" o:spid="_x0000_s2100" o:spt="1" style="position:absolute;left:0pt;margin-left:163.1pt;margin-top:12.3pt;height:23.05pt;width:80.05pt;z-index:251696128;mso-width-relative:page;mso-height-relative:page;" coordsize="21600,21600">
                  <v:path/>
                  <v:fill focussize="0,0"/>
                  <v:stroke/>
                  <v:imagedata o:title=""/>
                  <o:lock v:ext="edit"/>
                  <v:textbox>
                    <w:txbxContent>
                      <w:p w14:paraId="32EE27C7">
                        <w:pPr>
                          <w:jc w:val="center"/>
                          <w:rPr>
                            <w:rFonts w:hint="default" w:eastAsia="宋体"/>
                            <w:lang w:val="en-US" w:eastAsia="zh-CN"/>
                          </w:rPr>
                        </w:pPr>
                        <w:r>
                          <w:rPr>
                            <w:rFonts w:hint="eastAsia"/>
                          </w:rPr>
                          <w:t>称重</w:t>
                        </w:r>
                        <w:r>
                          <w:rPr>
                            <w:rFonts w:hint="eastAsia"/>
                            <w:lang w:eastAsia="zh-CN"/>
                          </w:rPr>
                          <w:t>、</w:t>
                        </w:r>
                        <w:r>
                          <w:rPr>
                            <w:rFonts w:hint="eastAsia"/>
                            <w:lang w:val="en-US" w:eastAsia="zh-CN"/>
                          </w:rPr>
                          <w:t>卸货</w:t>
                        </w:r>
                      </w:p>
                    </w:txbxContent>
                  </v:textbox>
                </v:rect>
              </w:pict>
            </w:r>
          </w:p>
          <w:p w14:paraId="5238CB19">
            <w:pPr>
              <w:rPr>
                <w:color w:val="auto"/>
                <w:highlight w:val="none"/>
              </w:rPr>
            </w:pPr>
          </w:p>
          <w:p w14:paraId="3B5DA626">
            <w:pPr>
              <w:rPr>
                <w:color w:val="auto"/>
                <w:highlight w:val="none"/>
              </w:rPr>
            </w:pPr>
            <w:r>
              <w:rPr>
                <w:rFonts w:eastAsiaTheme="minorEastAsia"/>
                <w:b/>
                <w:bCs/>
                <w:color w:val="auto"/>
                <w:sz w:val="24"/>
                <w:szCs w:val="24"/>
                <w:highlight w:val="none"/>
              </w:rPr>
              <w:pict>
                <v:shape id="_x0000_s2101" o:spid="_x0000_s2101" o:spt="32" type="#_x0000_t32" style="position:absolute;left:0pt;margin-left:203.9pt;margin-top:9.6pt;height:15.3pt;width:0pt;z-index:251726848;mso-width-relative:page;mso-height-relative:page;" o:connectortype="straight" filled="f" coordsize="21600,21600">
                  <v:path arrowok="t"/>
                  <v:fill on="f" focussize="0,0"/>
                  <v:stroke endarrow="block"/>
                  <v:imagedata o:title=""/>
                  <o:lock v:ext="edit"/>
                </v:shape>
              </w:pict>
            </w:r>
          </w:p>
          <w:p w14:paraId="3778DE53">
            <w:pPr>
              <w:pStyle w:val="5"/>
              <w:ind w:firstLine="482"/>
              <w:rPr>
                <w:color w:val="auto"/>
                <w:highlight w:val="none"/>
              </w:rPr>
            </w:pPr>
            <w:r>
              <w:rPr>
                <w:rFonts w:eastAsiaTheme="minorEastAsia"/>
                <w:b/>
                <w:bCs/>
                <w:color w:val="auto"/>
                <w:sz w:val="24"/>
                <w:szCs w:val="24"/>
                <w:highlight w:val="none"/>
              </w:rPr>
              <w:pict>
                <v:rect id="_x0000_s2102" o:spid="_x0000_s2102" o:spt="1" style="position:absolute;left:0pt;margin-left:162.35pt;margin-top:11.5pt;height:23.05pt;width:80.05pt;z-index:251697152;mso-width-relative:page;mso-height-relative:page;" coordsize="21600,21600">
                  <v:path/>
                  <v:fill focussize="0,0"/>
                  <v:stroke/>
                  <v:imagedata o:title=""/>
                  <o:lock v:ext="edit"/>
                  <v:textbox>
                    <w:txbxContent>
                      <w:p w14:paraId="059C0F96">
                        <w:pPr>
                          <w:jc w:val="center"/>
                          <w:rPr>
                            <w:rFonts w:hint="default" w:eastAsia="宋体"/>
                            <w:lang w:val="en-US" w:eastAsia="zh-CN"/>
                          </w:rPr>
                        </w:pPr>
                        <w:r>
                          <w:rPr>
                            <w:rFonts w:hint="eastAsia"/>
                          </w:rPr>
                          <w:t>分拣</w:t>
                        </w:r>
                        <w:r>
                          <w:rPr>
                            <w:rFonts w:hint="eastAsia"/>
                            <w:lang w:eastAsia="zh-CN"/>
                          </w:rPr>
                          <w:t>、</w:t>
                        </w:r>
                        <w:r>
                          <w:rPr>
                            <w:rFonts w:hint="eastAsia"/>
                            <w:lang w:val="en-US" w:eastAsia="zh-CN"/>
                          </w:rPr>
                          <w:t>分类</w:t>
                        </w:r>
                      </w:p>
                    </w:txbxContent>
                  </v:textbox>
                </v:rect>
              </w:pict>
            </w:r>
          </w:p>
          <w:p w14:paraId="1865F9A5">
            <w:pPr>
              <w:rPr>
                <w:color w:val="auto"/>
                <w:highlight w:val="none"/>
              </w:rPr>
            </w:pPr>
          </w:p>
          <w:p w14:paraId="61CEC596">
            <w:pPr>
              <w:pStyle w:val="5"/>
              <w:ind w:firstLine="480"/>
              <w:rPr>
                <w:color w:val="auto"/>
                <w:highlight w:val="none"/>
              </w:rPr>
            </w:pPr>
            <w:r>
              <w:rPr>
                <w:color w:val="auto"/>
                <w:sz w:val="24"/>
                <w:szCs w:val="24"/>
                <w:highlight w:val="none"/>
              </w:rPr>
              <w:pict>
                <v:shape id="_x0000_s2103" o:spid="_x0000_s2103" o:spt="202" type="#_x0000_t202" style="position:absolute;left:0pt;margin-left:94.05pt;margin-top:12.65pt;height:19.8pt;width:101.05pt;z-index:251703296;mso-width-relative:page;mso-height-relative:page;" filled="f" stroked="f" coordsize="21600,21600">
                  <v:path/>
                  <v:fill on="f" focussize="0,0"/>
                  <v:stroke on="f" joinstyle="miter"/>
                  <v:imagedata o:title=""/>
                  <o:lock v:ext="edit"/>
                  <v:textbox>
                    <w:txbxContent>
                      <w:p w14:paraId="301DAB99">
                        <w:pPr>
                          <w:jc w:val="center"/>
                          <w:rPr>
                            <w:rFonts w:hint="eastAsia" w:ascii="Times New Roman" w:hAnsi="Times New Roman" w:eastAsiaTheme="minorEastAsia"/>
                            <w:szCs w:val="21"/>
                            <w:lang w:eastAsia="zh-CN"/>
                          </w:rPr>
                        </w:pPr>
                        <w:r>
                          <w:rPr>
                            <w:rFonts w:ascii="Times New Roman" w:hAnsi="Times New Roman" w:eastAsiaTheme="minorEastAsia"/>
                            <w:kern w:val="0"/>
                            <w:szCs w:val="21"/>
                          </w:rPr>
                          <w:t>第I 类</w:t>
                        </w:r>
                        <w:r>
                          <w:rPr>
                            <w:rFonts w:hint="eastAsia" w:ascii="Times New Roman" w:hAnsi="Times New Roman" w:eastAsiaTheme="minorEastAsia"/>
                            <w:kern w:val="0"/>
                            <w:szCs w:val="21"/>
                            <w:lang w:eastAsia="zh-CN"/>
                          </w:rPr>
                          <w:t>废旧铅酸蓄电池</w:t>
                        </w:r>
                      </w:p>
                    </w:txbxContent>
                  </v:textbox>
                </v:shape>
              </w:pict>
            </w:r>
            <w:r>
              <w:rPr>
                <w:rFonts w:eastAsiaTheme="minorEastAsia"/>
                <w:b/>
                <w:bCs/>
                <w:color w:val="auto"/>
                <w:sz w:val="24"/>
                <w:szCs w:val="24"/>
                <w:highlight w:val="none"/>
              </w:rPr>
              <w:pict>
                <v:shape id="_x0000_s2104" o:spid="_x0000_s2104" o:spt="32" type="#_x0000_t32" style="position:absolute;left:0pt;margin-left:204.5pt;margin-top:8.9pt;height:26.3pt;width:0pt;z-index:251708416;mso-width-relative:page;mso-height-relative:page;" o:connectortype="straight" filled="f" coordsize="21600,21600">
                  <v:path arrowok="t"/>
                  <v:fill on="f" focussize="0,0"/>
                  <v:stroke endarrow="block"/>
                  <v:imagedata o:title=""/>
                  <o:lock v:ext="edit"/>
                </v:shape>
              </w:pict>
            </w:r>
          </w:p>
          <w:p w14:paraId="40D03011">
            <w:pPr>
              <w:rPr>
                <w:color w:val="auto"/>
                <w:highlight w:val="none"/>
              </w:rPr>
            </w:pPr>
            <w:r>
              <w:rPr>
                <w:color w:val="auto"/>
                <w:sz w:val="24"/>
                <w:szCs w:val="24"/>
                <w:highlight w:val="none"/>
              </w:rPr>
              <w:pict>
                <v:shape id="_x0000_s2105" o:spid="_x0000_s2105" o:spt="202" type="#_x0000_t202" style="position:absolute;left:0pt;margin-left:213.6pt;margin-top:1.65pt;height:20.75pt;width:119.8pt;z-index:251704320;mso-width-relative:page;mso-height-relative:page;" filled="f" stroked="f" coordsize="21600,21600">
                  <v:path/>
                  <v:fill on="f" focussize="0,0"/>
                  <v:stroke on="f"/>
                  <v:imagedata o:title=""/>
                  <o:lock v:ext="edit" aspectratio="f"/>
                  <v:textbox>
                    <w:txbxContent>
                      <w:p w14:paraId="14F8C1C3">
                        <w:pPr>
                          <w:jc w:val="center"/>
                          <w:rPr>
                            <w:rFonts w:hint="eastAsia" w:eastAsiaTheme="minorEastAsia"/>
                            <w:szCs w:val="21"/>
                            <w:lang w:eastAsia="zh-CN"/>
                          </w:rPr>
                        </w:pPr>
                        <w:r>
                          <w:rPr>
                            <w:rFonts w:ascii="Times New Roman" w:hAnsi="Times New Roman" w:eastAsiaTheme="minorEastAsia"/>
                            <w:kern w:val="0"/>
                            <w:szCs w:val="21"/>
                          </w:rPr>
                          <w:t>第Ⅱ类</w:t>
                        </w:r>
                        <w:r>
                          <w:rPr>
                            <w:rFonts w:hint="eastAsia" w:ascii="Times New Roman" w:hAnsi="Times New Roman" w:eastAsiaTheme="minorEastAsia"/>
                            <w:kern w:val="0"/>
                            <w:szCs w:val="21"/>
                            <w:lang w:eastAsia="zh-CN"/>
                          </w:rPr>
                          <w:t>废旧铅酸蓄电池</w:t>
                        </w:r>
                      </w:p>
                    </w:txbxContent>
                  </v:textbox>
                </v:shape>
              </w:pict>
            </w:r>
          </w:p>
          <w:p w14:paraId="04B9D80E">
            <w:pPr>
              <w:pStyle w:val="5"/>
              <w:ind w:firstLine="480"/>
              <w:rPr>
                <w:color w:val="auto"/>
                <w:highlight w:val="none"/>
              </w:rPr>
            </w:pPr>
            <w:r>
              <w:rPr>
                <w:color w:val="auto"/>
                <w:sz w:val="24"/>
                <w:szCs w:val="24"/>
                <w:highlight w:val="none"/>
              </w:rPr>
              <w:pict>
                <v:shape id="_x0000_s2106" o:spid="_x0000_s2106" o:spt="32" type="#_x0000_t32" style="position:absolute;left:0pt;margin-left:244.95pt;margin-top:9.05pt;height:26.3pt;width:0pt;z-index:251700224;mso-width-relative:page;mso-height-relative:page;" o:connectortype="straight" filled="f" coordsize="21600,21600">
                  <v:path arrowok="t"/>
                  <v:fill on="f" focussize="0,0"/>
                  <v:stroke endarrow="block"/>
                  <v:imagedata o:title=""/>
                  <o:lock v:ext="edit"/>
                </v:shape>
              </w:pict>
            </w:r>
            <w:r>
              <w:rPr>
                <w:color w:val="auto"/>
                <w:sz w:val="24"/>
                <w:szCs w:val="24"/>
                <w:highlight w:val="none"/>
              </w:rPr>
              <w:pict>
                <v:shape id="_x0000_s2107" o:spid="_x0000_s2107" o:spt="32" type="#_x0000_t32" style="position:absolute;left:0pt;margin-left:155.75pt;margin-top:9.05pt;height:26.3pt;width:0pt;z-index:251699200;mso-width-relative:page;mso-height-relative:page;" o:connectortype="straight" filled="f" coordsize="21600,21600">
                  <v:path arrowok="t"/>
                  <v:fill on="f" focussize="0,0"/>
                  <v:stroke endarrow="block"/>
                  <v:imagedata o:title=""/>
                  <o:lock v:ext="edit"/>
                </v:shape>
              </w:pict>
            </w:r>
            <w:r>
              <w:rPr>
                <w:color w:val="auto"/>
                <w:highlight w:val="none"/>
              </w:rPr>
              <w:pict>
                <v:shape id="_x0000_s2108" o:spid="_x0000_s2108" o:spt="32" type="#_x0000_t32" style="position:absolute;left:0pt;flip:x;margin-left:155.75pt;margin-top:9.05pt;height:0pt;width:89.2pt;z-index:251698176;mso-width-relative:page;mso-height-relative:page;" o:connectortype="straight" filled="f" coordsize="21600,21600">
                  <v:path arrowok="t"/>
                  <v:fill on="f" focussize="0,0"/>
                  <v:stroke/>
                  <v:imagedata o:title=""/>
                  <o:lock v:ext="edit"/>
                </v:shape>
              </w:pict>
            </w:r>
          </w:p>
          <w:p w14:paraId="714F402C">
            <w:pPr>
              <w:rPr>
                <w:color w:val="auto"/>
                <w:highlight w:val="none"/>
              </w:rPr>
            </w:pPr>
          </w:p>
          <w:p w14:paraId="0D0324D6">
            <w:pPr>
              <w:pStyle w:val="5"/>
              <w:ind w:firstLine="480"/>
              <w:rPr>
                <w:color w:val="auto"/>
                <w:highlight w:val="none"/>
              </w:rPr>
            </w:pPr>
            <w:r>
              <w:rPr>
                <w:rFonts w:eastAsiaTheme="minorEastAsia"/>
                <w:b/>
                <w:bCs/>
                <w:color w:val="auto"/>
                <w:sz w:val="24"/>
                <w:szCs w:val="24"/>
                <w:highlight w:val="none"/>
              </w:rPr>
              <w:pict>
                <v:rect id="_x0000_s2109" o:spid="_x0000_s2109" o:spt="1" style="position:absolute;left:0pt;margin-left:94.55pt;margin-top:0.2pt;height:109.95pt;width:206.4pt;z-index:251731968;mso-width-relative:page;mso-height-relative:page;" filled="f" stroked="t" coordsize="21600,21600">
                  <v:path/>
                  <v:fill on="f" focussize="0,0"/>
                  <v:stroke color="#0000FF" joinstyle="miter" dashstyle="dashDot"/>
                  <v:imagedata o:title=""/>
                  <o:lock v:ext="edit" aspectratio="f"/>
                  <v:textbox>
                    <w:txbxContent>
                      <w:p w14:paraId="545A55BD">
                        <w:pPr>
                          <w:jc w:val="center"/>
                        </w:pPr>
                      </w:p>
                    </w:txbxContent>
                  </v:textbox>
                </v:rect>
              </w:pict>
            </w:r>
            <w:r>
              <w:rPr>
                <w:rFonts w:eastAsiaTheme="minorEastAsia"/>
                <w:b/>
                <w:bCs/>
                <w:color w:val="auto"/>
                <w:sz w:val="24"/>
                <w:szCs w:val="24"/>
                <w:highlight w:val="none"/>
              </w:rPr>
              <w:pict>
                <v:rect id="_x0000_s2110" o:spid="_x0000_s2110" o:spt="1" style="position:absolute;left:0pt;margin-left:201.7pt;margin-top:0.05pt;height:102.55pt;width:97.7pt;z-index:251720704;mso-width-relative:page;mso-height-relative:page;" filled="f" coordsize="21600,21600">
                  <v:path/>
                  <v:fill on="f" focussize="0,0"/>
                  <v:stroke dashstyle="dashDot"/>
                  <v:imagedata o:title=""/>
                  <o:lock v:ext="edit"/>
                  <v:textbox>
                    <w:txbxContent>
                      <w:p w14:paraId="30CEC985">
                        <w:pPr>
                          <w:jc w:val="center"/>
                        </w:pPr>
                      </w:p>
                    </w:txbxContent>
                  </v:textbox>
                </v:rect>
              </w:pict>
            </w:r>
            <w:r>
              <w:rPr>
                <w:color w:val="auto"/>
                <w:sz w:val="24"/>
                <w:szCs w:val="24"/>
                <w:highlight w:val="none"/>
              </w:rPr>
              <w:pict>
                <v:rect id="_x0000_s2113" o:spid="_x0000_s2113" o:spt="1" style="position:absolute;left:0pt;margin-left:97.6pt;margin-top:7.7pt;height:36.55pt;width:96pt;z-index:251701248;mso-width-relative:page;mso-height-relative:page;" fillcolor="#FFFFFF" filled="t" stroked="t" coordsize="21600,21600">
                  <v:path/>
                  <v:fill on="t" color2="#FFFFFF" focussize="0,0"/>
                  <v:stroke color="#000000" joinstyle="miter"/>
                  <v:imagedata o:title=""/>
                  <o:lock v:ext="edit" aspectratio="f"/>
                  <v:textbox>
                    <w:txbxContent>
                      <w:p w14:paraId="5CDC685E">
                        <w:pPr>
                          <w:autoSpaceDE w:val="0"/>
                          <w:autoSpaceDN w:val="0"/>
                          <w:adjustRightInd w:val="0"/>
                          <w:jc w:val="center"/>
                          <w:rPr>
                            <w:szCs w:val="21"/>
                          </w:rPr>
                        </w:pPr>
                        <w:r>
                          <w:rPr>
                            <w:rFonts w:hint="eastAsia" w:ascii="宋体" w:hAnsi="Times New Roman" w:cs="宋体"/>
                            <w:kern w:val="0"/>
                            <w:szCs w:val="21"/>
                            <w:lang w:val="en-US" w:eastAsia="zh-CN"/>
                          </w:rPr>
                          <w:t>缠塑料膜置于</w:t>
                        </w:r>
                        <w:r>
                          <w:rPr>
                            <w:rFonts w:hint="eastAsia" w:ascii="宋体" w:hAnsi="Times New Roman" w:cs="宋体"/>
                            <w:kern w:val="0"/>
                            <w:szCs w:val="21"/>
                          </w:rPr>
                          <w:t>耐腐蚀</w:t>
                        </w:r>
                        <w:r>
                          <w:rPr>
                            <w:rFonts w:hint="eastAsia" w:ascii="宋体" w:hAnsi="Times New Roman" w:cs="宋体"/>
                            <w:kern w:val="0"/>
                            <w:szCs w:val="21"/>
                            <w:lang w:val="en-US" w:eastAsia="zh-CN"/>
                          </w:rPr>
                          <w:t>PV</w:t>
                        </w:r>
                        <w:r>
                          <w:rPr>
                            <w:rFonts w:hint="eastAsia" w:ascii="宋体" w:hAnsi="Times New Roman" w:cs="宋体"/>
                            <w:kern w:val="0"/>
                            <w:szCs w:val="21"/>
                          </w:rPr>
                          <w:t>托盘</w:t>
                        </w:r>
                      </w:p>
                    </w:txbxContent>
                  </v:textbox>
                </v:rect>
              </w:pict>
            </w:r>
            <w:r>
              <w:rPr>
                <w:rFonts w:eastAsiaTheme="minorEastAsia"/>
                <w:b/>
                <w:bCs/>
                <w:color w:val="auto"/>
                <w:sz w:val="24"/>
                <w:szCs w:val="24"/>
                <w:highlight w:val="none"/>
              </w:rPr>
              <w:pict>
                <v:shape id="_x0000_s2111" o:spid="_x0000_s2111" o:spt="202" type="#_x0000_t202" style="position:absolute;left:0pt;margin-left:315.65pt;margin-top:10.65pt;height:21.65pt;width:86.8pt;z-index:251707392;mso-width-relative:page;mso-height-relative:page;" filled="f" stroked="f" coordsize="21600,21600">
                  <v:path/>
                  <v:fill on="f" focussize="0,0"/>
                  <v:stroke on="f" joinstyle="miter"/>
                  <v:imagedata o:title=""/>
                  <o:lock v:ext="edit"/>
                  <v:textbox>
                    <w:txbxContent>
                      <w:p w14:paraId="6D26DECA">
                        <w:pPr>
                          <w:jc w:val="center"/>
                          <w:rPr>
                            <w:rFonts w:ascii="Times New Roman" w:hAnsi="Times New Roman" w:eastAsiaTheme="minorEastAsia"/>
                            <w:szCs w:val="21"/>
                          </w:rPr>
                        </w:pPr>
                        <w:r>
                          <w:rPr>
                            <w:rFonts w:hint="eastAsia" w:ascii="Times New Roman" w:hAnsi="Times New Roman" w:eastAsiaTheme="minorEastAsia"/>
                            <w:kern w:val="0"/>
                            <w:szCs w:val="21"/>
                          </w:rPr>
                          <w:t>G</w:t>
                        </w:r>
                        <w:r>
                          <w:rPr>
                            <w:rFonts w:ascii="Times New Roman" w:hAnsi="Times New Roman" w:eastAsiaTheme="minorEastAsia"/>
                            <w:kern w:val="0"/>
                            <w:szCs w:val="21"/>
                          </w:rPr>
                          <w:t>2、</w:t>
                        </w:r>
                        <w:r>
                          <w:rPr>
                            <w:rFonts w:hint="eastAsia" w:ascii="Times New Roman" w:hAnsi="Times New Roman" w:eastAsiaTheme="minorEastAsia"/>
                            <w:kern w:val="0"/>
                            <w:szCs w:val="21"/>
                          </w:rPr>
                          <w:t>N</w:t>
                        </w:r>
                        <w:r>
                          <w:rPr>
                            <w:rFonts w:ascii="Times New Roman" w:hAnsi="Times New Roman" w:eastAsiaTheme="minorEastAsia"/>
                            <w:kern w:val="0"/>
                            <w:szCs w:val="21"/>
                          </w:rPr>
                          <w:t>3、</w:t>
                        </w:r>
                        <w:r>
                          <w:rPr>
                            <w:rFonts w:hint="eastAsia" w:ascii="Times New Roman" w:hAnsi="Times New Roman" w:eastAsiaTheme="minorEastAsia"/>
                            <w:kern w:val="0"/>
                            <w:szCs w:val="21"/>
                          </w:rPr>
                          <w:t>S</w:t>
                        </w:r>
                        <w:r>
                          <w:rPr>
                            <w:rFonts w:ascii="Times New Roman" w:hAnsi="Times New Roman" w:eastAsiaTheme="minorEastAsia"/>
                            <w:kern w:val="0"/>
                            <w:szCs w:val="21"/>
                          </w:rPr>
                          <w:t>1</w:t>
                        </w:r>
                      </w:p>
                    </w:txbxContent>
                  </v:textbox>
                </v:shape>
              </w:pict>
            </w:r>
            <w:r>
              <w:rPr>
                <w:color w:val="auto"/>
                <w:sz w:val="24"/>
                <w:szCs w:val="24"/>
                <w:highlight w:val="none"/>
              </w:rPr>
              <w:pict>
                <v:rect id="_x0000_s2112" o:spid="_x0000_s2112" o:spt="1" style="position:absolute;left:0pt;margin-left:206.55pt;margin-top:7.7pt;height:36.55pt;width:80.05pt;z-index:251702272;mso-width-relative:page;mso-height-relative:page;" coordsize="21600,21600">
                  <v:path/>
                  <v:fill focussize="0,0"/>
                  <v:stroke/>
                  <v:imagedata o:title=""/>
                  <o:lock v:ext="edit"/>
                  <v:textbox>
                    <w:txbxContent>
                      <w:p w14:paraId="45C2B82B">
                        <w:pPr>
                          <w:autoSpaceDE w:val="0"/>
                          <w:autoSpaceDN w:val="0"/>
                          <w:adjustRightInd w:val="0"/>
                          <w:jc w:val="center"/>
                          <w:rPr>
                            <w:szCs w:val="21"/>
                          </w:rPr>
                        </w:pPr>
                        <w:r>
                          <w:rPr>
                            <w:rFonts w:hint="eastAsia" w:ascii="宋体" w:hAnsi="Times New Roman" w:cs="宋体"/>
                            <w:kern w:val="0"/>
                            <w:szCs w:val="21"/>
                            <w:lang w:val="en-US" w:eastAsia="zh-CN"/>
                          </w:rPr>
                          <w:t>置于</w:t>
                        </w:r>
                        <w:r>
                          <w:rPr>
                            <w:rFonts w:hint="eastAsia" w:ascii="宋体" w:hAnsi="Times New Roman" w:cs="宋体"/>
                            <w:kern w:val="0"/>
                            <w:szCs w:val="21"/>
                          </w:rPr>
                          <w:t>耐腐蚀</w:t>
                        </w:r>
                        <w:r>
                          <w:rPr>
                            <w:rFonts w:hint="eastAsia" w:ascii="宋体" w:hAnsi="Times New Roman" w:cs="宋体"/>
                            <w:kern w:val="0"/>
                            <w:szCs w:val="21"/>
                            <w:lang w:val="en-US" w:eastAsia="zh-CN"/>
                          </w:rPr>
                          <w:t>PV塑料箱</w:t>
                        </w:r>
                      </w:p>
                    </w:txbxContent>
                  </v:textbox>
                </v:rect>
              </w:pict>
            </w:r>
          </w:p>
          <w:p w14:paraId="249597F1">
            <w:pPr>
              <w:rPr>
                <w:color w:val="auto"/>
                <w:highlight w:val="none"/>
              </w:rPr>
            </w:pPr>
            <w:r>
              <w:rPr>
                <w:rFonts w:eastAsiaTheme="minorEastAsia"/>
                <w:b/>
                <w:bCs/>
                <w:color w:val="auto"/>
                <w:sz w:val="24"/>
                <w:szCs w:val="24"/>
                <w:highlight w:val="none"/>
              </w:rPr>
              <w:pict>
                <v:shape id="_x0000_s2114" o:spid="_x0000_s2114" o:spt="32" type="#_x0000_t32" style="position:absolute;left:0pt;flip:y;margin-left:297.6pt;margin-top:12.6pt;height:11.15pt;width:31.4pt;z-index:251721728;mso-width-relative:page;mso-height-relative:page;" o:connectortype="straight" filled="f" coordsize="21600,21600">
                  <v:path arrowok="t"/>
                  <v:fill on="f" focussize="0,0"/>
                  <v:stroke dashstyle="dashDot" endarrow="block"/>
                  <v:imagedata o:title=""/>
                  <o:lock v:ext="edit"/>
                </v:shape>
              </w:pict>
            </w:r>
          </w:p>
          <w:p w14:paraId="7503FCAC">
            <w:pPr>
              <w:pStyle w:val="5"/>
              <w:rPr>
                <w:color w:val="auto"/>
                <w:highlight w:val="none"/>
              </w:rPr>
            </w:pPr>
            <w:r>
              <w:rPr>
                <w:color w:val="auto"/>
                <w:sz w:val="24"/>
                <w:szCs w:val="24"/>
                <w:highlight w:val="none"/>
              </w:rPr>
              <w:pict>
                <v:shape id="_x0000_s2115" o:spid="_x0000_s2115" o:spt="202" type="#_x0000_t202" style="position:absolute;left:0pt;margin-left:56.05pt;margin-top:10.55pt;height:20.75pt;width:41.4pt;z-index:251732992;mso-width-relative:page;mso-height-relative:page;" filled="f" stroked="f" coordsize="21600,21600">
                  <v:path/>
                  <v:fill on="f" focussize="0,0"/>
                  <v:stroke on="f"/>
                  <v:imagedata o:title=""/>
                  <o:lock v:ext="edit" aspectratio="f"/>
                  <v:textbox>
                    <w:txbxContent>
                      <w:p w14:paraId="5931BDAD">
                        <w:pPr>
                          <w:jc w:val="center"/>
                          <w:rPr>
                            <w:rFonts w:hint="eastAsia" w:eastAsia="宋体"/>
                            <w:szCs w:val="21"/>
                            <w:lang w:val="en-US" w:eastAsia="zh-CN"/>
                          </w:rPr>
                        </w:pPr>
                        <w:r>
                          <w:rPr>
                            <w:rFonts w:hint="eastAsia" w:ascii="Times New Roman" w:hAnsi="Times New Roman" w:eastAsiaTheme="minorEastAsia"/>
                            <w:kern w:val="0"/>
                            <w:szCs w:val="21"/>
                            <w:lang w:val="en-US" w:eastAsia="zh-CN"/>
                          </w:rPr>
                          <w:t>暂存</w:t>
                        </w:r>
                      </w:p>
                    </w:txbxContent>
                  </v:textbox>
                </v:shape>
              </w:pict>
            </w:r>
          </w:p>
          <w:p w14:paraId="26CE9A06">
            <w:pPr>
              <w:rPr>
                <w:color w:val="auto"/>
                <w:highlight w:val="none"/>
              </w:rPr>
            </w:pPr>
            <w:r>
              <w:rPr>
                <w:rFonts w:eastAsiaTheme="minorEastAsia"/>
                <w:b/>
                <w:bCs/>
                <w:color w:val="auto"/>
                <w:sz w:val="24"/>
                <w:szCs w:val="24"/>
                <w:highlight w:val="none"/>
              </w:rPr>
              <w:pict>
                <v:shape id="_x0000_s2116" o:spid="_x0000_s2116" o:spt="32" type="#_x0000_t32" style="position:absolute;left:0pt;margin-left:248.1pt;margin-top:5pt;height:15.3pt;width:0pt;z-index:251713536;mso-width-relative:page;mso-height-relative:page;" o:connectortype="straight" filled="f" coordsize="21600,21600">
                  <v:path arrowok="t"/>
                  <v:fill on="f" focussize="0,0"/>
                  <v:stroke endarrow="block"/>
                  <v:imagedata o:title=""/>
                  <o:lock v:ext="edit"/>
                </v:shape>
              </w:pict>
            </w:r>
            <w:r>
              <w:rPr>
                <w:rFonts w:eastAsiaTheme="minorEastAsia"/>
                <w:b/>
                <w:bCs/>
                <w:color w:val="auto"/>
                <w:sz w:val="24"/>
                <w:szCs w:val="24"/>
                <w:highlight w:val="none"/>
              </w:rPr>
              <w:pict>
                <v:shape id="_x0000_s2117" o:spid="_x0000_s2117" o:spt="32" type="#_x0000_t32" style="position:absolute;left:0pt;margin-left:155.15pt;margin-top:5.75pt;height:15.3pt;width:0pt;z-index:251712512;mso-width-relative:page;mso-height-relative:page;" o:connectortype="straight" filled="f" coordsize="21600,21600">
                  <v:path arrowok="t"/>
                  <v:fill on="f" focussize="0,0"/>
                  <v:stroke endarrow="block"/>
                  <v:imagedata o:title=""/>
                  <o:lock v:ext="edit"/>
                </v:shape>
              </w:pict>
            </w:r>
          </w:p>
          <w:p w14:paraId="633C3072">
            <w:pPr>
              <w:pStyle w:val="5"/>
              <w:ind w:firstLine="482"/>
              <w:rPr>
                <w:color w:val="auto"/>
                <w:highlight w:val="none"/>
              </w:rPr>
            </w:pPr>
            <w:r>
              <w:rPr>
                <w:rFonts w:eastAsiaTheme="minorEastAsia"/>
                <w:b/>
                <w:bCs/>
                <w:color w:val="auto"/>
                <w:sz w:val="24"/>
                <w:szCs w:val="24"/>
                <w:highlight w:val="none"/>
              </w:rPr>
              <w:pict>
                <v:rect id="_x0000_s2119" o:spid="_x0000_s2119" o:spt="1" style="position:absolute;left:0pt;margin-left:97.25pt;margin-top:8pt;height:36.55pt;width:97.85pt;z-index:251709440;mso-width-relative:page;mso-height-relative:page;" fillcolor="#FFFFFF" filled="t" stroked="t" coordsize="21600,21600">
                  <v:path/>
                  <v:fill on="t" color2="#FFFFFF" focussize="0,0"/>
                  <v:stroke color="#000000" joinstyle="miter"/>
                  <v:imagedata o:title=""/>
                  <o:lock v:ext="edit" aspectratio="f"/>
                  <v:textbox>
                    <w:txbxContent>
                      <w:p w14:paraId="4D087164">
                        <w:pPr>
                          <w:autoSpaceDE w:val="0"/>
                          <w:autoSpaceDN w:val="0"/>
                          <w:adjustRightInd w:val="0"/>
                          <w:jc w:val="center"/>
                          <w:rPr>
                            <w:rFonts w:hint="default" w:eastAsia="宋体"/>
                            <w:szCs w:val="21"/>
                            <w:lang w:val="en-US" w:eastAsia="zh-CN"/>
                          </w:rPr>
                        </w:pPr>
                        <w:r>
                          <w:rPr>
                            <w:rFonts w:hint="eastAsia" w:ascii="宋体" w:hAnsi="Times New Roman" w:cs="宋体"/>
                            <w:kern w:val="0"/>
                            <w:szCs w:val="21"/>
                            <w:lang w:val="en-US" w:eastAsia="zh-CN"/>
                          </w:rPr>
                          <w:t>完整电池贮存区存放</w:t>
                        </w:r>
                      </w:p>
                    </w:txbxContent>
                  </v:textbox>
                </v:rect>
              </w:pict>
            </w:r>
            <w:r>
              <w:rPr>
                <w:rFonts w:eastAsiaTheme="minorEastAsia"/>
                <w:b/>
                <w:bCs/>
                <w:color w:val="auto"/>
                <w:sz w:val="24"/>
                <w:szCs w:val="24"/>
                <w:highlight w:val="none"/>
              </w:rPr>
              <w:pict>
                <v:rect id="_x0000_s2118" o:spid="_x0000_s2118" o:spt="1" style="position:absolute;left:0pt;margin-left:208.05pt;margin-top:7.25pt;height:36.55pt;width:80.05pt;z-index:251710464;mso-width-relative:page;mso-height-relative:page;" coordsize="21600,21600">
                  <v:path/>
                  <v:fill focussize="0,0"/>
                  <v:stroke/>
                  <v:imagedata o:title=""/>
                  <o:lock v:ext="edit"/>
                  <v:textbox>
                    <w:txbxContent>
                      <w:p w14:paraId="04D471FB">
                        <w:pPr>
                          <w:autoSpaceDE w:val="0"/>
                          <w:autoSpaceDN w:val="0"/>
                          <w:adjustRightInd w:val="0"/>
                          <w:jc w:val="center"/>
                          <w:rPr>
                            <w:rFonts w:hint="default" w:eastAsia="宋体"/>
                            <w:szCs w:val="21"/>
                            <w:lang w:val="en-US" w:eastAsia="zh-CN"/>
                          </w:rPr>
                        </w:pPr>
                        <w:r>
                          <w:rPr>
                            <w:rFonts w:hint="eastAsia" w:ascii="宋体" w:hAnsi="Times New Roman" w:cs="宋体"/>
                            <w:kern w:val="0"/>
                            <w:szCs w:val="21"/>
                            <w:lang w:val="en-US" w:eastAsia="zh-CN"/>
                          </w:rPr>
                          <w:t>破损电池贮存区存放</w:t>
                        </w:r>
                      </w:p>
                    </w:txbxContent>
                  </v:textbox>
                </v:rect>
              </w:pict>
            </w:r>
          </w:p>
          <w:p w14:paraId="5AAFD40B">
            <w:pPr>
              <w:rPr>
                <w:color w:val="auto"/>
                <w:highlight w:val="none"/>
              </w:rPr>
            </w:pPr>
          </w:p>
          <w:p w14:paraId="059D2E97">
            <w:pPr>
              <w:pStyle w:val="5"/>
              <w:rPr>
                <w:color w:val="auto"/>
                <w:highlight w:val="none"/>
              </w:rPr>
            </w:pPr>
          </w:p>
          <w:p w14:paraId="1911E353">
            <w:pPr>
              <w:rPr>
                <w:color w:val="auto"/>
                <w:highlight w:val="none"/>
              </w:rPr>
            </w:pPr>
            <w:r>
              <w:rPr>
                <w:rFonts w:eastAsiaTheme="minorEastAsia"/>
                <w:b/>
                <w:bCs/>
                <w:color w:val="auto"/>
                <w:sz w:val="24"/>
                <w:szCs w:val="24"/>
                <w:highlight w:val="none"/>
              </w:rPr>
              <w:pict>
                <v:shape id="_x0000_s2120" o:spid="_x0000_s2120" o:spt="32" type="#_x0000_t32" style="position:absolute;left:0pt;margin-left:249.75pt;margin-top:5.35pt;height:15.3pt;width:0pt;z-index:251715584;mso-width-relative:page;mso-height-relative:page;" o:connectortype="straight" filled="f" coordsize="21600,21600">
                  <v:path arrowok="t"/>
                  <v:fill on="f" focussize="0,0"/>
                  <v:stroke endarrow="block"/>
                  <v:imagedata o:title=""/>
                  <o:lock v:ext="edit"/>
                </v:shape>
              </w:pict>
            </w:r>
            <w:r>
              <w:rPr>
                <w:rFonts w:eastAsiaTheme="minorEastAsia"/>
                <w:b/>
                <w:bCs/>
                <w:color w:val="auto"/>
                <w:sz w:val="24"/>
                <w:szCs w:val="24"/>
                <w:highlight w:val="none"/>
              </w:rPr>
              <w:pict>
                <v:shape id="_x0000_s2121" o:spid="_x0000_s2121" o:spt="32" type="#_x0000_t32" style="position:absolute;left:0pt;margin-left:155.15pt;margin-top:5.35pt;height:15.3pt;width:0pt;z-index:251714560;mso-width-relative:page;mso-height-relative:page;" o:connectortype="straight" filled="f" coordsize="21600,21600">
                  <v:path arrowok="t"/>
                  <v:fill on="f" focussize="0,0"/>
                  <v:stroke endarrow="block"/>
                  <v:imagedata o:title=""/>
                  <o:lock v:ext="edit"/>
                </v:shape>
              </w:pict>
            </w:r>
          </w:p>
          <w:p w14:paraId="1EDC7359">
            <w:pPr>
              <w:pStyle w:val="5"/>
              <w:ind w:firstLine="482"/>
              <w:rPr>
                <w:color w:val="auto"/>
                <w:highlight w:val="none"/>
              </w:rPr>
            </w:pPr>
            <w:r>
              <w:rPr>
                <w:rFonts w:eastAsiaTheme="minorEastAsia"/>
                <w:b/>
                <w:bCs/>
                <w:color w:val="auto"/>
                <w:sz w:val="24"/>
                <w:szCs w:val="24"/>
                <w:highlight w:val="none"/>
              </w:rPr>
              <w:pict>
                <v:shape id="_x0000_s2123" o:spid="_x0000_s2123" o:spt="202" type="#_x0000_t202" style="position:absolute;left:0pt;margin-left:268pt;margin-top:4.3pt;height:20.15pt;width:44.8pt;z-index:251725824;mso-width-relative:page;mso-height-relative:page;" filled="f" stroked="f" coordsize="21600,21600">
                  <v:path/>
                  <v:fill on="f" focussize="0,0"/>
                  <v:stroke on="f" joinstyle="miter"/>
                  <v:imagedata o:title=""/>
                  <o:lock v:ext="edit"/>
                  <v:textbox>
                    <w:txbxContent>
                      <w:p w14:paraId="2A524E95">
                        <w:pPr>
                          <w:jc w:val="center"/>
                          <w:rPr>
                            <w:rFonts w:ascii="Times New Roman" w:hAnsi="Times New Roman" w:eastAsiaTheme="minorEastAsia"/>
                            <w:szCs w:val="21"/>
                          </w:rPr>
                        </w:pPr>
                        <w:r>
                          <w:rPr>
                            <w:rFonts w:hint="eastAsia" w:ascii="Times New Roman" w:hAnsi="Times New Roman" w:eastAsiaTheme="minorEastAsia"/>
                            <w:kern w:val="0"/>
                            <w:szCs w:val="21"/>
                          </w:rPr>
                          <w:t>N</w:t>
                        </w:r>
                        <w:r>
                          <w:rPr>
                            <w:rFonts w:ascii="Times New Roman" w:hAnsi="Times New Roman" w:eastAsiaTheme="minorEastAsia"/>
                            <w:kern w:val="0"/>
                            <w:szCs w:val="21"/>
                          </w:rPr>
                          <w:t>4</w:t>
                        </w:r>
                      </w:p>
                    </w:txbxContent>
                  </v:textbox>
                </v:shape>
              </w:pict>
            </w:r>
            <w:r>
              <w:rPr>
                <w:color w:val="auto"/>
                <w:sz w:val="24"/>
                <w:szCs w:val="24"/>
                <w:highlight w:val="none"/>
              </w:rPr>
              <w:pict>
                <v:shape id="_x0000_s2122" o:spid="_x0000_s2122" o:spt="32" type="#_x0000_t32" style="position:absolute;left:0pt;flip:x;margin-left:154.25pt;margin-top:7.75pt;height:0pt;width:96pt;z-index:251705344;mso-width-relative:page;mso-height-relative:page;" filled="f" stroked="t" coordsize="21600,21600">
                  <v:path arrowok="t"/>
                  <v:fill on="f" focussize="0,0"/>
                  <v:stroke color="#000000"/>
                  <v:imagedata o:title=""/>
                  <o:lock v:ext="edit" aspectratio="f"/>
                </v:shape>
              </w:pict>
            </w:r>
            <w:r>
              <w:rPr>
                <w:rFonts w:eastAsiaTheme="minorEastAsia"/>
                <w:b/>
                <w:bCs/>
                <w:color w:val="auto"/>
                <w:sz w:val="24"/>
                <w:szCs w:val="24"/>
                <w:highlight w:val="none"/>
              </w:rPr>
              <w:pict>
                <v:shape id="_x0000_s2124" o:spid="_x0000_s2124" o:spt="32" type="#_x0000_t32" style="position:absolute;left:0pt;flip:y;margin-left:243.15pt;margin-top:12.85pt;height:11.15pt;width:31.4pt;z-index:251724800;mso-width-relative:page;mso-height-relative:page;" o:connectortype="straight" filled="f" coordsize="21600,21600">
                  <v:path arrowok="t"/>
                  <v:fill on="f" focussize="0,0"/>
                  <v:stroke dashstyle="dashDot" endarrow="block"/>
                  <v:imagedata o:title=""/>
                  <o:lock v:ext="edit"/>
                </v:shape>
              </w:pict>
            </w:r>
            <w:r>
              <w:rPr>
                <w:color w:val="auto"/>
                <w:sz w:val="24"/>
                <w:szCs w:val="24"/>
                <w:highlight w:val="none"/>
              </w:rPr>
              <w:pict>
                <v:shape id="_x0000_s2125" o:spid="_x0000_s2125" o:spt="32" type="#_x0000_t32" style="position:absolute;left:0pt;margin-left:204.5pt;margin-top:7.85pt;height:15.3pt;width:0pt;z-index:251706368;mso-width-relative:page;mso-height-relative:page;" o:connectortype="straight" filled="f" coordsize="21600,21600">
                  <v:path arrowok="t"/>
                  <v:fill on="f" focussize="0,0"/>
                  <v:stroke endarrow="block"/>
                  <v:imagedata o:title=""/>
                  <o:lock v:ext="edit"/>
                </v:shape>
              </w:pict>
            </w:r>
          </w:p>
          <w:p w14:paraId="3F7DA063">
            <w:pPr>
              <w:rPr>
                <w:color w:val="auto"/>
                <w:highlight w:val="none"/>
              </w:rPr>
            </w:pPr>
            <w:r>
              <w:rPr>
                <w:rFonts w:eastAsiaTheme="minorEastAsia"/>
                <w:b/>
                <w:bCs/>
                <w:color w:val="auto"/>
                <w:sz w:val="24"/>
                <w:szCs w:val="24"/>
                <w:highlight w:val="none"/>
              </w:rPr>
              <w:pict>
                <v:rect id="_x0000_s2126" o:spid="_x0000_s2126" o:spt="1" style="position:absolute;left:0pt;margin-left:164.6pt;margin-top:10pt;height:23.05pt;width:80.05pt;z-index:251711488;mso-width-relative:page;mso-height-relative:page;" coordsize="21600,21600">
                  <v:path/>
                  <v:fill focussize="0,0"/>
                  <v:stroke/>
                  <v:imagedata o:title=""/>
                  <o:lock v:ext="edit"/>
                  <v:textbox>
                    <w:txbxContent>
                      <w:p w14:paraId="30DD1F1A">
                        <w:pPr>
                          <w:jc w:val="center"/>
                        </w:pPr>
                        <w:r>
                          <w:rPr>
                            <w:rFonts w:hint="eastAsia"/>
                          </w:rPr>
                          <w:t>装车</w:t>
                        </w:r>
                      </w:p>
                    </w:txbxContent>
                  </v:textbox>
                </v:rect>
              </w:pict>
            </w:r>
          </w:p>
          <w:p w14:paraId="1B4FF4F4">
            <w:pPr>
              <w:pStyle w:val="5"/>
              <w:rPr>
                <w:color w:val="auto"/>
                <w:highlight w:val="none"/>
              </w:rPr>
            </w:pPr>
          </w:p>
          <w:p w14:paraId="255E7985">
            <w:pPr>
              <w:rPr>
                <w:color w:val="auto"/>
                <w:highlight w:val="none"/>
              </w:rPr>
            </w:pPr>
            <w:r>
              <w:rPr>
                <w:rFonts w:eastAsiaTheme="minorEastAsia"/>
                <w:b/>
                <w:bCs/>
                <w:color w:val="auto"/>
                <w:sz w:val="24"/>
                <w:szCs w:val="24"/>
                <w:highlight w:val="none"/>
              </w:rPr>
              <w:pict>
                <v:shape id="_x0000_s2127" o:spid="_x0000_s2127" o:spt="32" type="#_x0000_t32" style="position:absolute;left:0pt;margin-left:205.25pt;margin-top:7.45pt;height:15.3pt;width:0pt;z-index:251716608;mso-width-relative:page;mso-height-relative:page;" o:connectortype="straight" filled="f" coordsize="21600,21600">
                  <v:path arrowok="t"/>
                  <v:fill on="f" focussize="0,0"/>
                  <v:stroke endarrow="block"/>
                  <v:imagedata o:title=""/>
                  <o:lock v:ext="edit"/>
                </v:shape>
              </w:pict>
            </w:r>
          </w:p>
          <w:p w14:paraId="71E1D311">
            <w:pPr>
              <w:pStyle w:val="5"/>
              <w:ind w:firstLine="482"/>
              <w:rPr>
                <w:color w:val="auto"/>
                <w:highlight w:val="none"/>
              </w:rPr>
            </w:pPr>
            <w:r>
              <w:rPr>
                <w:rFonts w:eastAsiaTheme="minorEastAsia"/>
                <w:b/>
                <w:bCs/>
                <w:color w:val="auto"/>
                <w:sz w:val="24"/>
                <w:szCs w:val="24"/>
                <w:highlight w:val="none"/>
              </w:rPr>
              <w:pict>
                <v:rect id="_x0000_s2128" o:spid="_x0000_s2128" o:spt="1" style="position:absolute;left:0pt;margin-left:162.05pt;margin-top:9.8pt;height:23.05pt;width:80.05pt;z-index:251717632;mso-width-relative:page;mso-height-relative:page;" coordsize="21600,21600">
                  <v:path/>
                  <v:fill focussize="0,0"/>
                  <v:stroke/>
                  <v:imagedata o:title=""/>
                  <o:lock v:ext="edit"/>
                  <v:textbox>
                    <w:txbxContent>
                      <w:p w14:paraId="50282E1D">
                        <w:pPr>
                          <w:jc w:val="center"/>
                        </w:pPr>
                        <w:r>
                          <w:rPr>
                            <w:rFonts w:hint="eastAsia"/>
                          </w:rPr>
                          <w:t>地磅称重</w:t>
                        </w:r>
                      </w:p>
                      <w:p w14:paraId="08B4DF2E">
                        <w:pPr>
                          <w:jc w:val="center"/>
                        </w:pPr>
                      </w:p>
                    </w:txbxContent>
                  </v:textbox>
                </v:rect>
              </w:pict>
            </w:r>
          </w:p>
          <w:p w14:paraId="263DD035">
            <w:pPr>
              <w:rPr>
                <w:color w:val="auto"/>
                <w:highlight w:val="none"/>
              </w:rPr>
            </w:pPr>
          </w:p>
          <w:p w14:paraId="69CC7FF2">
            <w:pPr>
              <w:pStyle w:val="5"/>
              <w:ind w:firstLine="482"/>
              <w:rPr>
                <w:color w:val="auto"/>
                <w:highlight w:val="none"/>
              </w:rPr>
            </w:pPr>
            <w:r>
              <w:rPr>
                <w:rFonts w:eastAsiaTheme="minorEastAsia"/>
                <w:b/>
                <w:bCs/>
                <w:color w:val="auto"/>
                <w:sz w:val="24"/>
                <w:szCs w:val="24"/>
                <w:highlight w:val="none"/>
              </w:rPr>
              <w:pict>
                <v:shape id="_x0000_s2129" o:spid="_x0000_s2129" o:spt="32" type="#_x0000_t32" style="position:absolute;left:0pt;margin-left:204.5pt;margin-top:7.25pt;height:15.3pt;width:0pt;z-index:251718656;mso-width-relative:page;mso-height-relative:page;" o:connectortype="straight" filled="f" coordsize="21600,21600">
                  <v:path arrowok="t"/>
                  <v:fill on="f" focussize="0,0"/>
                  <v:stroke endarrow="block"/>
                  <v:imagedata o:title=""/>
                  <o:lock v:ext="edit"/>
                </v:shape>
              </w:pict>
            </w:r>
          </w:p>
          <w:p w14:paraId="70949CB9">
            <w:pPr>
              <w:rPr>
                <w:rFonts w:hint="eastAsia"/>
                <w:color w:val="auto"/>
                <w:highlight w:val="none"/>
              </w:rPr>
            </w:pPr>
            <w:r>
              <w:rPr>
                <w:rFonts w:eastAsiaTheme="minorEastAsia"/>
                <w:b/>
                <w:bCs/>
                <w:color w:val="auto"/>
                <w:sz w:val="24"/>
                <w:szCs w:val="24"/>
                <w:highlight w:val="none"/>
              </w:rPr>
              <w:pict>
                <v:shape id="_x0000_s2130" o:spid="_x0000_s2130" o:spt="202" type="#_x0000_t202" style="position:absolute;left:0pt;margin-left:127.45pt;margin-top:8.95pt;height:19.8pt;width:157.3pt;z-index:251719680;mso-width-relative:page;mso-height-relative:page;" filled="f" stroked="f" coordsize="21600,21600">
                  <v:path/>
                  <v:fill on="f" focussize="0,0"/>
                  <v:stroke on="f" joinstyle="miter"/>
                  <v:imagedata o:title=""/>
                  <o:lock v:ext="edit"/>
                  <v:textbox>
                    <w:txbxContent>
                      <w:p w14:paraId="5776B694">
                        <w:pPr>
                          <w:jc w:val="center"/>
                          <w:rPr>
                            <w:rFonts w:hint="eastAsia"/>
                            <w:szCs w:val="21"/>
                          </w:rPr>
                        </w:pPr>
                        <w:r>
                          <w:rPr>
                            <w:rFonts w:hint="eastAsia" w:ascii="宋体" w:hAnsi="Times New Roman" w:cs="宋体"/>
                            <w:kern w:val="0"/>
                            <w:szCs w:val="21"/>
                          </w:rPr>
                          <w:t>运输至有资质单位</w:t>
                        </w:r>
                      </w:p>
                    </w:txbxContent>
                  </v:textbox>
                </v:shape>
              </w:pict>
            </w:r>
          </w:p>
          <w:p w14:paraId="5639A5EC">
            <w:pPr>
              <w:rPr>
                <w:color w:val="auto"/>
                <w:highlight w:val="none"/>
              </w:rPr>
            </w:pPr>
          </w:p>
          <w:p w14:paraId="28A3DFE3">
            <w:pPr>
              <w:pStyle w:val="5"/>
              <w:jc w:val="right"/>
              <w:rPr>
                <w:rFonts w:ascii="Times New Roman" w:hAnsi="Times New Roman" w:eastAsia="TimesNewRomanPSMT"/>
                <w:color w:val="auto"/>
                <w:kern w:val="0"/>
                <w:szCs w:val="21"/>
                <w:highlight w:val="none"/>
              </w:rPr>
            </w:pPr>
          </w:p>
          <w:p w14:paraId="418F2A11">
            <w:pPr>
              <w:pStyle w:val="5"/>
              <w:jc w:val="right"/>
              <w:rPr>
                <w:rFonts w:ascii="Times New Roman" w:hAnsi="Times New Roman"/>
                <w:color w:val="auto"/>
                <w:highlight w:val="none"/>
              </w:rPr>
            </w:pPr>
            <w:r>
              <w:rPr>
                <w:rFonts w:hint="eastAsia" w:ascii="宋体" w:hAnsi="宋体" w:eastAsia="宋体" w:cs="宋体"/>
                <w:color w:val="auto"/>
                <w:kern w:val="0"/>
                <w:szCs w:val="21"/>
                <w:highlight w:val="none"/>
                <w:lang w:val="en-US" w:eastAsia="zh-CN"/>
              </w:rPr>
              <w:t>图例：</w:t>
            </w:r>
            <w:r>
              <w:rPr>
                <w:rFonts w:ascii="Times New Roman" w:hAnsi="Times New Roman" w:eastAsia="TimesNewRomanPSMT"/>
                <w:color w:val="auto"/>
                <w:kern w:val="0"/>
                <w:szCs w:val="21"/>
                <w:highlight w:val="none"/>
              </w:rPr>
              <w:t>G</w:t>
            </w:r>
            <w:r>
              <w:rPr>
                <w:rFonts w:ascii="Times New Roman" w:hAnsi="Times New Roman"/>
                <w:color w:val="auto"/>
                <w:kern w:val="0"/>
                <w:szCs w:val="21"/>
                <w:highlight w:val="none"/>
              </w:rPr>
              <w:t>：废气、</w:t>
            </w:r>
            <w:r>
              <w:rPr>
                <w:rFonts w:ascii="Times New Roman" w:hAnsi="Times New Roman" w:eastAsia="TimesNewRomanPSMT"/>
                <w:color w:val="auto"/>
                <w:kern w:val="0"/>
                <w:szCs w:val="21"/>
                <w:highlight w:val="none"/>
              </w:rPr>
              <w:t>N</w:t>
            </w:r>
            <w:r>
              <w:rPr>
                <w:rFonts w:ascii="Times New Roman" w:hAnsi="Times New Roman"/>
                <w:color w:val="auto"/>
                <w:kern w:val="0"/>
                <w:szCs w:val="21"/>
                <w:highlight w:val="none"/>
              </w:rPr>
              <w:t>：噪声、</w:t>
            </w:r>
            <w:r>
              <w:rPr>
                <w:rFonts w:ascii="Times New Roman" w:hAnsi="Times New Roman" w:eastAsia="TimesNewRomanPSMT"/>
                <w:color w:val="auto"/>
                <w:kern w:val="0"/>
                <w:szCs w:val="21"/>
                <w:highlight w:val="none"/>
              </w:rPr>
              <w:t>S</w:t>
            </w:r>
            <w:r>
              <w:rPr>
                <w:rFonts w:ascii="Times New Roman" w:hAnsi="Times New Roman"/>
                <w:color w:val="auto"/>
                <w:kern w:val="0"/>
                <w:szCs w:val="21"/>
                <w:highlight w:val="none"/>
              </w:rPr>
              <w:t>：固体废物</w:t>
            </w:r>
          </w:p>
          <w:p w14:paraId="668E9CFB">
            <w:pPr>
              <w:spacing w:line="480" w:lineRule="exact"/>
              <w:jc w:val="center"/>
              <w:rPr>
                <w:rFonts w:ascii="Times New Roman" w:hAnsi="Times New Roman" w:eastAsiaTheme="minorEastAsia"/>
                <w:bCs/>
                <w:color w:val="auto"/>
                <w:kern w:val="0"/>
                <w:sz w:val="24"/>
                <w:szCs w:val="24"/>
                <w:highlight w:val="none"/>
              </w:rPr>
            </w:pPr>
            <w:r>
              <w:rPr>
                <w:rFonts w:ascii="Times New Roman" w:hAnsi="Times New Roman" w:eastAsiaTheme="minorEastAsia"/>
                <w:bCs/>
                <w:color w:val="auto"/>
                <w:kern w:val="0"/>
                <w:sz w:val="24"/>
                <w:szCs w:val="24"/>
                <w:highlight w:val="none"/>
              </w:rPr>
              <w:t>图2-</w:t>
            </w:r>
            <w:r>
              <w:rPr>
                <w:rFonts w:hint="eastAsia" w:ascii="Times New Roman" w:hAnsi="Times New Roman" w:eastAsiaTheme="minorEastAsia"/>
                <w:bCs/>
                <w:color w:val="auto"/>
                <w:kern w:val="0"/>
                <w:sz w:val="24"/>
                <w:szCs w:val="24"/>
                <w:highlight w:val="none"/>
                <w:lang w:val="en-US" w:eastAsia="zh-CN"/>
              </w:rPr>
              <w:t>3</w:t>
            </w:r>
            <w:r>
              <w:rPr>
                <w:rFonts w:ascii="Times New Roman" w:hAnsi="Times New Roman" w:eastAsiaTheme="minorEastAsia"/>
                <w:bCs/>
                <w:color w:val="auto"/>
                <w:kern w:val="0"/>
                <w:sz w:val="24"/>
                <w:szCs w:val="24"/>
                <w:highlight w:val="none"/>
              </w:rPr>
              <w:t xml:space="preserve">  工艺流程和产排污节点图</w:t>
            </w:r>
          </w:p>
          <w:p w14:paraId="3B826B06">
            <w:pPr>
              <w:spacing w:line="480" w:lineRule="exact"/>
              <w:ind w:firstLine="482" w:firstLineChars="200"/>
              <w:rPr>
                <w:rFonts w:ascii="Times New Roman" w:hAnsi="Times New Roman" w:eastAsiaTheme="minorEastAsia"/>
                <w:b/>
                <w:bCs/>
                <w:color w:val="auto"/>
                <w:kern w:val="0"/>
                <w:sz w:val="24"/>
                <w:szCs w:val="20"/>
                <w:highlight w:val="none"/>
              </w:rPr>
            </w:pPr>
          </w:p>
          <w:p w14:paraId="619BEDB8">
            <w:pPr>
              <w:spacing w:line="480" w:lineRule="exact"/>
              <w:ind w:firstLine="482" w:firstLineChars="200"/>
              <w:rPr>
                <w:rFonts w:ascii="Times New Roman" w:hAnsi="Times New Roman" w:eastAsiaTheme="minorEastAsia"/>
                <w:b/>
                <w:bCs/>
                <w:color w:val="auto"/>
                <w:kern w:val="0"/>
                <w:sz w:val="24"/>
                <w:szCs w:val="20"/>
                <w:highlight w:val="none"/>
              </w:rPr>
            </w:pPr>
          </w:p>
          <w:p w14:paraId="315F52CF">
            <w:pPr>
              <w:keepNext w:val="0"/>
              <w:keepLines w:val="0"/>
              <w:pageBreakBefore w:val="0"/>
              <w:widowControl w:val="0"/>
              <w:kinsoku/>
              <w:wordWrap/>
              <w:overflowPunct/>
              <w:topLinePunct w:val="0"/>
              <w:bidi w:val="0"/>
              <w:snapToGrid/>
              <w:spacing w:line="460" w:lineRule="exact"/>
              <w:ind w:firstLine="482" w:firstLineChars="200"/>
              <w:textAlignment w:val="auto"/>
              <w:rPr>
                <w:rFonts w:ascii="Times New Roman" w:hAnsi="Times New Roman" w:eastAsiaTheme="minorEastAsia"/>
                <w:b/>
                <w:bCs/>
                <w:color w:val="auto"/>
                <w:kern w:val="0"/>
                <w:sz w:val="24"/>
                <w:szCs w:val="20"/>
                <w:highlight w:val="none"/>
              </w:rPr>
            </w:pPr>
            <w:r>
              <w:rPr>
                <w:rFonts w:ascii="Times New Roman" w:hAnsi="Times New Roman" w:eastAsiaTheme="minorEastAsia"/>
                <w:b/>
                <w:bCs/>
                <w:color w:val="auto"/>
                <w:kern w:val="0"/>
                <w:sz w:val="24"/>
                <w:szCs w:val="20"/>
                <w:highlight w:val="none"/>
              </w:rPr>
              <w:t>工艺流程简述：</w:t>
            </w:r>
          </w:p>
          <w:p w14:paraId="0F04D210">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（1）收集</w:t>
            </w:r>
          </w:p>
          <w:p w14:paraId="058FD3BC">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本项目主要针对河北省内各个行业产生的</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。企业不承担各类危废的原始收集工作。</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产生单位</w:t>
            </w:r>
            <w:r>
              <w:rPr>
                <w:rFonts w:hint="eastAsia" w:ascii="Times New Roman" w:hAnsi="Times New Roman" w:eastAsiaTheme="minorEastAsia"/>
                <w:color w:val="auto"/>
                <w:kern w:val="0"/>
                <w:sz w:val="24"/>
                <w:szCs w:val="24"/>
                <w:highlight w:val="none"/>
                <w:lang w:val="en-US" w:eastAsia="zh-CN"/>
              </w:rPr>
              <w:t>或收集网点</w:t>
            </w:r>
            <w:r>
              <w:rPr>
                <w:rFonts w:ascii="Times New Roman" w:hAnsi="Times New Roman" w:eastAsiaTheme="minorEastAsia"/>
                <w:color w:val="auto"/>
                <w:kern w:val="0"/>
                <w:sz w:val="24"/>
                <w:szCs w:val="24"/>
                <w:highlight w:val="none"/>
              </w:rPr>
              <w:t>自行分类收集，使用贴有标签的包装容器，收集后储存于各生产单位的危废暂存间内。</w:t>
            </w:r>
          </w:p>
          <w:p w14:paraId="0B7CC493">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（2）评估、检查</w:t>
            </w:r>
          </w:p>
          <w:p w14:paraId="3280FED8">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公司到达</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产生单位</w:t>
            </w:r>
            <w:r>
              <w:rPr>
                <w:rFonts w:hint="eastAsia" w:ascii="Times New Roman" w:hAnsi="Times New Roman" w:eastAsiaTheme="minorEastAsia"/>
                <w:color w:val="auto"/>
                <w:kern w:val="0"/>
                <w:sz w:val="24"/>
                <w:szCs w:val="24"/>
                <w:highlight w:val="none"/>
                <w:lang w:val="en-US" w:eastAsia="zh-CN"/>
              </w:rPr>
              <w:t>或收集网点</w:t>
            </w:r>
            <w:r>
              <w:rPr>
                <w:rFonts w:ascii="Times New Roman" w:hAnsi="Times New Roman" w:eastAsiaTheme="minorEastAsia"/>
                <w:color w:val="auto"/>
                <w:kern w:val="0"/>
                <w:sz w:val="24"/>
                <w:szCs w:val="24"/>
                <w:highlight w:val="none"/>
              </w:rPr>
              <w:t>后，检查危险废物是否按规范保存，核实危险废物转移联单与预定接收的危险废物一致。确保同所签署协议接收的危险废物一致，且对盛装容器的外包装进行检查，是否包装规范，有无破损情况。符合要求的予以称重准备运输，不符合收集、贮存要求的，不予接受。</w:t>
            </w:r>
          </w:p>
          <w:p w14:paraId="342D5128">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将符合要求未破损的密封式免维护</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（第I类</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）放置于耐腐蚀PV托盘上；</w:t>
            </w:r>
            <w:r>
              <w:rPr>
                <w:rFonts w:hint="eastAsia" w:ascii="Times New Roman" w:hAnsi="Times New Roman" w:eastAsiaTheme="minorEastAsia"/>
                <w:color w:val="auto"/>
                <w:kern w:val="0"/>
                <w:sz w:val="24"/>
                <w:szCs w:val="24"/>
                <w:highlight w:val="none"/>
                <w:lang w:val="en-US" w:eastAsia="zh-CN"/>
              </w:rPr>
              <w:t>拒绝接受</w:t>
            </w:r>
            <w:r>
              <w:rPr>
                <w:rFonts w:ascii="Times New Roman" w:hAnsi="Times New Roman" w:eastAsiaTheme="minorEastAsia"/>
                <w:color w:val="auto"/>
                <w:kern w:val="0"/>
                <w:sz w:val="24"/>
                <w:szCs w:val="24"/>
                <w:highlight w:val="none"/>
              </w:rPr>
              <w:t>开口式</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和破损的密封式免维护</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（第Ⅱ类</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w:t>
            </w:r>
            <w:r>
              <w:rPr>
                <w:rFonts w:hint="eastAsia" w:ascii="Times New Roman" w:hAnsi="Times New Roman" w:eastAsiaTheme="minorEastAsia"/>
                <w:color w:val="auto"/>
                <w:kern w:val="0"/>
                <w:sz w:val="24"/>
                <w:szCs w:val="24"/>
                <w:highlight w:val="none"/>
                <w:lang w:val="en-US" w:eastAsia="zh-CN"/>
              </w:rPr>
              <w:t>及不符合收集、贮存要求的电池。</w:t>
            </w:r>
            <w:r>
              <w:rPr>
                <w:rFonts w:ascii="Times New Roman" w:hAnsi="Times New Roman" w:eastAsiaTheme="minorEastAsia"/>
                <w:color w:val="auto"/>
                <w:kern w:val="0"/>
                <w:sz w:val="24"/>
                <w:szCs w:val="24"/>
                <w:highlight w:val="none"/>
              </w:rPr>
              <w:t>外面粘贴符合GB</w:t>
            </w:r>
            <w:r>
              <w:rPr>
                <w:rFonts w:hint="eastAsia" w:ascii="Times New Roman" w:hAnsi="Times New Roman" w:eastAsiaTheme="minorEastAsia"/>
                <w:color w:val="auto"/>
                <w:kern w:val="0"/>
                <w:sz w:val="24"/>
                <w:szCs w:val="24"/>
                <w:highlight w:val="none"/>
                <w:lang w:val="en-US" w:eastAsia="zh-CN"/>
              </w:rPr>
              <w:t xml:space="preserve"> </w:t>
            </w:r>
            <w:r>
              <w:rPr>
                <w:rFonts w:ascii="Times New Roman" w:hAnsi="Times New Roman" w:eastAsiaTheme="minorEastAsia"/>
                <w:color w:val="auto"/>
                <w:kern w:val="0"/>
                <w:sz w:val="24"/>
                <w:szCs w:val="24"/>
                <w:highlight w:val="none"/>
              </w:rPr>
              <w:t>18597中附录A所要求的危险废物标签。</w:t>
            </w:r>
          </w:p>
          <w:p w14:paraId="40173E6B">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（3）运输</w:t>
            </w:r>
          </w:p>
          <w:p w14:paraId="6B89C484">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厂外采用委托专用车辆运输，运输车辆设置防淋</w:t>
            </w:r>
            <w:r>
              <w:rPr>
                <w:rFonts w:hint="eastAsia" w:ascii="Times New Roman" w:hAnsi="Times New Roman" w:eastAsiaTheme="minorEastAsia"/>
                <w:color w:val="auto"/>
                <w:kern w:val="0"/>
                <w:sz w:val="24"/>
                <w:szCs w:val="24"/>
                <w:highlight w:val="none"/>
                <w:lang w:val="en-US" w:eastAsia="zh-CN"/>
              </w:rPr>
              <w:t>苫布</w:t>
            </w:r>
            <w:r>
              <w:rPr>
                <w:rFonts w:ascii="Times New Roman" w:hAnsi="Times New Roman" w:eastAsiaTheme="minorEastAsia"/>
                <w:color w:val="auto"/>
                <w:kern w:val="0"/>
                <w:sz w:val="24"/>
                <w:szCs w:val="24"/>
                <w:highlight w:val="none"/>
              </w:rPr>
              <w:t>，车辆上</w:t>
            </w:r>
            <w:r>
              <w:rPr>
                <w:rFonts w:hint="eastAsia" w:ascii="Times New Roman" w:hAnsi="Times New Roman" w:eastAsiaTheme="minorEastAsia"/>
                <w:color w:val="auto"/>
                <w:kern w:val="0"/>
                <w:sz w:val="24"/>
                <w:szCs w:val="24"/>
                <w:highlight w:val="none"/>
                <w:lang w:val="en-US" w:eastAsia="zh-CN"/>
              </w:rPr>
              <w:t>耐腐蚀的</w:t>
            </w:r>
            <w:r>
              <w:rPr>
                <w:rFonts w:ascii="Times New Roman" w:hAnsi="Times New Roman" w:eastAsiaTheme="minorEastAsia"/>
                <w:color w:val="auto"/>
                <w:kern w:val="0"/>
                <w:sz w:val="24"/>
                <w:szCs w:val="24"/>
                <w:highlight w:val="none"/>
              </w:rPr>
              <w:t>托盘、塑料箱。运输车辆具有危险货物运输资质和对危险废物包装发生破裂、泄漏或其他事故进行处理的能力。</w:t>
            </w:r>
          </w:p>
          <w:p w14:paraId="53C37C4D">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根据当天收集量、厂区内暂存量，安排转运车辆数量。并根据《危险废物转移管理办法》的规定，办理危险废物转移联单手续。</w:t>
            </w:r>
          </w:p>
          <w:p w14:paraId="39D91E80">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（4）称重、卸车</w:t>
            </w:r>
          </w:p>
          <w:p w14:paraId="0894BB5F">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运到本项目车间门口，过磅称重后由叉车将运输车辆上所有</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卸在车间内装卸区，运输车离开车间，关闭车间入口。</w:t>
            </w:r>
          </w:p>
          <w:p w14:paraId="2E91EF91">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hint="default" w:ascii="Times New Roman" w:hAnsi="Times New Roman" w:eastAsiaTheme="minorEastAsia"/>
                <w:color w:val="auto"/>
                <w:kern w:val="0"/>
                <w:sz w:val="24"/>
                <w:szCs w:val="24"/>
                <w:highlight w:val="none"/>
                <w:lang w:val="en-US" w:eastAsia="zh-CN"/>
              </w:rPr>
            </w:pPr>
            <w:r>
              <w:rPr>
                <w:rFonts w:ascii="Times New Roman" w:hAnsi="Times New Roman" w:eastAsiaTheme="minorEastAsia"/>
                <w:color w:val="auto"/>
                <w:kern w:val="0"/>
                <w:sz w:val="24"/>
                <w:szCs w:val="24"/>
                <w:highlight w:val="none"/>
              </w:rPr>
              <w:t>（5）</w:t>
            </w:r>
            <w:r>
              <w:rPr>
                <w:rFonts w:hint="eastAsia" w:ascii="Times New Roman" w:hAnsi="Times New Roman" w:eastAsiaTheme="minorEastAsia"/>
                <w:color w:val="auto"/>
                <w:kern w:val="0"/>
                <w:sz w:val="24"/>
                <w:szCs w:val="24"/>
                <w:highlight w:val="none"/>
                <w:lang w:val="en-US" w:eastAsia="zh-CN"/>
              </w:rPr>
              <w:t>分拣、分类</w:t>
            </w:r>
          </w:p>
          <w:p w14:paraId="67C1A91D">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装卸工人在装卸区对</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进行检查</w:t>
            </w:r>
            <w:r>
              <w:rPr>
                <w:rFonts w:hint="eastAsia" w:ascii="Times New Roman" w:hAnsi="Times New Roman" w:eastAsiaTheme="minorEastAsia"/>
                <w:color w:val="auto"/>
                <w:kern w:val="0"/>
                <w:sz w:val="24"/>
                <w:szCs w:val="24"/>
                <w:highlight w:val="none"/>
                <w:lang w:eastAsia="zh-CN"/>
              </w:rPr>
              <w:t>，</w:t>
            </w:r>
            <w:r>
              <w:rPr>
                <w:rFonts w:hint="eastAsia" w:ascii="Times New Roman" w:hAnsi="Times New Roman" w:eastAsiaTheme="minorEastAsia"/>
                <w:color w:val="auto"/>
                <w:kern w:val="0"/>
                <w:sz w:val="24"/>
                <w:szCs w:val="24"/>
                <w:highlight w:val="none"/>
                <w:lang w:val="en-US" w:eastAsia="zh-CN"/>
              </w:rPr>
              <w:t>并分拣、分类</w:t>
            </w:r>
            <w:r>
              <w:rPr>
                <w:rFonts w:ascii="Times New Roman" w:hAnsi="Times New Roman" w:eastAsiaTheme="minorEastAsia"/>
                <w:color w:val="auto"/>
                <w:kern w:val="0"/>
                <w:sz w:val="24"/>
                <w:szCs w:val="24"/>
                <w:highlight w:val="none"/>
              </w:rPr>
              <w:t>。未破损的密封式免维护</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（第I类</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w:t>
            </w:r>
            <w:r>
              <w:rPr>
                <w:rFonts w:hint="eastAsia" w:ascii="Times New Roman" w:hAnsi="Times New Roman" w:eastAsiaTheme="minorEastAsia"/>
                <w:color w:val="auto"/>
                <w:kern w:val="0"/>
                <w:sz w:val="24"/>
                <w:szCs w:val="24"/>
                <w:highlight w:val="none"/>
                <w:lang w:val="en-US" w:eastAsia="zh-CN"/>
              </w:rPr>
              <w:t>用塑料膜进行</w:t>
            </w:r>
            <w:r>
              <w:rPr>
                <w:rFonts w:ascii="Times New Roman" w:hAnsi="Times New Roman" w:eastAsiaTheme="minorEastAsia"/>
                <w:color w:val="auto"/>
                <w:kern w:val="0"/>
                <w:sz w:val="24"/>
                <w:szCs w:val="24"/>
                <w:highlight w:val="none"/>
              </w:rPr>
              <w:t>包裹，将其放入</w:t>
            </w:r>
            <w:r>
              <w:rPr>
                <w:rFonts w:hint="eastAsia" w:ascii="Times New Roman" w:hAnsi="Times New Roman" w:eastAsiaTheme="minorEastAsia"/>
                <w:color w:val="auto"/>
                <w:kern w:val="0"/>
                <w:sz w:val="24"/>
                <w:szCs w:val="24"/>
                <w:highlight w:val="none"/>
                <w:lang w:val="en-US" w:eastAsia="zh-CN"/>
              </w:rPr>
              <w:t>耐腐蚀PV</w:t>
            </w:r>
            <w:r>
              <w:rPr>
                <w:rFonts w:ascii="Times New Roman" w:hAnsi="Times New Roman" w:eastAsiaTheme="minorEastAsia"/>
                <w:color w:val="auto"/>
                <w:kern w:val="0"/>
                <w:sz w:val="24"/>
                <w:szCs w:val="24"/>
                <w:highlight w:val="none"/>
              </w:rPr>
              <w:t>托盘中，运至</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完</w:t>
            </w:r>
            <w:r>
              <w:rPr>
                <w:rFonts w:hint="eastAsia" w:ascii="Times New Roman" w:hAnsi="Times New Roman" w:eastAsiaTheme="minorEastAsia"/>
                <w:color w:val="auto"/>
                <w:kern w:val="0"/>
                <w:sz w:val="24"/>
                <w:szCs w:val="24"/>
                <w:highlight w:val="none"/>
                <w:lang w:val="en-US" w:eastAsia="zh-CN"/>
              </w:rPr>
              <w:t>整</w:t>
            </w:r>
            <w:r>
              <w:rPr>
                <w:rFonts w:ascii="Times New Roman" w:hAnsi="Times New Roman" w:eastAsiaTheme="minorEastAsia"/>
                <w:color w:val="auto"/>
                <w:kern w:val="0"/>
                <w:sz w:val="24"/>
                <w:szCs w:val="24"/>
                <w:highlight w:val="none"/>
              </w:rPr>
              <w:t>贮存区存放。特殊情况，密封式免维护</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（第I类</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）在运</w:t>
            </w:r>
            <w:r>
              <w:rPr>
                <w:rFonts w:hint="eastAsia" w:ascii="Times New Roman" w:hAnsi="Times New Roman" w:eastAsiaTheme="minorEastAsia"/>
                <w:color w:val="auto"/>
                <w:kern w:val="0"/>
                <w:sz w:val="24"/>
                <w:szCs w:val="24"/>
                <w:highlight w:val="none"/>
              </w:rPr>
              <w:t>输或装卸过程中出现破损，则需要将其放入耐腐蚀</w:t>
            </w:r>
            <w:r>
              <w:rPr>
                <w:rFonts w:ascii="Times New Roman" w:hAnsi="Times New Roman" w:eastAsiaTheme="minorEastAsia"/>
                <w:color w:val="auto"/>
                <w:kern w:val="0"/>
                <w:sz w:val="24"/>
                <w:szCs w:val="24"/>
                <w:highlight w:val="none"/>
              </w:rPr>
              <w:t>PV</w:t>
            </w:r>
            <w:r>
              <w:rPr>
                <w:rFonts w:hint="eastAsia" w:ascii="Times New Roman" w:hAnsi="Times New Roman" w:eastAsiaTheme="minorEastAsia"/>
                <w:color w:val="auto"/>
                <w:kern w:val="0"/>
                <w:sz w:val="24"/>
                <w:szCs w:val="24"/>
                <w:highlight w:val="none"/>
              </w:rPr>
              <w:t>塑料箱中，运至</w:t>
            </w:r>
            <w:r>
              <w:rPr>
                <w:rFonts w:hint="eastAsia" w:ascii="Times New Roman" w:hAnsi="Times New Roman" w:eastAsiaTheme="minorEastAsia"/>
                <w:color w:val="auto"/>
                <w:kern w:val="0"/>
                <w:sz w:val="24"/>
                <w:szCs w:val="24"/>
                <w:highlight w:val="none"/>
                <w:lang w:eastAsia="zh-CN"/>
              </w:rPr>
              <w:t>废旧铅酸蓄电池</w:t>
            </w:r>
            <w:r>
              <w:rPr>
                <w:rFonts w:hint="eastAsia" w:ascii="Times New Roman" w:hAnsi="Times New Roman" w:eastAsiaTheme="minorEastAsia"/>
                <w:color w:val="auto"/>
                <w:kern w:val="0"/>
                <w:sz w:val="24"/>
                <w:szCs w:val="24"/>
                <w:highlight w:val="none"/>
              </w:rPr>
              <w:t>破损贮存区存放。</w:t>
            </w:r>
          </w:p>
          <w:p w14:paraId="5860F560">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hint="eastAsia" w:ascii="Times New Roman" w:hAnsi="Times New Roman" w:eastAsiaTheme="minorEastAsia"/>
                <w:color w:val="auto"/>
                <w:kern w:val="0"/>
                <w:sz w:val="24"/>
                <w:szCs w:val="24"/>
                <w:highlight w:val="none"/>
              </w:rPr>
              <w:t>（</w:t>
            </w:r>
            <w:r>
              <w:rPr>
                <w:rFonts w:ascii="Times New Roman" w:hAnsi="Times New Roman" w:eastAsiaTheme="minorEastAsia"/>
                <w:color w:val="auto"/>
                <w:kern w:val="0"/>
                <w:sz w:val="24"/>
                <w:szCs w:val="24"/>
                <w:highlight w:val="none"/>
              </w:rPr>
              <w:t>6</w:t>
            </w:r>
            <w:r>
              <w:rPr>
                <w:rFonts w:hint="eastAsia" w:ascii="Times New Roman" w:hAnsi="Times New Roman" w:eastAsiaTheme="minorEastAsia"/>
                <w:color w:val="auto"/>
                <w:kern w:val="0"/>
                <w:sz w:val="24"/>
                <w:szCs w:val="24"/>
                <w:highlight w:val="none"/>
              </w:rPr>
              <w:t>）暂存</w:t>
            </w:r>
          </w:p>
          <w:p w14:paraId="007EC4B4">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hint="eastAsia" w:ascii="Times New Roman" w:hAnsi="Times New Roman" w:eastAsiaTheme="minorEastAsia"/>
                <w:color w:val="auto"/>
                <w:kern w:val="0"/>
                <w:sz w:val="24"/>
                <w:szCs w:val="24"/>
                <w:highlight w:val="none"/>
              </w:rPr>
            </w:pPr>
            <w:r>
              <w:rPr>
                <w:rFonts w:hint="eastAsia" w:ascii="Times New Roman" w:hAnsi="Times New Roman" w:eastAsiaTheme="minorEastAsia"/>
                <w:color w:val="auto"/>
                <w:kern w:val="0"/>
                <w:sz w:val="24"/>
                <w:szCs w:val="24"/>
                <w:highlight w:val="none"/>
                <w:lang w:eastAsia="zh-CN"/>
              </w:rPr>
              <w:t>废旧铅酸蓄电池</w:t>
            </w:r>
            <w:r>
              <w:rPr>
                <w:rFonts w:hint="eastAsia" w:ascii="Times New Roman" w:hAnsi="Times New Roman" w:eastAsiaTheme="minorEastAsia"/>
                <w:color w:val="auto"/>
                <w:kern w:val="0"/>
                <w:sz w:val="24"/>
                <w:szCs w:val="24"/>
                <w:highlight w:val="none"/>
              </w:rPr>
              <w:t>暂存过程中，</w:t>
            </w:r>
            <w:r>
              <w:rPr>
                <w:rFonts w:hint="eastAsia" w:ascii="Times New Roman" w:hAnsi="Times New Roman" w:eastAsiaTheme="minorEastAsia"/>
                <w:color w:val="auto"/>
                <w:kern w:val="0"/>
                <w:sz w:val="24"/>
                <w:szCs w:val="24"/>
                <w:highlight w:val="none"/>
                <w:lang w:val="en-US" w:eastAsia="zh-CN"/>
              </w:rPr>
              <w:t>如破损</w:t>
            </w:r>
            <w:r>
              <w:rPr>
                <w:rFonts w:hint="eastAsia" w:ascii="Times New Roman" w:hAnsi="Times New Roman" w:eastAsiaTheme="minorEastAsia"/>
                <w:color w:val="auto"/>
                <w:kern w:val="0"/>
                <w:sz w:val="24"/>
                <w:szCs w:val="24"/>
                <w:highlight w:val="none"/>
                <w:lang w:eastAsia="zh-CN"/>
              </w:rPr>
              <w:t>废旧铅酸蓄电池</w:t>
            </w:r>
            <w:r>
              <w:rPr>
                <w:rFonts w:hint="eastAsia" w:ascii="Times New Roman" w:hAnsi="Times New Roman" w:eastAsiaTheme="minorEastAsia"/>
                <w:color w:val="auto"/>
                <w:kern w:val="0"/>
                <w:sz w:val="24"/>
                <w:szCs w:val="24"/>
                <w:highlight w:val="none"/>
              </w:rPr>
              <w:t>（第Ⅱ类</w:t>
            </w:r>
            <w:r>
              <w:rPr>
                <w:rFonts w:hint="eastAsia" w:ascii="Times New Roman" w:hAnsi="Times New Roman" w:eastAsiaTheme="minorEastAsia"/>
                <w:color w:val="auto"/>
                <w:kern w:val="0"/>
                <w:sz w:val="24"/>
                <w:szCs w:val="24"/>
                <w:highlight w:val="none"/>
                <w:lang w:eastAsia="zh-CN"/>
              </w:rPr>
              <w:t>废旧铅酸蓄电池</w:t>
            </w:r>
            <w:r>
              <w:rPr>
                <w:rFonts w:hint="eastAsia" w:ascii="Times New Roman" w:hAnsi="Times New Roman" w:eastAsiaTheme="minorEastAsia"/>
                <w:color w:val="auto"/>
                <w:kern w:val="0"/>
                <w:sz w:val="24"/>
                <w:szCs w:val="24"/>
                <w:highlight w:val="none"/>
              </w:rPr>
              <w:t>）的废电解液泄漏至耐腐蚀</w:t>
            </w:r>
            <w:r>
              <w:rPr>
                <w:rFonts w:ascii="Times New Roman" w:hAnsi="Times New Roman" w:eastAsiaTheme="minorEastAsia"/>
                <w:color w:val="auto"/>
                <w:kern w:val="0"/>
                <w:sz w:val="24"/>
                <w:szCs w:val="24"/>
                <w:highlight w:val="none"/>
              </w:rPr>
              <w:t>PV</w:t>
            </w:r>
            <w:r>
              <w:rPr>
                <w:rFonts w:hint="eastAsia" w:ascii="Times New Roman" w:hAnsi="Times New Roman" w:eastAsiaTheme="minorEastAsia"/>
                <w:color w:val="auto"/>
                <w:kern w:val="0"/>
                <w:sz w:val="24"/>
                <w:szCs w:val="24"/>
                <w:highlight w:val="none"/>
              </w:rPr>
              <w:t>塑料箱中，需将废电解液集中收集到收集池中，如耐腐蚀</w:t>
            </w:r>
            <w:r>
              <w:rPr>
                <w:rFonts w:ascii="Times New Roman" w:hAnsi="Times New Roman" w:eastAsiaTheme="minorEastAsia"/>
                <w:color w:val="auto"/>
                <w:kern w:val="0"/>
                <w:sz w:val="24"/>
                <w:szCs w:val="24"/>
                <w:highlight w:val="none"/>
              </w:rPr>
              <w:t>PV</w:t>
            </w:r>
            <w:r>
              <w:rPr>
                <w:rFonts w:hint="eastAsia" w:ascii="Times New Roman" w:hAnsi="Times New Roman" w:eastAsiaTheme="minorEastAsia"/>
                <w:color w:val="auto"/>
                <w:kern w:val="0"/>
                <w:sz w:val="24"/>
                <w:szCs w:val="24"/>
                <w:highlight w:val="none"/>
              </w:rPr>
              <w:t>塑料箱发生破裂，电池中电解液流出，经废液导流槽至收集池中。为了保持仓库内地面清洁，定期采用拖把和抹布清除地表面残留物，</w:t>
            </w:r>
            <w:r>
              <w:rPr>
                <w:rFonts w:hint="eastAsia" w:ascii="Times New Roman" w:hAnsi="Times New Roman" w:eastAsiaTheme="minorEastAsia"/>
                <w:color w:val="auto"/>
                <w:kern w:val="0"/>
                <w:sz w:val="24"/>
                <w:szCs w:val="24"/>
                <w:highlight w:val="none"/>
                <w:lang w:val="en-US" w:eastAsia="zh-CN"/>
              </w:rPr>
              <w:t>需定期更换，</w:t>
            </w:r>
            <w:r>
              <w:rPr>
                <w:rFonts w:hint="eastAsia" w:ascii="Times New Roman" w:hAnsi="Times New Roman" w:eastAsiaTheme="minorEastAsia"/>
                <w:color w:val="auto"/>
                <w:kern w:val="0"/>
                <w:sz w:val="24"/>
                <w:szCs w:val="24"/>
                <w:highlight w:val="none"/>
              </w:rPr>
              <w:t>产生废拖把</w:t>
            </w:r>
            <w:r>
              <w:rPr>
                <w:rFonts w:hint="eastAsia" w:ascii="Times New Roman" w:hAnsi="Times New Roman" w:eastAsiaTheme="minorEastAsia"/>
                <w:color w:val="auto"/>
                <w:kern w:val="0"/>
                <w:sz w:val="24"/>
                <w:szCs w:val="24"/>
                <w:highlight w:val="none"/>
                <w:lang w:eastAsia="zh-CN"/>
              </w:rPr>
              <w:t>、</w:t>
            </w:r>
            <w:r>
              <w:rPr>
                <w:rFonts w:hint="eastAsia" w:ascii="Times New Roman" w:hAnsi="Times New Roman" w:eastAsiaTheme="minorEastAsia"/>
                <w:color w:val="auto"/>
                <w:kern w:val="0"/>
                <w:sz w:val="24"/>
                <w:szCs w:val="24"/>
                <w:highlight w:val="none"/>
                <w:lang w:val="en-US" w:eastAsia="zh-CN"/>
              </w:rPr>
              <w:t>废抹布；贮存过程中沾染废电解液的箱子破损需定期更换，产生破损的箱子；</w:t>
            </w:r>
            <w:r>
              <w:rPr>
                <w:rFonts w:hint="eastAsia" w:ascii="Times New Roman" w:hAnsi="Times New Roman" w:eastAsiaTheme="minorEastAsia"/>
                <w:color w:val="auto"/>
                <w:kern w:val="0"/>
                <w:sz w:val="24"/>
                <w:szCs w:val="24"/>
                <w:highlight w:val="none"/>
              </w:rPr>
              <w:t>职工进行铅蓄电池装卸车时需穿防护品，需定期更换</w:t>
            </w:r>
            <w:r>
              <w:rPr>
                <w:rFonts w:hint="eastAsia" w:ascii="Times New Roman" w:hAnsi="Times New Roman" w:eastAsiaTheme="minorEastAsia"/>
                <w:color w:val="auto"/>
                <w:kern w:val="0"/>
                <w:sz w:val="24"/>
                <w:szCs w:val="24"/>
                <w:highlight w:val="none"/>
                <w:lang w:eastAsia="zh-CN"/>
              </w:rPr>
              <w:t>，</w:t>
            </w:r>
            <w:r>
              <w:rPr>
                <w:rFonts w:hint="eastAsia" w:ascii="Times New Roman" w:hAnsi="Times New Roman" w:eastAsiaTheme="minorEastAsia"/>
                <w:color w:val="auto"/>
                <w:kern w:val="0"/>
                <w:sz w:val="24"/>
                <w:szCs w:val="24"/>
                <w:highlight w:val="none"/>
                <w:lang w:val="en-US" w:eastAsia="zh-CN"/>
              </w:rPr>
              <w:t>产生废劳保用品</w:t>
            </w:r>
            <w:r>
              <w:rPr>
                <w:rFonts w:hint="eastAsia" w:ascii="Times New Roman" w:hAnsi="Times New Roman" w:eastAsiaTheme="minorEastAsia"/>
                <w:color w:val="auto"/>
                <w:kern w:val="0"/>
                <w:sz w:val="24"/>
                <w:szCs w:val="24"/>
                <w:highlight w:val="none"/>
              </w:rPr>
              <w:t>。</w:t>
            </w:r>
          </w:p>
          <w:p w14:paraId="34EC94C2">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hint="eastAsia" w:ascii="Times New Roman" w:hAnsi="Times New Roman" w:eastAsiaTheme="minorEastAsia"/>
                <w:color w:val="auto"/>
                <w:kern w:val="0"/>
                <w:sz w:val="24"/>
                <w:szCs w:val="24"/>
                <w:highlight w:val="none"/>
              </w:rPr>
            </w:pPr>
            <w:r>
              <w:rPr>
                <w:rFonts w:hint="eastAsia" w:ascii="Times New Roman" w:hAnsi="Times New Roman" w:eastAsiaTheme="minorEastAsia"/>
                <w:color w:val="auto"/>
                <w:kern w:val="0"/>
                <w:sz w:val="24"/>
                <w:szCs w:val="24"/>
                <w:highlight w:val="none"/>
                <w:lang w:val="en-US" w:eastAsia="zh-CN"/>
              </w:rPr>
              <w:t>本项目的废旧铅酸蓄电池</w:t>
            </w:r>
            <w:r>
              <w:rPr>
                <w:rFonts w:hint="default" w:ascii="Times New Roman" w:hAnsi="Times New Roman" w:eastAsiaTheme="minorEastAsia"/>
                <w:color w:val="auto"/>
                <w:kern w:val="0"/>
                <w:sz w:val="24"/>
                <w:szCs w:val="24"/>
                <w:highlight w:val="none"/>
              </w:rPr>
              <w:t>中Pb、PbO</w:t>
            </w:r>
            <w:r>
              <w:rPr>
                <w:rFonts w:hint="default" w:ascii="Times New Roman" w:hAnsi="Times New Roman" w:eastAsiaTheme="minorEastAsia"/>
                <w:color w:val="auto"/>
                <w:kern w:val="0"/>
                <w:sz w:val="24"/>
                <w:szCs w:val="24"/>
                <w:highlight w:val="none"/>
                <w:vertAlign w:val="subscript"/>
              </w:rPr>
              <w:t>2</w:t>
            </w:r>
            <w:r>
              <w:rPr>
                <w:rFonts w:hint="eastAsia" w:ascii="Times New Roman" w:hAnsi="Times New Roman" w:eastAsiaTheme="minorEastAsia"/>
                <w:color w:val="auto"/>
                <w:kern w:val="0"/>
                <w:sz w:val="24"/>
                <w:szCs w:val="24"/>
                <w:highlight w:val="none"/>
                <w:vertAlign w:val="baseline"/>
                <w:lang w:val="en-US" w:eastAsia="zh-CN"/>
              </w:rPr>
              <w:t>以电极形态存在，</w:t>
            </w:r>
            <w:r>
              <w:rPr>
                <w:rFonts w:hint="default" w:ascii="Times New Roman" w:hAnsi="Times New Roman" w:eastAsiaTheme="minorEastAsia"/>
                <w:color w:val="auto"/>
                <w:kern w:val="0"/>
                <w:sz w:val="24"/>
                <w:szCs w:val="24"/>
                <w:highlight w:val="none"/>
              </w:rPr>
              <w:t>PbSO</w:t>
            </w:r>
            <w:r>
              <w:rPr>
                <w:rFonts w:hint="default" w:ascii="Times New Roman" w:hAnsi="Times New Roman" w:eastAsiaTheme="minorEastAsia"/>
                <w:color w:val="auto"/>
                <w:kern w:val="0"/>
                <w:sz w:val="24"/>
                <w:szCs w:val="24"/>
                <w:highlight w:val="none"/>
                <w:vertAlign w:val="subscript"/>
              </w:rPr>
              <w:t>4</w:t>
            </w:r>
            <w:r>
              <w:rPr>
                <w:rFonts w:hint="default" w:ascii="Times New Roman" w:hAnsi="Times New Roman" w:eastAsiaTheme="minorEastAsia"/>
                <w:color w:val="auto"/>
                <w:kern w:val="0"/>
                <w:sz w:val="24"/>
                <w:szCs w:val="24"/>
                <w:highlight w:val="none"/>
              </w:rPr>
              <w:t>、H</w:t>
            </w:r>
            <w:r>
              <w:rPr>
                <w:rFonts w:hint="default" w:ascii="Times New Roman" w:hAnsi="Times New Roman" w:eastAsiaTheme="minorEastAsia"/>
                <w:color w:val="auto"/>
                <w:kern w:val="0"/>
                <w:sz w:val="24"/>
                <w:szCs w:val="24"/>
                <w:highlight w:val="none"/>
                <w:vertAlign w:val="subscript"/>
              </w:rPr>
              <w:t>2</w:t>
            </w:r>
            <w:r>
              <w:rPr>
                <w:rFonts w:hint="default" w:ascii="Times New Roman" w:hAnsi="Times New Roman" w:eastAsiaTheme="minorEastAsia"/>
                <w:color w:val="auto"/>
                <w:kern w:val="0"/>
                <w:sz w:val="24"/>
                <w:szCs w:val="24"/>
                <w:highlight w:val="none"/>
              </w:rPr>
              <w:t>SO</w:t>
            </w:r>
            <w:r>
              <w:rPr>
                <w:rFonts w:hint="default" w:ascii="Times New Roman" w:hAnsi="Times New Roman" w:eastAsiaTheme="minorEastAsia"/>
                <w:color w:val="auto"/>
                <w:kern w:val="0"/>
                <w:sz w:val="24"/>
                <w:szCs w:val="24"/>
                <w:highlight w:val="none"/>
                <w:vertAlign w:val="subscript"/>
              </w:rPr>
              <w:t>4</w:t>
            </w:r>
            <w:r>
              <w:rPr>
                <w:rFonts w:hint="eastAsia" w:ascii="Times New Roman" w:hAnsi="Times New Roman" w:eastAsiaTheme="minorEastAsia"/>
                <w:color w:val="auto"/>
                <w:kern w:val="0"/>
                <w:sz w:val="24"/>
                <w:szCs w:val="24"/>
                <w:highlight w:val="none"/>
                <w:vertAlign w:val="baseline"/>
                <w:lang w:val="en-US" w:eastAsia="zh-CN"/>
              </w:rPr>
              <w:t>以电解液形态存在，电解液如发生泄露用抹布或拖把进行清理，过程中会挥发硫酸雾，不涉及铅尘挥发。</w:t>
            </w:r>
          </w:p>
          <w:p w14:paraId="01E592FE">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hint="eastAsia" w:ascii="Times New Roman" w:hAnsi="Times New Roman" w:eastAsiaTheme="minorEastAsia"/>
                <w:color w:val="auto"/>
                <w:kern w:val="0"/>
                <w:sz w:val="24"/>
                <w:szCs w:val="24"/>
                <w:highlight w:val="none"/>
              </w:rPr>
              <w:t>（</w:t>
            </w:r>
            <w:r>
              <w:rPr>
                <w:rFonts w:ascii="Times New Roman" w:hAnsi="Times New Roman" w:eastAsiaTheme="minorEastAsia"/>
                <w:color w:val="auto"/>
                <w:kern w:val="0"/>
                <w:sz w:val="24"/>
                <w:szCs w:val="24"/>
                <w:highlight w:val="none"/>
              </w:rPr>
              <w:t>7</w:t>
            </w:r>
            <w:r>
              <w:rPr>
                <w:rFonts w:hint="eastAsia" w:ascii="Times New Roman" w:hAnsi="Times New Roman" w:eastAsiaTheme="minorEastAsia"/>
                <w:color w:val="auto"/>
                <w:kern w:val="0"/>
                <w:sz w:val="24"/>
                <w:szCs w:val="24"/>
                <w:highlight w:val="none"/>
              </w:rPr>
              <w:t>）装车</w:t>
            </w:r>
          </w:p>
          <w:p w14:paraId="789174C7">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hint="eastAsia" w:ascii="Times New Roman" w:hAnsi="Times New Roman" w:eastAsiaTheme="minorEastAsia"/>
                <w:color w:val="auto"/>
                <w:kern w:val="0"/>
                <w:sz w:val="24"/>
                <w:szCs w:val="24"/>
                <w:highlight w:val="none"/>
              </w:rPr>
              <w:t>根据</w:t>
            </w:r>
            <w:r>
              <w:rPr>
                <w:rFonts w:hint="eastAsia" w:ascii="Times New Roman" w:hAnsi="Times New Roman" w:eastAsiaTheme="minorEastAsia"/>
                <w:color w:val="auto"/>
                <w:kern w:val="0"/>
                <w:sz w:val="24"/>
                <w:szCs w:val="24"/>
                <w:highlight w:val="none"/>
                <w:lang w:eastAsia="zh-CN"/>
              </w:rPr>
              <w:t>废旧铅酸蓄电池</w:t>
            </w:r>
            <w:r>
              <w:rPr>
                <w:rFonts w:hint="eastAsia" w:ascii="Times New Roman" w:hAnsi="Times New Roman" w:eastAsiaTheme="minorEastAsia"/>
                <w:color w:val="auto"/>
                <w:kern w:val="0"/>
                <w:sz w:val="24"/>
                <w:szCs w:val="24"/>
                <w:highlight w:val="none"/>
              </w:rPr>
              <w:t>存放区存放的</w:t>
            </w:r>
            <w:r>
              <w:rPr>
                <w:rFonts w:hint="eastAsia" w:ascii="Times New Roman" w:hAnsi="Times New Roman" w:eastAsiaTheme="minorEastAsia"/>
                <w:color w:val="auto"/>
                <w:kern w:val="0"/>
                <w:sz w:val="24"/>
                <w:szCs w:val="24"/>
                <w:highlight w:val="none"/>
                <w:lang w:eastAsia="zh-CN"/>
              </w:rPr>
              <w:t>废旧铅酸蓄电池</w:t>
            </w:r>
            <w:r>
              <w:rPr>
                <w:rFonts w:hint="eastAsia" w:ascii="Times New Roman" w:hAnsi="Times New Roman" w:eastAsiaTheme="minorEastAsia"/>
                <w:color w:val="auto"/>
                <w:kern w:val="0"/>
                <w:sz w:val="24"/>
                <w:szCs w:val="24"/>
                <w:highlight w:val="none"/>
              </w:rPr>
              <w:t>的量，安排转运车辆，由叉车装车。</w:t>
            </w:r>
          </w:p>
          <w:p w14:paraId="4BF461F0">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hint="default" w:ascii="Times New Roman" w:hAnsi="Times New Roman" w:eastAsiaTheme="minorEastAsia"/>
                <w:color w:val="auto"/>
                <w:kern w:val="0"/>
                <w:sz w:val="24"/>
                <w:szCs w:val="24"/>
                <w:highlight w:val="none"/>
                <w:lang w:val="en-US" w:eastAsia="zh-CN"/>
              </w:rPr>
            </w:pPr>
            <w:r>
              <w:rPr>
                <w:rFonts w:hint="eastAsia" w:ascii="Times New Roman" w:hAnsi="Times New Roman" w:eastAsiaTheme="minorEastAsia"/>
                <w:color w:val="auto"/>
                <w:kern w:val="0"/>
                <w:sz w:val="24"/>
                <w:szCs w:val="24"/>
                <w:highlight w:val="none"/>
              </w:rPr>
              <w:t>（</w:t>
            </w:r>
            <w:r>
              <w:rPr>
                <w:rFonts w:ascii="Times New Roman" w:hAnsi="Times New Roman" w:eastAsiaTheme="minorEastAsia"/>
                <w:color w:val="auto"/>
                <w:kern w:val="0"/>
                <w:sz w:val="24"/>
                <w:szCs w:val="24"/>
                <w:highlight w:val="none"/>
              </w:rPr>
              <w:t>8</w:t>
            </w:r>
            <w:r>
              <w:rPr>
                <w:rFonts w:hint="eastAsia" w:ascii="Times New Roman" w:hAnsi="Times New Roman" w:eastAsiaTheme="minorEastAsia"/>
                <w:color w:val="auto"/>
                <w:kern w:val="0"/>
                <w:sz w:val="24"/>
                <w:szCs w:val="24"/>
                <w:highlight w:val="none"/>
              </w:rPr>
              <w:t>）</w:t>
            </w:r>
            <w:r>
              <w:rPr>
                <w:rFonts w:hint="eastAsia" w:ascii="Times New Roman" w:hAnsi="Times New Roman" w:eastAsiaTheme="minorEastAsia"/>
                <w:color w:val="auto"/>
                <w:kern w:val="0"/>
                <w:sz w:val="24"/>
                <w:szCs w:val="24"/>
                <w:highlight w:val="none"/>
                <w:lang w:val="en-US" w:eastAsia="zh-CN"/>
              </w:rPr>
              <w:t>地磅称重</w:t>
            </w:r>
          </w:p>
          <w:p w14:paraId="68872AEC">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hint="eastAsia" w:ascii="Times New Roman" w:hAnsi="Times New Roman" w:eastAsiaTheme="minorEastAsia"/>
                <w:color w:val="auto"/>
                <w:kern w:val="0"/>
                <w:sz w:val="24"/>
                <w:szCs w:val="24"/>
                <w:highlight w:val="none"/>
              </w:rPr>
              <w:t>项目厂区内贮存的废铅酸蓄电池达到一定数量后，由具有危险废物运输资质的危险物运输专用车辆，将厂区贮存的废铅酸蓄电池转运出去至有危险废物处置资质的单位进行处置。</w:t>
            </w:r>
          </w:p>
          <w:p w14:paraId="42A0483F">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hint="eastAsia" w:ascii="Times New Roman" w:hAnsi="Times New Roman" w:eastAsiaTheme="minorEastAsia"/>
                <w:color w:val="auto"/>
                <w:kern w:val="0"/>
                <w:sz w:val="24"/>
                <w:szCs w:val="24"/>
                <w:highlight w:val="none"/>
              </w:rPr>
              <w:t>出库时公司安排专人做好称量和回收废旧蓄电池的出库记录工作。出库记录上注明废旧蓄电池类别、名称、组别、来源、完好程度、数量、重量、出库日期、存放位置及接收单位名称。</w:t>
            </w:r>
          </w:p>
          <w:p w14:paraId="57569FDA">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3</w:t>
            </w:r>
            <w:r>
              <w:rPr>
                <w:rFonts w:hint="eastAsia" w:ascii="Times New Roman" w:hAnsi="Times New Roman" w:eastAsiaTheme="minorEastAsia"/>
                <w:color w:val="auto"/>
                <w:kern w:val="0"/>
                <w:sz w:val="24"/>
                <w:szCs w:val="24"/>
                <w:highlight w:val="none"/>
              </w:rPr>
              <w:t>、危险废物收集</w:t>
            </w:r>
            <w:r>
              <w:rPr>
                <w:rFonts w:hint="eastAsia" w:ascii="Times New Roman" w:hAnsi="Times New Roman" w:eastAsiaTheme="minorEastAsia"/>
                <w:color w:val="auto"/>
                <w:kern w:val="0"/>
                <w:sz w:val="24"/>
                <w:szCs w:val="24"/>
                <w:highlight w:val="none"/>
                <w:lang w:eastAsia="zh-CN"/>
              </w:rPr>
              <w:t>、</w:t>
            </w:r>
            <w:r>
              <w:rPr>
                <w:rFonts w:hint="eastAsia" w:ascii="Times New Roman" w:hAnsi="Times New Roman" w:eastAsiaTheme="minorEastAsia"/>
                <w:color w:val="auto"/>
                <w:kern w:val="0"/>
                <w:sz w:val="24"/>
                <w:szCs w:val="24"/>
                <w:highlight w:val="none"/>
                <w:lang w:val="en-US" w:eastAsia="zh-CN"/>
              </w:rPr>
              <w:t>运输</w:t>
            </w:r>
            <w:r>
              <w:rPr>
                <w:rFonts w:hint="eastAsia" w:ascii="Times New Roman" w:hAnsi="Times New Roman" w:eastAsiaTheme="minorEastAsia"/>
                <w:color w:val="auto"/>
                <w:kern w:val="0"/>
                <w:sz w:val="24"/>
                <w:szCs w:val="24"/>
                <w:highlight w:val="none"/>
              </w:rPr>
              <w:t>要求</w:t>
            </w:r>
          </w:p>
          <w:p w14:paraId="30F6C6E7">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hint="eastAsia" w:ascii="Times New Roman" w:hAnsi="Times New Roman" w:eastAsiaTheme="minorEastAsia"/>
                <w:color w:val="auto"/>
                <w:kern w:val="0"/>
                <w:sz w:val="24"/>
                <w:szCs w:val="24"/>
                <w:highlight w:val="none"/>
              </w:rPr>
              <w:t>在危险废物产生源头应做好分类工作，按照危险特性对废物进行分类、包装并设置相应的标志及标签。如遇贮存危废容器破裂，应及时清理危废并更换贮存容器。与企业签定收运合同时，</w:t>
            </w:r>
            <w:r>
              <w:rPr>
                <w:rFonts w:hint="eastAsia" w:ascii="Times New Roman" w:hAnsi="Times New Roman" w:eastAsiaTheme="minorEastAsia"/>
                <w:color w:val="auto"/>
                <w:kern w:val="0"/>
                <w:sz w:val="24"/>
                <w:szCs w:val="24"/>
                <w:highlight w:val="none"/>
                <w:lang w:val="en-US" w:eastAsia="zh-CN"/>
              </w:rPr>
              <w:t>不符合要求的不予接收。</w:t>
            </w:r>
          </w:p>
          <w:p w14:paraId="7DE45251">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hint="eastAsia" w:ascii="Times New Roman" w:hAnsi="Times New Roman" w:eastAsiaTheme="minorEastAsia"/>
                <w:color w:val="auto"/>
                <w:kern w:val="0"/>
                <w:sz w:val="24"/>
                <w:szCs w:val="24"/>
                <w:highlight w:val="none"/>
                <w:lang w:eastAsia="zh-CN"/>
              </w:rPr>
              <w:t>废旧铅酸蓄电池</w:t>
            </w:r>
            <w:r>
              <w:rPr>
                <w:rFonts w:hint="eastAsia" w:ascii="Times New Roman" w:hAnsi="Times New Roman" w:eastAsiaTheme="minorEastAsia"/>
                <w:color w:val="auto"/>
                <w:kern w:val="0"/>
                <w:sz w:val="24"/>
                <w:szCs w:val="24"/>
                <w:highlight w:val="none"/>
              </w:rPr>
              <w:t>收运前，应对运输车况进行详细检查：</w:t>
            </w:r>
          </w:p>
          <w:p w14:paraId="17B67ADC">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hint="eastAsia" w:ascii="Times New Roman" w:hAnsi="Times New Roman" w:eastAsiaTheme="minorEastAsia"/>
                <w:color w:val="auto"/>
                <w:kern w:val="0"/>
                <w:sz w:val="24"/>
                <w:szCs w:val="24"/>
                <w:highlight w:val="none"/>
              </w:rPr>
              <w:t>（</w:t>
            </w:r>
            <w:r>
              <w:rPr>
                <w:rFonts w:ascii="Times New Roman" w:hAnsi="Times New Roman" w:eastAsiaTheme="minorEastAsia"/>
                <w:color w:val="auto"/>
                <w:kern w:val="0"/>
                <w:sz w:val="24"/>
                <w:szCs w:val="24"/>
                <w:highlight w:val="none"/>
              </w:rPr>
              <w:t>1</w:t>
            </w:r>
            <w:r>
              <w:rPr>
                <w:rFonts w:hint="eastAsia" w:ascii="Times New Roman" w:hAnsi="Times New Roman" w:eastAsiaTheme="minorEastAsia"/>
                <w:color w:val="auto"/>
                <w:kern w:val="0"/>
                <w:sz w:val="24"/>
                <w:szCs w:val="24"/>
                <w:highlight w:val="none"/>
              </w:rPr>
              <w:t>）车厢、底板必须平坦完好、周围栏板必须牢固。</w:t>
            </w:r>
          </w:p>
          <w:p w14:paraId="7A91C013">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hint="eastAsia" w:ascii="Times New Roman" w:hAnsi="Times New Roman" w:eastAsiaTheme="minorEastAsia"/>
                <w:color w:val="auto"/>
                <w:kern w:val="0"/>
                <w:sz w:val="24"/>
                <w:szCs w:val="24"/>
                <w:highlight w:val="none"/>
              </w:rPr>
              <w:t>（</w:t>
            </w:r>
            <w:r>
              <w:rPr>
                <w:rFonts w:ascii="Times New Roman" w:hAnsi="Times New Roman" w:eastAsiaTheme="minorEastAsia"/>
                <w:color w:val="auto"/>
                <w:kern w:val="0"/>
                <w:sz w:val="24"/>
                <w:szCs w:val="24"/>
                <w:highlight w:val="none"/>
              </w:rPr>
              <w:t>2</w:t>
            </w:r>
            <w:r>
              <w:rPr>
                <w:rFonts w:hint="eastAsia" w:ascii="Times New Roman" w:hAnsi="Times New Roman" w:eastAsiaTheme="minorEastAsia"/>
                <w:color w:val="auto"/>
                <w:kern w:val="0"/>
                <w:sz w:val="24"/>
                <w:szCs w:val="24"/>
                <w:highlight w:val="none"/>
              </w:rPr>
              <w:t>）</w:t>
            </w:r>
            <w:r>
              <w:rPr>
                <w:rFonts w:ascii="Times New Roman" w:hAnsi="Times New Roman" w:eastAsiaTheme="minorEastAsia"/>
                <w:color w:val="auto"/>
                <w:kern w:val="0"/>
                <w:sz w:val="24"/>
                <w:szCs w:val="24"/>
                <w:highlight w:val="none"/>
              </w:rPr>
              <w:t>根据所装危险货物的性质、配备相应的消防器材和捆扎、防水、防散失等用具。</w:t>
            </w:r>
          </w:p>
          <w:p w14:paraId="202790C2">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w:t>
            </w:r>
            <w:r>
              <w:rPr>
                <w:rFonts w:hint="eastAsia" w:ascii="Times New Roman" w:hAnsi="Times New Roman" w:eastAsiaTheme="minorEastAsia"/>
                <w:color w:val="auto"/>
                <w:kern w:val="0"/>
                <w:sz w:val="24"/>
                <w:szCs w:val="24"/>
                <w:highlight w:val="none"/>
                <w:lang w:val="en-US" w:eastAsia="zh-CN"/>
              </w:rPr>
              <w:t>3</w:t>
            </w:r>
            <w:r>
              <w:rPr>
                <w:rFonts w:ascii="Times New Roman" w:hAnsi="Times New Roman" w:eastAsiaTheme="minorEastAsia"/>
                <w:color w:val="auto"/>
                <w:kern w:val="0"/>
                <w:sz w:val="24"/>
                <w:szCs w:val="24"/>
                <w:highlight w:val="none"/>
              </w:rPr>
              <w:t>）</w:t>
            </w:r>
            <w:r>
              <w:rPr>
                <w:rFonts w:hint="eastAsia" w:ascii="Times New Roman" w:hAnsi="Times New Roman" w:eastAsiaTheme="minorEastAsia"/>
                <w:color w:val="auto"/>
                <w:kern w:val="0"/>
                <w:sz w:val="24"/>
                <w:szCs w:val="24"/>
                <w:highlight w:val="none"/>
                <w:lang w:val="en-US" w:eastAsia="zh-CN"/>
              </w:rPr>
              <w:t>运输车辆设置防淋苫布，并配备足够的耐腐蚀</w:t>
            </w:r>
            <w:r>
              <w:rPr>
                <w:rFonts w:ascii="Times New Roman" w:hAnsi="Times New Roman" w:eastAsiaTheme="minorEastAsia"/>
                <w:color w:val="auto"/>
                <w:kern w:val="0"/>
                <w:sz w:val="24"/>
                <w:szCs w:val="24"/>
                <w:highlight w:val="none"/>
              </w:rPr>
              <w:t>托盘、塑料箱，必须保证所装危险废物不发生“跑、冒、滴、漏”。</w:t>
            </w:r>
          </w:p>
          <w:p w14:paraId="0F3BC198">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w:t>
            </w:r>
            <w:r>
              <w:rPr>
                <w:rFonts w:hint="eastAsia" w:ascii="Times New Roman" w:hAnsi="Times New Roman" w:eastAsiaTheme="minorEastAsia"/>
                <w:color w:val="auto"/>
                <w:kern w:val="0"/>
                <w:sz w:val="24"/>
                <w:szCs w:val="24"/>
                <w:highlight w:val="none"/>
                <w:lang w:val="en-US" w:eastAsia="zh-CN"/>
              </w:rPr>
              <w:t>4</w:t>
            </w:r>
            <w:r>
              <w:rPr>
                <w:rFonts w:ascii="Times New Roman" w:hAnsi="Times New Roman" w:eastAsiaTheme="minorEastAsia"/>
                <w:color w:val="auto"/>
                <w:kern w:val="0"/>
                <w:sz w:val="24"/>
                <w:szCs w:val="24"/>
                <w:highlight w:val="none"/>
              </w:rPr>
              <w:t>）根据各个危废</w:t>
            </w:r>
            <w:r>
              <w:rPr>
                <w:rFonts w:hint="eastAsia" w:ascii="Times New Roman" w:hAnsi="Times New Roman" w:eastAsiaTheme="minorEastAsia"/>
                <w:color w:val="auto"/>
                <w:kern w:val="0"/>
                <w:sz w:val="24"/>
                <w:szCs w:val="24"/>
                <w:highlight w:val="none"/>
                <w:lang w:val="en-US" w:eastAsia="zh-CN"/>
              </w:rPr>
              <w:t>产生及处置</w:t>
            </w:r>
            <w:r>
              <w:rPr>
                <w:rFonts w:ascii="Times New Roman" w:hAnsi="Times New Roman" w:eastAsiaTheme="minorEastAsia"/>
                <w:color w:val="auto"/>
                <w:kern w:val="0"/>
                <w:sz w:val="24"/>
                <w:szCs w:val="24"/>
                <w:highlight w:val="none"/>
              </w:rPr>
              <w:t>单位所在位置，按照相关规定提前制定转运时间、路线计划。降低危险废物转运过程中产生的环境和安全风险。</w:t>
            </w:r>
          </w:p>
          <w:p w14:paraId="0BDCEF8B">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危险废物收运时，派出管理人员随同，严格按照公司与产废单位达成的废物处置协议内容进行收运，不在协议范围内或与协议约定内容不一致的废物拒绝收运。</w:t>
            </w:r>
          </w:p>
          <w:p w14:paraId="286D913C">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hint="eastAsia" w:ascii="Times New Roman" w:hAnsi="Times New Roman" w:eastAsiaTheme="minorEastAsia"/>
                <w:color w:val="auto"/>
                <w:kern w:val="0"/>
                <w:sz w:val="24"/>
                <w:szCs w:val="24"/>
                <w:highlight w:val="none"/>
                <w:lang w:val="en-US" w:eastAsia="zh-CN"/>
              </w:rPr>
              <w:t>4</w:t>
            </w:r>
            <w:r>
              <w:rPr>
                <w:rFonts w:ascii="Times New Roman" w:hAnsi="Times New Roman" w:eastAsiaTheme="minorEastAsia"/>
                <w:color w:val="auto"/>
                <w:kern w:val="0"/>
                <w:sz w:val="24"/>
                <w:szCs w:val="24"/>
                <w:highlight w:val="none"/>
              </w:rPr>
              <w:t>、</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收集路线</w:t>
            </w:r>
          </w:p>
          <w:p w14:paraId="75EF9892">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hint="eastAsia" w:ascii="Times New Roman" w:hAnsi="Times New Roman" w:eastAsiaTheme="minorEastAsia"/>
                <w:color w:val="auto"/>
                <w:kern w:val="0"/>
                <w:sz w:val="24"/>
                <w:szCs w:val="24"/>
                <w:highlight w:val="none"/>
                <w:lang w:eastAsia="zh-CN"/>
              </w:rPr>
              <w:t>废旧铅酸蓄电池</w:t>
            </w:r>
            <w:r>
              <w:rPr>
                <w:rFonts w:hint="eastAsia" w:ascii="Times New Roman" w:hAnsi="Times New Roman" w:eastAsiaTheme="minorEastAsia"/>
                <w:color w:val="auto"/>
                <w:kern w:val="0"/>
                <w:sz w:val="24"/>
                <w:szCs w:val="24"/>
                <w:highlight w:val="none"/>
                <w:lang w:val="en-US" w:eastAsia="zh-CN"/>
              </w:rPr>
              <w:t>委托</w:t>
            </w:r>
            <w:r>
              <w:rPr>
                <w:rFonts w:ascii="Times New Roman" w:hAnsi="Times New Roman" w:eastAsiaTheme="minorEastAsia"/>
                <w:color w:val="auto"/>
                <w:kern w:val="0"/>
                <w:sz w:val="24"/>
                <w:szCs w:val="24"/>
                <w:highlight w:val="none"/>
              </w:rPr>
              <w:t>专用车辆进行运输，运输路线应尽量避开人口密集区、饮用水源保护区等环境敏感区。</w:t>
            </w:r>
            <w:r>
              <w:rPr>
                <w:rFonts w:hint="eastAsia" w:ascii="Times New Roman" w:hAnsi="Times New Roman" w:eastAsiaTheme="minorEastAsia"/>
                <w:color w:val="auto"/>
                <w:kern w:val="0"/>
                <w:sz w:val="24"/>
                <w:szCs w:val="24"/>
                <w:highlight w:val="none"/>
                <w:lang w:eastAsia="zh-CN"/>
              </w:rPr>
              <w:t>废旧铅酸蓄电池</w:t>
            </w:r>
            <w:r>
              <w:rPr>
                <w:rFonts w:ascii="Times New Roman" w:hAnsi="Times New Roman" w:eastAsiaTheme="minorEastAsia"/>
                <w:color w:val="auto"/>
                <w:kern w:val="0"/>
                <w:sz w:val="24"/>
                <w:szCs w:val="24"/>
                <w:highlight w:val="none"/>
              </w:rPr>
              <w:t>统一收集后按照规定的线路运输至项目所在地暂存，并定期按照规定的路线运输至有危险废物资质单位进行最终处置。</w:t>
            </w:r>
          </w:p>
          <w:p w14:paraId="4E7DD889">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hint="eastAsia" w:ascii="Times New Roman" w:hAnsi="Times New Roman" w:eastAsiaTheme="minorEastAsia"/>
                <w:color w:val="auto"/>
                <w:kern w:val="0"/>
                <w:sz w:val="24"/>
                <w:szCs w:val="24"/>
                <w:highlight w:val="none"/>
                <w:lang w:val="en-US" w:eastAsia="zh-CN"/>
              </w:rPr>
              <w:t>5</w:t>
            </w:r>
            <w:r>
              <w:rPr>
                <w:rFonts w:ascii="Times New Roman" w:hAnsi="Times New Roman" w:eastAsiaTheme="minorEastAsia"/>
                <w:color w:val="auto"/>
                <w:kern w:val="0"/>
                <w:sz w:val="24"/>
                <w:szCs w:val="24"/>
                <w:highlight w:val="none"/>
              </w:rPr>
              <w:t>、废气收集系统</w:t>
            </w:r>
          </w:p>
          <w:p w14:paraId="52E17FF1">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破损铅蓄电池存储间为密闭，当破损铅蓄电池发生电解液泄露时，废气收集后集中处理。根据危废贮存废气的产生特点，并考虑工作环境的舒适度要求，</w:t>
            </w:r>
            <w:r>
              <w:rPr>
                <w:rFonts w:hint="eastAsia" w:ascii="Times New Roman" w:hAnsi="Times New Roman" w:eastAsiaTheme="minorEastAsia"/>
                <w:color w:val="auto"/>
                <w:kern w:val="0"/>
                <w:sz w:val="24"/>
                <w:szCs w:val="24"/>
                <w:highlight w:val="none"/>
                <w:lang w:val="en-US" w:eastAsia="zh-CN"/>
              </w:rPr>
              <w:t>对</w:t>
            </w:r>
            <w:r>
              <w:rPr>
                <w:rFonts w:ascii="Times New Roman" w:hAnsi="Times New Roman" w:eastAsiaTheme="minorEastAsia"/>
                <w:color w:val="auto"/>
                <w:kern w:val="0"/>
                <w:sz w:val="24"/>
                <w:szCs w:val="24"/>
                <w:highlight w:val="none"/>
              </w:rPr>
              <w:t>破损铅蓄电池存储间</w:t>
            </w:r>
            <w:r>
              <w:rPr>
                <w:rFonts w:hint="eastAsia" w:ascii="Times New Roman" w:hAnsi="Times New Roman" w:eastAsiaTheme="minorEastAsia"/>
                <w:color w:val="auto"/>
                <w:kern w:val="0"/>
                <w:sz w:val="24"/>
                <w:szCs w:val="24"/>
                <w:highlight w:val="none"/>
                <w:lang w:val="en-US" w:eastAsia="zh-CN"/>
              </w:rPr>
              <w:t>安装风机，对</w:t>
            </w:r>
            <w:r>
              <w:rPr>
                <w:rFonts w:ascii="Times New Roman" w:hAnsi="Times New Roman" w:eastAsiaTheme="minorEastAsia"/>
                <w:color w:val="auto"/>
                <w:kern w:val="0"/>
                <w:sz w:val="24"/>
                <w:szCs w:val="24"/>
                <w:highlight w:val="none"/>
              </w:rPr>
              <w:t>废气</w:t>
            </w:r>
            <w:r>
              <w:rPr>
                <w:rFonts w:hint="eastAsia" w:ascii="Times New Roman" w:hAnsi="Times New Roman" w:eastAsiaTheme="minorEastAsia"/>
                <w:color w:val="auto"/>
                <w:kern w:val="0"/>
                <w:sz w:val="24"/>
                <w:szCs w:val="24"/>
                <w:highlight w:val="none"/>
                <w:lang w:val="en-US" w:eastAsia="zh-CN"/>
              </w:rPr>
              <w:t>进行收集</w:t>
            </w:r>
            <w:r>
              <w:rPr>
                <w:rFonts w:ascii="Times New Roman" w:hAnsi="Times New Roman" w:eastAsiaTheme="minorEastAsia"/>
                <w:color w:val="auto"/>
                <w:kern w:val="0"/>
                <w:sz w:val="24"/>
                <w:szCs w:val="24"/>
                <w:highlight w:val="none"/>
              </w:rPr>
              <w:t>。</w:t>
            </w:r>
          </w:p>
          <w:p w14:paraId="0A1686FA">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hint="eastAsia" w:ascii="Times New Roman" w:hAnsi="Times New Roman" w:eastAsiaTheme="minorEastAsia"/>
                <w:color w:val="auto"/>
                <w:kern w:val="0"/>
                <w:sz w:val="24"/>
                <w:szCs w:val="24"/>
                <w:highlight w:val="none"/>
                <w:lang w:val="en-US" w:eastAsia="zh-CN"/>
              </w:rPr>
              <w:t>6</w:t>
            </w:r>
            <w:r>
              <w:rPr>
                <w:rFonts w:ascii="Times New Roman" w:hAnsi="Times New Roman" w:eastAsiaTheme="minorEastAsia"/>
                <w:color w:val="auto"/>
                <w:kern w:val="0"/>
                <w:sz w:val="24"/>
                <w:szCs w:val="24"/>
                <w:highlight w:val="none"/>
              </w:rPr>
              <w:t>、泄漏收集系统</w:t>
            </w:r>
          </w:p>
          <w:p w14:paraId="7E16CF34">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本项目贮存危险废物均分区分类存放，贮存区设置导流沟和收集池。危废贮存车间内设总导流沟和收集</w:t>
            </w:r>
            <w:r>
              <w:rPr>
                <w:rFonts w:hint="eastAsia" w:ascii="Times New Roman" w:hAnsi="Times New Roman" w:eastAsiaTheme="minorEastAsia"/>
                <w:color w:val="auto"/>
                <w:kern w:val="0"/>
                <w:sz w:val="24"/>
                <w:szCs w:val="24"/>
                <w:highlight w:val="none"/>
                <w:lang w:val="en-US" w:eastAsia="zh-CN"/>
              </w:rPr>
              <w:t>池</w:t>
            </w:r>
            <w:r>
              <w:rPr>
                <w:rFonts w:ascii="Times New Roman" w:hAnsi="Times New Roman" w:eastAsiaTheme="minorEastAsia"/>
                <w:color w:val="auto"/>
                <w:kern w:val="0"/>
                <w:sz w:val="24"/>
                <w:szCs w:val="24"/>
                <w:highlight w:val="none"/>
              </w:rPr>
              <w:t>（2m³），确保一旦发生泄漏将会泄漏物质将会进入收集池，不会渗漏至外环境内。</w:t>
            </w:r>
          </w:p>
          <w:p w14:paraId="5731CC85">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主要污染工序</w:t>
            </w:r>
          </w:p>
          <w:p w14:paraId="0234D5D1">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（1）废气：主要为叉车、运输车辆废气；破损铅蓄电池贮存过程挥发的酸性气体。</w:t>
            </w:r>
          </w:p>
          <w:p w14:paraId="47CDF14E">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（2）废水：主要为职工生活污水。</w:t>
            </w:r>
          </w:p>
          <w:p w14:paraId="7AE22FC0">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（3）噪声：主要为装卸噪声和风机噪声。</w:t>
            </w:r>
          </w:p>
          <w:p w14:paraId="3B9569C2">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（4）固废：沾染电解液的废劳保品、废拖把、废抹布、废电解液、废</w:t>
            </w:r>
            <w:r>
              <w:rPr>
                <w:rFonts w:hint="eastAsia" w:ascii="Times New Roman" w:hAnsi="Times New Roman" w:eastAsiaTheme="minorEastAsia"/>
                <w:color w:val="auto"/>
                <w:kern w:val="0"/>
                <w:sz w:val="24"/>
                <w:szCs w:val="24"/>
                <w:highlight w:val="none"/>
                <w:lang w:val="en-US" w:eastAsia="zh-CN"/>
              </w:rPr>
              <w:t>脱硫</w:t>
            </w:r>
            <w:r>
              <w:rPr>
                <w:rFonts w:ascii="Times New Roman" w:hAnsi="Times New Roman" w:eastAsiaTheme="minorEastAsia"/>
                <w:color w:val="auto"/>
                <w:kern w:val="0"/>
                <w:sz w:val="24"/>
                <w:szCs w:val="24"/>
                <w:highlight w:val="none"/>
              </w:rPr>
              <w:t>塔吸收液等危险废物及职工生活垃圾。</w:t>
            </w:r>
          </w:p>
          <w:p w14:paraId="3EA1FD99">
            <w:pPr>
              <w:keepNext w:val="0"/>
              <w:keepLines w:val="0"/>
              <w:pageBreakBefore w:val="0"/>
              <w:widowControl w:val="0"/>
              <w:kinsoku/>
              <w:wordWrap/>
              <w:overflowPunct/>
              <w:topLinePunct w:val="0"/>
              <w:bidi w:val="0"/>
              <w:snapToGrid/>
              <w:spacing w:line="460" w:lineRule="exact"/>
              <w:ind w:firstLine="480" w:firstLineChars="200"/>
              <w:textAlignment w:val="auto"/>
              <w:rPr>
                <w:rFonts w:ascii="Times New Roman" w:hAnsi="Times New Roman" w:eastAsiaTheme="minorEastAsia"/>
                <w:color w:val="auto"/>
                <w:kern w:val="0"/>
                <w:sz w:val="24"/>
                <w:szCs w:val="24"/>
                <w:highlight w:val="none"/>
              </w:rPr>
            </w:pPr>
          </w:p>
          <w:p w14:paraId="6C82D490">
            <w:pPr>
              <w:keepNext w:val="0"/>
              <w:keepLines w:val="0"/>
              <w:pageBreakBefore w:val="0"/>
              <w:widowControl w:val="0"/>
              <w:kinsoku/>
              <w:wordWrap/>
              <w:overflowPunct/>
              <w:topLinePunct w:val="0"/>
              <w:bidi w:val="0"/>
              <w:snapToGrid/>
              <w:spacing w:line="460" w:lineRule="exact"/>
              <w:ind w:firstLine="480" w:firstLineChars="200"/>
              <w:textAlignment w:val="auto"/>
              <w:rPr>
                <w:rFonts w:ascii="Times New Roman" w:hAnsi="Times New Roman" w:eastAsiaTheme="minorEastAsia"/>
                <w:color w:val="auto"/>
                <w:kern w:val="0"/>
                <w:sz w:val="24"/>
                <w:szCs w:val="24"/>
                <w:highlight w:val="none"/>
              </w:rPr>
            </w:pPr>
          </w:p>
          <w:p w14:paraId="48B2CB2F">
            <w:pPr>
              <w:keepNext w:val="0"/>
              <w:keepLines w:val="0"/>
              <w:pageBreakBefore w:val="0"/>
              <w:widowControl w:val="0"/>
              <w:kinsoku/>
              <w:wordWrap/>
              <w:overflowPunct/>
              <w:topLinePunct w:val="0"/>
              <w:bidi w:val="0"/>
              <w:snapToGrid/>
              <w:spacing w:line="460" w:lineRule="exact"/>
              <w:ind w:firstLine="480" w:firstLineChars="200"/>
              <w:textAlignment w:val="auto"/>
              <w:rPr>
                <w:rFonts w:ascii="Times New Roman" w:hAnsi="Times New Roman" w:eastAsiaTheme="minorEastAsia"/>
                <w:color w:val="auto"/>
                <w:kern w:val="0"/>
                <w:sz w:val="24"/>
                <w:szCs w:val="24"/>
                <w:highlight w:val="none"/>
              </w:rPr>
            </w:pPr>
          </w:p>
          <w:p w14:paraId="5C3D5A23">
            <w:pPr>
              <w:keepNext w:val="0"/>
              <w:keepLines w:val="0"/>
              <w:pageBreakBefore w:val="0"/>
              <w:widowControl w:val="0"/>
              <w:kinsoku/>
              <w:wordWrap/>
              <w:overflowPunct/>
              <w:topLinePunct w:val="0"/>
              <w:bidi w:val="0"/>
              <w:snapToGrid/>
              <w:spacing w:line="460" w:lineRule="exact"/>
              <w:ind w:firstLine="480" w:firstLineChars="200"/>
              <w:textAlignment w:val="auto"/>
              <w:rPr>
                <w:rFonts w:ascii="Times New Roman" w:hAnsi="Times New Roman" w:eastAsiaTheme="minorEastAsia"/>
                <w:color w:val="auto"/>
                <w:kern w:val="0"/>
                <w:sz w:val="24"/>
                <w:szCs w:val="24"/>
                <w:highlight w:val="none"/>
              </w:rPr>
            </w:pPr>
          </w:p>
          <w:p w14:paraId="2707DBB0">
            <w:pPr>
              <w:keepNext w:val="0"/>
              <w:keepLines w:val="0"/>
              <w:pageBreakBefore w:val="0"/>
              <w:widowControl w:val="0"/>
              <w:kinsoku/>
              <w:wordWrap/>
              <w:overflowPunct/>
              <w:topLinePunct w:val="0"/>
              <w:bidi w:val="0"/>
              <w:snapToGrid/>
              <w:spacing w:line="460" w:lineRule="exact"/>
              <w:ind w:firstLine="480" w:firstLineChars="200"/>
              <w:textAlignment w:val="auto"/>
              <w:rPr>
                <w:rFonts w:ascii="Times New Roman" w:hAnsi="Times New Roman" w:eastAsiaTheme="minorEastAsia"/>
                <w:color w:val="auto"/>
                <w:kern w:val="0"/>
                <w:sz w:val="24"/>
                <w:szCs w:val="24"/>
                <w:highlight w:val="none"/>
              </w:rPr>
            </w:pPr>
          </w:p>
          <w:p w14:paraId="7335D3A5">
            <w:pPr>
              <w:keepNext w:val="0"/>
              <w:keepLines w:val="0"/>
              <w:pageBreakBefore w:val="0"/>
              <w:widowControl w:val="0"/>
              <w:kinsoku/>
              <w:wordWrap/>
              <w:overflowPunct/>
              <w:topLinePunct w:val="0"/>
              <w:bidi w:val="0"/>
              <w:snapToGrid/>
              <w:spacing w:line="460" w:lineRule="exact"/>
              <w:ind w:firstLine="480" w:firstLineChars="200"/>
              <w:textAlignment w:val="auto"/>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项目主要污染工序及污染物排放情况见下表。</w:t>
            </w:r>
          </w:p>
          <w:p w14:paraId="1F20A2A1">
            <w:pPr>
              <w:keepNext w:val="0"/>
              <w:keepLines w:val="0"/>
              <w:pageBreakBefore w:val="0"/>
              <w:widowControl w:val="0"/>
              <w:kinsoku/>
              <w:wordWrap/>
              <w:overflowPunct/>
              <w:topLinePunct w:val="0"/>
              <w:bidi w:val="0"/>
              <w:snapToGrid/>
              <w:spacing w:line="460" w:lineRule="exact"/>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表2-</w:t>
            </w:r>
            <w:r>
              <w:rPr>
                <w:rFonts w:hint="eastAsia" w:ascii="Times New Roman" w:hAnsi="Times New Roman"/>
                <w:color w:val="auto"/>
                <w:sz w:val="24"/>
                <w:szCs w:val="24"/>
                <w:highlight w:val="none"/>
                <w:lang w:val="en-US" w:eastAsia="zh-CN"/>
              </w:rPr>
              <w:t>8</w:t>
            </w:r>
            <w:r>
              <w:rPr>
                <w:rFonts w:ascii="Times New Roman" w:hAnsi="Times New Roman"/>
                <w:color w:val="auto"/>
                <w:sz w:val="24"/>
                <w:szCs w:val="24"/>
                <w:highlight w:val="none"/>
              </w:rPr>
              <w:t xml:space="preserve">  产排污节点及治理措施一览表</w:t>
            </w:r>
          </w:p>
          <w:tbl>
            <w:tblPr>
              <w:tblStyle w:val="31"/>
              <w:tblW w:w="825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2"/>
              <w:gridCol w:w="597"/>
              <w:gridCol w:w="1812"/>
              <w:gridCol w:w="2320"/>
              <w:gridCol w:w="2887"/>
            </w:tblGrid>
            <w:tr w14:paraId="1D34F5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shd w:val="clear" w:color="auto" w:fill="auto"/>
                  <w:vAlign w:val="center"/>
                </w:tcPr>
                <w:p w14:paraId="03F6EE5F">
                  <w:pPr>
                    <w:widowControl/>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类别</w:t>
                  </w:r>
                </w:p>
              </w:tc>
              <w:tc>
                <w:tcPr>
                  <w:tcW w:w="597" w:type="dxa"/>
                  <w:shd w:val="clear" w:color="auto" w:fill="auto"/>
                  <w:vAlign w:val="center"/>
                </w:tcPr>
                <w:p w14:paraId="2149FA80">
                  <w:pPr>
                    <w:widowControl/>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编号</w:t>
                  </w:r>
                </w:p>
              </w:tc>
              <w:tc>
                <w:tcPr>
                  <w:tcW w:w="1812" w:type="dxa"/>
                  <w:shd w:val="clear" w:color="auto" w:fill="auto"/>
                  <w:vAlign w:val="center"/>
                </w:tcPr>
                <w:p w14:paraId="3A808698">
                  <w:pPr>
                    <w:widowControl/>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产污工序</w:t>
                  </w:r>
                </w:p>
              </w:tc>
              <w:tc>
                <w:tcPr>
                  <w:tcW w:w="2320" w:type="dxa"/>
                  <w:shd w:val="clear" w:color="auto" w:fill="auto"/>
                  <w:vAlign w:val="center"/>
                </w:tcPr>
                <w:p w14:paraId="3BFA9227">
                  <w:pPr>
                    <w:widowControl/>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主要污染物</w:t>
                  </w:r>
                </w:p>
              </w:tc>
              <w:tc>
                <w:tcPr>
                  <w:tcW w:w="2887" w:type="dxa"/>
                  <w:shd w:val="clear" w:color="auto" w:fill="auto"/>
                  <w:vAlign w:val="center"/>
                </w:tcPr>
                <w:p w14:paraId="561A60E5">
                  <w:pPr>
                    <w:widowControl/>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治理措施</w:t>
                  </w:r>
                </w:p>
              </w:tc>
            </w:tr>
            <w:tr w14:paraId="6287CE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642" w:type="dxa"/>
                  <w:vMerge w:val="restart"/>
                  <w:shd w:val="clear" w:color="auto" w:fill="auto"/>
                  <w:vAlign w:val="center"/>
                </w:tcPr>
                <w:p w14:paraId="36117A1C">
                  <w:pP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废气</w:t>
                  </w:r>
                </w:p>
              </w:tc>
              <w:tc>
                <w:tcPr>
                  <w:tcW w:w="597" w:type="dxa"/>
                  <w:shd w:val="clear" w:color="auto" w:fill="auto"/>
                  <w:vAlign w:val="center"/>
                </w:tcPr>
                <w:p w14:paraId="7821041F">
                  <w:pPr>
                    <w:widowControl/>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G</w:t>
                  </w:r>
                  <w:r>
                    <w:rPr>
                      <w:rFonts w:ascii="Times New Roman" w:hAnsi="Times New Roman" w:eastAsiaTheme="minorEastAsia"/>
                      <w:color w:val="auto"/>
                      <w:szCs w:val="21"/>
                      <w:highlight w:val="none"/>
                      <w:vertAlign w:val="subscript"/>
                    </w:rPr>
                    <w:t>1</w:t>
                  </w:r>
                </w:p>
              </w:tc>
              <w:tc>
                <w:tcPr>
                  <w:tcW w:w="1812" w:type="dxa"/>
                  <w:shd w:val="clear" w:color="auto" w:fill="auto"/>
                  <w:vAlign w:val="center"/>
                </w:tcPr>
                <w:p w14:paraId="1E227B60">
                  <w:pPr>
                    <w:widowControl/>
                    <w:jc w:val="center"/>
                    <w:rPr>
                      <w:rFonts w:ascii="Times New Roman" w:hAnsi="Times New Roman" w:eastAsiaTheme="minorEastAsia"/>
                      <w:color w:val="auto"/>
                      <w:szCs w:val="21"/>
                      <w:highlight w:val="none"/>
                    </w:rPr>
                  </w:pPr>
                  <w:r>
                    <w:rPr>
                      <w:rFonts w:ascii="Times New Roman" w:hAnsi="Times New Roman" w:eastAsiaTheme="minorEastAsia"/>
                      <w:color w:val="auto"/>
                      <w:kern w:val="0"/>
                      <w:szCs w:val="21"/>
                      <w:highlight w:val="none"/>
                    </w:rPr>
                    <w:t>叉车、运输车辆</w:t>
                  </w:r>
                </w:p>
              </w:tc>
              <w:tc>
                <w:tcPr>
                  <w:tcW w:w="2320" w:type="dxa"/>
                  <w:shd w:val="clear" w:color="auto" w:fill="auto"/>
                  <w:vAlign w:val="center"/>
                </w:tcPr>
                <w:p w14:paraId="29B8C4DA">
                  <w:pPr>
                    <w:autoSpaceDE w:val="0"/>
                    <w:autoSpaceDN w:val="0"/>
                    <w:adjustRightInd w:val="0"/>
                    <w:jc w:val="center"/>
                    <w:rPr>
                      <w:rFonts w:ascii="Times New Roman" w:hAnsi="Times New Roman" w:eastAsiaTheme="minorEastAsia"/>
                      <w:color w:val="auto"/>
                      <w:szCs w:val="21"/>
                      <w:highlight w:val="none"/>
                    </w:rPr>
                  </w:pPr>
                  <w:r>
                    <w:rPr>
                      <w:rFonts w:ascii="Times New Roman" w:hAnsi="Times New Roman" w:eastAsiaTheme="minorEastAsia"/>
                      <w:color w:val="auto"/>
                      <w:kern w:val="0"/>
                      <w:szCs w:val="21"/>
                      <w:highlight w:val="none"/>
                    </w:rPr>
                    <w:t>CO、THC(碳氢化合物)、NOx等</w:t>
                  </w:r>
                </w:p>
              </w:tc>
              <w:tc>
                <w:tcPr>
                  <w:tcW w:w="2887" w:type="dxa"/>
                  <w:shd w:val="clear" w:color="auto" w:fill="auto"/>
                  <w:vAlign w:val="center"/>
                </w:tcPr>
                <w:p w14:paraId="2523B9A1">
                  <w:pPr>
                    <w:jc w:val="center"/>
                    <w:rPr>
                      <w:rFonts w:hint="default" w:ascii="Times New Roman" w:hAnsi="Times New Roman" w:eastAsiaTheme="minorEastAsia"/>
                      <w:color w:val="auto"/>
                      <w:szCs w:val="21"/>
                      <w:highlight w:val="none"/>
                      <w:lang w:val="en-US" w:eastAsia="zh-CN"/>
                    </w:rPr>
                  </w:pPr>
                  <w:r>
                    <w:rPr>
                      <w:rFonts w:ascii="Times New Roman" w:hAnsi="Times New Roman" w:eastAsiaTheme="minorEastAsia"/>
                      <w:color w:val="auto"/>
                      <w:kern w:val="0"/>
                      <w:szCs w:val="21"/>
                      <w:highlight w:val="none"/>
                    </w:rPr>
                    <w:t>本项目厂内采用符合《非道路移动机械用柴油机排气污染物排放限值及测量方法(中国第三、四阶段）》（GB 20891-2014）及修改单的非道路移动机械</w:t>
                  </w:r>
                  <w:r>
                    <w:rPr>
                      <w:rFonts w:hint="eastAsia" w:ascii="Times New Roman" w:hAnsi="Times New Roman" w:eastAsiaTheme="minorEastAsia"/>
                      <w:color w:val="auto"/>
                      <w:kern w:val="0"/>
                      <w:szCs w:val="21"/>
                      <w:highlight w:val="none"/>
                      <w:lang w:eastAsia="zh-CN"/>
                    </w:rPr>
                    <w:t>，</w:t>
                  </w:r>
                  <w:r>
                    <w:rPr>
                      <w:rFonts w:hint="eastAsia" w:ascii="Times New Roman" w:hAnsi="Times New Roman" w:eastAsiaTheme="minorEastAsia"/>
                      <w:color w:val="auto"/>
                      <w:kern w:val="0"/>
                      <w:szCs w:val="21"/>
                      <w:highlight w:val="none"/>
                      <w:lang w:val="en-US" w:eastAsia="zh-CN"/>
                    </w:rPr>
                    <w:t>厂外委托专用运输车辆</w:t>
                  </w:r>
                </w:p>
              </w:tc>
            </w:tr>
            <w:tr w14:paraId="28F954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42" w:type="dxa"/>
                  <w:vMerge w:val="continue"/>
                  <w:shd w:val="clear" w:color="auto" w:fill="auto"/>
                  <w:vAlign w:val="center"/>
                </w:tcPr>
                <w:p w14:paraId="2B0CABEC">
                  <w:pPr>
                    <w:rPr>
                      <w:rFonts w:ascii="Times New Roman" w:hAnsi="Times New Roman" w:eastAsiaTheme="minorEastAsia"/>
                      <w:color w:val="auto"/>
                      <w:szCs w:val="21"/>
                      <w:highlight w:val="none"/>
                    </w:rPr>
                  </w:pPr>
                </w:p>
              </w:tc>
              <w:tc>
                <w:tcPr>
                  <w:tcW w:w="597" w:type="dxa"/>
                  <w:shd w:val="clear" w:color="auto" w:fill="auto"/>
                  <w:vAlign w:val="center"/>
                </w:tcPr>
                <w:p w14:paraId="6F1F03C0">
                  <w:pPr>
                    <w:widowControl/>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G</w:t>
                  </w:r>
                  <w:r>
                    <w:rPr>
                      <w:rFonts w:ascii="Times New Roman" w:hAnsi="Times New Roman" w:eastAsiaTheme="minorEastAsia"/>
                      <w:color w:val="auto"/>
                      <w:szCs w:val="21"/>
                      <w:highlight w:val="none"/>
                      <w:vertAlign w:val="subscript"/>
                    </w:rPr>
                    <w:t>2</w:t>
                  </w:r>
                </w:p>
              </w:tc>
              <w:tc>
                <w:tcPr>
                  <w:tcW w:w="1812" w:type="dxa"/>
                  <w:shd w:val="clear" w:color="auto" w:fill="auto"/>
                  <w:vAlign w:val="center"/>
                </w:tcPr>
                <w:p w14:paraId="4D86F341">
                  <w:pPr>
                    <w:autoSpaceDE w:val="0"/>
                    <w:autoSpaceDN w:val="0"/>
                    <w:adjustRightInd w:val="0"/>
                    <w:jc w:val="center"/>
                    <w:rPr>
                      <w:rFonts w:ascii="Times New Roman" w:hAnsi="Times New Roman" w:eastAsiaTheme="minorEastAsia"/>
                      <w:color w:val="auto"/>
                      <w:szCs w:val="21"/>
                      <w:highlight w:val="none"/>
                    </w:rPr>
                  </w:pPr>
                  <w:r>
                    <w:rPr>
                      <w:rFonts w:ascii="Times New Roman" w:hAnsi="Times New Roman" w:eastAsiaTheme="minorEastAsia"/>
                      <w:color w:val="auto"/>
                      <w:kern w:val="0"/>
                      <w:szCs w:val="21"/>
                      <w:highlight w:val="none"/>
                    </w:rPr>
                    <w:t>破损</w:t>
                  </w:r>
                  <w:r>
                    <w:rPr>
                      <w:rFonts w:hint="eastAsia" w:ascii="Times New Roman" w:hAnsi="Times New Roman" w:eastAsiaTheme="minorEastAsia"/>
                      <w:color w:val="auto"/>
                      <w:kern w:val="0"/>
                      <w:szCs w:val="21"/>
                      <w:highlight w:val="none"/>
                      <w:lang w:eastAsia="zh-CN"/>
                    </w:rPr>
                    <w:t>废旧铅酸蓄电池</w:t>
                  </w:r>
                  <w:r>
                    <w:rPr>
                      <w:rFonts w:ascii="Times New Roman" w:hAnsi="Times New Roman" w:eastAsiaTheme="minorEastAsia"/>
                      <w:color w:val="auto"/>
                      <w:kern w:val="0"/>
                      <w:szCs w:val="21"/>
                      <w:highlight w:val="none"/>
                    </w:rPr>
                    <w:t>泄露电解液</w:t>
                  </w:r>
                </w:p>
              </w:tc>
              <w:tc>
                <w:tcPr>
                  <w:tcW w:w="2320" w:type="dxa"/>
                  <w:shd w:val="clear" w:color="auto" w:fill="auto"/>
                  <w:vAlign w:val="center"/>
                </w:tcPr>
                <w:p w14:paraId="686F25C4">
                  <w:pPr>
                    <w:widowControl/>
                    <w:jc w:val="center"/>
                    <w:rPr>
                      <w:rFonts w:ascii="Times New Roman" w:hAnsi="Times New Roman" w:eastAsiaTheme="minorEastAsia"/>
                      <w:color w:val="auto"/>
                      <w:szCs w:val="21"/>
                      <w:highlight w:val="none"/>
                    </w:rPr>
                  </w:pPr>
                  <w:r>
                    <w:rPr>
                      <w:rFonts w:ascii="Times New Roman" w:hAnsi="Times New Roman" w:eastAsiaTheme="minorEastAsia"/>
                      <w:color w:val="auto"/>
                      <w:kern w:val="0"/>
                      <w:szCs w:val="21"/>
                      <w:highlight w:val="none"/>
                    </w:rPr>
                    <w:t>硫酸雾</w:t>
                  </w:r>
                </w:p>
              </w:tc>
              <w:tc>
                <w:tcPr>
                  <w:tcW w:w="2887" w:type="dxa"/>
                  <w:shd w:val="clear" w:color="auto" w:fill="auto"/>
                  <w:vAlign w:val="center"/>
                </w:tcPr>
                <w:p w14:paraId="5B6AAE68">
                  <w:pPr>
                    <w:jc w:val="center"/>
                    <w:rPr>
                      <w:rFonts w:ascii="Times New Roman" w:hAnsi="Times New Roman" w:eastAsiaTheme="minorEastAsia"/>
                      <w:color w:val="auto"/>
                      <w:spacing w:val="-6"/>
                      <w:szCs w:val="21"/>
                      <w:highlight w:val="none"/>
                    </w:rPr>
                  </w:pPr>
                  <w:r>
                    <w:rPr>
                      <w:rFonts w:hint="eastAsia" w:ascii="Times New Roman" w:hAnsi="Times New Roman" w:eastAsiaTheme="minorEastAsia"/>
                      <w:color w:val="auto"/>
                      <w:szCs w:val="21"/>
                      <w:highlight w:val="none"/>
                    </w:rPr>
                    <w:t>贮存间密闭</w:t>
                  </w:r>
                  <w:r>
                    <w:rPr>
                      <w:rFonts w:ascii="Times New Roman" w:hAnsi="Times New Roman" w:eastAsiaTheme="minorEastAsia"/>
                      <w:color w:val="auto"/>
                      <w:szCs w:val="21"/>
                      <w:highlight w:val="none"/>
                    </w:rPr>
                    <w:t>+</w:t>
                  </w:r>
                  <w:r>
                    <w:rPr>
                      <w:rFonts w:hint="eastAsia" w:ascii="Times New Roman" w:hAnsi="Times New Roman" w:eastAsiaTheme="minorEastAsia"/>
                      <w:color w:val="auto"/>
                      <w:szCs w:val="21"/>
                      <w:highlight w:val="none"/>
                    </w:rPr>
                    <w:t>风机</w:t>
                  </w:r>
                  <w:r>
                    <w:rPr>
                      <w:rFonts w:ascii="Times New Roman" w:hAnsi="Times New Roman" w:eastAsiaTheme="minorEastAsia"/>
                      <w:color w:val="auto"/>
                      <w:szCs w:val="21"/>
                      <w:highlight w:val="none"/>
                    </w:rPr>
                    <w:t>+</w:t>
                  </w:r>
                  <w:r>
                    <w:rPr>
                      <w:rFonts w:hint="eastAsia" w:ascii="Times New Roman" w:hAnsi="Times New Roman" w:eastAsiaTheme="minorEastAsia"/>
                      <w:color w:val="auto"/>
                      <w:szCs w:val="21"/>
                      <w:highlight w:val="none"/>
                    </w:rPr>
                    <w:t>脱硫塔</w:t>
                  </w:r>
                  <w:r>
                    <w:rPr>
                      <w:rFonts w:ascii="Times New Roman" w:hAnsi="Times New Roman" w:eastAsiaTheme="minorEastAsia"/>
                      <w:color w:val="auto"/>
                      <w:szCs w:val="21"/>
                      <w:highlight w:val="none"/>
                    </w:rPr>
                    <w:t>+15m</w:t>
                  </w:r>
                  <w:r>
                    <w:rPr>
                      <w:rFonts w:hint="eastAsia" w:ascii="Times New Roman" w:hAnsi="Times New Roman" w:eastAsiaTheme="minorEastAsia"/>
                      <w:color w:val="auto"/>
                      <w:szCs w:val="21"/>
                      <w:highlight w:val="none"/>
                    </w:rPr>
                    <w:t>高排气筒（</w:t>
                  </w:r>
                  <w:r>
                    <w:rPr>
                      <w:rFonts w:ascii="Times New Roman" w:hAnsi="Times New Roman" w:eastAsiaTheme="minorEastAsia"/>
                      <w:color w:val="auto"/>
                      <w:szCs w:val="21"/>
                      <w:highlight w:val="none"/>
                    </w:rPr>
                    <w:t>DA001</w:t>
                  </w:r>
                  <w:r>
                    <w:rPr>
                      <w:rFonts w:hint="eastAsia" w:ascii="Times New Roman" w:hAnsi="Times New Roman" w:eastAsiaTheme="minorEastAsia"/>
                      <w:color w:val="auto"/>
                      <w:szCs w:val="21"/>
                      <w:highlight w:val="none"/>
                    </w:rPr>
                    <w:t>）</w:t>
                  </w:r>
                </w:p>
              </w:tc>
            </w:tr>
            <w:tr w14:paraId="756AE4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42" w:type="dxa"/>
                  <w:vMerge w:val="restart"/>
                  <w:shd w:val="clear" w:color="auto" w:fill="auto"/>
                  <w:vAlign w:val="center"/>
                </w:tcPr>
                <w:p w14:paraId="394AE892">
                  <w:pP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噪声</w:t>
                  </w:r>
                </w:p>
              </w:tc>
              <w:tc>
                <w:tcPr>
                  <w:tcW w:w="597" w:type="dxa"/>
                  <w:shd w:val="clear" w:color="auto" w:fill="auto"/>
                  <w:vAlign w:val="center"/>
                </w:tcPr>
                <w:p w14:paraId="31534839">
                  <w:pPr>
                    <w:widowControl/>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N</w:t>
                  </w:r>
                  <w:r>
                    <w:rPr>
                      <w:rFonts w:ascii="Times New Roman" w:hAnsi="Times New Roman" w:eastAsiaTheme="minorEastAsia"/>
                      <w:color w:val="auto"/>
                      <w:szCs w:val="21"/>
                      <w:highlight w:val="none"/>
                      <w:vertAlign w:val="subscript"/>
                    </w:rPr>
                    <w:t>1</w:t>
                  </w:r>
                </w:p>
              </w:tc>
              <w:tc>
                <w:tcPr>
                  <w:tcW w:w="1812" w:type="dxa"/>
                  <w:shd w:val="clear" w:color="auto" w:fill="auto"/>
                  <w:vAlign w:val="center"/>
                </w:tcPr>
                <w:p w14:paraId="4CCCC380">
                  <w:pPr>
                    <w:widowControl/>
                    <w:jc w:val="center"/>
                    <w:rPr>
                      <w:rFonts w:ascii="Times New Roman" w:hAnsi="Times New Roman" w:eastAsiaTheme="minorEastAsia"/>
                      <w:color w:val="auto"/>
                      <w:szCs w:val="21"/>
                      <w:highlight w:val="none"/>
                    </w:rPr>
                  </w:pPr>
                  <w:r>
                    <w:rPr>
                      <w:rFonts w:ascii="Times New Roman" w:hAnsi="Times New Roman" w:eastAsiaTheme="minorEastAsia"/>
                      <w:color w:val="auto"/>
                      <w:kern w:val="0"/>
                      <w:szCs w:val="21"/>
                      <w:highlight w:val="none"/>
                    </w:rPr>
                    <w:t>装卸</w:t>
                  </w:r>
                </w:p>
              </w:tc>
              <w:tc>
                <w:tcPr>
                  <w:tcW w:w="2320" w:type="dxa"/>
                  <w:vMerge w:val="restart"/>
                  <w:shd w:val="clear" w:color="auto" w:fill="auto"/>
                  <w:vAlign w:val="center"/>
                </w:tcPr>
                <w:p w14:paraId="598265BB">
                  <w:pPr>
                    <w:widowControl/>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LeqA</w:t>
                  </w:r>
                </w:p>
              </w:tc>
              <w:tc>
                <w:tcPr>
                  <w:tcW w:w="2887" w:type="dxa"/>
                  <w:vMerge w:val="restart"/>
                  <w:shd w:val="clear" w:color="auto" w:fill="auto"/>
                  <w:vAlign w:val="center"/>
                </w:tcPr>
                <w:p w14:paraId="7430544D">
                  <w:pPr>
                    <w:widowControl/>
                    <w:jc w:val="center"/>
                    <w:rPr>
                      <w:rFonts w:ascii="Times New Roman" w:hAnsi="Times New Roman" w:eastAsiaTheme="minorEastAsia"/>
                      <w:color w:val="auto"/>
                      <w:spacing w:val="-6"/>
                      <w:szCs w:val="21"/>
                      <w:highlight w:val="none"/>
                    </w:rPr>
                  </w:pPr>
                  <w:r>
                    <w:rPr>
                      <w:rFonts w:ascii="Times New Roman" w:hAnsi="Times New Roman" w:eastAsiaTheme="minorEastAsia"/>
                      <w:color w:val="auto"/>
                      <w:szCs w:val="21"/>
                      <w:highlight w:val="none"/>
                    </w:rPr>
                    <w:t>选用低噪声设备、基础减振、厂房隔声；风机进出口软连接</w:t>
                  </w:r>
                </w:p>
              </w:tc>
            </w:tr>
            <w:tr w14:paraId="349C50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42" w:type="dxa"/>
                  <w:vMerge w:val="continue"/>
                  <w:shd w:val="clear" w:color="auto" w:fill="auto"/>
                  <w:vAlign w:val="center"/>
                </w:tcPr>
                <w:p w14:paraId="6DB41BE4">
                  <w:pPr>
                    <w:rPr>
                      <w:rFonts w:ascii="Times New Roman" w:hAnsi="Times New Roman" w:eastAsiaTheme="minorEastAsia"/>
                      <w:color w:val="auto"/>
                      <w:szCs w:val="21"/>
                      <w:highlight w:val="none"/>
                    </w:rPr>
                  </w:pPr>
                </w:p>
              </w:tc>
              <w:tc>
                <w:tcPr>
                  <w:tcW w:w="597" w:type="dxa"/>
                  <w:shd w:val="clear" w:color="auto" w:fill="auto"/>
                  <w:vAlign w:val="center"/>
                </w:tcPr>
                <w:p w14:paraId="6D8E1844">
                  <w:pPr>
                    <w:widowControl/>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N</w:t>
                  </w:r>
                  <w:r>
                    <w:rPr>
                      <w:rFonts w:ascii="Times New Roman" w:hAnsi="Times New Roman" w:eastAsiaTheme="minorEastAsia"/>
                      <w:color w:val="auto"/>
                      <w:szCs w:val="21"/>
                      <w:highlight w:val="none"/>
                      <w:vertAlign w:val="subscript"/>
                    </w:rPr>
                    <w:t>2</w:t>
                  </w:r>
                </w:p>
              </w:tc>
              <w:tc>
                <w:tcPr>
                  <w:tcW w:w="1812" w:type="dxa"/>
                  <w:shd w:val="clear" w:color="auto" w:fill="auto"/>
                  <w:vAlign w:val="center"/>
                </w:tcPr>
                <w:p w14:paraId="17331C27">
                  <w:pPr>
                    <w:widowControl/>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储存期间废气治理</w:t>
                  </w:r>
                </w:p>
              </w:tc>
              <w:tc>
                <w:tcPr>
                  <w:tcW w:w="2320" w:type="dxa"/>
                  <w:vMerge w:val="continue"/>
                  <w:shd w:val="clear" w:color="auto" w:fill="auto"/>
                  <w:vAlign w:val="center"/>
                </w:tcPr>
                <w:p w14:paraId="572615D5">
                  <w:pPr>
                    <w:widowControl/>
                    <w:jc w:val="center"/>
                    <w:rPr>
                      <w:rFonts w:ascii="Times New Roman" w:hAnsi="Times New Roman" w:eastAsiaTheme="minorEastAsia"/>
                      <w:color w:val="auto"/>
                      <w:szCs w:val="21"/>
                      <w:highlight w:val="none"/>
                    </w:rPr>
                  </w:pPr>
                </w:p>
              </w:tc>
              <w:tc>
                <w:tcPr>
                  <w:tcW w:w="2887" w:type="dxa"/>
                  <w:vMerge w:val="continue"/>
                  <w:shd w:val="clear" w:color="auto" w:fill="auto"/>
                  <w:vAlign w:val="center"/>
                </w:tcPr>
                <w:p w14:paraId="7E7EF867">
                  <w:pPr>
                    <w:widowControl/>
                    <w:jc w:val="center"/>
                    <w:rPr>
                      <w:rFonts w:ascii="Times New Roman" w:hAnsi="Times New Roman" w:eastAsiaTheme="minorEastAsia"/>
                      <w:color w:val="auto"/>
                      <w:spacing w:val="-6"/>
                      <w:szCs w:val="21"/>
                      <w:highlight w:val="none"/>
                    </w:rPr>
                  </w:pPr>
                </w:p>
              </w:tc>
            </w:tr>
            <w:tr w14:paraId="1F4B08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93" w:hRule="atLeast"/>
                <w:jc w:val="center"/>
              </w:trPr>
              <w:tc>
                <w:tcPr>
                  <w:tcW w:w="642" w:type="dxa"/>
                  <w:vMerge w:val="continue"/>
                  <w:shd w:val="clear" w:color="auto" w:fill="auto"/>
                  <w:vAlign w:val="center"/>
                </w:tcPr>
                <w:p w14:paraId="1E2231E9">
                  <w:pPr>
                    <w:rPr>
                      <w:rFonts w:ascii="Times New Roman" w:hAnsi="Times New Roman" w:eastAsiaTheme="minorEastAsia"/>
                      <w:color w:val="auto"/>
                      <w:szCs w:val="21"/>
                      <w:highlight w:val="none"/>
                    </w:rPr>
                  </w:pPr>
                </w:p>
              </w:tc>
              <w:tc>
                <w:tcPr>
                  <w:tcW w:w="597" w:type="dxa"/>
                  <w:shd w:val="clear" w:color="auto" w:fill="auto"/>
                  <w:vAlign w:val="center"/>
                </w:tcPr>
                <w:p w14:paraId="1BA3C9A7">
                  <w:pPr>
                    <w:widowControl/>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N</w:t>
                  </w:r>
                  <w:r>
                    <w:rPr>
                      <w:rFonts w:ascii="Times New Roman" w:hAnsi="Times New Roman" w:eastAsiaTheme="minorEastAsia"/>
                      <w:color w:val="auto"/>
                      <w:szCs w:val="21"/>
                      <w:highlight w:val="none"/>
                      <w:vertAlign w:val="subscript"/>
                    </w:rPr>
                    <w:t>3</w:t>
                  </w:r>
                </w:p>
              </w:tc>
              <w:tc>
                <w:tcPr>
                  <w:tcW w:w="1812" w:type="dxa"/>
                  <w:shd w:val="clear" w:color="auto" w:fill="auto"/>
                  <w:vAlign w:val="center"/>
                </w:tcPr>
                <w:p w14:paraId="2B694E1B">
                  <w:pPr>
                    <w:widowControl/>
                    <w:jc w:val="center"/>
                    <w:rPr>
                      <w:rFonts w:ascii="Times New Roman" w:hAnsi="Times New Roman" w:eastAsiaTheme="minorEastAsia"/>
                      <w:color w:val="auto"/>
                      <w:szCs w:val="21"/>
                      <w:highlight w:val="none"/>
                    </w:rPr>
                  </w:pPr>
                  <w:r>
                    <w:rPr>
                      <w:rFonts w:ascii="Times New Roman" w:hAnsi="Times New Roman" w:eastAsiaTheme="minorEastAsia"/>
                      <w:color w:val="auto"/>
                      <w:kern w:val="0"/>
                      <w:szCs w:val="21"/>
                      <w:highlight w:val="none"/>
                    </w:rPr>
                    <w:t>装卸</w:t>
                  </w:r>
                </w:p>
              </w:tc>
              <w:tc>
                <w:tcPr>
                  <w:tcW w:w="2320" w:type="dxa"/>
                  <w:vMerge w:val="continue"/>
                  <w:shd w:val="clear" w:color="auto" w:fill="auto"/>
                  <w:vAlign w:val="center"/>
                </w:tcPr>
                <w:p w14:paraId="0D011D41">
                  <w:pPr>
                    <w:widowControl/>
                    <w:jc w:val="center"/>
                    <w:rPr>
                      <w:rFonts w:ascii="Times New Roman" w:hAnsi="Times New Roman" w:eastAsiaTheme="minorEastAsia"/>
                      <w:color w:val="auto"/>
                      <w:szCs w:val="21"/>
                      <w:highlight w:val="none"/>
                    </w:rPr>
                  </w:pPr>
                </w:p>
              </w:tc>
              <w:tc>
                <w:tcPr>
                  <w:tcW w:w="2887" w:type="dxa"/>
                  <w:vMerge w:val="continue"/>
                  <w:shd w:val="clear" w:color="auto" w:fill="auto"/>
                  <w:vAlign w:val="center"/>
                </w:tcPr>
                <w:p w14:paraId="7D6BBF79">
                  <w:pPr>
                    <w:widowControl/>
                    <w:jc w:val="center"/>
                    <w:rPr>
                      <w:rFonts w:ascii="Times New Roman" w:hAnsi="Times New Roman" w:eastAsiaTheme="minorEastAsia"/>
                      <w:color w:val="auto"/>
                      <w:spacing w:val="-6"/>
                      <w:szCs w:val="21"/>
                      <w:highlight w:val="none"/>
                    </w:rPr>
                  </w:pPr>
                </w:p>
              </w:tc>
            </w:tr>
            <w:tr w14:paraId="041A37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642" w:type="dxa"/>
                  <w:shd w:val="clear" w:color="auto" w:fill="auto"/>
                  <w:vAlign w:val="center"/>
                </w:tcPr>
                <w:p w14:paraId="59F0912F">
                  <w:pPr>
                    <w:jc w:val="center"/>
                    <w:rPr>
                      <w:rFonts w:hint="eastAsia"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废水</w:t>
                  </w:r>
                </w:p>
              </w:tc>
              <w:tc>
                <w:tcPr>
                  <w:tcW w:w="597" w:type="dxa"/>
                  <w:shd w:val="clear" w:color="auto" w:fill="auto"/>
                  <w:vAlign w:val="center"/>
                </w:tcPr>
                <w:p w14:paraId="2B69CE66">
                  <w:pPr>
                    <w:widowControl/>
                    <w:jc w:val="center"/>
                    <w:rPr>
                      <w:rFonts w:hint="eastAsia" w:ascii="Times New Roman" w:hAnsi="Times New Roman" w:eastAsiaTheme="minorEastAsia"/>
                      <w:color w:val="auto"/>
                      <w:szCs w:val="21"/>
                      <w:highlight w:val="none"/>
                      <w:lang w:eastAsia="zh-CN"/>
                    </w:rPr>
                  </w:pPr>
                  <w:r>
                    <w:rPr>
                      <w:rFonts w:hint="eastAsia" w:ascii="Times New Roman" w:hAnsi="Times New Roman" w:eastAsiaTheme="minorEastAsia"/>
                      <w:color w:val="auto"/>
                      <w:szCs w:val="21"/>
                      <w:highlight w:val="none"/>
                      <w:lang w:eastAsia="zh-CN"/>
                    </w:rPr>
                    <w:t>—</w:t>
                  </w:r>
                </w:p>
              </w:tc>
              <w:tc>
                <w:tcPr>
                  <w:tcW w:w="1812" w:type="dxa"/>
                  <w:shd w:val="clear" w:color="auto" w:fill="auto"/>
                  <w:vAlign w:val="center"/>
                </w:tcPr>
                <w:p w14:paraId="1A4CEE3A">
                  <w:pPr>
                    <w:autoSpaceDE w:val="0"/>
                    <w:autoSpaceDN w:val="0"/>
                    <w:adjustRightInd w:val="0"/>
                    <w:jc w:val="center"/>
                    <w:rPr>
                      <w:rFonts w:hint="default" w:ascii="Times New Roman" w:hAnsi="Times New Roman" w:eastAsiaTheme="minorEastAsia"/>
                      <w:color w:val="auto"/>
                      <w:kern w:val="0"/>
                      <w:szCs w:val="21"/>
                      <w:highlight w:val="none"/>
                      <w:lang w:val="en-US" w:eastAsia="zh-CN"/>
                    </w:rPr>
                  </w:pPr>
                  <w:r>
                    <w:rPr>
                      <w:rFonts w:hint="eastAsia" w:ascii="Times New Roman" w:hAnsi="Times New Roman" w:eastAsiaTheme="minorEastAsia"/>
                      <w:color w:val="auto"/>
                      <w:kern w:val="0"/>
                      <w:szCs w:val="21"/>
                      <w:highlight w:val="none"/>
                      <w:lang w:val="en-US" w:eastAsia="zh-CN"/>
                    </w:rPr>
                    <w:t>职工生活</w:t>
                  </w:r>
                </w:p>
              </w:tc>
              <w:tc>
                <w:tcPr>
                  <w:tcW w:w="2320" w:type="dxa"/>
                  <w:shd w:val="clear" w:color="auto" w:fill="auto"/>
                  <w:vAlign w:val="center"/>
                </w:tcPr>
                <w:p w14:paraId="175D8C6E">
                  <w:pPr>
                    <w:adjustRightInd w:val="0"/>
                    <w:snapToGrid w:val="0"/>
                    <w:jc w:val="center"/>
                    <w:rPr>
                      <w:rFonts w:ascii="Times New Roman" w:hAnsi="Times New Roman" w:eastAsiaTheme="minorEastAsia"/>
                      <w:color w:val="auto"/>
                      <w:kern w:val="0"/>
                      <w:szCs w:val="21"/>
                      <w:highlight w:val="none"/>
                    </w:rPr>
                  </w:pPr>
                  <w:r>
                    <w:rPr>
                      <w:rFonts w:hint="default" w:ascii="Times New Roman" w:hAnsi="Times New Roman" w:cs="Times New Roman"/>
                      <w:snapToGrid w:val="0"/>
                      <w:color w:val="auto"/>
                      <w:kern w:val="0"/>
                      <w:sz w:val="21"/>
                      <w:szCs w:val="21"/>
                      <w:highlight w:val="none"/>
                    </w:rPr>
                    <w:t>COD</w:t>
                  </w:r>
                  <w:r>
                    <w:rPr>
                      <w:rFonts w:hint="eastAsia" w:ascii="Times New Roman" w:hAnsi="Times New Roman" w:cs="Times New Roman"/>
                      <w:snapToGrid w:val="0"/>
                      <w:color w:val="auto"/>
                      <w:kern w:val="0"/>
                      <w:sz w:val="21"/>
                      <w:szCs w:val="21"/>
                      <w:highlight w:val="none"/>
                      <w:lang w:eastAsia="zh-CN"/>
                    </w:rPr>
                    <w:t>、</w:t>
                  </w:r>
                  <w:r>
                    <w:rPr>
                      <w:rFonts w:hint="default" w:ascii="Times New Roman" w:hAnsi="Times New Roman" w:cs="Times New Roman"/>
                      <w:snapToGrid w:val="0"/>
                      <w:color w:val="auto"/>
                      <w:kern w:val="0"/>
                      <w:sz w:val="21"/>
                      <w:szCs w:val="21"/>
                      <w:highlight w:val="none"/>
                    </w:rPr>
                    <w:t>BOD</w:t>
                  </w:r>
                  <w:r>
                    <w:rPr>
                      <w:rFonts w:hint="default" w:ascii="Times New Roman" w:hAnsi="Times New Roman" w:cs="Times New Roman"/>
                      <w:snapToGrid w:val="0"/>
                      <w:color w:val="auto"/>
                      <w:kern w:val="0"/>
                      <w:sz w:val="21"/>
                      <w:szCs w:val="21"/>
                      <w:highlight w:val="none"/>
                      <w:vertAlign w:val="subscript"/>
                    </w:rPr>
                    <w:t>5</w:t>
                  </w:r>
                  <w:r>
                    <w:rPr>
                      <w:rFonts w:hint="eastAsia" w:ascii="Times New Roman" w:hAnsi="Times New Roman" w:cs="Times New Roman"/>
                      <w:snapToGrid w:val="0"/>
                      <w:color w:val="auto"/>
                      <w:kern w:val="0"/>
                      <w:sz w:val="21"/>
                      <w:szCs w:val="21"/>
                      <w:highlight w:val="none"/>
                      <w:vertAlign w:val="baseline"/>
                      <w:lang w:eastAsia="zh-CN"/>
                    </w:rPr>
                    <w:t>、</w:t>
                  </w:r>
                  <w:r>
                    <w:rPr>
                      <w:rFonts w:hint="default" w:ascii="Times New Roman" w:hAnsi="Times New Roman" w:cs="Times New Roman"/>
                      <w:snapToGrid w:val="0"/>
                      <w:color w:val="auto"/>
                      <w:kern w:val="0"/>
                      <w:sz w:val="21"/>
                      <w:szCs w:val="21"/>
                      <w:highlight w:val="none"/>
                    </w:rPr>
                    <w:t>氨氮</w:t>
                  </w:r>
                  <w:r>
                    <w:rPr>
                      <w:rFonts w:hint="eastAsia" w:ascii="Times New Roman" w:hAnsi="Times New Roman" w:cs="Times New Roman"/>
                      <w:snapToGrid w:val="0"/>
                      <w:color w:val="auto"/>
                      <w:kern w:val="0"/>
                      <w:sz w:val="21"/>
                      <w:szCs w:val="21"/>
                      <w:highlight w:val="none"/>
                      <w:lang w:eastAsia="zh-CN"/>
                    </w:rPr>
                    <w:t>、</w:t>
                  </w:r>
                  <w:r>
                    <w:rPr>
                      <w:rFonts w:hint="default" w:ascii="Times New Roman" w:hAnsi="Times New Roman" w:cs="Times New Roman"/>
                      <w:snapToGrid w:val="0"/>
                      <w:color w:val="auto"/>
                      <w:kern w:val="0"/>
                      <w:sz w:val="21"/>
                      <w:szCs w:val="21"/>
                      <w:highlight w:val="none"/>
                    </w:rPr>
                    <w:t>总氮</w:t>
                  </w:r>
                  <w:r>
                    <w:rPr>
                      <w:rFonts w:hint="eastAsia" w:ascii="Times New Roman" w:hAnsi="Times New Roman" w:cs="Times New Roman"/>
                      <w:snapToGrid w:val="0"/>
                      <w:color w:val="auto"/>
                      <w:kern w:val="0"/>
                      <w:sz w:val="21"/>
                      <w:szCs w:val="21"/>
                      <w:highlight w:val="none"/>
                      <w:lang w:eastAsia="zh-CN"/>
                    </w:rPr>
                    <w:t>、</w:t>
                  </w:r>
                  <w:r>
                    <w:rPr>
                      <w:rFonts w:hint="default" w:ascii="Times New Roman" w:hAnsi="Times New Roman" w:cs="Times New Roman"/>
                      <w:snapToGrid w:val="0"/>
                      <w:color w:val="auto"/>
                      <w:kern w:val="0"/>
                      <w:sz w:val="21"/>
                      <w:szCs w:val="21"/>
                      <w:highlight w:val="none"/>
                    </w:rPr>
                    <w:t>总磷</w:t>
                  </w:r>
                  <w:r>
                    <w:rPr>
                      <w:rFonts w:hint="eastAsia" w:ascii="Times New Roman" w:hAnsi="Times New Roman" w:cs="Times New Roman"/>
                      <w:snapToGrid w:val="0"/>
                      <w:color w:val="auto"/>
                      <w:kern w:val="0"/>
                      <w:sz w:val="21"/>
                      <w:szCs w:val="21"/>
                      <w:highlight w:val="none"/>
                      <w:lang w:eastAsia="zh-CN"/>
                    </w:rPr>
                    <w:t>、</w:t>
                  </w:r>
                  <w:r>
                    <w:rPr>
                      <w:rFonts w:hint="default" w:ascii="Times New Roman" w:hAnsi="Times New Roman" w:cs="Times New Roman"/>
                      <w:snapToGrid w:val="0"/>
                      <w:color w:val="auto"/>
                      <w:kern w:val="0"/>
                      <w:sz w:val="21"/>
                      <w:szCs w:val="21"/>
                      <w:highlight w:val="none"/>
                    </w:rPr>
                    <w:t>SS</w:t>
                  </w:r>
                  <w:r>
                    <w:rPr>
                      <w:rFonts w:hint="eastAsia" w:ascii="Times New Roman" w:hAnsi="Times New Roman" w:cs="Times New Roman"/>
                      <w:snapToGrid w:val="0"/>
                      <w:color w:val="auto"/>
                      <w:kern w:val="0"/>
                      <w:sz w:val="21"/>
                      <w:szCs w:val="21"/>
                      <w:highlight w:val="none"/>
                      <w:lang w:eastAsia="zh-CN"/>
                    </w:rPr>
                    <w:t>、</w:t>
                  </w:r>
                  <w:r>
                    <w:rPr>
                      <w:rFonts w:hint="default" w:ascii="Times New Roman" w:hAnsi="Times New Roman" w:cs="Times New Roman"/>
                      <w:snapToGrid w:val="0"/>
                      <w:color w:val="auto"/>
                      <w:kern w:val="0"/>
                      <w:sz w:val="21"/>
                      <w:szCs w:val="21"/>
                      <w:highlight w:val="none"/>
                    </w:rPr>
                    <w:t>动植物油</w:t>
                  </w:r>
                  <w:r>
                    <w:rPr>
                      <w:rFonts w:hint="eastAsia" w:ascii="Times New Roman" w:hAnsi="Times New Roman" w:cs="Times New Roman"/>
                      <w:snapToGrid w:val="0"/>
                      <w:color w:val="auto"/>
                      <w:kern w:val="0"/>
                      <w:sz w:val="21"/>
                      <w:szCs w:val="21"/>
                      <w:highlight w:val="none"/>
                      <w:lang w:eastAsia="zh-CN"/>
                    </w:rPr>
                    <w:t>、</w:t>
                  </w:r>
                  <w:r>
                    <w:rPr>
                      <w:rFonts w:hint="eastAsia" w:ascii="Times New Roman" w:hAnsi="Times New Roman" w:cs="Times New Roman"/>
                      <w:snapToGrid w:val="0"/>
                      <w:color w:val="auto"/>
                      <w:kern w:val="0"/>
                      <w:sz w:val="21"/>
                      <w:szCs w:val="21"/>
                      <w:highlight w:val="none"/>
                      <w:lang w:val="en-US" w:eastAsia="zh-CN"/>
                    </w:rPr>
                    <w:t>色度</w:t>
                  </w:r>
                </w:p>
              </w:tc>
              <w:tc>
                <w:tcPr>
                  <w:tcW w:w="2887" w:type="dxa"/>
                  <w:shd w:val="clear" w:color="auto" w:fill="auto"/>
                  <w:vAlign w:val="center"/>
                </w:tcPr>
                <w:p w14:paraId="7FFCD040">
                  <w:pPr>
                    <w:widowControl/>
                    <w:jc w:val="center"/>
                    <w:rPr>
                      <w:rFonts w:hint="default" w:ascii="Times New Roman" w:hAnsi="Times New Roman" w:eastAsiaTheme="minorEastAsia"/>
                      <w:color w:val="auto"/>
                      <w:spacing w:val="-6"/>
                      <w:szCs w:val="21"/>
                      <w:highlight w:val="none"/>
                      <w:lang w:val="en-US" w:eastAsia="zh-CN"/>
                    </w:rPr>
                  </w:pPr>
                  <w:r>
                    <w:rPr>
                      <w:rFonts w:hint="eastAsia" w:ascii="Times New Roman" w:hAnsi="Times New Roman" w:eastAsiaTheme="minorEastAsia"/>
                      <w:color w:val="auto"/>
                      <w:spacing w:val="-6"/>
                      <w:szCs w:val="21"/>
                      <w:highlight w:val="none"/>
                      <w:lang w:val="en-US" w:eastAsia="zh-CN"/>
                    </w:rPr>
                    <w:t>依托现有管网排入徐水区大王店污水处理厂</w:t>
                  </w:r>
                </w:p>
              </w:tc>
            </w:tr>
            <w:tr w14:paraId="545306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642" w:type="dxa"/>
                  <w:vMerge w:val="restart"/>
                  <w:shd w:val="clear" w:color="auto" w:fill="auto"/>
                  <w:vAlign w:val="center"/>
                </w:tcPr>
                <w:p w14:paraId="355DDCD5">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固体废物</w:t>
                  </w:r>
                </w:p>
              </w:tc>
              <w:tc>
                <w:tcPr>
                  <w:tcW w:w="597" w:type="dxa"/>
                  <w:vMerge w:val="restart"/>
                  <w:shd w:val="clear" w:color="auto" w:fill="auto"/>
                  <w:vAlign w:val="center"/>
                </w:tcPr>
                <w:p w14:paraId="2B31EFFF">
                  <w:pPr>
                    <w:widowControl/>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S</w:t>
                  </w:r>
                  <w:r>
                    <w:rPr>
                      <w:rFonts w:ascii="Times New Roman" w:hAnsi="Times New Roman" w:eastAsiaTheme="minorEastAsia"/>
                      <w:color w:val="auto"/>
                      <w:szCs w:val="21"/>
                      <w:highlight w:val="none"/>
                      <w:vertAlign w:val="subscript"/>
                    </w:rPr>
                    <w:t>1</w:t>
                  </w:r>
                </w:p>
              </w:tc>
              <w:tc>
                <w:tcPr>
                  <w:tcW w:w="1812" w:type="dxa"/>
                  <w:shd w:val="clear" w:color="auto" w:fill="auto"/>
                  <w:vAlign w:val="center"/>
                </w:tcPr>
                <w:p w14:paraId="462030F9">
                  <w:pPr>
                    <w:autoSpaceDE w:val="0"/>
                    <w:autoSpaceDN w:val="0"/>
                    <w:adjustRightInd w:val="0"/>
                    <w:jc w:val="center"/>
                    <w:rPr>
                      <w:rFonts w:ascii="Times New Roman" w:hAnsi="Times New Roman" w:eastAsiaTheme="minorEastAsia"/>
                      <w:color w:val="auto"/>
                      <w:szCs w:val="21"/>
                      <w:highlight w:val="none"/>
                    </w:rPr>
                  </w:pPr>
                  <w:r>
                    <w:rPr>
                      <w:rFonts w:ascii="Times New Roman" w:hAnsi="Times New Roman" w:eastAsiaTheme="minorEastAsia"/>
                      <w:color w:val="auto"/>
                      <w:kern w:val="0"/>
                      <w:szCs w:val="21"/>
                      <w:highlight w:val="none"/>
                    </w:rPr>
                    <w:t>仓储过程、废电池泄露</w:t>
                  </w:r>
                </w:p>
              </w:tc>
              <w:tc>
                <w:tcPr>
                  <w:tcW w:w="2320" w:type="dxa"/>
                  <w:shd w:val="clear" w:color="auto" w:fill="auto"/>
                  <w:vAlign w:val="center"/>
                </w:tcPr>
                <w:p w14:paraId="2474F34A">
                  <w:pPr>
                    <w:autoSpaceDE w:val="0"/>
                    <w:autoSpaceDN w:val="0"/>
                    <w:adjustRightInd w:val="0"/>
                    <w:jc w:val="center"/>
                    <w:rPr>
                      <w:rFonts w:ascii="Times New Roman" w:hAnsi="Times New Roman" w:eastAsiaTheme="minorEastAsia"/>
                      <w:color w:val="auto"/>
                      <w:szCs w:val="21"/>
                      <w:highlight w:val="none"/>
                    </w:rPr>
                  </w:pPr>
                  <w:r>
                    <w:rPr>
                      <w:rFonts w:ascii="Times New Roman" w:hAnsi="Times New Roman" w:eastAsiaTheme="minorEastAsia"/>
                      <w:color w:val="auto"/>
                      <w:kern w:val="0"/>
                      <w:szCs w:val="21"/>
                      <w:highlight w:val="none"/>
                    </w:rPr>
                    <w:t>沾染电解液废劳保用品、废拖把、废抹布</w:t>
                  </w:r>
                  <w:r>
                    <w:rPr>
                      <w:rFonts w:hint="eastAsia" w:ascii="Times New Roman" w:hAnsi="Times New Roman" w:eastAsiaTheme="minorEastAsia"/>
                      <w:color w:val="auto"/>
                      <w:kern w:val="0"/>
                      <w:szCs w:val="21"/>
                      <w:highlight w:val="none"/>
                      <w:lang w:val="en-US" w:eastAsia="zh-CN"/>
                    </w:rPr>
                    <w:t>和破损的箱子</w:t>
                  </w:r>
                  <w:r>
                    <w:rPr>
                      <w:rFonts w:hint="eastAsia" w:ascii="Times New Roman" w:hAnsi="Times New Roman" w:eastAsiaTheme="minorEastAsia"/>
                      <w:color w:val="auto"/>
                      <w:kern w:val="0"/>
                      <w:szCs w:val="21"/>
                      <w:highlight w:val="none"/>
                      <w:lang w:eastAsia="zh-CN"/>
                    </w:rPr>
                    <w:t>，</w:t>
                  </w:r>
                  <w:r>
                    <w:rPr>
                      <w:rFonts w:ascii="Times New Roman" w:hAnsi="Times New Roman" w:eastAsiaTheme="minorEastAsia"/>
                      <w:color w:val="auto"/>
                      <w:kern w:val="0"/>
                      <w:szCs w:val="21"/>
                      <w:highlight w:val="none"/>
                    </w:rPr>
                    <w:t>泄露电解液</w:t>
                  </w:r>
                </w:p>
              </w:tc>
              <w:tc>
                <w:tcPr>
                  <w:tcW w:w="2887" w:type="dxa"/>
                  <w:vMerge w:val="restart"/>
                  <w:shd w:val="clear" w:color="auto" w:fill="auto"/>
                  <w:vAlign w:val="center"/>
                </w:tcPr>
                <w:p w14:paraId="74CAD814">
                  <w:pPr>
                    <w:widowControl/>
                    <w:jc w:val="center"/>
                    <w:rPr>
                      <w:rFonts w:hint="default" w:ascii="Times New Roman" w:hAnsi="Times New Roman" w:eastAsiaTheme="minorEastAsia"/>
                      <w:color w:val="auto"/>
                      <w:spacing w:val="-6"/>
                      <w:szCs w:val="21"/>
                      <w:highlight w:val="none"/>
                      <w:lang w:val="en-US" w:eastAsia="zh-CN"/>
                    </w:rPr>
                  </w:pPr>
                  <w:r>
                    <w:rPr>
                      <w:rFonts w:hint="eastAsia" w:ascii="Times New Roman" w:hAnsi="Times New Roman" w:eastAsiaTheme="minorEastAsia"/>
                      <w:color w:val="auto"/>
                      <w:spacing w:val="-6"/>
                      <w:szCs w:val="21"/>
                      <w:highlight w:val="none"/>
                      <w:lang w:val="en-US" w:eastAsia="zh-CN"/>
                    </w:rPr>
                    <w:t>暂存于危废暂存间，交由资质单位处置</w:t>
                  </w:r>
                </w:p>
              </w:tc>
            </w:tr>
            <w:tr w14:paraId="569C69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2" w:type="dxa"/>
                  <w:vMerge w:val="continue"/>
                  <w:shd w:val="clear" w:color="auto" w:fill="auto"/>
                  <w:vAlign w:val="center"/>
                </w:tcPr>
                <w:p w14:paraId="3A012059">
                  <w:pPr>
                    <w:jc w:val="center"/>
                    <w:rPr>
                      <w:rFonts w:ascii="Times New Roman" w:hAnsi="Times New Roman" w:eastAsiaTheme="minorEastAsia"/>
                      <w:color w:val="auto"/>
                      <w:szCs w:val="21"/>
                      <w:highlight w:val="none"/>
                    </w:rPr>
                  </w:pPr>
                </w:p>
              </w:tc>
              <w:tc>
                <w:tcPr>
                  <w:tcW w:w="597" w:type="dxa"/>
                  <w:vMerge w:val="continue"/>
                  <w:shd w:val="clear" w:color="auto" w:fill="auto"/>
                  <w:vAlign w:val="center"/>
                </w:tcPr>
                <w:p w14:paraId="4EA09A7B">
                  <w:pPr>
                    <w:widowControl/>
                    <w:jc w:val="center"/>
                    <w:rPr>
                      <w:rFonts w:ascii="Times New Roman" w:hAnsi="Times New Roman" w:eastAsiaTheme="minorEastAsia"/>
                      <w:color w:val="auto"/>
                      <w:szCs w:val="21"/>
                      <w:highlight w:val="none"/>
                    </w:rPr>
                  </w:pPr>
                </w:p>
              </w:tc>
              <w:tc>
                <w:tcPr>
                  <w:tcW w:w="1812" w:type="dxa"/>
                  <w:shd w:val="clear" w:color="auto" w:fill="auto"/>
                  <w:vAlign w:val="center"/>
                </w:tcPr>
                <w:p w14:paraId="36223912">
                  <w:pPr>
                    <w:widowControl/>
                    <w:jc w:val="center"/>
                    <w:rPr>
                      <w:rFonts w:ascii="Times New Roman" w:hAnsi="Times New Roman" w:eastAsiaTheme="minorEastAsia"/>
                      <w:color w:val="auto"/>
                      <w:szCs w:val="21"/>
                      <w:highlight w:val="none"/>
                    </w:rPr>
                  </w:pPr>
                  <w:r>
                    <w:rPr>
                      <w:rFonts w:ascii="Times New Roman" w:hAnsi="Times New Roman" w:eastAsiaTheme="minorEastAsia"/>
                      <w:color w:val="auto"/>
                      <w:kern w:val="0"/>
                      <w:szCs w:val="21"/>
                      <w:highlight w:val="none"/>
                    </w:rPr>
                    <w:t>脱硫塔</w:t>
                  </w:r>
                </w:p>
              </w:tc>
              <w:tc>
                <w:tcPr>
                  <w:tcW w:w="2320" w:type="dxa"/>
                  <w:shd w:val="clear" w:color="auto" w:fill="auto"/>
                  <w:vAlign w:val="center"/>
                </w:tcPr>
                <w:p w14:paraId="7AE467A3">
                  <w:pPr>
                    <w:widowControl/>
                    <w:jc w:val="center"/>
                    <w:rPr>
                      <w:rFonts w:ascii="Times New Roman" w:hAnsi="Times New Roman" w:eastAsiaTheme="minorEastAsia"/>
                      <w:color w:val="auto"/>
                      <w:szCs w:val="21"/>
                      <w:highlight w:val="none"/>
                    </w:rPr>
                  </w:pPr>
                  <w:r>
                    <w:rPr>
                      <w:rFonts w:ascii="Times New Roman" w:hAnsi="Times New Roman" w:eastAsiaTheme="minorEastAsia"/>
                      <w:color w:val="auto"/>
                      <w:kern w:val="0"/>
                      <w:szCs w:val="21"/>
                      <w:highlight w:val="none"/>
                    </w:rPr>
                    <w:t>废脱硫塔吸收液</w:t>
                  </w:r>
                </w:p>
              </w:tc>
              <w:tc>
                <w:tcPr>
                  <w:tcW w:w="2887" w:type="dxa"/>
                  <w:vMerge w:val="continue"/>
                  <w:shd w:val="clear" w:color="auto" w:fill="auto"/>
                  <w:vAlign w:val="center"/>
                </w:tcPr>
                <w:p w14:paraId="0057F41B">
                  <w:pPr>
                    <w:widowControl/>
                    <w:jc w:val="center"/>
                    <w:rPr>
                      <w:rFonts w:ascii="Times New Roman" w:hAnsi="Times New Roman" w:eastAsiaTheme="minorEastAsia"/>
                      <w:color w:val="auto"/>
                      <w:spacing w:val="-6"/>
                      <w:szCs w:val="21"/>
                      <w:highlight w:val="none"/>
                    </w:rPr>
                  </w:pPr>
                </w:p>
              </w:tc>
            </w:tr>
            <w:tr w14:paraId="539F42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vMerge w:val="continue"/>
                  <w:shd w:val="clear" w:color="auto" w:fill="auto"/>
                  <w:vAlign w:val="center"/>
                </w:tcPr>
                <w:p w14:paraId="6DEC5EF5">
                  <w:pPr>
                    <w:rPr>
                      <w:rFonts w:ascii="Times New Roman" w:hAnsi="Times New Roman" w:eastAsiaTheme="minorEastAsia"/>
                      <w:color w:val="auto"/>
                      <w:szCs w:val="21"/>
                      <w:highlight w:val="none"/>
                    </w:rPr>
                  </w:pPr>
                </w:p>
              </w:tc>
              <w:tc>
                <w:tcPr>
                  <w:tcW w:w="597" w:type="dxa"/>
                  <w:shd w:val="clear" w:color="auto" w:fill="auto"/>
                  <w:vAlign w:val="center"/>
                </w:tcPr>
                <w:p w14:paraId="6FEB6E3C">
                  <w:pPr>
                    <w:widowControl/>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w:t>
                  </w:r>
                </w:p>
              </w:tc>
              <w:tc>
                <w:tcPr>
                  <w:tcW w:w="1812" w:type="dxa"/>
                  <w:shd w:val="clear" w:color="auto" w:fill="auto"/>
                  <w:vAlign w:val="center"/>
                </w:tcPr>
                <w:p w14:paraId="6D25848A">
                  <w:pPr>
                    <w:widowControl/>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职工生活</w:t>
                  </w:r>
                </w:p>
              </w:tc>
              <w:tc>
                <w:tcPr>
                  <w:tcW w:w="2320" w:type="dxa"/>
                  <w:shd w:val="clear" w:color="auto" w:fill="auto"/>
                  <w:vAlign w:val="center"/>
                </w:tcPr>
                <w:p w14:paraId="6A2E7129">
                  <w:pPr>
                    <w:widowControl/>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生活垃圾</w:t>
                  </w:r>
                </w:p>
              </w:tc>
              <w:tc>
                <w:tcPr>
                  <w:tcW w:w="2887" w:type="dxa"/>
                  <w:shd w:val="clear" w:color="auto" w:fill="auto"/>
                  <w:vAlign w:val="center"/>
                </w:tcPr>
                <w:p w14:paraId="051C87BE">
                  <w:pPr>
                    <w:widowControl/>
                    <w:jc w:val="center"/>
                    <w:rPr>
                      <w:rFonts w:hint="default" w:ascii="Times New Roman" w:hAnsi="Times New Roman" w:eastAsiaTheme="minorEastAsia"/>
                      <w:color w:val="auto"/>
                      <w:spacing w:val="-6"/>
                      <w:szCs w:val="21"/>
                      <w:highlight w:val="none"/>
                      <w:lang w:val="en-US" w:eastAsia="zh-CN"/>
                    </w:rPr>
                  </w:pPr>
                  <w:r>
                    <w:rPr>
                      <w:rFonts w:hint="eastAsia" w:ascii="Times New Roman" w:hAnsi="Times New Roman" w:eastAsiaTheme="minorEastAsia"/>
                      <w:color w:val="auto"/>
                      <w:spacing w:val="-6"/>
                      <w:szCs w:val="21"/>
                      <w:highlight w:val="none"/>
                      <w:lang w:val="en-US" w:eastAsia="zh-CN"/>
                    </w:rPr>
                    <w:t>委托环卫部门处置</w:t>
                  </w:r>
                </w:p>
              </w:tc>
            </w:tr>
          </w:tbl>
          <w:p w14:paraId="61E0CA99">
            <w:pPr>
              <w:rPr>
                <w:rFonts w:ascii="Times New Roman" w:hAnsi="Times New Roman" w:eastAsiaTheme="minorEastAsia"/>
                <w:color w:val="auto"/>
                <w:sz w:val="24"/>
                <w:szCs w:val="24"/>
                <w:highlight w:val="none"/>
              </w:rPr>
            </w:pPr>
          </w:p>
        </w:tc>
      </w:tr>
      <w:tr w14:paraId="6734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jc w:val="center"/>
        </w:trPr>
        <w:tc>
          <w:tcPr>
            <w:tcW w:w="294" w:type="pct"/>
            <w:shd w:val="clear" w:color="auto" w:fill="auto"/>
          </w:tcPr>
          <w:p w14:paraId="60022392">
            <w:pPr>
              <w:jc w:val="center"/>
              <w:rPr>
                <w:rFonts w:hint="eastAsia"/>
                <w:color w:val="auto"/>
                <w:highlight w:val="none"/>
              </w:rPr>
            </w:pPr>
            <w:bookmarkStart w:id="18" w:name="_Toc28402"/>
            <w:r>
              <w:rPr>
                <w:rFonts w:ascii="Times New Roman" w:hAnsi="Times New Roman"/>
                <w:b/>
                <w:bCs/>
                <w:color w:val="auto"/>
                <w:sz w:val="24"/>
                <w:szCs w:val="24"/>
                <w:highlight w:val="none"/>
              </w:rPr>
              <w:t>项目有关的原有环境污染问题</w:t>
            </w:r>
          </w:p>
        </w:tc>
        <w:tc>
          <w:tcPr>
            <w:tcW w:w="4705" w:type="pct"/>
            <w:shd w:val="clear" w:color="auto" w:fill="auto"/>
          </w:tcPr>
          <w:p w14:paraId="7938FC7D">
            <w:pPr>
              <w:autoSpaceDE w:val="0"/>
              <w:autoSpaceDN w:val="0"/>
              <w:adjustRightInd w:val="0"/>
              <w:spacing w:line="360" w:lineRule="auto"/>
              <w:ind w:firstLine="480" w:firstLineChars="200"/>
              <w:jc w:val="left"/>
              <w:rPr>
                <w:rFonts w:hint="eastAsia" w:ascii="宋体" w:hAnsi="Times New Roman" w:cs="宋体"/>
                <w:color w:val="auto"/>
                <w:kern w:val="0"/>
                <w:sz w:val="24"/>
                <w:szCs w:val="24"/>
                <w:highlight w:val="none"/>
              </w:rPr>
            </w:pPr>
            <w:r>
              <w:rPr>
                <w:rFonts w:hint="eastAsia" w:ascii="宋体" w:hAnsi="Times New Roman" w:cs="宋体"/>
                <w:color w:val="auto"/>
                <w:kern w:val="0"/>
                <w:sz w:val="24"/>
                <w:szCs w:val="24"/>
                <w:highlight w:val="none"/>
              </w:rPr>
              <w:t>本项目租赁现有闲置厂房，现状为</w:t>
            </w:r>
            <w:r>
              <w:rPr>
                <w:rFonts w:hint="eastAsia" w:ascii="宋体" w:hAnsi="Times New Roman" w:cs="宋体"/>
                <w:color w:val="auto"/>
                <w:kern w:val="0"/>
                <w:sz w:val="24"/>
                <w:szCs w:val="24"/>
                <w:highlight w:val="none"/>
                <w:lang w:val="en-US" w:eastAsia="zh-CN"/>
              </w:rPr>
              <w:t>闲置车间</w:t>
            </w:r>
            <w:r>
              <w:rPr>
                <w:rFonts w:hint="eastAsia" w:ascii="宋体" w:hAnsi="Times New Roman" w:cs="宋体"/>
                <w:color w:val="auto"/>
                <w:kern w:val="0"/>
                <w:sz w:val="24"/>
                <w:szCs w:val="24"/>
                <w:highlight w:val="none"/>
              </w:rPr>
              <w:t>，无与项目有关的原有环境污染问题。本项目建设将按有关规范要求对厂房内部墙面、地面等重新分区规划建设。</w:t>
            </w:r>
          </w:p>
          <w:p w14:paraId="1987A265">
            <w:pPr>
              <w:autoSpaceDE w:val="0"/>
              <w:autoSpaceDN w:val="0"/>
              <w:adjustRightInd w:val="0"/>
              <w:spacing w:line="360" w:lineRule="auto"/>
              <w:ind w:firstLine="480" w:firstLineChars="200"/>
              <w:jc w:val="left"/>
              <w:rPr>
                <w:rFonts w:hint="eastAsia" w:ascii="宋体" w:hAnsi="Times New Roman" w:cs="宋体"/>
                <w:color w:val="auto"/>
                <w:kern w:val="0"/>
                <w:sz w:val="24"/>
                <w:szCs w:val="24"/>
                <w:highlight w:val="none"/>
              </w:rPr>
            </w:pPr>
          </w:p>
          <w:p w14:paraId="6DA461DD">
            <w:pPr>
              <w:autoSpaceDE w:val="0"/>
              <w:autoSpaceDN w:val="0"/>
              <w:adjustRightInd w:val="0"/>
              <w:spacing w:line="360" w:lineRule="auto"/>
              <w:ind w:firstLine="480" w:firstLineChars="200"/>
              <w:jc w:val="left"/>
              <w:rPr>
                <w:rFonts w:hint="eastAsia" w:ascii="宋体" w:hAnsi="Times New Roman" w:cs="宋体"/>
                <w:color w:val="auto"/>
                <w:kern w:val="0"/>
                <w:sz w:val="24"/>
                <w:szCs w:val="24"/>
                <w:highlight w:val="none"/>
              </w:rPr>
            </w:pPr>
          </w:p>
          <w:p w14:paraId="6879B571">
            <w:pPr>
              <w:autoSpaceDE w:val="0"/>
              <w:autoSpaceDN w:val="0"/>
              <w:adjustRightInd w:val="0"/>
              <w:spacing w:line="360" w:lineRule="auto"/>
              <w:ind w:firstLine="480" w:firstLineChars="200"/>
              <w:jc w:val="left"/>
              <w:rPr>
                <w:rFonts w:hint="eastAsia" w:ascii="宋体" w:hAnsi="Times New Roman" w:cs="宋体"/>
                <w:color w:val="auto"/>
                <w:kern w:val="0"/>
                <w:sz w:val="24"/>
                <w:szCs w:val="24"/>
                <w:highlight w:val="none"/>
              </w:rPr>
            </w:pPr>
          </w:p>
          <w:p w14:paraId="20873702">
            <w:pPr>
              <w:autoSpaceDE w:val="0"/>
              <w:autoSpaceDN w:val="0"/>
              <w:adjustRightInd w:val="0"/>
              <w:spacing w:line="360" w:lineRule="auto"/>
              <w:ind w:firstLine="480" w:firstLineChars="200"/>
              <w:jc w:val="left"/>
              <w:rPr>
                <w:rFonts w:hint="eastAsia" w:ascii="宋体" w:hAnsi="Times New Roman" w:cs="宋体"/>
                <w:color w:val="auto"/>
                <w:kern w:val="0"/>
                <w:sz w:val="24"/>
                <w:szCs w:val="24"/>
                <w:highlight w:val="none"/>
              </w:rPr>
            </w:pPr>
          </w:p>
          <w:p w14:paraId="598DCFFD">
            <w:pPr>
              <w:autoSpaceDE w:val="0"/>
              <w:autoSpaceDN w:val="0"/>
              <w:adjustRightInd w:val="0"/>
              <w:spacing w:line="360" w:lineRule="auto"/>
              <w:ind w:firstLine="480" w:firstLineChars="200"/>
              <w:jc w:val="left"/>
              <w:rPr>
                <w:rFonts w:hint="eastAsia" w:ascii="宋体" w:hAnsi="Times New Roman" w:cs="宋体"/>
                <w:color w:val="auto"/>
                <w:kern w:val="0"/>
                <w:sz w:val="24"/>
                <w:szCs w:val="24"/>
                <w:highlight w:val="none"/>
              </w:rPr>
            </w:pPr>
          </w:p>
          <w:p w14:paraId="19765C7F">
            <w:pPr>
              <w:autoSpaceDE w:val="0"/>
              <w:autoSpaceDN w:val="0"/>
              <w:adjustRightInd w:val="0"/>
              <w:spacing w:line="360" w:lineRule="auto"/>
              <w:ind w:firstLine="480" w:firstLineChars="200"/>
              <w:jc w:val="left"/>
              <w:rPr>
                <w:rFonts w:hint="eastAsia" w:ascii="宋体" w:hAnsi="Times New Roman" w:cs="宋体"/>
                <w:color w:val="auto"/>
                <w:kern w:val="0"/>
                <w:sz w:val="24"/>
                <w:szCs w:val="24"/>
                <w:highlight w:val="none"/>
              </w:rPr>
            </w:pPr>
          </w:p>
          <w:p w14:paraId="0667811F">
            <w:pPr>
              <w:autoSpaceDE w:val="0"/>
              <w:autoSpaceDN w:val="0"/>
              <w:adjustRightInd w:val="0"/>
              <w:spacing w:line="360" w:lineRule="auto"/>
              <w:ind w:firstLine="480" w:firstLineChars="200"/>
              <w:jc w:val="left"/>
              <w:rPr>
                <w:rFonts w:hint="eastAsia" w:ascii="宋体" w:hAnsi="Times New Roman" w:cs="宋体"/>
                <w:color w:val="auto"/>
                <w:kern w:val="0"/>
                <w:sz w:val="24"/>
                <w:szCs w:val="24"/>
                <w:highlight w:val="none"/>
              </w:rPr>
            </w:pPr>
          </w:p>
          <w:p w14:paraId="2ED28CC6">
            <w:pPr>
              <w:autoSpaceDE w:val="0"/>
              <w:autoSpaceDN w:val="0"/>
              <w:adjustRightInd w:val="0"/>
              <w:spacing w:line="360" w:lineRule="auto"/>
              <w:ind w:firstLine="480" w:firstLineChars="200"/>
              <w:jc w:val="left"/>
              <w:rPr>
                <w:rFonts w:hint="eastAsia" w:ascii="宋体" w:hAnsi="Times New Roman" w:cs="宋体"/>
                <w:color w:val="auto"/>
                <w:kern w:val="0"/>
                <w:sz w:val="24"/>
                <w:szCs w:val="24"/>
                <w:highlight w:val="none"/>
              </w:rPr>
            </w:pPr>
          </w:p>
          <w:p w14:paraId="541474E3">
            <w:pPr>
              <w:autoSpaceDE w:val="0"/>
              <w:autoSpaceDN w:val="0"/>
              <w:adjustRightInd w:val="0"/>
              <w:spacing w:line="360" w:lineRule="auto"/>
              <w:ind w:firstLine="480" w:firstLineChars="200"/>
              <w:jc w:val="left"/>
              <w:rPr>
                <w:rFonts w:hint="eastAsia" w:ascii="宋体" w:hAnsi="Times New Roman" w:cs="宋体"/>
                <w:color w:val="auto"/>
                <w:kern w:val="0"/>
                <w:sz w:val="24"/>
                <w:szCs w:val="24"/>
                <w:highlight w:val="none"/>
              </w:rPr>
            </w:pPr>
          </w:p>
          <w:p w14:paraId="7301188D">
            <w:pPr>
              <w:autoSpaceDE w:val="0"/>
              <w:autoSpaceDN w:val="0"/>
              <w:adjustRightInd w:val="0"/>
              <w:spacing w:line="360" w:lineRule="auto"/>
              <w:ind w:firstLine="480" w:firstLineChars="200"/>
              <w:jc w:val="left"/>
              <w:rPr>
                <w:rFonts w:hint="eastAsia" w:ascii="宋体" w:hAnsi="Times New Roman" w:cs="宋体"/>
                <w:color w:val="auto"/>
                <w:kern w:val="0"/>
                <w:sz w:val="24"/>
                <w:szCs w:val="24"/>
                <w:highlight w:val="none"/>
              </w:rPr>
            </w:pPr>
          </w:p>
        </w:tc>
      </w:tr>
    </w:tbl>
    <w:p w14:paraId="79D4398B">
      <w:pPr>
        <w:rPr>
          <w:rFonts w:ascii="Times New Roman" w:hAnsi="Times New Roman" w:eastAsiaTheme="minorEastAsia"/>
          <w:color w:val="auto"/>
          <w:highlight w:val="none"/>
        </w:rPr>
        <w:sectPr>
          <w:pgSz w:w="11907" w:h="16840"/>
          <w:pgMar w:top="1440" w:right="1531" w:bottom="1440" w:left="1531" w:header="851" w:footer="851" w:gutter="0"/>
          <w:pgBorders>
            <w:top w:val="none" w:sz="0" w:space="0"/>
            <w:left w:val="none" w:sz="0" w:space="0"/>
            <w:bottom w:val="none" w:sz="0" w:space="0"/>
            <w:right w:val="none" w:sz="0" w:space="0"/>
          </w:pgBorders>
          <w:cols w:space="720" w:num="1"/>
          <w:docGrid w:linePitch="312" w:charSpace="0"/>
        </w:sectPr>
      </w:pPr>
    </w:p>
    <w:p w14:paraId="19B48145">
      <w:pPr>
        <w:widowControl/>
        <w:jc w:val="center"/>
        <w:outlineLvl w:val="0"/>
        <w:rPr>
          <w:rFonts w:ascii="Times New Roman" w:hAnsi="Times New Roman" w:eastAsiaTheme="minorEastAsia"/>
          <w:b/>
          <w:snapToGrid w:val="0"/>
          <w:color w:val="auto"/>
          <w:kern w:val="0"/>
          <w:sz w:val="30"/>
          <w:szCs w:val="30"/>
          <w:highlight w:val="none"/>
        </w:rPr>
      </w:pPr>
      <w:bookmarkStart w:id="19" w:name="_Toc16012"/>
      <w:r>
        <w:rPr>
          <w:rFonts w:ascii="Times New Roman" w:hAnsi="Times New Roman" w:eastAsiaTheme="minorEastAsia"/>
          <w:b/>
          <w:snapToGrid w:val="0"/>
          <w:color w:val="auto"/>
          <w:kern w:val="0"/>
          <w:sz w:val="30"/>
          <w:szCs w:val="30"/>
          <w:highlight w:val="none"/>
        </w:rPr>
        <w:t>三、区域环境质量现状、环境保护目标及评价标准</w:t>
      </w:r>
      <w:bookmarkEnd w:id="18"/>
      <w:bookmarkEnd w:id="19"/>
    </w:p>
    <w:tbl>
      <w:tblPr>
        <w:tblStyle w:val="31"/>
        <w:tblW w:w="92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819"/>
      </w:tblGrid>
      <w:tr w14:paraId="2D6003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8" w:hRule="atLeast"/>
          <w:jc w:val="center"/>
        </w:trPr>
        <w:tc>
          <w:tcPr>
            <w:tcW w:w="457" w:type="dxa"/>
            <w:vAlign w:val="center"/>
          </w:tcPr>
          <w:p w14:paraId="18BCF43B">
            <w:pPr>
              <w:adjustRightInd w:val="0"/>
              <w:snapToGrid w:val="0"/>
              <w:jc w:val="center"/>
              <w:rPr>
                <w:rFonts w:ascii="Times New Roman" w:hAnsi="Times New Roman" w:eastAsiaTheme="minorEastAsia"/>
                <w:color w:val="auto"/>
                <w:sz w:val="24"/>
                <w:szCs w:val="24"/>
                <w:highlight w:val="none"/>
              </w:rPr>
            </w:pPr>
            <w:r>
              <w:rPr>
                <w:rFonts w:ascii="Times New Roman" w:hAnsi="Times New Roman" w:eastAsiaTheme="minorEastAsia"/>
                <w:b/>
                <w:bCs/>
                <w:color w:val="auto"/>
                <w:kern w:val="0"/>
                <w:sz w:val="24"/>
                <w:szCs w:val="24"/>
                <w:highlight w:val="none"/>
              </w:rPr>
              <w:t>区域环境质量现状</w:t>
            </w:r>
          </w:p>
        </w:tc>
        <w:tc>
          <w:tcPr>
            <w:tcW w:w="8819" w:type="dxa"/>
            <w:vAlign w:val="center"/>
          </w:tcPr>
          <w:p w14:paraId="4719D9C9">
            <w:pPr>
              <w:spacing w:line="480" w:lineRule="exact"/>
              <w:ind w:firstLine="482" w:firstLineChars="200"/>
              <w:rPr>
                <w:rFonts w:ascii="Times New Roman" w:hAnsi="Times New Roman" w:eastAsiaTheme="minorEastAsia"/>
                <w:b/>
                <w:bCs/>
                <w:color w:val="auto"/>
                <w:kern w:val="0"/>
                <w:sz w:val="24"/>
                <w:szCs w:val="24"/>
                <w:highlight w:val="none"/>
                <w:lang w:val="zh-CN"/>
              </w:rPr>
            </w:pPr>
            <w:r>
              <w:rPr>
                <w:rFonts w:ascii="Times New Roman" w:hAnsi="Times New Roman" w:eastAsiaTheme="minorEastAsia"/>
                <w:b/>
                <w:bCs/>
                <w:color w:val="auto"/>
                <w:kern w:val="0"/>
                <w:sz w:val="24"/>
                <w:szCs w:val="24"/>
                <w:highlight w:val="none"/>
              </w:rPr>
              <w:t>1、</w:t>
            </w:r>
            <w:r>
              <w:rPr>
                <w:rFonts w:ascii="Times New Roman" w:hAnsi="Times New Roman" w:eastAsiaTheme="minorEastAsia"/>
                <w:b/>
                <w:bCs/>
                <w:color w:val="auto"/>
                <w:kern w:val="0"/>
                <w:sz w:val="24"/>
                <w:szCs w:val="24"/>
                <w:highlight w:val="none"/>
                <w:lang w:val="zh-CN"/>
              </w:rPr>
              <w:t>大气环境</w:t>
            </w:r>
          </w:p>
          <w:p w14:paraId="23ECC459">
            <w:pPr>
              <w:spacing w:line="480" w:lineRule="exact"/>
              <w:ind w:firstLine="480" w:firstLineChars="200"/>
              <w:rPr>
                <w:rFonts w:ascii="Times New Roman" w:hAnsi="Times New Roman" w:eastAsiaTheme="minorEastAsia"/>
                <w:bCs/>
                <w:color w:val="auto"/>
                <w:kern w:val="0"/>
                <w:sz w:val="24"/>
                <w:szCs w:val="24"/>
                <w:highlight w:val="none"/>
                <w:lang w:val="zh-CN"/>
              </w:rPr>
            </w:pPr>
            <w:r>
              <w:rPr>
                <w:rFonts w:ascii="Times New Roman" w:hAnsi="Times New Roman" w:eastAsiaTheme="minorEastAsia"/>
                <w:bCs/>
                <w:color w:val="auto"/>
                <w:kern w:val="0"/>
                <w:sz w:val="24"/>
                <w:szCs w:val="24"/>
                <w:highlight w:val="none"/>
                <w:lang w:val="zh-CN"/>
              </w:rPr>
              <w:t>根据202</w:t>
            </w:r>
            <w:r>
              <w:rPr>
                <w:rFonts w:hint="eastAsia" w:ascii="Times New Roman" w:hAnsi="Times New Roman" w:eastAsiaTheme="minorEastAsia"/>
                <w:bCs/>
                <w:color w:val="auto"/>
                <w:kern w:val="0"/>
                <w:sz w:val="24"/>
                <w:szCs w:val="24"/>
                <w:highlight w:val="none"/>
                <w:lang w:val="en-US" w:eastAsia="zh-CN"/>
              </w:rPr>
              <w:t>3</w:t>
            </w:r>
            <w:r>
              <w:rPr>
                <w:rFonts w:ascii="Times New Roman" w:hAnsi="Times New Roman" w:eastAsiaTheme="minorEastAsia"/>
                <w:bCs/>
                <w:color w:val="auto"/>
                <w:kern w:val="0"/>
                <w:sz w:val="24"/>
                <w:szCs w:val="24"/>
                <w:highlight w:val="none"/>
                <w:lang w:val="zh-CN"/>
              </w:rPr>
              <w:t>年保定市</w:t>
            </w:r>
            <w:r>
              <w:rPr>
                <w:rFonts w:hint="eastAsia" w:ascii="Times New Roman" w:hAnsi="Times New Roman" w:eastAsiaTheme="minorEastAsia"/>
                <w:bCs/>
                <w:color w:val="auto"/>
                <w:kern w:val="0"/>
                <w:sz w:val="24"/>
                <w:szCs w:val="24"/>
                <w:highlight w:val="none"/>
                <w:lang w:val="en-US" w:eastAsia="zh-CN"/>
              </w:rPr>
              <w:t>生态环境质量报告书</w:t>
            </w:r>
            <w:r>
              <w:rPr>
                <w:rFonts w:ascii="Times New Roman" w:hAnsi="Times New Roman" w:eastAsiaTheme="minorEastAsia"/>
                <w:bCs/>
                <w:color w:val="auto"/>
                <w:kern w:val="0"/>
                <w:sz w:val="24"/>
                <w:szCs w:val="24"/>
                <w:highlight w:val="none"/>
                <w:lang w:val="zh-CN"/>
              </w:rPr>
              <w:t>，保定市徐水区202</w:t>
            </w:r>
            <w:r>
              <w:rPr>
                <w:rFonts w:hint="eastAsia" w:ascii="Times New Roman" w:hAnsi="Times New Roman" w:eastAsiaTheme="minorEastAsia"/>
                <w:bCs/>
                <w:color w:val="auto"/>
                <w:kern w:val="0"/>
                <w:sz w:val="24"/>
                <w:szCs w:val="24"/>
                <w:highlight w:val="none"/>
                <w:lang w:val="en-US" w:eastAsia="zh-CN"/>
              </w:rPr>
              <w:t>3</w:t>
            </w:r>
            <w:r>
              <w:rPr>
                <w:rFonts w:ascii="Times New Roman" w:hAnsi="Times New Roman" w:eastAsiaTheme="minorEastAsia"/>
                <w:bCs/>
                <w:color w:val="auto"/>
                <w:kern w:val="0"/>
                <w:sz w:val="24"/>
                <w:szCs w:val="24"/>
                <w:highlight w:val="none"/>
                <w:lang w:val="zh-CN"/>
              </w:rPr>
              <w:t>年</w:t>
            </w:r>
            <w:r>
              <w:rPr>
                <w:rFonts w:hint="eastAsia" w:ascii="Times New Roman" w:hAnsi="Times New Roman" w:eastAsiaTheme="minorEastAsia"/>
                <w:bCs/>
                <w:color w:val="auto"/>
                <w:kern w:val="0"/>
                <w:sz w:val="24"/>
                <w:szCs w:val="24"/>
                <w:highlight w:val="none"/>
                <w:lang w:val="en-US" w:eastAsia="zh-CN"/>
              </w:rPr>
              <w:t>环境质量数据如下：</w:t>
            </w:r>
          </w:p>
          <w:p w14:paraId="4A872689">
            <w:pPr>
              <w:spacing w:line="480" w:lineRule="exact"/>
              <w:jc w:val="center"/>
              <w:rPr>
                <w:rFonts w:ascii="Times New Roman" w:hAnsi="Times New Roman" w:eastAsiaTheme="minorEastAsia"/>
                <w:color w:val="auto"/>
                <w:kern w:val="0"/>
                <w:szCs w:val="21"/>
                <w:highlight w:val="none"/>
                <w:lang w:val="zh-CN"/>
              </w:rPr>
            </w:pPr>
            <w:r>
              <w:rPr>
                <w:rFonts w:ascii="Times New Roman" w:hAnsi="Times New Roman" w:eastAsiaTheme="minorEastAsia"/>
                <w:color w:val="auto"/>
                <w:kern w:val="0"/>
                <w:sz w:val="24"/>
                <w:szCs w:val="24"/>
                <w:highlight w:val="none"/>
                <w:lang w:val="zh-CN"/>
              </w:rPr>
              <w:t xml:space="preserve">表3-1 </w:t>
            </w:r>
            <w:r>
              <w:rPr>
                <w:rFonts w:ascii="Times New Roman" w:hAnsi="Times New Roman" w:eastAsiaTheme="minorEastAsia"/>
                <w:color w:val="auto"/>
                <w:kern w:val="0"/>
                <w:sz w:val="24"/>
                <w:szCs w:val="24"/>
                <w:highlight w:val="none"/>
              </w:rPr>
              <w:t xml:space="preserve"> </w:t>
            </w:r>
            <w:r>
              <w:rPr>
                <w:rFonts w:ascii="Times New Roman" w:hAnsi="Times New Roman" w:eastAsiaTheme="minorEastAsia"/>
                <w:color w:val="auto"/>
                <w:kern w:val="0"/>
                <w:sz w:val="24"/>
                <w:szCs w:val="24"/>
                <w:highlight w:val="none"/>
                <w:lang w:val="zh-CN"/>
              </w:rPr>
              <w:t>区域空气质量现状评价表</w:t>
            </w:r>
          </w:p>
          <w:tbl>
            <w:tblPr>
              <w:tblStyle w:val="31"/>
              <w:tblW w:w="5000" w:type="pct"/>
              <w:tblInd w:w="0" w:type="dxa"/>
              <w:tblBorders>
                <w:top w:val="single" w:color="000000" w:sz="4" w:space="0"/>
                <w:left w:val="none" w:color="auto" w:sz="0" w:space="0"/>
                <w:bottom w:val="single" w:color="000000" w:sz="4"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998"/>
              <w:gridCol w:w="2646"/>
              <w:gridCol w:w="1239"/>
              <w:gridCol w:w="1239"/>
              <w:gridCol w:w="1239"/>
              <w:gridCol w:w="1241"/>
            </w:tblGrid>
            <w:tr w14:paraId="335CD994">
              <w:tblPrEx>
                <w:tblBorders>
                  <w:top w:val="single" w:color="000000" w:sz="4" w:space="0"/>
                  <w:left w:val="none" w:color="auto" w:sz="0" w:space="0"/>
                  <w:bottom w:val="sing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45" w:hRule="atLeast"/>
              </w:trPr>
              <w:tc>
                <w:tcPr>
                  <w:tcW w:w="580" w:type="pct"/>
                  <w:vAlign w:val="center"/>
                </w:tcPr>
                <w:p w14:paraId="0E68AB50">
                  <w:pPr>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污染物</w:t>
                  </w:r>
                </w:p>
              </w:tc>
              <w:tc>
                <w:tcPr>
                  <w:tcW w:w="1538" w:type="pct"/>
                  <w:vAlign w:val="center"/>
                </w:tcPr>
                <w:p w14:paraId="73013E37">
                  <w:pPr>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评价指标</w:t>
                  </w:r>
                </w:p>
              </w:tc>
              <w:tc>
                <w:tcPr>
                  <w:tcW w:w="720" w:type="pct"/>
                  <w:vAlign w:val="center"/>
                </w:tcPr>
                <w:p w14:paraId="7F4E2C9B">
                  <w:pPr>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现状浓度</w:t>
                  </w:r>
                </w:p>
                <w:p w14:paraId="146ADBA4">
                  <w:pPr>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（μg/m</w:t>
                  </w:r>
                  <w:r>
                    <w:rPr>
                      <w:rFonts w:ascii="Times New Roman" w:hAnsi="Times New Roman" w:eastAsiaTheme="minorEastAsia"/>
                      <w:bCs/>
                      <w:color w:val="auto"/>
                      <w:szCs w:val="21"/>
                      <w:highlight w:val="none"/>
                      <w:vertAlign w:val="superscript"/>
                    </w:rPr>
                    <w:t>3</w:t>
                  </w:r>
                  <w:r>
                    <w:rPr>
                      <w:rFonts w:ascii="Times New Roman" w:hAnsi="Times New Roman" w:eastAsiaTheme="minorEastAsia"/>
                      <w:bCs/>
                      <w:color w:val="auto"/>
                      <w:szCs w:val="21"/>
                      <w:highlight w:val="none"/>
                    </w:rPr>
                    <w:t>）</w:t>
                  </w:r>
                </w:p>
              </w:tc>
              <w:tc>
                <w:tcPr>
                  <w:tcW w:w="720" w:type="pct"/>
                  <w:vAlign w:val="center"/>
                </w:tcPr>
                <w:p w14:paraId="5046658D">
                  <w:pPr>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标准值</w:t>
                  </w:r>
                </w:p>
                <w:p w14:paraId="1EF2D072">
                  <w:pPr>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（μg/m</w:t>
                  </w:r>
                  <w:r>
                    <w:rPr>
                      <w:rFonts w:ascii="Times New Roman" w:hAnsi="Times New Roman" w:eastAsiaTheme="minorEastAsia"/>
                      <w:bCs/>
                      <w:color w:val="auto"/>
                      <w:szCs w:val="21"/>
                      <w:highlight w:val="none"/>
                      <w:vertAlign w:val="superscript"/>
                    </w:rPr>
                    <w:t>3</w:t>
                  </w:r>
                  <w:r>
                    <w:rPr>
                      <w:rFonts w:ascii="Times New Roman" w:hAnsi="Times New Roman" w:eastAsiaTheme="minorEastAsia"/>
                      <w:bCs/>
                      <w:color w:val="auto"/>
                      <w:szCs w:val="21"/>
                      <w:highlight w:val="none"/>
                    </w:rPr>
                    <w:t>）</w:t>
                  </w:r>
                </w:p>
              </w:tc>
              <w:tc>
                <w:tcPr>
                  <w:tcW w:w="720" w:type="pct"/>
                  <w:vAlign w:val="center"/>
                </w:tcPr>
                <w:p w14:paraId="378D90EB">
                  <w:pPr>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占标率</w:t>
                  </w:r>
                </w:p>
              </w:tc>
              <w:tc>
                <w:tcPr>
                  <w:tcW w:w="721" w:type="pct"/>
                  <w:vAlign w:val="center"/>
                </w:tcPr>
                <w:p w14:paraId="43D7B16C">
                  <w:pPr>
                    <w:jc w:val="center"/>
                    <w:rPr>
                      <w:rFonts w:ascii="Times New Roman" w:hAnsi="Times New Roman" w:eastAsiaTheme="minorEastAsia"/>
                      <w:bCs/>
                      <w:color w:val="auto"/>
                      <w:szCs w:val="21"/>
                      <w:highlight w:val="none"/>
                    </w:rPr>
                  </w:pPr>
                  <w:r>
                    <w:rPr>
                      <w:rFonts w:ascii="Times New Roman" w:hAnsi="Times New Roman" w:eastAsiaTheme="minorEastAsia"/>
                      <w:bCs/>
                      <w:color w:val="auto"/>
                      <w:szCs w:val="21"/>
                      <w:highlight w:val="none"/>
                    </w:rPr>
                    <w:t>达标情况</w:t>
                  </w:r>
                </w:p>
              </w:tc>
            </w:tr>
            <w:tr w14:paraId="0F3078B5">
              <w:tblPrEx>
                <w:tblBorders>
                  <w:top w:val="single" w:color="000000" w:sz="4" w:space="0"/>
                  <w:left w:val="none" w:color="auto" w:sz="0" w:space="0"/>
                  <w:bottom w:val="sing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exact"/>
              </w:trPr>
              <w:tc>
                <w:tcPr>
                  <w:tcW w:w="580" w:type="pct"/>
                  <w:vMerge w:val="restart"/>
                  <w:vAlign w:val="center"/>
                </w:tcPr>
                <w:p w14:paraId="0B338DD5">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PM</w:t>
                  </w:r>
                  <w:r>
                    <w:rPr>
                      <w:rFonts w:ascii="Times New Roman" w:hAnsi="Times New Roman" w:eastAsiaTheme="minorEastAsia"/>
                      <w:color w:val="auto"/>
                      <w:szCs w:val="21"/>
                      <w:highlight w:val="none"/>
                      <w:vertAlign w:val="subscript"/>
                    </w:rPr>
                    <w:t>10</w:t>
                  </w:r>
                </w:p>
              </w:tc>
              <w:tc>
                <w:tcPr>
                  <w:tcW w:w="1538" w:type="pct"/>
                  <w:vAlign w:val="center"/>
                </w:tcPr>
                <w:p w14:paraId="762CEB37">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年平均质量浓度</w:t>
                  </w:r>
                </w:p>
              </w:tc>
              <w:tc>
                <w:tcPr>
                  <w:tcW w:w="1221" w:type="dxa"/>
                  <w:vAlign w:val="center"/>
                </w:tcPr>
                <w:p w14:paraId="5BB8A925">
                  <w:pPr>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75</w:t>
                  </w:r>
                </w:p>
              </w:tc>
              <w:tc>
                <w:tcPr>
                  <w:tcW w:w="720" w:type="pct"/>
                  <w:vAlign w:val="center"/>
                </w:tcPr>
                <w:p w14:paraId="2E06C287">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70</w:t>
                  </w:r>
                </w:p>
              </w:tc>
              <w:tc>
                <w:tcPr>
                  <w:tcW w:w="720" w:type="pct"/>
                  <w:vAlign w:val="center"/>
                </w:tcPr>
                <w:p w14:paraId="2AA09D6B">
                  <w:pPr>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107</w:t>
                  </w:r>
                </w:p>
              </w:tc>
              <w:tc>
                <w:tcPr>
                  <w:tcW w:w="721" w:type="pct"/>
                  <w:vAlign w:val="center"/>
                </w:tcPr>
                <w:p w14:paraId="12088E27">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不达标</w:t>
                  </w:r>
                </w:p>
              </w:tc>
            </w:tr>
            <w:tr w14:paraId="7AE5DB1D">
              <w:tblPrEx>
                <w:tblBorders>
                  <w:top w:val="single" w:color="000000" w:sz="4" w:space="0"/>
                  <w:left w:val="none" w:color="auto" w:sz="0" w:space="0"/>
                  <w:bottom w:val="sing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exact"/>
              </w:trPr>
              <w:tc>
                <w:tcPr>
                  <w:tcW w:w="580" w:type="pct"/>
                  <w:vMerge w:val="continue"/>
                  <w:vAlign w:val="center"/>
                </w:tcPr>
                <w:p w14:paraId="53B5902F">
                  <w:pPr>
                    <w:jc w:val="center"/>
                    <w:rPr>
                      <w:rFonts w:ascii="Times New Roman" w:hAnsi="Times New Roman" w:eastAsiaTheme="minorEastAsia"/>
                      <w:color w:val="auto"/>
                      <w:szCs w:val="21"/>
                      <w:highlight w:val="none"/>
                    </w:rPr>
                  </w:pPr>
                </w:p>
              </w:tc>
              <w:tc>
                <w:tcPr>
                  <w:tcW w:w="1538" w:type="pct"/>
                  <w:vAlign w:val="center"/>
                </w:tcPr>
                <w:p w14:paraId="13B925F5">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24小时平均第95百分位数</w:t>
                  </w:r>
                </w:p>
              </w:tc>
              <w:tc>
                <w:tcPr>
                  <w:tcW w:w="1221" w:type="dxa"/>
                  <w:vAlign w:val="center"/>
                </w:tcPr>
                <w:p w14:paraId="744334FB">
                  <w:pPr>
                    <w:jc w:val="center"/>
                    <w:rPr>
                      <w:rFonts w:hint="eastAsia" w:ascii="Times New Roman" w:hAnsi="Times New Roman" w:eastAsiaTheme="minorEastAsia"/>
                      <w:color w:val="auto"/>
                      <w:szCs w:val="21"/>
                      <w:highlight w:val="none"/>
                      <w:lang w:eastAsia="zh-CN"/>
                    </w:rPr>
                  </w:pPr>
                  <w:r>
                    <w:rPr>
                      <w:rFonts w:ascii="Times New Roman" w:hAnsi="Times New Roman" w:eastAsiaTheme="minorEastAsia"/>
                      <w:color w:val="auto"/>
                      <w:szCs w:val="21"/>
                      <w:highlight w:val="none"/>
                    </w:rPr>
                    <w:t>17</w:t>
                  </w:r>
                  <w:r>
                    <w:rPr>
                      <w:rFonts w:hint="eastAsia" w:ascii="Times New Roman" w:hAnsi="Times New Roman" w:eastAsiaTheme="minorEastAsia"/>
                      <w:color w:val="auto"/>
                      <w:szCs w:val="21"/>
                      <w:highlight w:val="none"/>
                      <w:lang w:val="en-US" w:eastAsia="zh-CN"/>
                    </w:rPr>
                    <w:t>0</w:t>
                  </w:r>
                </w:p>
              </w:tc>
              <w:tc>
                <w:tcPr>
                  <w:tcW w:w="720" w:type="pct"/>
                  <w:vAlign w:val="center"/>
                </w:tcPr>
                <w:p w14:paraId="54206768">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150</w:t>
                  </w:r>
                </w:p>
              </w:tc>
              <w:tc>
                <w:tcPr>
                  <w:tcW w:w="720" w:type="pct"/>
                  <w:vAlign w:val="center"/>
                </w:tcPr>
                <w:p w14:paraId="07C525D1">
                  <w:pPr>
                    <w:jc w:val="center"/>
                    <w:rPr>
                      <w:rFonts w:hint="eastAsia" w:ascii="Times New Roman" w:hAnsi="Times New Roman" w:eastAsiaTheme="minorEastAsia"/>
                      <w:color w:val="auto"/>
                      <w:szCs w:val="21"/>
                      <w:highlight w:val="none"/>
                      <w:lang w:eastAsia="zh-CN"/>
                    </w:rPr>
                  </w:pPr>
                  <w:r>
                    <w:rPr>
                      <w:rFonts w:ascii="Times New Roman" w:hAnsi="Times New Roman" w:eastAsiaTheme="minorEastAsia"/>
                      <w:color w:val="auto"/>
                      <w:szCs w:val="21"/>
                      <w:highlight w:val="none"/>
                    </w:rPr>
                    <w:t>11</w:t>
                  </w:r>
                  <w:r>
                    <w:rPr>
                      <w:rFonts w:hint="eastAsia" w:ascii="Times New Roman" w:hAnsi="Times New Roman" w:eastAsiaTheme="minorEastAsia"/>
                      <w:color w:val="auto"/>
                      <w:szCs w:val="21"/>
                      <w:highlight w:val="none"/>
                      <w:lang w:val="en-US" w:eastAsia="zh-CN"/>
                    </w:rPr>
                    <w:t>3</w:t>
                  </w:r>
                </w:p>
              </w:tc>
              <w:tc>
                <w:tcPr>
                  <w:tcW w:w="721" w:type="pct"/>
                  <w:vAlign w:val="center"/>
                </w:tcPr>
                <w:p w14:paraId="17CF80F8">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不达标</w:t>
                  </w:r>
                </w:p>
              </w:tc>
            </w:tr>
            <w:tr w14:paraId="3DCF0C88">
              <w:tblPrEx>
                <w:tblBorders>
                  <w:top w:val="single" w:color="000000" w:sz="4" w:space="0"/>
                  <w:left w:val="none" w:color="auto" w:sz="0" w:space="0"/>
                  <w:bottom w:val="sing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exact"/>
              </w:trPr>
              <w:tc>
                <w:tcPr>
                  <w:tcW w:w="580" w:type="pct"/>
                  <w:vMerge w:val="restart"/>
                  <w:vAlign w:val="center"/>
                </w:tcPr>
                <w:p w14:paraId="216B483C">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PM</w:t>
                  </w:r>
                  <w:r>
                    <w:rPr>
                      <w:rFonts w:ascii="Times New Roman" w:hAnsi="Times New Roman" w:eastAsiaTheme="minorEastAsia"/>
                      <w:color w:val="auto"/>
                      <w:szCs w:val="21"/>
                      <w:highlight w:val="none"/>
                      <w:vertAlign w:val="subscript"/>
                    </w:rPr>
                    <w:t>2.5</w:t>
                  </w:r>
                </w:p>
              </w:tc>
              <w:tc>
                <w:tcPr>
                  <w:tcW w:w="1538" w:type="pct"/>
                  <w:vAlign w:val="center"/>
                </w:tcPr>
                <w:p w14:paraId="17907C1F">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年平均质量浓度</w:t>
                  </w:r>
                </w:p>
              </w:tc>
              <w:tc>
                <w:tcPr>
                  <w:tcW w:w="1221" w:type="dxa"/>
                  <w:vAlign w:val="center"/>
                </w:tcPr>
                <w:p w14:paraId="6EE715D6">
                  <w:pPr>
                    <w:jc w:val="center"/>
                    <w:rPr>
                      <w:rFonts w:hint="default" w:ascii="Times New Roman" w:hAnsi="Times New Roman" w:eastAsiaTheme="minorEastAsia"/>
                      <w:color w:val="auto"/>
                      <w:szCs w:val="21"/>
                      <w:highlight w:val="none"/>
                      <w:lang w:val="en-US"/>
                    </w:rPr>
                  </w:pPr>
                  <w:r>
                    <w:rPr>
                      <w:rFonts w:hint="eastAsia" w:ascii="Times New Roman" w:hAnsi="Times New Roman" w:eastAsiaTheme="minorEastAsia"/>
                      <w:color w:val="auto"/>
                      <w:szCs w:val="21"/>
                      <w:highlight w:val="none"/>
                      <w:lang w:val="en-US" w:eastAsia="zh-CN"/>
                    </w:rPr>
                    <w:t>44</w:t>
                  </w:r>
                </w:p>
              </w:tc>
              <w:tc>
                <w:tcPr>
                  <w:tcW w:w="720" w:type="pct"/>
                  <w:vAlign w:val="center"/>
                </w:tcPr>
                <w:p w14:paraId="6CFE32BD">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35</w:t>
                  </w:r>
                </w:p>
              </w:tc>
              <w:tc>
                <w:tcPr>
                  <w:tcW w:w="720" w:type="pct"/>
                  <w:vAlign w:val="center"/>
                </w:tcPr>
                <w:p w14:paraId="73C62A9E">
                  <w:pPr>
                    <w:jc w:val="center"/>
                    <w:rPr>
                      <w:rFonts w:hint="default" w:ascii="Times New Roman" w:hAnsi="Times New Roman" w:eastAsiaTheme="minorEastAsia"/>
                      <w:color w:val="auto"/>
                      <w:szCs w:val="21"/>
                      <w:highlight w:val="none"/>
                      <w:lang w:val="en-US" w:eastAsia="zh-CN"/>
                    </w:rPr>
                  </w:pPr>
                  <w:r>
                    <w:rPr>
                      <w:rFonts w:ascii="Times New Roman" w:hAnsi="Times New Roman" w:eastAsiaTheme="minorEastAsia"/>
                      <w:color w:val="auto"/>
                      <w:szCs w:val="21"/>
                      <w:highlight w:val="none"/>
                    </w:rPr>
                    <w:t>1</w:t>
                  </w:r>
                  <w:r>
                    <w:rPr>
                      <w:rFonts w:hint="eastAsia" w:ascii="Times New Roman" w:hAnsi="Times New Roman" w:eastAsiaTheme="minorEastAsia"/>
                      <w:color w:val="auto"/>
                      <w:szCs w:val="21"/>
                      <w:highlight w:val="none"/>
                      <w:lang w:val="en-US" w:eastAsia="zh-CN"/>
                    </w:rPr>
                    <w:t>26</w:t>
                  </w:r>
                </w:p>
              </w:tc>
              <w:tc>
                <w:tcPr>
                  <w:tcW w:w="721" w:type="pct"/>
                  <w:vAlign w:val="center"/>
                </w:tcPr>
                <w:p w14:paraId="14A2407C">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不达标</w:t>
                  </w:r>
                </w:p>
              </w:tc>
            </w:tr>
            <w:tr w14:paraId="29D627B4">
              <w:tblPrEx>
                <w:tblBorders>
                  <w:top w:val="single" w:color="000000" w:sz="4" w:space="0"/>
                  <w:left w:val="none" w:color="auto" w:sz="0" w:space="0"/>
                  <w:bottom w:val="sing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exact"/>
              </w:trPr>
              <w:tc>
                <w:tcPr>
                  <w:tcW w:w="580" w:type="pct"/>
                  <w:vMerge w:val="continue"/>
                  <w:vAlign w:val="center"/>
                </w:tcPr>
                <w:p w14:paraId="4D8A8EB5">
                  <w:pPr>
                    <w:jc w:val="center"/>
                    <w:rPr>
                      <w:rFonts w:ascii="Times New Roman" w:hAnsi="Times New Roman" w:eastAsiaTheme="minorEastAsia"/>
                      <w:color w:val="auto"/>
                      <w:szCs w:val="21"/>
                      <w:highlight w:val="none"/>
                    </w:rPr>
                  </w:pPr>
                </w:p>
              </w:tc>
              <w:tc>
                <w:tcPr>
                  <w:tcW w:w="1538" w:type="pct"/>
                  <w:vAlign w:val="center"/>
                </w:tcPr>
                <w:p w14:paraId="56825FE8">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24小时平均第95百分位数</w:t>
                  </w:r>
                </w:p>
              </w:tc>
              <w:tc>
                <w:tcPr>
                  <w:tcW w:w="1221" w:type="dxa"/>
                  <w:vAlign w:val="center"/>
                </w:tcPr>
                <w:p w14:paraId="0BEC9F4D">
                  <w:pPr>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115</w:t>
                  </w:r>
                </w:p>
              </w:tc>
              <w:tc>
                <w:tcPr>
                  <w:tcW w:w="720" w:type="pct"/>
                  <w:vAlign w:val="center"/>
                </w:tcPr>
                <w:p w14:paraId="0AD34B8B">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75</w:t>
                  </w:r>
                </w:p>
              </w:tc>
              <w:tc>
                <w:tcPr>
                  <w:tcW w:w="720" w:type="pct"/>
                  <w:vAlign w:val="center"/>
                </w:tcPr>
                <w:p w14:paraId="6C2A0D92">
                  <w:pPr>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153</w:t>
                  </w:r>
                </w:p>
              </w:tc>
              <w:tc>
                <w:tcPr>
                  <w:tcW w:w="721" w:type="pct"/>
                  <w:vAlign w:val="center"/>
                </w:tcPr>
                <w:p w14:paraId="09ABF5E0">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不达标</w:t>
                  </w:r>
                </w:p>
              </w:tc>
            </w:tr>
            <w:tr w14:paraId="2B7C6F63">
              <w:tblPrEx>
                <w:tblBorders>
                  <w:top w:val="single" w:color="000000" w:sz="4" w:space="0"/>
                  <w:left w:val="none" w:color="auto" w:sz="0" w:space="0"/>
                  <w:bottom w:val="sing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621" w:hRule="exact"/>
              </w:trPr>
              <w:tc>
                <w:tcPr>
                  <w:tcW w:w="580" w:type="pct"/>
                  <w:vAlign w:val="center"/>
                </w:tcPr>
                <w:p w14:paraId="5711BCF9">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CO</w:t>
                  </w:r>
                </w:p>
              </w:tc>
              <w:tc>
                <w:tcPr>
                  <w:tcW w:w="1538" w:type="pct"/>
                  <w:vAlign w:val="center"/>
                </w:tcPr>
                <w:p w14:paraId="44F9BAC1">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24小时平均第95百分位数</w:t>
                  </w:r>
                </w:p>
              </w:tc>
              <w:tc>
                <w:tcPr>
                  <w:tcW w:w="720" w:type="pct"/>
                  <w:vAlign w:val="center"/>
                </w:tcPr>
                <w:p w14:paraId="412A2DE4">
                  <w:pPr>
                    <w:jc w:val="center"/>
                    <w:rPr>
                      <w:rFonts w:hint="default" w:ascii="Times New Roman" w:hAnsi="Times New Roman" w:eastAsiaTheme="minorEastAsia"/>
                      <w:color w:val="auto"/>
                      <w:szCs w:val="21"/>
                      <w:highlight w:val="none"/>
                      <w:lang w:val="en-US" w:eastAsia="zh-CN"/>
                    </w:rPr>
                  </w:pPr>
                  <w:r>
                    <w:rPr>
                      <w:rFonts w:ascii="Times New Roman" w:hAnsi="Times New Roman" w:eastAsiaTheme="minorEastAsia"/>
                      <w:color w:val="auto"/>
                      <w:szCs w:val="21"/>
                      <w:highlight w:val="none"/>
                    </w:rPr>
                    <w:t>1</w:t>
                  </w:r>
                  <w:r>
                    <w:rPr>
                      <w:rFonts w:hint="eastAsia" w:ascii="Times New Roman" w:hAnsi="Times New Roman" w:eastAsiaTheme="minorEastAsia"/>
                      <w:color w:val="auto"/>
                      <w:szCs w:val="21"/>
                      <w:highlight w:val="none"/>
                      <w:lang w:val="en-US" w:eastAsia="zh-CN"/>
                    </w:rPr>
                    <w:t>200</w:t>
                  </w:r>
                </w:p>
              </w:tc>
              <w:tc>
                <w:tcPr>
                  <w:tcW w:w="720" w:type="pct"/>
                  <w:vAlign w:val="center"/>
                </w:tcPr>
                <w:p w14:paraId="5358BA85">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4000</w:t>
                  </w:r>
                </w:p>
              </w:tc>
              <w:tc>
                <w:tcPr>
                  <w:tcW w:w="720" w:type="pct"/>
                  <w:vAlign w:val="center"/>
                </w:tcPr>
                <w:p w14:paraId="53F90452">
                  <w:pPr>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30</w:t>
                  </w:r>
                </w:p>
              </w:tc>
              <w:tc>
                <w:tcPr>
                  <w:tcW w:w="721" w:type="pct"/>
                  <w:vAlign w:val="center"/>
                </w:tcPr>
                <w:p w14:paraId="255DF013">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达标</w:t>
                  </w:r>
                </w:p>
              </w:tc>
            </w:tr>
            <w:tr w14:paraId="55F2BF3D">
              <w:tblPrEx>
                <w:tblBorders>
                  <w:top w:val="single" w:color="000000" w:sz="4" w:space="0"/>
                  <w:left w:val="none" w:color="auto" w:sz="0" w:space="0"/>
                  <w:bottom w:val="sing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621" w:hRule="exact"/>
              </w:trPr>
              <w:tc>
                <w:tcPr>
                  <w:tcW w:w="580" w:type="pct"/>
                  <w:vAlign w:val="center"/>
                </w:tcPr>
                <w:p w14:paraId="2BD05AC5">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O</w:t>
                  </w:r>
                  <w:r>
                    <w:rPr>
                      <w:rFonts w:ascii="Times New Roman" w:hAnsi="Times New Roman" w:eastAsiaTheme="minorEastAsia"/>
                      <w:color w:val="auto"/>
                      <w:szCs w:val="21"/>
                      <w:highlight w:val="none"/>
                      <w:vertAlign w:val="subscript"/>
                    </w:rPr>
                    <w:t>3</w:t>
                  </w:r>
                </w:p>
              </w:tc>
              <w:tc>
                <w:tcPr>
                  <w:tcW w:w="1538" w:type="pct"/>
                  <w:vAlign w:val="center"/>
                </w:tcPr>
                <w:p w14:paraId="109746C9">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8h平均质量浓度第90百分位数</w:t>
                  </w:r>
                </w:p>
              </w:tc>
              <w:tc>
                <w:tcPr>
                  <w:tcW w:w="720" w:type="pct"/>
                  <w:vAlign w:val="center"/>
                </w:tcPr>
                <w:p w14:paraId="2CA5F3EE">
                  <w:pPr>
                    <w:jc w:val="center"/>
                    <w:rPr>
                      <w:rFonts w:hint="default" w:ascii="Times New Roman" w:hAnsi="Times New Roman" w:eastAsiaTheme="minorEastAsia"/>
                      <w:color w:val="auto"/>
                      <w:szCs w:val="21"/>
                      <w:highlight w:val="none"/>
                      <w:lang w:val="en-US" w:eastAsia="zh-CN"/>
                    </w:rPr>
                  </w:pPr>
                  <w:r>
                    <w:rPr>
                      <w:rFonts w:ascii="Times New Roman" w:hAnsi="Times New Roman" w:eastAsiaTheme="minorEastAsia"/>
                      <w:color w:val="auto"/>
                      <w:szCs w:val="21"/>
                      <w:highlight w:val="none"/>
                    </w:rPr>
                    <w:t>1</w:t>
                  </w:r>
                  <w:r>
                    <w:rPr>
                      <w:rFonts w:hint="eastAsia" w:ascii="Times New Roman" w:hAnsi="Times New Roman" w:eastAsiaTheme="minorEastAsia"/>
                      <w:color w:val="auto"/>
                      <w:szCs w:val="21"/>
                      <w:highlight w:val="none"/>
                      <w:lang w:val="en-US" w:eastAsia="zh-CN"/>
                    </w:rPr>
                    <w:t>79</w:t>
                  </w:r>
                </w:p>
              </w:tc>
              <w:tc>
                <w:tcPr>
                  <w:tcW w:w="720" w:type="pct"/>
                  <w:vAlign w:val="center"/>
                </w:tcPr>
                <w:p w14:paraId="184234FA">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160</w:t>
                  </w:r>
                </w:p>
              </w:tc>
              <w:tc>
                <w:tcPr>
                  <w:tcW w:w="720" w:type="pct"/>
                  <w:vAlign w:val="center"/>
                </w:tcPr>
                <w:p w14:paraId="0ABE9177">
                  <w:pPr>
                    <w:jc w:val="center"/>
                    <w:rPr>
                      <w:rFonts w:hint="default" w:ascii="Times New Roman" w:hAnsi="Times New Roman" w:eastAsiaTheme="minorEastAsia"/>
                      <w:color w:val="auto"/>
                      <w:szCs w:val="21"/>
                      <w:highlight w:val="none"/>
                      <w:lang w:val="en-US" w:eastAsia="zh-CN"/>
                    </w:rPr>
                  </w:pPr>
                  <w:r>
                    <w:rPr>
                      <w:rFonts w:ascii="Times New Roman" w:hAnsi="Times New Roman" w:eastAsiaTheme="minorEastAsia"/>
                      <w:color w:val="auto"/>
                      <w:szCs w:val="21"/>
                      <w:highlight w:val="none"/>
                    </w:rPr>
                    <w:t>1</w:t>
                  </w:r>
                  <w:r>
                    <w:rPr>
                      <w:rFonts w:hint="eastAsia" w:ascii="Times New Roman" w:hAnsi="Times New Roman" w:eastAsiaTheme="minorEastAsia"/>
                      <w:color w:val="auto"/>
                      <w:szCs w:val="21"/>
                      <w:highlight w:val="none"/>
                      <w:lang w:val="en-US" w:eastAsia="zh-CN"/>
                    </w:rPr>
                    <w:t>12</w:t>
                  </w:r>
                </w:p>
              </w:tc>
              <w:tc>
                <w:tcPr>
                  <w:tcW w:w="721" w:type="pct"/>
                  <w:vAlign w:val="center"/>
                </w:tcPr>
                <w:p w14:paraId="17EDE22D">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不达标</w:t>
                  </w:r>
                </w:p>
              </w:tc>
            </w:tr>
            <w:tr w14:paraId="42BA4B12">
              <w:tblPrEx>
                <w:tblBorders>
                  <w:top w:val="single" w:color="000000" w:sz="4" w:space="0"/>
                  <w:left w:val="none" w:color="auto" w:sz="0" w:space="0"/>
                  <w:bottom w:val="sing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exact"/>
              </w:trPr>
              <w:tc>
                <w:tcPr>
                  <w:tcW w:w="580" w:type="pct"/>
                  <w:vMerge w:val="restart"/>
                  <w:vAlign w:val="center"/>
                </w:tcPr>
                <w:p w14:paraId="702A32D3">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SO</w:t>
                  </w:r>
                  <w:r>
                    <w:rPr>
                      <w:rFonts w:ascii="Times New Roman" w:hAnsi="Times New Roman" w:eastAsiaTheme="minorEastAsia"/>
                      <w:color w:val="auto"/>
                      <w:szCs w:val="21"/>
                      <w:highlight w:val="none"/>
                      <w:vertAlign w:val="subscript"/>
                    </w:rPr>
                    <w:t>2</w:t>
                  </w:r>
                </w:p>
              </w:tc>
              <w:tc>
                <w:tcPr>
                  <w:tcW w:w="1538" w:type="pct"/>
                  <w:vAlign w:val="center"/>
                </w:tcPr>
                <w:p w14:paraId="09124293">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年平均质量浓度</w:t>
                  </w:r>
                </w:p>
              </w:tc>
              <w:tc>
                <w:tcPr>
                  <w:tcW w:w="720" w:type="pct"/>
                  <w:vAlign w:val="center"/>
                </w:tcPr>
                <w:p w14:paraId="53450C96">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9</w:t>
                  </w:r>
                </w:p>
              </w:tc>
              <w:tc>
                <w:tcPr>
                  <w:tcW w:w="720" w:type="pct"/>
                  <w:vAlign w:val="center"/>
                </w:tcPr>
                <w:p w14:paraId="367D3565">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60</w:t>
                  </w:r>
                </w:p>
              </w:tc>
              <w:tc>
                <w:tcPr>
                  <w:tcW w:w="720" w:type="pct"/>
                  <w:vAlign w:val="center"/>
                </w:tcPr>
                <w:p w14:paraId="1170B65A">
                  <w:pPr>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15</w:t>
                  </w:r>
                </w:p>
              </w:tc>
              <w:tc>
                <w:tcPr>
                  <w:tcW w:w="721" w:type="pct"/>
                  <w:vAlign w:val="center"/>
                </w:tcPr>
                <w:p w14:paraId="1C884DA3">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达标</w:t>
                  </w:r>
                </w:p>
              </w:tc>
            </w:tr>
            <w:tr w14:paraId="02EDDCE5">
              <w:tblPrEx>
                <w:tblBorders>
                  <w:top w:val="single" w:color="000000" w:sz="4" w:space="0"/>
                  <w:left w:val="none" w:color="auto" w:sz="0" w:space="0"/>
                  <w:bottom w:val="sing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exact"/>
              </w:trPr>
              <w:tc>
                <w:tcPr>
                  <w:tcW w:w="580" w:type="pct"/>
                  <w:vMerge w:val="continue"/>
                  <w:vAlign w:val="center"/>
                </w:tcPr>
                <w:p w14:paraId="276DB509">
                  <w:pPr>
                    <w:jc w:val="center"/>
                    <w:rPr>
                      <w:rFonts w:ascii="Times New Roman" w:hAnsi="Times New Roman" w:eastAsiaTheme="minorEastAsia"/>
                      <w:color w:val="auto"/>
                      <w:szCs w:val="21"/>
                      <w:highlight w:val="none"/>
                    </w:rPr>
                  </w:pPr>
                </w:p>
              </w:tc>
              <w:tc>
                <w:tcPr>
                  <w:tcW w:w="1538" w:type="pct"/>
                  <w:vAlign w:val="center"/>
                </w:tcPr>
                <w:p w14:paraId="06C6D5BB">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24小时平均第98百分位数</w:t>
                  </w:r>
                </w:p>
              </w:tc>
              <w:tc>
                <w:tcPr>
                  <w:tcW w:w="720" w:type="pct"/>
                  <w:vAlign w:val="center"/>
                </w:tcPr>
                <w:p w14:paraId="24774828">
                  <w:pPr>
                    <w:jc w:val="center"/>
                    <w:rPr>
                      <w:rFonts w:hint="eastAsia" w:ascii="Times New Roman" w:hAnsi="Times New Roman" w:eastAsiaTheme="minorEastAsia"/>
                      <w:color w:val="auto"/>
                      <w:szCs w:val="21"/>
                      <w:highlight w:val="none"/>
                      <w:lang w:eastAsia="zh-CN"/>
                    </w:rPr>
                  </w:pPr>
                  <w:r>
                    <w:rPr>
                      <w:rFonts w:ascii="Times New Roman" w:hAnsi="Times New Roman" w:eastAsiaTheme="minorEastAsia"/>
                      <w:color w:val="auto"/>
                      <w:szCs w:val="21"/>
                      <w:highlight w:val="none"/>
                    </w:rPr>
                    <w:t>1</w:t>
                  </w:r>
                  <w:r>
                    <w:rPr>
                      <w:rFonts w:hint="eastAsia" w:ascii="Times New Roman" w:hAnsi="Times New Roman" w:eastAsiaTheme="minorEastAsia"/>
                      <w:color w:val="auto"/>
                      <w:szCs w:val="21"/>
                      <w:highlight w:val="none"/>
                      <w:lang w:val="en-US" w:eastAsia="zh-CN"/>
                    </w:rPr>
                    <w:t>6</w:t>
                  </w:r>
                </w:p>
              </w:tc>
              <w:tc>
                <w:tcPr>
                  <w:tcW w:w="720" w:type="pct"/>
                  <w:vAlign w:val="center"/>
                </w:tcPr>
                <w:p w14:paraId="33B7D42F">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150</w:t>
                  </w:r>
                </w:p>
              </w:tc>
              <w:tc>
                <w:tcPr>
                  <w:tcW w:w="720" w:type="pct"/>
                  <w:vAlign w:val="center"/>
                </w:tcPr>
                <w:p w14:paraId="343FBE4B">
                  <w:pPr>
                    <w:jc w:val="center"/>
                    <w:rPr>
                      <w:rFonts w:hint="eastAsia" w:ascii="Times New Roman" w:hAnsi="Times New Roman" w:eastAsiaTheme="minorEastAsia"/>
                      <w:color w:val="auto"/>
                      <w:szCs w:val="21"/>
                      <w:highlight w:val="none"/>
                      <w:lang w:eastAsia="zh-CN"/>
                    </w:rPr>
                  </w:pPr>
                  <w:r>
                    <w:rPr>
                      <w:rFonts w:ascii="Times New Roman" w:hAnsi="Times New Roman" w:eastAsiaTheme="minorEastAsia"/>
                      <w:color w:val="auto"/>
                      <w:szCs w:val="21"/>
                      <w:highlight w:val="none"/>
                    </w:rPr>
                    <w:t>1</w:t>
                  </w:r>
                  <w:r>
                    <w:rPr>
                      <w:rFonts w:hint="eastAsia" w:ascii="Times New Roman" w:hAnsi="Times New Roman" w:eastAsiaTheme="minorEastAsia"/>
                      <w:color w:val="auto"/>
                      <w:szCs w:val="21"/>
                      <w:highlight w:val="none"/>
                      <w:lang w:val="en-US" w:eastAsia="zh-CN"/>
                    </w:rPr>
                    <w:t>1</w:t>
                  </w:r>
                </w:p>
              </w:tc>
              <w:tc>
                <w:tcPr>
                  <w:tcW w:w="721" w:type="pct"/>
                  <w:vAlign w:val="center"/>
                </w:tcPr>
                <w:p w14:paraId="2E607BDE">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达标</w:t>
                  </w:r>
                </w:p>
              </w:tc>
            </w:tr>
            <w:tr w14:paraId="0561A05A">
              <w:tblPrEx>
                <w:tblBorders>
                  <w:top w:val="single" w:color="000000" w:sz="4" w:space="0"/>
                  <w:left w:val="none" w:color="auto" w:sz="0" w:space="0"/>
                  <w:bottom w:val="sing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exact"/>
              </w:trPr>
              <w:tc>
                <w:tcPr>
                  <w:tcW w:w="580" w:type="pct"/>
                  <w:vMerge w:val="restart"/>
                  <w:vAlign w:val="center"/>
                </w:tcPr>
                <w:p w14:paraId="0F50ED33">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NO</w:t>
                  </w:r>
                  <w:r>
                    <w:rPr>
                      <w:rFonts w:ascii="Times New Roman" w:hAnsi="Times New Roman" w:eastAsiaTheme="minorEastAsia"/>
                      <w:color w:val="auto"/>
                      <w:szCs w:val="21"/>
                      <w:highlight w:val="none"/>
                      <w:vertAlign w:val="subscript"/>
                    </w:rPr>
                    <w:t>2</w:t>
                  </w:r>
                </w:p>
              </w:tc>
              <w:tc>
                <w:tcPr>
                  <w:tcW w:w="1538" w:type="pct"/>
                  <w:vAlign w:val="center"/>
                </w:tcPr>
                <w:p w14:paraId="5FE46BB3">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年平均质量浓度</w:t>
                  </w:r>
                </w:p>
              </w:tc>
              <w:tc>
                <w:tcPr>
                  <w:tcW w:w="720" w:type="pct"/>
                  <w:vAlign w:val="center"/>
                </w:tcPr>
                <w:p w14:paraId="25D6A05A">
                  <w:pPr>
                    <w:jc w:val="center"/>
                    <w:rPr>
                      <w:rFonts w:hint="eastAsia" w:ascii="Times New Roman" w:hAnsi="Times New Roman" w:eastAsiaTheme="minorEastAsia"/>
                      <w:color w:val="auto"/>
                      <w:szCs w:val="21"/>
                      <w:highlight w:val="none"/>
                      <w:lang w:eastAsia="zh-CN"/>
                    </w:rPr>
                  </w:pPr>
                  <w:r>
                    <w:rPr>
                      <w:rFonts w:ascii="Times New Roman" w:hAnsi="Times New Roman" w:eastAsiaTheme="minorEastAsia"/>
                      <w:color w:val="auto"/>
                      <w:szCs w:val="21"/>
                      <w:highlight w:val="none"/>
                    </w:rPr>
                    <w:t>3</w:t>
                  </w:r>
                  <w:r>
                    <w:rPr>
                      <w:rFonts w:hint="eastAsia" w:ascii="Times New Roman" w:hAnsi="Times New Roman" w:eastAsiaTheme="minorEastAsia"/>
                      <w:color w:val="auto"/>
                      <w:szCs w:val="21"/>
                      <w:highlight w:val="none"/>
                      <w:lang w:val="en-US" w:eastAsia="zh-CN"/>
                    </w:rPr>
                    <w:t>6</w:t>
                  </w:r>
                </w:p>
              </w:tc>
              <w:tc>
                <w:tcPr>
                  <w:tcW w:w="720" w:type="pct"/>
                  <w:vAlign w:val="center"/>
                </w:tcPr>
                <w:p w14:paraId="457268BF">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40</w:t>
                  </w:r>
                </w:p>
              </w:tc>
              <w:tc>
                <w:tcPr>
                  <w:tcW w:w="720" w:type="pct"/>
                  <w:vAlign w:val="center"/>
                </w:tcPr>
                <w:p w14:paraId="19B200B6">
                  <w:pPr>
                    <w:jc w:val="center"/>
                    <w:rPr>
                      <w:rFonts w:hint="eastAsia" w:ascii="Times New Roman" w:hAnsi="Times New Roman" w:eastAsiaTheme="minorEastAsia"/>
                      <w:color w:val="auto"/>
                      <w:szCs w:val="21"/>
                      <w:highlight w:val="none"/>
                      <w:lang w:eastAsia="zh-CN"/>
                    </w:rPr>
                  </w:pPr>
                  <w:r>
                    <w:rPr>
                      <w:rFonts w:ascii="Times New Roman" w:hAnsi="Times New Roman" w:eastAsiaTheme="minorEastAsia"/>
                      <w:color w:val="auto"/>
                      <w:szCs w:val="21"/>
                      <w:highlight w:val="none"/>
                    </w:rPr>
                    <w:t>9</w:t>
                  </w:r>
                  <w:r>
                    <w:rPr>
                      <w:rFonts w:hint="eastAsia" w:ascii="Times New Roman" w:hAnsi="Times New Roman" w:eastAsiaTheme="minorEastAsia"/>
                      <w:color w:val="auto"/>
                      <w:szCs w:val="21"/>
                      <w:highlight w:val="none"/>
                      <w:lang w:val="en-US" w:eastAsia="zh-CN"/>
                    </w:rPr>
                    <w:t>0</w:t>
                  </w:r>
                </w:p>
              </w:tc>
              <w:tc>
                <w:tcPr>
                  <w:tcW w:w="721" w:type="pct"/>
                  <w:vAlign w:val="center"/>
                </w:tcPr>
                <w:p w14:paraId="5D833E71">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达标</w:t>
                  </w:r>
                </w:p>
              </w:tc>
            </w:tr>
            <w:tr w14:paraId="1C810B9C">
              <w:tblPrEx>
                <w:tblBorders>
                  <w:top w:val="single" w:color="000000" w:sz="4" w:space="0"/>
                  <w:left w:val="none" w:color="auto" w:sz="0" w:space="0"/>
                  <w:bottom w:val="sing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exact"/>
              </w:trPr>
              <w:tc>
                <w:tcPr>
                  <w:tcW w:w="580" w:type="pct"/>
                  <w:vMerge w:val="continue"/>
                  <w:vAlign w:val="center"/>
                </w:tcPr>
                <w:p w14:paraId="116E9237">
                  <w:pPr>
                    <w:jc w:val="center"/>
                    <w:rPr>
                      <w:rFonts w:ascii="Times New Roman" w:hAnsi="Times New Roman" w:eastAsiaTheme="minorEastAsia"/>
                      <w:color w:val="auto"/>
                      <w:szCs w:val="21"/>
                      <w:highlight w:val="none"/>
                    </w:rPr>
                  </w:pPr>
                </w:p>
              </w:tc>
              <w:tc>
                <w:tcPr>
                  <w:tcW w:w="1538" w:type="pct"/>
                  <w:vAlign w:val="center"/>
                </w:tcPr>
                <w:p w14:paraId="5C60E7E1">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24小时平均第98百分位数</w:t>
                  </w:r>
                </w:p>
              </w:tc>
              <w:tc>
                <w:tcPr>
                  <w:tcW w:w="720" w:type="pct"/>
                  <w:vAlign w:val="center"/>
                </w:tcPr>
                <w:p w14:paraId="32A99CAF">
                  <w:pPr>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81</w:t>
                  </w:r>
                </w:p>
              </w:tc>
              <w:tc>
                <w:tcPr>
                  <w:tcW w:w="720" w:type="pct"/>
                  <w:vAlign w:val="center"/>
                </w:tcPr>
                <w:p w14:paraId="448EC2C2">
                  <w:pPr>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80</w:t>
                  </w:r>
                </w:p>
              </w:tc>
              <w:tc>
                <w:tcPr>
                  <w:tcW w:w="720" w:type="pct"/>
                  <w:vAlign w:val="center"/>
                </w:tcPr>
                <w:p w14:paraId="726EB396">
                  <w:pPr>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101</w:t>
                  </w:r>
                </w:p>
              </w:tc>
              <w:tc>
                <w:tcPr>
                  <w:tcW w:w="721" w:type="pct"/>
                  <w:vAlign w:val="center"/>
                </w:tcPr>
                <w:p w14:paraId="644963F9">
                  <w:pPr>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lang w:val="en-US" w:eastAsia="zh-CN"/>
                    </w:rPr>
                    <w:t>不</w:t>
                  </w:r>
                  <w:r>
                    <w:rPr>
                      <w:rFonts w:ascii="Times New Roman" w:hAnsi="Times New Roman" w:eastAsiaTheme="minorEastAsia"/>
                      <w:color w:val="auto"/>
                      <w:szCs w:val="21"/>
                      <w:highlight w:val="none"/>
                    </w:rPr>
                    <w:t>达标</w:t>
                  </w:r>
                </w:p>
              </w:tc>
            </w:tr>
          </w:tbl>
          <w:p w14:paraId="200D6194">
            <w:pPr>
              <w:spacing w:line="480" w:lineRule="exact"/>
              <w:ind w:firstLine="480" w:firstLineChars="200"/>
              <w:rPr>
                <w:rFonts w:ascii="Times New Roman" w:hAnsi="Times New Roman" w:eastAsiaTheme="minorEastAsia"/>
                <w:bCs/>
                <w:color w:val="auto"/>
                <w:kern w:val="0"/>
                <w:sz w:val="24"/>
                <w:szCs w:val="20"/>
                <w:highlight w:val="none"/>
                <w:lang w:val="zh-CN"/>
              </w:rPr>
            </w:pPr>
            <w:r>
              <w:rPr>
                <w:rFonts w:ascii="Times New Roman" w:hAnsi="Times New Roman" w:eastAsiaTheme="minorEastAsia"/>
                <w:bCs/>
                <w:color w:val="auto"/>
                <w:kern w:val="0"/>
                <w:sz w:val="24"/>
                <w:szCs w:val="20"/>
                <w:highlight w:val="none"/>
                <w:lang w:val="zh-CN"/>
              </w:rPr>
              <w:t>综上，保定市徐水区202</w:t>
            </w:r>
            <w:r>
              <w:rPr>
                <w:rFonts w:hint="eastAsia" w:ascii="Times New Roman" w:hAnsi="Times New Roman" w:eastAsiaTheme="minorEastAsia"/>
                <w:bCs/>
                <w:color w:val="auto"/>
                <w:kern w:val="0"/>
                <w:sz w:val="24"/>
                <w:szCs w:val="20"/>
                <w:highlight w:val="none"/>
                <w:lang w:val="en-US" w:eastAsia="zh-CN"/>
              </w:rPr>
              <w:t>3</w:t>
            </w:r>
            <w:r>
              <w:rPr>
                <w:rFonts w:ascii="Times New Roman" w:hAnsi="Times New Roman" w:eastAsiaTheme="minorEastAsia"/>
                <w:bCs/>
                <w:color w:val="auto"/>
                <w:kern w:val="0"/>
                <w:sz w:val="24"/>
                <w:szCs w:val="20"/>
                <w:highlight w:val="none"/>
                <w:lang w:val="zh-CN"/>
              </w:rPr>
              <w:t>年大气环境中基本污染物除SO</w:t>
            </w:r>
            <w:r>
              <w:rPr>
                <w:rFonts w:ascii="Times New Roman" w:hAnsi="Times New Roman" w:eastAsiaTheme="minorEastAsia"/>
                <w:bCs/>
                <w:color w:val="auto"/>
                <w:kern w:val="0"/>
                <w:sz w:val="24"/>
                <w:szCs w:val="20"/>
                <w:highlight w:val="none"/>
                <w:vertAlign w:val="subscript"/>
                <w:lang w:val="zh-CN"/>
              </w:rPr>
              <w:t>2</w:t>
            </w:r>
            <w:r>
              <w:rPr>
                <w:rFonts w:ascii="Times New Roman" w:hAnsi="Times New Roman" w:eastAsiaTheme="minorEastAsia"/>
                <w:bCs/>
                <w:color w:val="auto"/>
                <w:kern w:val="0"/>
                <w:sz w:val="24"/>
                <w:szCs w:val="20"/>
                <w:highlight w:val="none"/>
                <w:lang w:val="zh-CN"/>
              </w:rPr>
              <w:t>、CO外，其他污染物均不满足《环境空气质量标准》（GB3095-2012）中二级标准及修改单要求，判定项目所在区域的环境空气质量为不达标区。</w:t>
            </w:r>
          </w:p>
          <w:p w14:paraId="675C2A6E">
            <w:pPr>
              <w:spacing w:line="480" w:lineRule="exact"/>
              <w:ind w:firstLine="480" w:firstLineChars="200"/>
              <w:rPr>
                <w:rFonts w:ascii="Times New Roman" w:hAnsi="Times New Roman" w:eastAsiaTheme="minorEastAsia"/>
                <w:bCs/>
                <w:color w:val="auto"/>
                <w:kern w:val="0"/>
                <w:sz w:val="24"/>
                <w:szCs w:val="20"/>
                <w:highlight w:val="none"/>
                <w:lang w:val="zh-CN"/>
              </w:rPr>
            </w:pPr>
            <w:r>
              <w:rPr>
                <w:rFonts w:ascii="Times New Roman" w:hAnsi="Times New Roman" w:eastAsiaTheme="minorEastAsia"/>
                <w:bCs/>
                <w:color w:val="auto"/>
                <w:kern w:val="0"/>
                <w:sz w:val="24"/>
                <w:szCs w:val="20"/>
                <w:highlight w:val="none"/>
                <w:lang w:val="zh-CN"/>
              </w:rPr>
              <w:t>为改善大气环境质量，保定市徐水区人民政府认真组织落实《保定市深入实施大气污染综合治理十五条措施的通知》等正常要求，并采取了制定落实徐水区重污染天气应急预案、车辆限行措施等污染减缓措施，同时</w:t>
            </w:r>
            <w:r>
              <w:rPr>
                <w:rFonts w:hint="eastAsia" w:ascii="Times New Roman" w:hAnsi="Times New Roman" w:eastAsiaTheme="minorEastAsia"/>
                <w:bCs/>
                <w:color w:val="auto"/>
                <w:kern w:val="0"/>
                <w:sz w:val="24"/>
                <w:szCs w:val="20"/>
                <w:highlight w:val="none"/>
                <w:lang w:val="en-US" w:eastAsia="zh-CN"/>
              </w:rPr>
              <w:t>随着</w:t>
            </w:r>
            <w:r>
              <w:rPr>
                <w:rFonts w:ascii="Times New Roman" w:hAnsi="Times New Roman" w:eastAsiaTheme="minorEastAsia"/>
                <w:bCs/>
                <w:color w:val="auto"/>
                <w:kern w:val="0"/>
                <w:sz w:val="24"/>
                <w:szCs w:val="20"/>
                <w:highlight w:val="none"/>
                <w:lang w:val="zh-CN"/>
              </w:rPr>
              <w:t>《关于进一步做好建设项目大气主要污染物排放总量指标审核管理工作的通知》（冀环办字函[2020]247 号）</w:t>
            </w:r>
            <w:r>
              <w:rPr>
                <w:rFonts w:hint="eastAsia" w:ascii="Times New Roman" w:hAnsi="Times New Roman" w:eastAsiaTheme="minorEastAsia"/>
                <w:bCs/>
                <w:color w:val="auto"/>
                <w:kern w:val="0"/>
                <w:sz w:val="24"/>
                <w:szCs w:val="20"/>
                <w:highlight w:val="none"/>
                <w:lang w:val="zh-CN"/>
              </w:rPr>
              <w:t>、</w:t>
            </w:r>
            <w:r>
              <w:rPr>
                <w:rFonts w:ascii="Times New Roman" w:hAnsi="Times New Roman"/>
                <w:color w:val="auto"/>
                <w:sz w:val="24"/>
                <w:szCs w:val="32"/>
                <w:highlight w:val="none"/>
              </w:rPr>
              <w:t>《</w:t>
            </w:r>
            <w:r>
              <w:rPr>
                <w:rFonts w:ascii="Times New Roman" w:hAnsi="Times New Roman"/>
                <w:bCs/>
                <w:color w:val="auto"/>
                <w:sz w:val="24"/>
                <w:szCs w:val="32"/>
                <w:highlight w:val="none"/>
              </w:rPr>
              <w:t>河北省空气质量持续改善行动计划实施方案</w:t>
            </w:r>
            <w:r>
              <w:rPr>
                <w:rFonts w:ascii="Times New Roman" w:hAnsi="Times New Roman"/>
                <w:color w:val="auto"/>
                <w:sz w:val="24"/>
                <w:szCs w:val="32"/>
                <w:highlight w:val="none"/>
              </w:rPr>
              <w:t>》（冀政发〔2024〕4号）、</w:t>
            </w:r>
            <w:r>
              <w:rPr>
                <w:rFonts w:ascii="Times New Roman" w:hAnsi="Times New Roman" w:eastAsiaTheme="minorEastAsia"/>
                <w:color w:val="auto"/>
                <w:sz w:val="24"/>
                <w:szCs w:val="32"/>
                <w:highlight w:val="none"/>
              </w:rPr>
              <w:t>《河北省生态环境保护</w:t>
            </w:r>
            <w:r>
              <w:rPr>
                <w:rFonts w:hint="eastAsia" w:ascii="Times New Roman" w:hAnsi="Times New Roman" w:eastAsiaTheme="minorEastAsia"/>
                <w:color w:val="auto"/>
                <w:sz w:val="24"/>
                <w:szCs w:val="32"/>
                <w:highlight w:val="none"/>
                <w:lang w:eastAsia="zh-CN"/>
              </w:rPr>
              <w:t>“</w:t>
            </w:r>
            <w:r>
              <w:rPr>
                <w:rFonts w:ascii="Times New Roman" w:hAnsi="Times New Roman" w:eastAsiaTheme="minorEastAsia"/>
                <w:color w:val="auto"/>
                <w:sz w:val="24"/>
                <w:szCs w:val="32"/>
                <w:highlight w:val="none"/>
              </w:rPr>
              <w:t>十四五</w:t>
            </w:r>
            <w:r>
              <w:rPr>
                <w:rFonts w:hint="eastAsia" w:ascii="Times New Roman" w:hAnsi="Times New Roman" w:eastAsiaTheme="minorEastAsia"/>
                <w:color w:val="auto"/>
                <w:sz w:val="24"/>
                <w:szCs w:val="32"/>
                <w:highlight w:val="none"/>
                <w:lang w:eastAsia="zh-CN"/>
              </w:rPr>
              <w:t>”</w:t>
            </w:r>
            <w:r>
              <w:rPr>
                <w:rFonts w:ascii="Times New Roman" w:hAnsi="Times New Roman" w:eastAsiaTheme="minorEastAsia"/>
                <w:color w:val="auto"/>
                <w:sz w:val="24"/>
                <w:szCs w:val="32"/>
                <w:highlight w:val="none"/>
              </w:rPr>
              <w:t>规划》（冀政字〔2022〕2号）等工作的实施，本项目所在区域的空气质量正逐年好转。</w:t>
            </w:r>
          </w:p>
          <w:p w14:paraId="58A5AAC2">
            <w:pPr>
              <w:spacing w:line="480" w:lineRule="exact"/>
              <w:ind w:firstLine="482" w:firstLineChars="200"/>
              <w:rPr>
                <w:rFonts w:ascii="Times New Roman" w:hAnsi="Times New Roman" w:eastAsiaTheme="minorEastAsia"/>
                <w:b/>
                <w:color w:val="auto"/>
                <w:kern w:val="0"/>
                <w:sz w:val="24"/>
                <w:szCs w:val="20"/>
                <w:highlight w:val="none"/>
                <w:lang w:val="zh-CN"/>
              </w:rPr>
            </w:pPr>
            <w:r>
              <w:rPr>
                <w:rFonts w:ascii="Times New Roman" w:hAnsi="Times New Roman" w:eastAsiaTheme="minorEastAsia"/>
                <w:b/>
                <w:color w:val="auto"/>
                <w:kern w:val="0"/>
                <w:sz w:val="24"/>
                <w:szCs w:val="20"/>
                <w:highlight w:val="none"/>
              </w:rPr>
              <w:t>2、</w:t>
            </w:r>
            <w:r>
              <w:rPr>
                <w:rFonts w:ascii="Times New Roman" w:hAnsi="Times New Roman" w:eastAsiaTheme="minorEastAsia"/>
                <w:b/>
                <w:color w:val="auto"/>
                <w:kern w:val="0"/>
                <w:sz w:val="24"/>
                <w:szCs w:val="20"/>
                <w:highlight w:val="none"/>
                <w:lang w:val="zh-CN"/>
              </w:rPr>
              <w:t>声环境质量现状</w:t>
            </w:r>
          </w:p>
          <w:p w14:paraId="101F8A59">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本项目厂界外50m范围内不存在声环境保护目标，本次评价不再对声环境质量现状进行监测。</w:t>
            </w:r>
          </w:p>
          <w:p w14:paraId="6274D3A2">
            <w:pPr>
              <w:spacing w:line="360" w:lineRule="auto"/>
              <w:ind w:firstLine="482" w:firstLineChars="200"/>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lang w:val="en-US" w:eastAsia="zh-CN"/>
              </w:rPr>
              <w:t>3</w:t>
            </w:r>
            <w:r>
              <w:rPr>
                <w:rFonts w:hint="default" w:ascii="Times New Roman" w:hAnsi="Times New Roman" w:eastAsia="宋体" w:cs="Times New Roman"/>
                <w:b/>
                <w:color w:val="auto"/>
                <w:kern w:val="0"/>
                <w:sz w:val="24"/>
                <w:szCs w:val="24"/>
                <w:highlight w:val="none"/>
              </w:rPr>
              <w:t>、土壤环境质量现状</w:t>
            </w:r>
          </w:p>
          <w:p w14:paraId="109F68DF">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val="en-US" w:eastAsia="zh-CN"/>
              </w:rPr>
              <w:t>根据技术指南要求，</w:t>
            </w:r>
            <w:r>
              <w:rPr>
                <w:rFonts w:hint="default" w:ascii="Times New Roman" w:hAnsi="Times New Roman" w:eastAsia="宋体" w:cs="Times New Roman"/>
                <w:color w:val="auto"/>
                <w:sz w:val="24"/>
                <w:szCs w:val="24"/>
                <w:highlight w:val="none"/>
              </w:rPr>
              <w:t>本项目对土壤环境质量进行监测留存本底值。根据</w:t>
            </w:r>
            <w:r>
              <w:rPr>
                <w:rFonts w:hint="default" w:ascii="Times New Roman" w:hAnsi="Times New Roman" w:eastAsia="宋体" w:cs="Times New Roman"/>
                <w:b w:val="0"/>
                <w:bCs/>
                <w:color w:val="auto"/>
                <w:sz w:val="24"/>
                <w:szCs w:val="24"/>
                <w:highlight w:val="none"/>
              </w:rPr>
              <w:t>河北磊清检测技术服务有限公司</w:t>
            </w:r>
            <w:r>
              <w:rPr>
                <w:rFonts w:hint="default" w:ascii="Times New Roman" w:hAnsi="Times New Roman" w:eastAsia="宋体" w:cs="Times New Roman"/>
                <w:color w:val="auto"/>
                <w:sz w:val="24"/>
                <w:szCs w:val="24"/>
                <w:highlight w:val="none"/>
              </w:rPr>
              <w:t>出具的《检测报告》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报告编号：H202409003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，见附件，监测采样时间为202</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日，监测点位为项目内1个土壤环境现状监测点（表层样）。</w:t>
            </w:r>
          </w:p>
          <w:p w14:paraId="2087A116">
            <w:pPr>
              <w:spacing w:line="360" w:lineRule="auto"/>
              <w:ind w:firstLine="480" w:firstLineChars="200"/>
              <w:jc w:val="left"/>
              <w:rPr>
                <w:rFonts w:hint="eastAsia" w:eastAsia="宋体"/>
                <w:color w:val="auto"/>
                <w:sz w:val="24"/>
                <w:szCs w:val="24"/>
                <w:highlight w:val="none"/>
                <w:lang w:eastAsia="zh-CN"/>
              </w:rPr>
            </w:pPr>
            <w:r>
              <w:rPr>
                <w:rFonts w:hint="default"/>
                <w:color w:val="auto"/>
                <w:sz w:val="24"/>
                <w:szCs w:val="24"/>
                <w:highlight w:val="none"/>
              </w:rPr>
              <w:t>采样点位置和监测因子</w:t>
            </w:r>
            <w:r>
              <w:rPr>
                <w:rFonts w:hint="eastAsia"/>
                <w:color w:val="auto"/>
                <w:sz w:val="24"/>
                <w:szCs w:val="24"/>
                <w:highlight w:val="none"/>
                <w:lang w:val="en-US" w:eastAsia="zh-CN"/>
              </w:rPr>
              <w:t>见下表</w:t>
            </w:r>
            <w:r>
              <w:rPr>
                <w:rFonts w:hint="eastAsia"/>
                <w:color w:val="auto"/>
                <w:sz w:val="24"/>
                <w:szCs w:val="24"/>
                <w:highlight w:val="none"/>
                <w:lang w:eastAsia="zh-CN"/>
              </w:rPr>
              <w:t>：</w:t>
            </w:r>
          </w:p>
          <w:p w14:paraId="45A4D02E">
            <w:pPr>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w:t>
            </w:r>
            <w:r>
              <w:rPr>
                <w:rFonts w:hint="default" w:ascii="Times New Roman" w:hAnsi="Times New Roman" w:cs="Times New Roman"/>
                <w:color w:val="auto"/>
                <w:sz w:val="24"/>
                <w:szCs w:val="24"/>
                <w:highlight w:val="none"/>
                <w:lang w:val="en-US" w:eastAsia="zh-CN"/>
              </w:rPr>
              <w:t>3-2</w:t>
            </w:r>
            <w:r>
              <w:rPr>
                <w:rFonts w:hint="default" w:ascii="Times New Roman" w:hAnsi="Times New Roman" w:cs="Times New Roman"/>
                <w:color w:val="auto"/>
                <w:sz w:val="24"/>
                <w:szCs w:val="24"/>
                <w:highlight w:val="none"/>
              </w:rPr>
              <w:t xml:space="preserve">  </w:t>
            </w:r>
            <w:r>
              <w:rPr>
                <w:rFonts w:hint="default" w:ascii="Times New Roman" w:hAnsi="Times New Roman" w:cs="Times New Roman"/>
                <w:color w:val="auto"/>
                <w:sz w:val="24"/>
                <w:szCs w:val="24"/>
                <w:highlight w:val="none"/>
                <w:lang w:val="en-US" w:eastAsia="zh-CN"/>
              </w:rPr>
              <w:t>土壤</w:t>
            </w:r>
            <w:r>
              <w:rPr>
                <w:rFonts w:hint="default" w:ascii="Times New Roman" w:hAnsi="Times New Roman" w:cs="Times New Roman"/>
                <w:color w:val="auto"/>
                <w:sz w:val="24"/>
                <w:szCs w:val="24"/>
                <w:highlight w:val="none"/>
              </w:rPr>
              <w:t>监测位置和监测因子</w:t>
            </w:r>
          </w:p>
          <w:tbl>
            <w:tblPr>
              <w:tblStyle w:val="32"/>
              <w:tblW w:w="9464"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134"/>
              <w:gridCol w:w="1276"/>
              <w:gridCol w:w="5670"/>
            </w:tblGrid>
            <w:tr w14:paraId="1DB799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384" w:type="dxa"/>
                  <w:vAlign w:val="center"/>
                </w:tcPr>
                <w:p w14:paraId="4C358A36">
                  <w:pPr>
                    <w:ind w:left="105" w:lef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监测位置</w:t>
                  </w:r>
                </w:p>
              </w:tc>
              <w:tc>
                <w:tcPr>
                  <w:tcW w:w="1134" w:type="dxa"/>
                  <w:vAlign w:val="center"/>
                </w:tcPr>
                <w:p w14:paraId="0F0FCB81">
                  <w:pPr>
                    <w:pStyle w:val="5"/>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编号</w:t>
                  </w:r>
                </w:p>
              </w:tc>
              <w:tc>
                <w:tcPr>
                  <w:tcW w:w="1276" w:type="dxa"/>
                  <w:vAlign w:val="center"/>
                </w:tcPr>
                <w:p w14:paraId="4084D63D">
                  <w:pPr>
                    <w:pStyle w:val="5"/>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布点类型</w:t>
                  </w:r>
                </w:p>
              </w:tc>
              <w:tc>
                <w:tcPr>
                  <w:tcW w:w="5670" w:type="dxa"/>
                  <w:vAlign w:val="center"/>
                </w:tcPr>
                <w:p w14:paraId="64C46303">
                  <w:pPr>
                    <w:pStyle w:val="5"/>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监测因子</w:t>
                  </w:r>
                </w:p>
              </w:tc>
            </w:tr>
            <w:tr w14:paraId="2364EF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384" w:type="dxa"/>
                  <w:vAlign w:val="center"/>
                </w:tcPr>
                <w:p w14:paraId="28C0A8C5">
                  <w:pPr>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项目</w:t>
                  </w:r>
                  <w:r>
                    <w:rPr>
                      <w:rFonts w:hint="eastAsia" w:ascii="Times New Roman" w:hAnsi="Times New Roman" w:cs="Times New Roman"/>
                      <w:color w:val="auto"/>
                      <w:sz w:val="21"/>
                      <w:szCs w:val="21"/>
                      <w:highlight w:val="none"/>
                      <w:lang w:val="en-US" w:eastAsia="zh-CN"/>
                    </w:rPr>
                    <w:t>内部（具体位于车间东北侧门口）</w:t>
                  </w:r>
                </w:p>
              </w:tc>
              <w:tc>
                <w:tcPr>
                  <w:tcW w:w="1134" w:type="dxa"/>
                  <w:vAlign w:val="center"/>
                </w:tcPr>
                <w:p w14:paraId="5BEEB65D">
                  <w:pPr>
                    <w:pStyle w:val="5"/>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T1</w:t>
                  </w:r>
                </w:p>
              </w:tc>
              <w:tc>
                <w:tcPr>
                  <w:tcW w:w="1276" w:type="dxa"/>
                  <w:vAlign w:val="center"/>
                </w:tcPr>
                <w:p w14:paraId="41EEB555">
                  <w:pPr>
                    <w:pStyle w:val="5"/>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表层</w:t>
                  </w:r>
                </w:p>
              </w:tc>
              <w:tc>
                <w:tcPr>
                  <w:tcW w:w="5670" w:type="dxa"/>
                  <w:vAlign w:val="center"/>
                </w:tcPr>
                <w:p w14:paraId="7F183F77">
                  <w:pPr>
                    <w:pStyle w:val="5"/>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 36600-2018《土壤环境质量 建设用地土壤污染风险管控标准》表1中45项基本项目、</w:t>
                  </w:r>
                  <w:r>
                    <w:rPr>
                      <w:rFonts w:hint="eastAsia" w:ascii="Times New Roman" w:hAnsi="Times New Roman" w:cs="Times New Roman"/>
                      <w:color w:val="auto"/>
                      <w:sz w:val="21"/>
                      <w:szCs w:val="21"/>
                      <w:highlight w:val="none"/>
                      <w:lang w:val="en-US" w:eastAsia="zh-CN"/>
                    </w:rPr>
                    <w:t>p</w:t>
                  </w:r>
                  <w:r>
                    <w:rPr>
                      <w:rFonts w:hint="default" w:ascii="Times New Roman" w:hAnsi="Times New Roman" w:eastAsia="宋体" w:cs="Times New Roman"/>
                      <w:color w:val="auto"/>
                      <w:sz w:val="21"/>
                      <w:szCs w:val="21"/>
                      <w:highlight w:val="none"/>
                    </w:rPr>
                    <w:t>H</w:t>
                  </w:r>
                </w:p>
              </w:tc>
            </w:tr>
          </w:tbl>
          <w:p w14:paraId="2DF2F48A">
            <w:pPr>
              <w:spacing w:line="360" w:lineRule="auto"/>
              <w:ind w:firstLine="480" w:firstLineChars="200"/>
              <w:rPr>
                <w:rFonts w:hint="eastAsia"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根据监测结果可知，各因子均能满足《土壤环境质量建设用地土壤污染风险管控标准》（GB36600－2018）表1第二类用地筛选值要求，其中六价铬、挥发性有机物、半挥发性有机物均未检出。因此，项目区内土壤环境质量良好。具体监测数据及达标情况详见下表</w:t>
            </w:r>
            <w:r>
              <w:rPr>
                <w:rFonts w:hint="eastAsia" w:ascii="Times New Roman" w:hAnsi="Times New Roman" w:cs="Times New Roman"/>
                <w:color w:val="auto"/>
                <w:kern w:val="0"/>
                <w:sz w:val="24"/>
                <w:szCs w:val="24"/>
                <w:highlight w:val="none"/>
                <w:lang w:eastAsia="zh-CN"/>
              </w:rPr>
              <w:t>：</w:t>
            </w:r>
          </w:p>
          <w:p w14:paraId="40622A25">
            <w:pPr>
              <w:pStyle w:val="21"/>
              <w:jc w:val="center"/>
              <w:rPr>
                <w:rFonts w:hint="default"/>
                <w:color w:val="auto"/>
                <w:highlight w:val="none"/>
              </w:rPr>
            </w:pPr>
            <w:r>
              <w:rPr>
                <w:rFonts w:hint="default"/>
                <w:color w:val="auto"/>
                <w:sz w:val="24"/>
                <w:szCs w:val="24"/>
                <w:highlight w:val="none"/>
              </w:rPr>
              <w:t>表</w:t>
            </w:r>
            <w:r>
              <w:rPr>
                <w:rFonts w:hint="eastAsia"/>
                <w:color w:val="auto"/>
                <w:sz w:val="24"/>
                <w:szCs w:val="24"/>
                <w:highlight w:val="none"/>
                <w:lang w:val="en-US" w:eastAsia="zh-CN"/>
              </w:rPr>
              <w:t>3-3</w:t>
            </w:r>
            <w:r>
              <w:rPr>
                <w:rFonts w:hint="default"/>
                <w:color w:val="auto"/>
                <w:sz w:val="24"/>
                <w:szCs w:val="24"/>
                <w:highlight w:val="none"/>
              </w:rPr>
              <w:t xml:space="preserve">  </w:t>
            </w:r>
            <w:r>
              <w:rPr>
                <w:rFonts w:hint="default"/>
                <w:color w:val="auto"/>
                <w:sz w:val="24"/>
                <w:szCs w:val="24"/>
                <w:highlight w:val="none"/>
                <w:lang w:val="en-US" w:eastAsia="zh-CN"/>
              </w:rPr>
              <w:t>土壤</w:t>
            </w:r>
            <w:r>
              <w:rPr>
                <w:rFonts w:hint="default"/>
                <w:color w:val="auto"/>
                <w:sz w:val="24"/>
                <w:szCs w:val="24"/>
                <w:highlight w:val="none"/>
              </w:rPr>
              <w:t>监测位置和监测因子</w:t>
            </w:r>
          </w:p>
          <w:tbl>
            <w:tblPr>
              <w:tblStyle w:val="31"/>
              <w:tblW w:w="499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18"/>
              <w:gridCol w:w="1234"/>
              <w:gridCol w:w="2048"/>
              <w:gridCol w:w="2389"/>
            </w:tblGrid>
            <w:tr w14:paraId="03B0C6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698" w:type="pct"/>
                  <w:vMerge w:val="restart"/>
                  <w:noWrap w:val="0"/>
                  <w:vAlign w:val="center"/>
                </w:tcPr>
                <w:p w14:paraId="153DE2CD">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检测项目</w:t>
                  </w:r>
                </w:p>
              </w:tc>
              <w:tc>
                <w:tcPr>
                  <w:tcW w:w="718" w:type="pct"/>
                  <w:vMerge w:val="restart"/>
                  <w:noWrap w:val="0"/>
                  <w:vAlign w:val="center"/>
                </w:tcPr>
                <w:p w14:paraId="3E5A0A0B">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采样点位</w:t>
                  </w:r>
                </w:p>
              </w:tc>
              <w:tc>
                <w:tcPr>
                  <w:tcW w:w="2582" w:type="pct"/>
                  <w:gridSpan w:val="2"/>
                  <w:noWrap w:val="0"/>
                  <w:vAlign w:val="center"/>
                </w:tcPr>
                <w:p w14:paraId="2A08830A">
                  <w:pPr>
                    <w:keepNext w:val="0"/>
                    <w:keepLines w:val="0"/>
                    <w:pageBreakBefore w:val="0"/>
                    <w:kinsoku/>
                    <w:wordWrap/>
                    <w:overflowPunct/>
                    <w:topLinePunct w:val="0"/>
                    <w:autoSpaceDE/>
                    <w:autoSpaceDN/>
                    <w:bidi w:val="0"/>
                    <w:adjustRightInd/>
                    <w:snapToGrid/>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r>
                    <w:rPr>
                      <w:rFonts w:hint="eastAsia" w:ascii="Times New Roman" w:hAnsi="Times New Roman" w:cs="Times New Roman"/>
                      <w:color w:val="auto"/>
                      <w:sz w:val="21"/>
                      <w:szCs w:val="21"/>
                      <w:highlight w:val="none"/>
                      <w:lang w:val="en-US" w:eastAsia="zh-CN"/>
                    </w:rPr>
                    <w:t>内部</w:t>
                  </w:r>
                </w:p>
              </w:tc>
            </w:tr>
            <w:tr w14:paraId="7A9834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8" w:type="pct"/>
                  <w:vMerge w:val="continue"/>
                  <w:noWrap w:val="0"/>
                  <w:vAlign w:val="center"/>
                </w:tcPr>
                <w:p w14:paraId="7D5DC850">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rPr>
                  </w:pPr>
                </w:p>
              </w:tc>
              <w:tc>
                <w:tcPr>
                  <w:tcW w:w="718" w:type="pct"/>
                  <w:vMerge w:val="continue"/>
                  <w:noWrap w:val="0"/>
                  <w:vAlign w:val="center"/>
                </w:tcPr>
                <w:p w14:paraId="31AAAF1D">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eastAsia="zh-CN"/>
                    </w:rPr>
                  </w:pPr>
                </w:p>
              </w:tc>
              <w:tc>
                <w:tcPr>
                  <w:tcW w:w="1192" w:type="pct"/>
                  <w:noWrap w:val="0"/>
                  <w:vAlign w:val="center"/>
                </w:tcPr>
                <w:p w14:paraId="2DA1ADC4">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0.2m</w:t>
                  </w:r>
                </w:p>
              </w:tc>
              <w:tc>
                <w:tcPr>
                  <w:tcW w:w="1390" w:type="pct"/>
                  <w:noWrap w:val="0"/>
                  <w:vAlign w:val="center"/>
                </w:tcPr>
                <w:p w14:paraId="7E83FCD6">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0.2m（现场平行）</w:t>
                  </w:r>
                </w:p>
              </w:tc>
            </w:tr>
            <w:tr w14:paraId="460FA9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698" w:type="pct"/>
                  <w:vMerge w:val="continue"/>
                  <w:noWrap w:val="0"/>
                  <w:vAlign w:val="center"/>
                </w:tcPr>
                <w:p w14:paraId="64716DD0">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rPr>
                  </w:pPr>
                </w:p>
              </w:tc>
              <w:tc>
                <w:tcPr>
                  <w:tcW w:w="718" w:type="pct"/>
                  <w:noWrap w:val="0"/>
                  <w:vAlign w:val="center"/>
                </w:tcPr>
                <w:p w14:paraId="51B35E35">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采样</w:t>
                  </w:r>
                  <w:r>
                    <w:rPr>
                      <w:rFonts w:hint="default" w:ascii="Times New Roman" w:hAnsi="Times New Roman" w:eastAsia="宋体" w:cs="Times New Roman"/>
                      <w:color w:val="auto"/>
                      <w:sz w:val="21"/>
                      <w:szCs w:val="21"/>
                      <w:highlight w:val="none"/>
                    </w:rPr>
                    <w:t>时间</w:t>
                  </w:r>
                </w:p>
              </w:tc>
              <w:tc>
                <w:tcPr>
                  <w:tcW w:w="2582" w:type="pct"/>
                  <w:gridSpan w:val="2"/>
                  <w:noWrap w:val="0"/>
                  <w:vAlign w:val="center"/>
                </w:tcPr>
                <w:p w14:paraId="2952A2F9">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2024.9.22</w:t>
                  </w:r>
                </w:p>
              </w:tc>
            </w:tr>
            <w:tr w14:paraId="2A9DE9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8" w:type="pct"/>
                  <w:noWrap w:val="0"/>
                  <w:vAlign w:val="center"/>
                </w:tcPr>
                <w:p w14:paraId="1832FA6C">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pH（无量纲）</w:t>
                  </w:r>
                </w:p>
              </w:tc>
              <w:tc>
                <w:tcPr>
                  <w:tcW w:w="718" w:type="pct"/>
                  <w:vMerge w:val="restart"/>
                  <w:noWrap w:val="0"/>
                  <w:vAlign w:val="center"/>
                </w:tcPr>
                <w:p w14:paraId="748E986A">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结果</w:t>
                  </w:r>
                </w:p>
              </w:tc>
              <w:tc>
                <w:tcPr>
                  <w:tcW w:w="1192" w:type="pct"/>
                  <w:noWrap w:val="0"/>
                  <w:vAlign w:val="center"/>
                </w:tcPr>
                <w:p w14:paraId="55959F95">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8.46</w:t>
                  </w:r>
                </w:p>
              </w:tc>
              <w:tc>
                <w:tcPr>
                  <w:tcW w:w="1390" w:type="pct"/>
                  <w:noWrap w:val="0"/>
                  <w:vAlign w:val="center"/>
                </w:tcPr>
                <w:p w14:paraId="46AE95D0">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8.49</w:t>
                  </w:r>
                </w:p>
              </w:tc>
            </w:tr>
            <w:tr w14:paraId="046DE6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8" w:type="pct"/>
                  <w:noWrap w:val="0"/>
                  <w:vAlign w:val="center"/>
                </w:tcPr>
                <w:p w14:paraId="6CE04545">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铜（mg/kg）</w:t>
                  </w:r>
                </w:p>
              </w:tc>
              <w:tc>
                <w:tcPr>
                  <w:tcW w:w="718" w:type="pct"/>
                  <w:vMerge w:val="continue"/>
                  <w:noWrap w:val="0"/>
                  <w:vAlign w:val="center"/>
                </w:tcPr>
                <w:p w14:paraId="4051F92E">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92" w:type="pct"/>
                  <w:noWrap w:val="0"/>
                  <w:vAlign w:val="center"/>
                </w:tcPr>
                <w:p w14:paraId="1B317A6B">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w:t>
                  </w:r>
                </w:p>
              </w:tc>
              <w:tc>
                <w:tcPr>
                  <w:tcW w:w="1390" w:type="pct"/>
                  <w:noWrap w:val="0"/>
                  <w:vAlign w:val="center"/>
                </w:tcPr>
                <w:p w14:paraId="48633E78">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w:t>
                  </w:r>
                </w:p>
              </w:tc>
            </w:tr>
            <w:tr w14:paraId="15AA36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8" w:type="pct"/>
                  <w:noWrap w:val="0"/>
                  <w:vAlign w:val="center"/>
                </w:tcPr>
                <w:p w14:paraId="0BF3937D">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镉（mg/kg）</w:t>
                  </w:r>
                </w:p>
              </w:tc>
              <w:tc>
                <w:tcPr>
                  <w:tcW w:w="718" w:type="pct"/>
                  <w:vMerge w:val="continue"/>
                  <w:noWrap w:val="0"/>
                  <w:vAlign w:val="center"/>
                </w:tcPr>
                <w:p w14:paraId="12B95DD1">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92" w:type="pct"/>
                  <w:noWrap w:val="0"/>
                  <w:vAlign w:val="center"/>
                </w:tcPr>
                <w:p w14:paraId="60929503">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w:t>
                  </w:r>
                </w:p>
              </w:tc>
              <w:tc>
                <w:tcPr>
                  <w:tcW w:w="1390" w:type="pct"/>
                  <w:noWrap w:val="0"/>
                  <w:vAlign w:val="center"/>
                </w:tcPr>
                <w:p w14:paraId="153EC4B0">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0.26</w:t>
                  </w:r>
                </w:p>
              </w:tc>
            </w:tr>
            <w:tr w14:paraId="2CED73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8" w:type="pct"/>
                  <w:noWrap w:val="0"/>
                  <w:vAlign w:val="center"/>
                </w:tcPr>
                <w:p w14:paraId="693D7DAB">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砷（mg/kg）</w:t>
                  </w:r>
                </w:p>
              </w:tc>
              <w:tc>
                <w:tcPr>
                  <w:tcW w:w="718" w:type="pct"/>
                  <w:vMerge w:val="continue"/>
                  <w:noWrap w:val="0"/>
                  <w:vAlign w:val="center"/>
                </w:tcPr>
                <w:p w14:paraId="184DDB5D">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92" w:type="pct"/>
                  <w:noWrap w:val="0"/>
                  <w:vAlign w:val="center"/>
                </w:tcPr>
                <w:p w14:paraId="66F1CD40">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9.13</w:t>
                  </w:r>
                </w:p>
              </w:tc>
              <w:tc>
                <w:tcPr>
                  <w:tcW w:w="1390" w:type="pct"/>
                  <w:noWrap w:val="0"/>
                  <w:vAlign w:val="center"/>
                </w:tcPr>
                <w:p w14:paraId="25CA5007">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9.37</w:t>
                  </w:r>
                </w:p>
              </w:tc>
            </w:tr>
            <w:tr w14:paraId="35F16E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8" w:type="pct"/>
                  <w:noWrap w:val="0"/>
                  <w:vAlign w:val="center"/>
                </w:tcPr>
                <w:p w14:paraId="577F52C7">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镍</w:t>
                  </w:r>
                  <w:r>
                    <w:rPr>
                      <w:rFonts w:hint="default" w:ascii="Times New Roman" w:hAnsi="Times New Roman" w:eastAsia="宋体" w:cs="Times New Roman"/>
                      <w:color w:val="auto"/>
                      <w:sz w:val="21"/>
                      <w:szCs w:val="21"/>
                      <w:highlight w:val="none"/>
                    </w:rPr>
                    <w:t>（mg/kg）</w:t>
                  </w:r>
                </w:p>
              </w:tc>
              <w:tc>
                <w:tcPr>
                  <w:tcW w:w="718" w:type="pct"/>
                  <w:vMerge w:val="continue"/>
                  <w:noWrap w:val="0"/>
                  <w:vAlign w:val="center"/>
                </w:tcPr>
                <w:p w14:paraId="2337DCC7">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92" w:type="pct"/>
                  <w:noWrap w:val="0"/>
                  <w:vAlign w:val="center"/>
                </w:tcPr>
                <w:p w14:paraId="7FACAC98">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1390" w:type="pct"/>
                  <w:noWrap w:val="0"/>
                  <w:vAlign w:val="center"/>
                </w:tcPr>
                <w:p w14:paraId="34D2B409">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w:t>
                  </w:r>
                </w:p>
              </w:tc>
            </w:tr>
            <w:tr w14:paraId="7DA480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8" w:type="pct"/>
                  <w:noWrap w:val="0"/>
                  <w:vAlign w:val="center"/>
                </w:tcPr>
                <w:p w14:paraId="0BBD8783">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汞（mg/kg）</w:t>
                  </w:r>
                </w:p>
              </w:tc>
              <w:tc>
                <w:tcPr>
                  <w:tcW w:w="718" w:type="pct"/>
                  <w:vMerge w:val="continue"/>
                  <w:noWrap w:val="0"/>
                  <w:vAlign w:val="center"/>
                </w:tcPr>
                <w:p w14:paraId="3DFC3605">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92" w:type="pct"/>
                  <w:noWrap w:val="0"/>
                  <w:vAlign w:val="center"/>
                </w:tcPr>
                <w:p w14:paraId="218A7850">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0.025</w:t>
                  </w:r>
                </w:p>
              </w:tc>
              <w:tc>
                <w:tcPr>
                  <w:tcW w:w="1390" w:type="pct"/>
                  <w:noWrap w:val="0"/>
                  <w:vAlign w:val="center"/>
                </w:tcPr>
                <w:p w14:paraId="6CE26024">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0.025</w:t>
                  </w:r>
                </w:p>
              </w:tc>
            </w:tr>
            <w:tr w14:paraId="1EB05D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8" w:type="pct"/>
                  <w:noWrap w:val="0"/>
                  <w:vAlign w:val="center"/>
                </w:tcPr>
                <w:p w14:paraId="5697C961">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铅（mg/kg）</w:t>
                  </w:r>
                </w:p>
              </w:tc>
              <w:tc>
                <w:tcPr>
                  <w:tcW w:w="718" w:type="pct"/>
                  <w:vMerge w:val="continue"/>
                  <w:noWrap w:val="0"/>
                  <w:vAlign w:val="center"/>
                </w:tcPr>
                <w:p w14:paraId="68B80661">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92" w:type="pct"/>
                  <w:noWrap w:val="0"/>
                  <w:vAlign w:val="center"/>
                </w:tcPr>
                <w:p w14:paraId="329854FA">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25.1</w:t>
                  </w:r>
                </w:p>
              </w:tc>
              <w:tc>
                <w:tcPr>
                  <w:tcW w:w="1390" w:type="pct"/>
                  <w:noWrap w:val="0"/>
                  <w:vAlign w:val="center"/>
                </w:tcPr>
                <w:p w14:paraId="4A6F7EFF">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23.0</w:t>
                  </w:r>
                </w:p>
              </w:tc>
            </w:tr>
            <w:tr w14:paraId="0CFD12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8" w:type="pct"/>
                  <w:noWrap w:val="0"/>
                  <w:vAlign w:val="center"/>
                </w:tcPr>
                <w:p w14:paraId="23FB12C2">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铬（六价）</w:t>
                  </w:r>
                  <w:r>
                    <w:rPr>
                      <w:rFonts w:hint="default" w:ascii="Times New Roman" w:hAnsi="Times New Roman" w:eastAsia="宋体" w:cs="Times New Roman"/>
                      <w:color w:val="auto"/>
                      <w:sz w:val="21"/>
                      <w:szCs w:val="21"/>
                      <w:highlight w:val="none"/>
                    </w:rPr>
                    <w:t>（mg/kg）</w:t>
                  </w:r>
                </w:p>
              </w:tc>
              <w:tc>
                <w:tcPr>
                  <w:tcW w:w="718" w:type="pct"/>
                  <w:vMerge w:val="continue"/>
                  <w:noWrap w:val="0"/>
                  <w:vAlign w:val="center"/>
                </w:tcPr>
                <w:p w14:paraId="5F191199">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92" w:type="pct"/>
                  <w:noWrap w:val="0"/>
                  <w:vAlign w:val="center"/>
                </w:tcPr>
                <w:p w14:paraId="126E1324">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1390" w:type="pct"/>
                  <w:noWrap w:val="0"/>
                  <w:vAlign w:val="center"/>
                </w:tcPr>
                <w:p w14:paraId="6E703CDA">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r>
            <w:tr w14:paraId="272A76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8" w:type="pct"/>
                  <w:noWrap w:val="0"/>
                  <w:vAlign w:val="center"/>
                </w:tcPr>
                <w:p w14:paraId="4C3F584A">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2-氯酚（mg/kg）</w:t>
                  </w:r>
                </w:p>
              </w:tc>
              <w:tc>
                <w:tcPr>
                  <w:tcW w:w="718" w:type="pct"/>
                  <w:vMerge w:val="continue"/>
                  <w:noWrap w:val="0"/>
                  <w:vAlign w:val="center"/>
                </w:tcPr>
                <w:p w14:paraId="68389990">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92" w:type="pct"/>
                  <w:noWrap w:val="0"/>
                  <w:vAlign w:val="center"/>
                </w:tcPr>
                <w:p w14:paraId="19E6FC3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390" w:type="pct"/>
                  <w:noWrap w:val="0"/>
                  <w:vAlign w:val="center"/>
                </w:tcPr>
                <w:p w14:paraId="648DA6E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50ECC4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8" w:type="pct"/>
                  <w:noWrap w:val="0"/>
                  <w:vAlign w:val="center"/>
                </w:tcPr>
                <w:p w14:paraId="5FC67D69">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硝基苯（mg/kg）</w:t>
                  </w:r>
                </w:p>
              </w:tc>
              <w:tc>
                <w:tcPr>
                  <w:tcW w:w="718" w:type="pct"/>
                  <w:vMerge w:val="continue"/>
                  <w:noWrap w:val="0"/>
                  <w:vAlign w:val="center"/>
                </w:tcPr>
                <w:p w14:paraId="0D20B188">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92" w:type="pct"/>
                  <w:noWrap w:val="0"/>
                  <w:vAlign w:val="center"/>
                </w:tcPr>
                <w:p w14:paraId="7A1CDD7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390" w:type="pct"/>
                  <w:noWrap w:val="0"/>
                  <w:vAlign w:val="center"/>
                </w:tcPr>
                <w:p w14:paraId="17E8C73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3BC184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8" w:type="pct"/>
                  <w:noWrap w:val="0"/>
                  <w:vAlign w:val="center"/>
                </w:tcPr>
                <w:p w14:paraId="6BA1E157">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萘（mg/kg）</w:t>
                  </w:r>
                </w:p>
              </w:tc>
              <w:tc>
                <w:tcPr>
                  <w:tcW w:w="718" w:type="pct"/>
                  <w:vMerge w:val="continue"/>
                  <w:noWrap w:val="0"/>
                  <w:vAlign w:val="center"/>
                </w:tcPr>
                <w:p w14:paraId="507F5797">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92" w:type="pct"/>
                  <w:noWrap w:val="0"/>
                  <w:vAlign w:val="center"/>
                </w:tcPr>
                <w:p w14:paraId="7873F099">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1390" w:type="pct"/>
                  <w:noWrap w:val="0"/>
                  <w:vAlign w:val="center"/>
                </w:tcPr>
                <w:p w14:paraId="3512156D">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r>
            <w:tr w14:paraId="50AE80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8" w:type="pct"/>
                  <w:noWrap w:val="0"/>
                  <w:vAlign w:val="center"/>
                </w:tcPr>
                <w:p w14:paraId="2570C4B6">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苯并（a）蒽（mg/kg）</w:t>
                  </w:r>
                </w:p>
              </w:tc>
              <w:tc>
                <w:tcPr>
                  <w:tcW w:w="718" w:type="pct"/>
                  <w:vMerge w:val="continue"/>
                  <w:noWrap w:val="0"/>
                  <w:vAlign w:val="center"/>
                </w:tcPr>
                <w:p w14:paraId="4EDF27FC">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92" w:type="pct"/>
                  <w:noWrap w:val="0"/>
                  <w:vAlign w:val="center"/>
                </w:tcPr>
                <w:p w14:paraId="55A1ECD2">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1390" w:type="pct"/>
                  <w:noWrap w:val="0"/>
                  <w:vAlign w:val="center"/>
                </w:tcPr>
                <w:p w14:paraId="62DCF1DC">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r>
            <w:tr w14:paraId="3D8E09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8" w:type="pct"/>
                  <w:noWrap w:val="0"/>
                  <w:vAlign w:val="center"/>
                </w:tcPr>
                <w:p w14:paraId="47F7EC20">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䓛（mg/kg）</w:t>
                  </w:r>
                </w:p>
              </w:tc>
              <w:tc>
                <w:tcPr>
                  <w:tcW w:w="718" w:type="pct"/>
                  <w:vMerge w:val="continue"/>
                  <w:noWrap w:val="0"/>
                  <w:vAlign w:val="center"/>
                </w:tcPr>
                <w:p w14:paraId="3FDAFF1D">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92" w:type="pct"/>
                  <w:noWrap w:val="0"/>
                  <w:vAlign w:val="center"/>
                </w:tcPr>
                <w:p w14:paraId="279FC36E">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1390" w:type="pct"/>
                  <w:noWrap w:val="0"/>
                  <w:vAlign w:val="center"/>
                </w:tcPr>
                <w:p w14:paraId="0093D279">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r>
            <w:tr w14:paraId="4E2D99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8" w:type="pct"/>
                  <w:noWrap w:val="0"/>
                  <w:vAlign w:val="center"/>
                </w:tcPr>
                <w:p w14:paraId="01115366">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苯并（b）荧蒽（mg/kg）</w:t>
                  </w:r>
                </w:p>
              </w:tc>
              <w:tc>
                <w:tcPr>
                  <w:tcW w:w="718" w:type="pct"/>
                  <w:vMerge w:val="continue"/>
                  <w:noWrap w:val="0"/>
                  <w:vAlign w:val="center"/>
                </w:tcPr>
                <w:p w14:paraId="110DD436">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92" w:type="pct"/>
                  <w:noWrap w:val="0"/>
                  <w:vAlign w:val="center"/>
                </w:tcPr>
                <w:p w14:paraId="17CF1F71">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1390" w:type="pct"/>
                  <w:noWrap w:val="0"/>
                  <w:vAlign w:val="center"/>
                </w:tcPr>
                <w:p w14:paraId="6498EB05">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r>
            <w:tr w14:paraId="113804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8" w:type="pct"/>
                  <w:noWrap w:val="0"/>
                  <w:vAlign w:val="center"/>
                </w:tcPr>
                <w:p w14:paraId="51BBD888">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苯并（k）荧蒽（mg/kg）</w:t>
                  </w:r>
                </w:p>
              </w:tc>
              <w:tc>
                <w:tcPr>
                  <w:tcW w:w="718" w:type="pct"/>
                  <w:vMerge w:val="continue"/>
                  <w:noWrap w:val="0"/>
                  <w:vAlign w:val="center"/>
                </w:tcPr>
                <w:p w14:paraId="099FBDEC">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92" w:type="pct"/>
                  <w:noWrap w:val="0"/>
                  <w:vAlign w:val="center"/>
                </w:tcPr>
                <w:p w14:paraId="60CB362E">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1390" w:type="pct"/>
                  <w:noWrap w:val="0"/>
                  <w:vAlign w:val="center"/>
                </w:tcPr>
                <w:p w14:paraId="6E5B4665">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r>
            <w:tr w14:paraId="2597CC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8" w:type="pct"/>
                  <w:noWrap w:val="0"/>
                  <w:vAlign w:val="center"/>
                </w:tcPr>
                <w:p w14:paraId="6B954B01">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苯并（a）芘（mg/kg）</w:t>
                  </w:r>
                </w:p>
              </w:tc>
              <w:tc>
                <w:tcPr>
                  <w:tcW w:w="718" w:type="pct"/>
                  <w:vMerge w:val="continue"/>
                  <w:noWrap w:val="0"/>
                  <w:vAlign w:val="center"/>
                </w:tcPr>
                <w:p w14:paraId="6985CB15">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92" w:type="pct"/>
                  <w:noWrap w:val="0"/>
                  <w:vAlign w:val="center"/>
                </w:tcPr>
                <w:p w14:paraId="60C4B919">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1390" w:type="pct"/>
                  <w:noWrap w:val="0"/>
                  <w:vAlign w:val="center"/>
                </w:tcPr>
                <w:p w14:paraId="66B16924">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r>
            <w:tr w14:paraId="72431A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8" w:type="pct"/>
                  <w:noWrap w:val="0"/>
                  <w:vAlign w:val="center"/>
                </w:tcPr>
                <w:p w14:paraId="0B411FD3">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茚并（1,2,3-cd)芘（mg/kg）</w:t>
                  </w:r>
                </w:p>
              </w:tc>
              <w:tc>
                <w:tcPr>
                  <w:tcW w:w="718" w:type="pct"/>
                  <w:vMerge w:val="continue"/>
                  <w:noWrap w:val="0"/>
                  <w:vAlign w:val="center"/>
                </w:tcPr>
                <w:p w14:paraId="12C72A9E">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92" w:type="pct"/>
                  <w:noWrap w:val="0"/>
                  <w:vAlign w:val="center"/>
                </w:tcPr>
                <w:p w14:paraId="20F3C08B">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1390" w:type="pct"/>
                  <w:noWrap w:val="0"/>
                  <w:vAlign w:val="center"/>
                </w:tcPr>
                <w:p w14:paraId="50564D7B">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r>
            <w:tr w14:paraId="14380A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8" w:type="pct"/>
                  <w:noWrap w:val="0"/>
                  <w:vAlign w:val="center"/>
                </w:tcPr>
                <w:p w14:paraId="4C600FDE">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二苯并（</w:t>
                  </w:r>
                  <w:r>
                    <w:rPr>
                      <w:rFonts w:hint="default" w:ascii="Times New Roman" w:hAnsi="Times New Roman" w:eastAsia="宋体" w:cs="Times New Roman"/>
                      <w:color w:val="auto"/>
                      <w:sz w:val="21"/>
                      <w:szCs w:val="21"/>
                      <w:highlight w:val="none"/>
                      <w:lang w:eastAsia="zh-CN"/>
                    </w:rPr>
                    <w:t>a,h</w:t>
                  </w:r>
                  <w:r>
                    <w:rPr>
                      <w:rFonts w:hint="default" w:ascii="Times New Roman" w:hAnsi="Times New Roman" w:eastAsia="宋体" w:cs="Times New Roman"/>
                      <w:color w:val="auto"/>
                      <w:sz w:val="21"/>
                      <w:szCs w:val="21"/>
                      <w:highlight w:val="none"/>
                    </w:rPr>
                    <w:t>）蒽（mg/kg）</w:t>
                  </w:r>
                </w:p>
              </w:tc>
              <w:tc>
                <w:tcPr>
                  <w:tcW w:w="718" w:type="pct"/>
                  <w:vMerge w:val="continue"/>
                  <w:noWrap w:val="0"/>
                  <w:vAlign w:val="center"/>
                </w:tcPr>
                <w:p w14:paraId="3DBBBB25">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92" w:type="pct"/>
                  <w:noWrap w:val="0"/>
                  <w:vAlign w:val="center"/>
                </w:tcPr>
                <w:p w14:paraId="7BF90C7A">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1390" w:type="pct"/>
                  <w:noWrap w:val="0"/>
                  <w:vAlign w:val="center"/>
                </w:tcPr>
                <w:p w14:paraId="00005AD1">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r>
            <w:tr w14:paraId="5DC065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8" w:type="pct"/>
                  <w:noWrap w:val="0"/>
                  <w:vAlign w:val="center"/>
                </w:tcPr>
                <w:p w14:paraId="44719C3C">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苯胺（mg/kg）</w:t>
                  </w:r>
                </w:p>
              </w:tc>
              <w:tc>
                <w:tcPr>
                  <w:tcW w:w="718" w:type="pct"/>
                  <w:vMerge w:val="continue"/>
                  <w:noWrap w:val="0"/>
                  <w:vAlign w:val="center"/>
                </w:tcPr>
                <w:p w14:paraId="4044B7F3">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92" w:type="pct"/>
                  <w:noWrap w:val="0"/>
                  <w:vAlign w:val="center"/>
                </w:tcPr>
                <w:p w14:paraId="2485623C">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1390" w:type="pct"/>
                  <w:noWrap w:val="0"/>
                  <w:vAlign w:val="center"/>
                </w:tcPr>
                <w:p w14:paraId="513A61DF">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r>
          </w:tbl>
          <w:p w14:paraId="03FCE9A5">
            <w:pPr>
              <w:keepNext w:val="0"/>
              <w:keepLines w:val="0"/>
              <w:pageBreakBefore w:val="0"/>
              <w:widowControl w:val="0"/>
              <w:kinsoku/>
              <w:wordWrap/>
              <w:overflowPunct/>
              <w:topLinePunct w:val="0"/>
              <w:autoSpaceDE/>
              <w:autoSpaceDN/>
              <w:bidi w:val="0"/>
              <w:adjustRightInd/>
              <w:snapToGrid w:val="0"/>
              <w:spacing w:before="157" w:beforeLines="50" w:after="157" w:afterLines="50"/>
              <w:jc w:val="both"/>
              <w:textAlignment w:val="auto"/>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eastAsia="zh-CN"/>
              </w:rPr>
              <w:t>备注：</w:t>
            </w:r>
            <w:r>
              <w:rPr>
                <w:rFonts w:hint="eastAsia" w:ascii="Times New Roman" w:hAnsi="Times New Roman" w:eastAsia="宋体" w:cs="Times New Roman"/>
                <w:i w:val="0"/>
                <w:iCs w:val="0"/>
                <w:color w:val="auto"/>
                <w:sz w:val="21"/>
                <w:szCs w:val="21"/>
                <w:highlight w:val="none"/>
                <w:lang w:val="en-US" w:eastAsia="zh-CN"/>
              </w:rPr>
              <w:t>ND表示检测结果小于方法检出限，下同。</w:t>
            </w:r>
          </w:p>
          <w:p w14:paraId="12B504E0">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szCs w:val="24"/>
                <w:highlight w:val="none"/>
                <w:lang w:val="en-US" w:eastAsia="zh-CN"/>
              </w:rPr>
              <w:t>续</w:t>
            </w:r>
            <w:r>
              <w:rPr>
                <w:rFonts w:hint="default" w:ascii="Times New Roman" w:hAnsi="Times New Roman" w:cs="Times New Roman"/>
                <w:color w:val="auto"/>
                <w:sz w:val="24"/>
                <w:szCs w:val="24"/>
                <w:highlight w:val="none"/>
              </w:rPr>
              <w:t>表</w:t>
            </w:r>
            <w:r>
              <w:rPr>
                <w:rFonts w:hint="default" w:ascii="Times New Roman" w:hAnsi="Times New Roman" w:cs="Times New Roman"/>
                <w:color w:val="auto"/>
                <w:sz w:val="24"/>
                <w:szCs w:val="24"/>
                <w:highlight w:val="none"/>
                <w:lang w:val="en-US" w:eastAsia="zh-CN"/>
              </w:rPr>
              <w:t>3-3</w:t>
            </w:r>
            <w:r>
              <w:rPr>
                <w:rFonts w:hint="default" w:ascii="Times New Roman" w:hAnsi="Times New Roman" w:cs="Times New Roman"/>
                <w:color w:val="auto"/>
                <w:sz w:val="24"/>
                <w:szCs w:val="24"/>
                <w:highlight w:val="none"/>
              </w:rPr>
              <w:t xml:space="preserve">  </w:t>
            </w:r>
            <w:r>
              <w:rPr>
                <w:rFonts w:hint="default" w:ascii="Times New Roman" w:hAnsi="Times New Roman" w:cs="Times New Roman"/>
                <w:color w:val="auto"/>
                <w:sz w:val="24"/>
                <w:szCs w:val="24"/>
                <w:highlight w:val="none"/>
                <w:lang w:val="en-US" w:eastAsia="zh-CN"/>
              </w:rPr>
              <w:t>土壤</w:t>
            </w:r>
            <w:r>
              <w:rPr>
                <w:rFonts w:hint="default" w:ascii="Times New Roman" w:hAnsi="Times New Roman" w:cs="Times New Roman"/>
                <w:color w:val="auto"/>
                <w:sz w:val="24"/>
                <w:szCs w:val="24"/>
                <w:highlight w:val="none"/>
              </w:rPr>
              <w:t>监测位置和监测因子</w:t>
            </w:r>
          </w:p>
          <w:tbl>
            <w:tblPr>
              <w:tblStyle w:val="31"/>
              <w:tblW w:w="475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77"/>
              <w:gridCol w:w="1033"/>
              <w:gridCol w:w="1919"/>
              <w:gridCol w:w="1952"/>
            </w:tblGrid>
            <w:tr w14:paraId="74C589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vMerge w:val="restart"/>
                  <w:noWrap w:val="0"/>
                  <w:vAlign w:val="center"/>
                </w:tcPr>
                <w:p w14:paraId="0885E665">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检测项目</w:t>
                  </w:r>
                </w:p>
              </w:tc>
              <w:tc>
                <w:tcPr>
                  <w:tcW w:w="631" w:type="pct"/>
                  <w:vMerge w:val="restart"/>
                  <w:noWrap w:val="0"/>
                  <w:vAlign w:val="center"/>
                </w:tcPr>
                <w:p w14:paraId="66591CE3">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采样点位</w:t>
                  </w:r>
                </w:p>
              </w:tc>
              <w:tc>
                <w:tcPr>
                  <w:tcW w:w="2365" w:type="pct"/>
                  <w:gridSpan w:val="2"/>
                  <w:noWrap w:val="0"/>
                  <w:vAlign w:val="center"/>
                </w:tcPr>
                <w:p w14:paraId="1FCF77E5">
                  <w:pPr>
                    <w:keepNext w:val="0"/>
                    <w:keepLines w:val="0"/>
                    <w:pageBreakBefore w:val="0"/>
                    <w:kinsoku/>
                    <w:wordWrap/>
                    <w:overflowPunct/>
                    <w:topLinePunct w:val="0"/>
                    <w:autoSpaceDE/>
                    <w:autoSpaceDN/>
                    <w:bidi w:val="0"/>
                    <w:adjustRightInd/>
                    <w:snapToGrid/>
                    <w:spacing w:line="0" w:lineRule="atLeast"/>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r>
                    <w:rPr>
                      <w:rFonts w:hint="eastAsia" w:ascii="Times New Roman" w:hAnsi="Times New Roman" w:cs="Times New Roman"/>
                      <w:color w:val="auto"/>
                      <w:sz w:val="21"/>
                      <w:szCs w:val="21"/>
                      <w:highlight w:val="none"/>
                      <w:lang w:val="en-US" w:eastAsia="zh-CN"/>
                    </w:rPr>
                    <w:t>内部</w:t>
                  </w:r>
                </w:p>
              </w:tc>
            </w:tr>
            <w:tr w14:paraId="3C9B01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vMerge w:val="continue"/>
                  <w:noWrap w:val="0"/>
                  <w:vAlign w:val="center"/>
                </w:tcPr>
                <w:p w14:paraId="4D277CD4">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rPr>
                  </w:pPr>
                </w:p>
              </w:tc>
              <w:tc>
                <w:tcPr>
                  <w:tcW w:w="631" w:type="pct"/>
                  <w:vMerge w:val="continue"/>
                  <w:noWrap w:val="0"/>
                  <w:vAlign w:val="center"/>
                </w:tcPr>
                <w:p w14:paraId="6E7F0F88">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eastAsia="zh-CN"/>
                    </w:rPr>
                  </w:pPr>
                </w:p>
              </w:tc>
              <w:tc>
                <w:tcPr>
                  <w:tcW w:w="1172" w:type="pct"/>
                  <w:noWrap w:val="0"/>
                  <w:vAlign w:val="center"/>
                </w:tcPr>
                <w:p w14:paraId="17D3C990">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0.2m</w:t>
                  </w:r>
                </w:p>
              </w:tc>
              <w:tc>
                <w:tcPr>
                  <w:tcW w:w="1193" w:type="pct"/>
                  <w:noWrap w:val="0"/>
                  <w:vAlign w:val="center"/>
                </w:tcPr>
                <w:p w14:paraId="23978438">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0.2m（现场平行）</w:t>
                  </w:r>
                </w:p>
              </w:tc>
            </w:tr>
            <w:tr w14:paraId="5E1A3D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vMerge w:val="continue"/>
                  <w:noWrap w:val="0"/>
                  <w:vAlign w:val="center"/>
                </w:tcPr>
                <w:p w14:paraId="7BC07CCB">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rPr>
                  </w:pPr>
                </w:p>
              </w:tc>
              <w:tc>
                <w:tcPr>
                  <w:tcW w:w="631" w:type="pct"/>
                  <w:noWrap w:val="0"/>
                  <w:vAlign w:val="center"/>
                </w:tcPr>
                <w:p w14:paraId="2D31C463">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采样</w:t>
                  </w:r>
                  <w:r>
                    <w:rPr>
                      <w:rFonts w:hint="default" w:ascii="Times New Roman" w:hAnsi="Times New Roman" w:eastAsia="宋体" w:cs="Times New Roman"/>
                      <w:color w:val="auto"/>
                      <w:sz w:val="21"/>
                      <w:szCs w:val="21"/>
                      <w:highlight w:val="none"/>
                    </w:rPr>
                    <w:t>时间</w:t>
                  </w:r>
                </w:p>
              </w:tc>
              <w:tc>
                <w:tcPr>
                  <w:tcW w:w="2365" w:type="pct"/>
                  <w:gridSpan w:val="2"/>
                  <w:noWrap w:val="0"/>
                  <w:vAlign w:val="center"/>
                </w:tcPr>
                <w:p w14:paraId="6F81D5E8">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2024.9.22</w:t>
                  </w:r>
                </w:p>
              </w:tc>
            </w:tr>
            <w:tr w14:paraId="0CFBA7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0130D544">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氯甲烷（μg/kg）</w:t>
                  </w:r>
                </w:p>
              </w:tc>
              <w:tc>
                <w:tcPr>
                  <w:tcW w:w="631" w:type="pct"/>
                  <w:vMerge w:val="restart"/>
                  <w:noWrap w:val="0"/>
                  <w:vAlign w:val="center"/>
                </w:tcPr>
                <w:p w14:paraId="6816EA64">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结果</w:t>
                  </w:r>
                </w:p>
              </w:tc>
              <w:tc>
                <w:tcPr>
                  <w:tcW w:w="1172" w:type="pct"/>
                  <w:noWrap w:val="0"/>
                  <w:vAlign w:val="center"/>
                </w:tcPr>
                <w:p w14:paraId="179A707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7BD7066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1604FC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5E2979C6">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氯乙烯（μg/kg）</w:t>
                  </w:r>
                </w:p>
              </w:tc>
              <w:tc>
                <w:tcPr>
                  <w:tcW w:w="631" w:type="pct"/>
                  <w:vMerge w:val="continue"/>
                  <w:noWrap w:val="0"/>
                  <w:vAlign w:val="center"/>
                </w:tcPr>
                <w:p w14:paraId="73CD57D0">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72" w:type="pct"/>
                  <w:noWrap w:val="0"/>
                  <w:vAlign w:val="center"/>
                </w:tcPr>
                <w:p w14:paraId="5A1C559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79D5F7D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147615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5B90E536">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1,1-二氯乙烯（μg/kg）</w:t>
                  </w:r>
                </w:p>
              </w:tc>
              <w:tc>
                <w:tcPr>
                  <w:tcW w:w="631" w:type="pct"/>
                  <w:vMerge w:val="continue"/>
                  <w:noWrap w:val="0"/>
                  <w:vAlign w:val="center"/>
                </w:tcPr>
                <w:p w14:paraId="68D1AB54">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72" w:type="pct"/>
                  <w:noWrap w:val="0"/>
                  <w:vAlign w:val="center"/>
                </w:tcPr>
                <w:p w14:paraId="750B601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465611D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0567A2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326B2695">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二氯甲烷（μg/kg）</w:t>
                  </w:r>
                </w:p>
              </w:tc>
              <w:tc>
                <w:tcPr>
                  <w:tcW w:w="631" w:type="pct"/>
                  <w:vMerge w:val="continue"/>
                  <w:noWrap w:val="0"/>
                  <w:vAlign w:val="center"/>
                </w:tcPr>
                <w:p w14:paraId="223632B1">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72" w:type="pct"/>
                  <w:noWrap w:val="0"/>
                  <w:vAlign w:val="center"/>
                </w:tcPr>
                <w:p w14:paraId="1EECF54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7C9C526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47A600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2CA89DC4">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反式-1,2-二氯乙烯（μg/kg）</w:t>
                  </w:r>
                </w:p>
              </w:tc>
              <w:tc>
                <w:tcPr>
                  <w:tcW w:w="631" w:type="pct"/>
                  <w:vMerge w:val="continue"/>
                  <w:noWrap w:val="0"/>
                  <w:vAlign w:val="center"/>
                </w:tcPr>
                <w:p w14:paraId="1E442EF8">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72" w:type="pct"/>
                  <w:noWrap w:val="0"/>
                  <w:vAlign w:val="center"/>
                </w:tcPr>
                <w:p w14:paraId="6B9EA9B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7EDC0B7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6F97D7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2F20382B">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1,1-二氯乙烷（μg/kg）</w:t>
                  </w:r>
                </w:p>
              </w:tc>
              <w:tc>
                <w:tcPr>
                  <w:tcW w:w="631" w:type="pct"/>
                  <w:vMerge w:val="continue"/>
                  <w:noWrap w:val="0"/>
                  <w:vAlign w:val="center"/>
                </w:tcPr>
                <w:p w14:paraId="0DF0F2F9">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72" w:type="pct"/>
                  <w:noWrap w:val="0"/>
                  <w:vAlign w:val="center"/>
                </w:tcPr>
                <w:p w14:paraId="24DB082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3B49D3C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4C43DC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752287A9">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顺式-1,2-二氯乙烯（μg/kg）</w:t>
                  </w:r>
                </w:p>
              </w:tc>
              <w:tc>
                <w:tcPr>
                  <w:tcW w:w="631" w:type="pct"/>
                  <w:vMerge w:val="continue"/>
                  <w:noWrap w:val="0"/>
                  <w:vAlign w:val="center"/>
                </w:tcPr>
                <w:p w14:paraId="35AA76BB">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72" w:type="pct"/>
                  <w:noWrap w:val="0"/>
                  <w:vAlign w:val="center"/>
                </w:tcPr>
                <w:p w14:paraId="5D3744F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6E8ABE9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3AFBDB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1A4EAC5D">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氯仿（μg/kg）</w:t>
                  </w:r>
                </w:p>
              </w:tc>
              <w:tc>
                <w:tcPr>
                  <w:tcW w:w="631" w:type="pct"/>
                  <w:vMerge w:val="continue"/>
                  <w:noWrap w:val="0"/>
                  <w:vAlign w:val="center"/>
                </w:tcPr>
                <w:p w14:paraId="2A945461">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72" w:type="pct"/>
                  <w:noWrap w:val="0"/>
                  <w:vAlign w:val="center"/>
                </w:tcPr>
                <w:p w14:paraId="465D709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032ECFE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0C8B75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2342C79C">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1,1,1-三氯乙烷（μg/kg）</w:t>
                  </w:r>
                </w:p>
              </w:tc>
              <w:tc>
                <w:tcPr>
                  <w:tcW w:w="631" w:type="pct"/>
                  <w:vMerge w:val="continue"/>
                  <w:noWrap w:val="0"/>
                  <w:vAlign w:val="center"/>
                </w:tcPr>
                <w:p w14:paraId="154A6EDE">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72" w:type="pct"/>
                  <w:noWrap w:val="0"/>
                  <w:vAlign w:val="center"/>
                </w:tcPr>
                <w:p w14:paraId="4216A96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2A53129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38910C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42BF2E32">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四氯化碳（μg/kg）</w:t>
                  </w:r>
                </w:p>
              </w:tc>
              <w:tc>
                <w:tcPr>
                  <w:tcW w:w="631" w:type="pct"/>
                  <w:vMerge w:val="continue"/>
                  <w:noWrap w:val="0"/>
                  <w:vAlign w:val="center"/>
                </w:tcPr>
                <w:p w14:paraId="425A65B0">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72" w:type="pct"/>
                  <w:noWrap w:val="0"/>
                  <w:vAlign w:val="center"/>
                </w:tcPr>
                <w:p w14:paraId="6C621C8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6ACB3E2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754AEF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18FABD24">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苯（μg/kg）</w:t>
                  </w:r>
                </w:p>
              </w:tc>
              <w:tc>
                <w:tcPr>
                  <w:tcW w:w="631" w:type="pct"/>
                  <w:vMerge w:val="continue"/>
                  <w:noWrap w:val="0"/>
                  <w:vAlign w:val="center"/>
                </w:tcPr>
                <w:p w14:paraId="6887232F">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72" w:type="pct"/>
                  <w:noWrap w:val="0"/>
                  <w:vAlign w:val="center"/>
                </w:tcPr>
                <w:p w14:paraId="1F4D2C1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5C524B2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3A2CC6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2002" w:type="pct"/>
                  <w:noWrap w:val="0"/>
                  <w:vAlign w:val="center"/>
                </w:tcPr>
                <w:p w14:paraId="6F0EB0CB">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1,2-二氯乙烷（μg/kg）</w:t>
                  </w:r>
                </w:p>
              </w:tc>
              <w:tc>
                <w:tcPr>
                  <w:tcW w:w="631" w:type="pct"/>
                  <w:vMerge w:val="continue"/>
                  <w:noWrap w:val="0"/>
                  <w:vAlign w:val="center"/>
                </w:tcPr>
                <w:p w14:paraId="4369C8D5">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72" w:type="pct"/>
                  <w:noWrap w:val="0"/>
                  <w:vAlign w:val="center"/>
                </w:tcPr>
                <w:p w14:paraId="31FB316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025AC4F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7B237B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67997831">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三氯乙烯（μg/kg）</w:t>
                  </w:r>
                </w:p>
              </w:tc>
              <w:tc>
                <w:tcPr>
                  <w:tcW w:w="631" w:type="pct"/>
                  <w:vMerge w:val="continue"/>
                  <w:noWrap w:val="0"/>
                  <w:vAlign w:val="center"/>
                </w:tcPr>
                <w:p w14:paraId="2926746D">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72" w:type="pct"/>
                  <w:noWrap w:val="0"/>
                  <w:vAlign w:val="center"/>
                </w:tcPr>
                <w:p w14:paraId="4FC99E05">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42BDBD06">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145766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4CB822B8">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1,2-二氯丙烷（μg/kg）</w:t>
                  </w:r>
                </w:p>
              </w:tc>
              <w:tc>
                <w:tcPr>
                  <w:tcW w:w="631" w:type="pct"/>
                  <w:vMerge w:val="continue"/>
                  <w:noWrap w:val="0"/>
                  <w:vAlign w:val="center"/>
                </w:tcPr>
                <w:p w14:paraId="4AA04EFB">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72" w:type="pct"/>
                  <w:noWrap w:val="0"/>
                  <w:vAlign w:val="center"/>
                </w:tcPr>
                <w:p w14:paraId="573DA5A8">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2C79B6E4">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0C1432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1010C2C9">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甲苯（μg/kg）</w:t>
                  </w:r>
                </w:p>
              </w:tc>
              <w:tc>
                <w:tcPr>
                  <w:tcW w:w="631" w:type="pct"/>
                  <w:vMerge w:val="continue"/>
                  <w:noWrap w:val="0"/>
                  <w:vAlign w:val="center"/>
                </w:tcPr>
                <w:p w14:paraId="3CD40FA2">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72" w:type="pct"/>
                  <w:noWrap w:val="0"/>
                  <w:vAlign w:val="center"/>
                </w:tcPr>
                <w:p w14:paraId="5BF12818">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052774BA">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0F71EB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20738717">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1,1,2-三氯乙烷（μg/kg）</w:t>
                  </w:r>
                </w:p>
              </w:tc>
              <w:tc>
                <w:tcPr>
                  <w:tcW w:w="631" w:type="pct"/>
                  <w:vMerge w:val="continue"/>
                  <w:noWrap w:val="0"/>
                  <w:vAlign w:val="center"/>
                </w:tcPr>
                <w:p w14:paraId="5B6F0DDE">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72" w:type="pct"/>
                  <w:noWrap w:val="0"/>
                  <w:vAlign w:val="center"/>
                </w:tcPr>
                <w:p w14:paraId="5B852E34">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1E85DA8F">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13284F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37D825AE">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四氯乙烯（μg/kg）</w:t>
                  </w:r>
                </w:p>
              </w:tc>
              <w:tc>
                <w:tcPr>
                  <w:tcW w:w="631" w:type="pct"/>
                  <w:vMerge w:val="continue"/>
                  <w:noWrap w:val="0"/>
                  <w:vAlign w:val="center"/>
                </w:tcPr>
                <w:p w14:paraId="05CFCF6D">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72" w:type="pct"/>
                  <w:noWrap w:val="0"/>
                  <w:vAlign w:val="center"/>
                </w:tcPr>
                <w:p w14:paraId="771FC1D5">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7F00F041">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401D42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1AA0DD03">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氯苯（μg/kg）</w:t>
                  </w:r>
                </w:p>
              </w:tc>
              <w:tc>
                <w:tcPr>
                  <w:tcW w:w="631" w:type="pct"/>
                  <w:vMerge w:val="continue"/>
                  <w:noWrap w:val="0"/>
                  <w:vAlign w:val="center"/>
                </w:tcPr>
                <w:p w14:paraId="037F9142">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72" w:type="pct"/>
                  <w:noWrap w:val="0"/>
                  <w:vAlign w:val="center"/>
                </w:tcPr>
                <w:p w14:paraId="20EB7F4D">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2091B4C6">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483397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0DE20ABF">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1,1,1,2-四氯乙烷（μg/kg）</w:t>
                  </w:r>
                </w:p>
              </w:tc>
              <w:tc>
                <w:tcPr>
                  <w:tcW w:w="631" w:type="pct"/>
                  <w:vMerge w:val="continue"/>
                  <w:noWrap w:val="0"/>
                  <w:vAlign w:val="center"/>
                </w:tcPr>
                <w:p w14:paraId="01F4DFA7">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72" w:type="pct"/>
                  <w:noWrap w:val="0"/>
                  <w:vAlign w:val="center"/>
                </w:tcPr>
                <w:p w14:paraId="496C173C">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7FDC62C8">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728BB3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32EF2EA6">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乙苯（μg/kg）</w:t>
                  </w:r>
                </w:p>
              </w:tc>
              <w:tc>
                <w:tcPr>
                  <w:tcW w:w="631" w:type="pct"/>
                  <w:vMerge w:val="continue"/>
                  <w:noWrap w:val="0"/>
                  <w:vAlign w:val="center"/>
                </w:tcPr>
                <w:p w14:paraId="3DC442BB">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72" w:type="pct"/>
                  <w:noWrap w:val="0"/>
                  <w:vAlign w:val="center"/>
                </w:tcPr>
                <w:p w14:paraId="0C788B6B">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034E710A">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10FD8A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6BA66D9E">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间,对-二甲苯（μg/kg）</w:t>
                  </w:r>
                </w:p>
              </w:tc>
              <w:tc>
                <w:tcPr>
                  <w:tcW w:w="631" w:type="pct"/>
                  <w:vMerge w:val="continue"/>
                  <w:noWrap w:val="0"/>
                  <w:vAlign w:val="center"/>
                </w:tcPr>
                <w:p w14:paraId="2F9DC32C">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72" w:type="pct"/>
                  <w:noWrap w:val="0"/>
                  <w:vAlign w:val="center"/>
                </w:tcPr>
                <w:p w14:paraId="3CF220F8">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2CB89C40">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4D7638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3BCF6E88">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邻-二甲苯（μg/kg）</w:t>
                  </w:r>
                </w:p>
              </w:tc>
              <w:tc>
                <w:tcPr>
                  <w:tcW w:w="631" w:type="pct"/>
                  <w:vMerge w:val="continue"/>
                  <w:noWrap w:val="0"/>
                  <w:vAlign w:val="center"/>
                </w:tcPr>
                <w:p w14:paraId="77019EBC">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72" w:type="pct"/>
                  <w:noWrap w:val="0"/>
                  <w:vAlign w:val="center"/>
                </w:tcPr>
                <w:p w14:paraId="6CD608E3">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4BC2A6E3">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7A8A67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3C1C26C3">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苯乙烯（μg/kg）</w:t>
                  </w:r>
                </w:p>
              </w:tc>
              <w:tc>
                <w:tcPr>
                  <w:tcW w:w="631" w:type="pct"/>
                  <w:vMerge w:val="continue"/>
                  <w:noWrap w:val="0"/>
                  <w:vAlign w:val="center"/>
                </w:tcPr>
                <w:p w14:paraId="7E002192">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72" w:type="pct"/>
                  <w:noWrap w:val="0"/>
                  <w:vAlign w:val="center"/>
                </w:tcPr>
                <w:p w14:paraId="7E375BB1">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4D6AF73A">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0AA9D1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0A6708BB">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1,1,2,2-四氯乙烷（μg/kg）</w:t>
                  </w:r>
                </w:p>
              </w:tc>
              <w:tc>
                <w:tcPr>
                  <w:tcW w:w="631" w:type="pct"/>
                  <w:vMerge w:val="continue"/>
                  <w:noWrap w:val="0"/>
                  <w:vAlign w:val="center"/>
                </w:tcPr>
                <w:p w14:paraId="1A1C3D0B">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72" w:type="pct"/>
                  <w:noWrap w:val="0"/>
                  <w:vAlign w:val="center"/>
                </w:tcPr>
                <w:p w14:paraId="2EA13684">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080E8479">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3CE7EE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2FDCE607">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1,2,3-三氯丙烷（μg/kg）</w:t>
                  </w:r>
                </w:p>
              </w:tc>
              <w:tc>
                <w:tcPr>
                  <w:tcW w:w="631" w:type="pct"/>
                  <w:vMerge w:val="continue"/>
                  <w:noWrap w:val="0"/>
                  <w:vAlign w:val="center"/>
                </w:tcPr>
                <w:p w14:paraId="5598323A">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72" w:type="pct"/>
                  <w:noWrap w:val="0"/>
                  <w:vAlign w:val="center"/>
                </w:tcPr>
                <w:p w14:paraId="70335730">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4334C11F">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74142C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410828E0">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1,4-二氯苯（μg/kg）</w:t>
                  </w:r>
                </w:p>
              </w:tc>
              <w:tc>
                <w:tcPr>
                  <w:tcW w:w="631" w:type="pct"/>
                  <w:vMerge w:val="continue"/>
                  <w:noWrap w:val="0"/>
                  <w:vAlign w:val="center"/>
                </w:tcPr>
                <w:p w14:paraId="55C133D1">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72" w:type="pct"/>
                  <w:noWrap w:val="0"/>
                  <w:vAlign w:val="center"/>
                </w:tcPr>
                <w:p w14:paraId="03320491">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7E6999A5">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14:paraId="3F6FB1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02" w:type="pct"/>
                  <w:noWrap w:val="0"/>
                  <w:vAlign w:val="center"/>
                </w:tcPr>
                <w:p w14:paraId="219C0EF5">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1,2-二氯苯（μg/kg）</w:t>
                  </w:r>
                </w:p>
              </w:tc>
              <w:tc>
                <w:tcPr>
                  <w:tcW w:w="631" w:type="pct"/>
                  <w:vMerge w:val="continue"/>
                  <w:noWrap w:val="0"/>
                  <w:vAlign w:val="center"/>
                </w:tcPr>
                <w:p w14:paraId="1574C6F3">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c>
                <w:tcPr>
                  <w:tcW w:w="1172" w:type="pct"/>
                  <w:noWrap w:val="0"/>
                  <w:vAlign w:val="center"/>
                </w:tcPr>
                <w:p w14:paraId="60CE7697">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93" w:type="pct"/>
                  <w:noWrap w:val="0"/>
                  <w:vAlign w:val="center"/>
                </w:tcPr>
                <w:p w14:paraId="6714434A">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bl>
          <w:p w14:paraId="659D797A">
            <w:pPr>
              <w:keepNext w:val="0"/>
              <w:keepLines w:val="0"/>
              <w:pageBreakBefore w:val="0"/>
              <w:widowControl w:val="0"/>
              <w:kinsoku/>
              <w:wordWrap/>
              <w:overflowPunct/>
              <w:topLinePunct w:val="0"/>
              <w:autoSpaceDE/>
              <w:autoSpaceDN/>
              <w:bidi w:val="0"/>
              <w:adjustRightInd/>
              <w:snapToGrid w:val="0"/>
              <w:spacing w:before="157" w:beforeLines="50" w:after="157" w:afterLines="50"/>
              <w:jc w:val="both"/>
              <w:textAlignment w:val="auto"/>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eastAsia="zh-CN"/>
              </w:rPr>
              <w:t>备注：</w:t>
            </w:r>
            <w:r>
              <w:rPr>
                <w:rFonts w:hint="eastAsia" w:ascii="Times New Roman" w:hAnsi="Times New Roman" w:eastAsia="宋体" w:cs="Times New Roman"/>
                <w:i w:val="0"/>
                <w:iCs w:val="0"/>
                <w:color w:val="auto"/>
                <w:sz w:val="21"/>
                <w:szCs w:val="21"/>
                <w:highlight w:val="none"/>
                <w:lang w:val="en-US" w:eastAsia="zh-CN"/>
              </w:rPr>
              <w:t>ND表示检测结果小于方法检出限，下同。</w:t>
            </w:r>
          </w:p>
          <w:p w14:paraId="71034D34">
            <w:pPr>
              <w:spacing w:line="360" w:lineRule="auto"/>
              <w:ind w:firstLine="482" w:firstLineChars="200"/>
              <w:rPr>
                <w:rFonts w:ascii="Times New Roman" w:hAnsi="Times New Roman" w:eastAsiaTheme="minorEastAsia"/>
                <w:b/>
                <w:color w:val="auto"/>
                <w:kern w:val="0"/>
                <w:sz w:val="24"/>
                <w:szCs w:val="20"/>
                <w:highlight w:val="none"/>
              </w:rPr>
            </w:pPr>
            <w:r>
              <w:rPr>
                <w:rFonts w:ascii="Times New Roman" w:hAnsi="Times New Roman" w:eastAsiaTheme="minorEastAsia"/>
                <w:b/>
                <w:color w:val="auto"/>
                <w:kern w:val="0"/>
                <w:sz w:val="24"/>
                <w:szCs w:val="20"/>
                <w:highlight w:val="none"/>
              </w:rPr>
              <w:t>4、地下水环境质量现状</w:t>
            </w:r>
          </w:p>
          <w:p w14:paraId="422934B8">
            <w:pPr>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本次环评调查区域地下水环境质量现状，</w:t>
            </w:r>
            <w:r>
              <w:rPr>
                <w:rFonts w:hint="eastAsia" w:ascii="Times New Roman" w:hAnsi="Times New Roman" w:cs="Times New Roman"/>
                <w:color w:val="auto"/>
                <w:kern w:val="0"/>
                <w:sz w:val="24"/>
                <w:szCs w:val="24"/>
                <w:highlight w:val="none"/>
                <w:lang w:val="en-US" w:eastAsia="zh-CN"/>
              </w:rPr>
              <w:t>监测本项目东南侧，</w:t>
            </w: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b w:val="0"/>
                <w:bCs/>
                <w:color w:val="auto"/>
                <w:sz w:val="24"/>
                <w:szCs w:val="24"/>
                <w:highlight w:val="none"/>
              </w:rPr>
              <w:t>河北磊清检测技术服务有限公司</w:t>
            </w:r>
            <w:r>
              <w:rPr>
                <w:rFonts w:hint="default" w:ascii="Times New Roman" w:hAnsi="Times New Roman" w:eastAsia="宋体" w:cs="Times New Roman"/>
                <w:color w:val="auto"/>
                <w:sz w:val="24"/>
                <w:szCs w:val="24"/>
                <w:highlight w:val="none"/>
              </w:rPr>
              <w:t>出具的《检测报告》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报告编号：H202409003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，见附件，监测采样时间为202</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日，</w:t>
            </w:r>
          </w:p>
          <w:p w14:paraId="57BCB630">
            <w:pPr>
              <w:spacing w:line="360" w:lineRule="auto"/>
              <w:ind w:firstLine="480" w:firstLineChars="200"/>
              <w:jc w:val="left"/>
              <w:rPr>
                <w:rFonts w:hint="eastAsia" w:ascii="Times New Roman" w:hAnsi="Times New Roman"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监测位置和监测因子见下表</w:t>
            </w:r>
            <w:r>
              <w:rPr>
                <w:rFonts w:hint="eastAsia" w:ascii="Times New Roman" w:hAnsi="Times New Roman" w:cs="Times New Roman"/>
                <w:color w:val="auto"/>
                <w:sz w:val="24"/>
                <w:szCs w:val="24"/>
                <w:highlight w:val="none"/>
                <w:lang w:eastAsia="zh-CN"/>
              </w:rPr>
              <w:t>：</w:t>
            </w:r>
          </w:p>
          <w:p w14:paraId="4054A011">
            <w:pPr>
              <w:spacing w:line="360" w:lineRule="auto"/>
              <w:ind w:firstLine="480" w:firstLineChars="200"/>
              <w:jc w:val="left"/>
              <w:rPr>
                <w:rFonts w:hint="eastAsia" w:ascii="Times New Roman" w:hAnsi="Times New Roman" w:cs="Times New Roman"/>
                <w:color w:val="auto"/>
                <w:sz w:val="24"/>
                <w:szCs w:val="24"/>
                <w:highlight w:val="none"/>
                <w:lang w:eastAsia="zh-CN"/>
              </w:rPr>
            </w:pPr>
          </w:p>
          <w:p w14:paraId="5341B765">
            <w:pPr>
              <w:spacing w:line="360" w:lineRule="auto"/>
              <w:ind w:firstLine="480" w:firstLineChars="200"/>
              <w:jc w:val="left"/>
              <w:rPr>
                <w:rFonts w:hint="eastAsia" w:ascii="Times New Roman" w:hAnsi="Times New Roman" w:cs="Times New Roman"/>
                <w:color w:val="auto"/>
                <w:sz w:val="24"/>
                <w:szCs w:val="24"/>
                <w:highlight w:val="none"/>
                <w:lang w:eastAsia="zh-CN"/>
              </w:rPr>
            </w:pPr>
          </w:p>
          <w:p w14:paraId="654211DC">
            <w:pPr>
              <w:spacing w:line="360" w:lineRule="auto"/>
              <w:ind w:firstLine="480" w:firstLineChars="200"/>
              <w:jc w:val="left"/>
              <w:rPr>
                <w:rFonts w:hint="eastAsia" w:ascii="Times New Roman" w:hAnsi="Times New Roman" w:cs="Times New Roman"/>
                <w:color w:val="auto"/>
                <w:sz w:val="24"/>
                <w:szCs w:val="24"/>
                <w:highlight w:val="none"/>
                <w:lang w:eastAsia="zh-CN"/>
              </w:rPr>
            </w:pPr>
          </w:p>
          <w:p w14:paraId="0294934B">
            <w:pPr>
              <w:spacing w:line="360" w:lineRule="auto"/>
              <w:ind w:firstLine="480" w:firstLineChars="200"/>
              <w:jc w:val="left"/>
              <w:rPr>
                <w:rFonts w:hint="eastAsia" w:ascii="Times New Roman" w:hAnsi="Times New Roman" w:cs="Times New Roman"/>
                <w:color w:val="auto"/>
                <w:sz w:val="24"/>
                <w:szCs w:val="24"/>
                <w:highlight w:val="none"/>
                <w:lang w:eastAsia="zh-CN"/>
              </w:rPr>
            </w:pPr>
          </w:p>
          <w:p w14:paraId="2DF1570F">
            <w:pPr>
              <w:pStyle w:val="21"/>
              <w:rPr>
                <w:rFonts w:hint="eastAsia"/>
                <w:color w:val="auto"/>
                <w:highlight w:val="none"/>
                <w:lang w:eastAsia="zh-CN"/>
              </w:rPr>
            </w:pPr>
          </w:p>
          <w:p w14:paraId="0FF7C93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w:t>
            </w:r>
            <w:r>
              <w:rPr>
                <w:rFonts w:hint="eastAsia" w:ascii="Times New Roman" w:hAnsi="Times New Roman" w:cs="Times New Roman"/>
                <w:color w:val="auto"/>
                <w:sz w:val="24"/>
                <w:szCs w:val="24"/>
                <w:highlight w:val="none"/>
                <w:lang w:val="en-US" w:eastAsia="zh-CN"/>
              </w:rPr>
              <w:t>3-4</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地下水</w:t>
            </w:r>
            <w:r>
              <w:rPr>
                <w:rFonts w:hint="default" w:ascii="Times New Roman" w:hAnsi="Times New Roman" w:eastAsia="宋体" w:cs="Times New Roman"/>
                <w:color w:val="auto"/>
                <w:sz w:val="24"/>
                <w:szCs w:val="24"/>
                <w:highlight w:val="none"/>
              </w:rPr>
              <w:t>监测位置和监测因子</w:t>
            </w:r>
          </w:p>
          <w:tbl>
            <w:tblPr>
              <w:tblStyle w:val="32"/>
              <w:tblW w:w="9481"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134"/>
              <w:gridCol w:w="6963"/>
            </w:tblGrid>
            <w:tr w14:paraId="20650D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384" w:type="dxa"/>
                  <w:vAlign w:val="center"/>
                </w:tcPr>
                <w:p w14:paraId="4DD9807F">
                  <w:pPr>
                    <w:ind w:left="105" w:lef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监测位置</w:t>
                  </w:r>
                </w:p>
              </w:tc>
              <w:tc>
                <w:tcPr>
                  <w:tcW w:w="1134" w:type="dxa"/>
                  <w:vAlign w:val="center"/>
                </w:tcPr>
                <w:p w14:paraId="0AEA7D3E">
                  <w:pPr>
                    <w:pStyle w:val="5"/>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编号</w:t>
                  </w:r>
                </w:p>
              </w:tc>
              <w:tc>
                <w:tcPr>
                  <w:tcW w:w="6963" w:type="dxa"/>
                  <w:vAlign w:val="center"/>
                </w:tcPr>
                <w:p w14:paraId="7D539B9E">
                  <w:pPr>
                    <w:pStyle w:val="5"/>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监测因子</w:t>
                  </w:r>
                </w:p>
              </w:tc>
            </w:tr>
            <w:tr w14:paraId="432CE6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1384" w:type="dxa"/>
                  <w:vAlign w:val="center"/>
                </w:tcPr>
                <w:p w14:paraId="6285F42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w:t>
                  </w:r>
                  <w:r>
                    <w:rPr>
                      <w:rFonts w:hint="eastAsia" w:ascii="Times New Roman" w:hAnsi="Times New Roman" w:cs="Times New Roman"/>
                      <w:color w:val="auto"/>
                      <w:sz w:val="21"/>
                      <w:szCs w:val="21"/>
                      <w:highlight w:val="none"/>
                      <w:lang w:val="en-US" w:eastAsia="zh-CN"/>
                    </w:rPr>
                    <w:t>东北</w:t>
                  </w:r>
                  <w:r>
                    <w:rPr>
                      <w:rFonts w:hint="default" w:ascii="Times New Roman" w:hAnsi="Times New Roman" w:eastAsia="宋体" w:cs="Times New Roman"/>
                      <w:color w:val="auto"/>
                      <w:sz w:val="21"/>
                      <w:szCs w:val="21"/>
                      <w:highlight w:val="none"/>
                      <w:lang w:val="en-US" w:eastAsia="zh-CN"/>
                    </w:rPr>
                    <w:t>侧</w:t>
                  </w:r>
                </w:p>
              </w:tc>
              <w:tc>
                <w:tcPr>
                  <w:tcW w:w="1134" w:type="dxa"/>
                  <w:vAlign w:val="center"/>
                </w:tcPr>
                <w:p w14:paraId="528EAA02">
                  <w:pPr>
                    <w:pStyle w:val="5"/>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D</w:t>
                  </w:r>
                  <w:r>
                    <w:rPr>
                      <w:rFonts w:hint="default" w:ascii="Times New Roman" w:hAnsi="Times New Roman" w:eastAsia="宋体" w:cs="Times New Roman"/>
                      <w:color w:val="auto"/>
                      <w:sz w:val="21"/>
                      <w:szCs w:val="21"/>
                      <w:highlight w:val="none"/>
                    </w:rPr>
                    <w:t>1</w:t>
                  </w:r>
                </w:p>
              </w:tc>
              <w:tc>
                <w:tcPr>
                  <w:tcW w:w="6963" w:type="dxa"/>
                  <w:vAlign w:val="center"/>
                </w:tcPr>
                <w:p w14:paraId="214D588A">
                  <w:pPr>
                    <w:pStyle w:val="5"/>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pH、氨氮、硝酸盐、亚硝酸盐、挥发性酚类、氰化物、</w:t>
                  </w:r>
                  <w:r>
                    <w:rPr>
                      <w:rFonts w:hint="default" w:ascii="Times New Roman" w:hAnsi="Times New Roman" w:eastAsia="宋体" w:cs="Times New Roman"/>
                      <w:color w:val="auto"/>
                      <w:sz w:val="21"/>
                      <w:szCs w:val="21"/>
                      <w:highlight w:val="none"/>
                      <w:lang w:val="en-US" w:eastAsia="zh-CN"/>
                    </w:rPr>
                    <w:t>氟化物、</w:t>
                  </w:r>
                  <w:r>
                    <w:rPr>
                      <w:rFonts w:hint="default" w:ascii="Times New Roman" w:hAnsi="Times New Roman" w:eastAsia="宋体" w:cs="Times New Roman"/>
                      <w:color w:val="auto"/>
                      <w:sz w:val="21"/>
                      <w:szCs w:val="21"/>
                      <w:highlight w:val="none"/>
                    </w:rPr>
                    <w:t>砷、汞、铬(六价)、总硬度、铅、镉、铁、锰、</w:t>
                  </w:r>
                  <w:r>
                    <w:rPr>
                      <w:rFonts w:hint="default" w:ascii="Times New Roman" w:hAnsi="Times New Roman" w:eastAsia="宋体" w:cs="Times New Roman"/>
                      <w:color w:val="auto"/>
                      <w:sz w:val="21"/>
                      <w:szCs w:val="21"/>
                      <w:highlight w:val="none"/>
                      <w:lang w:val="en-US" w:eastAsia="zh-CN"/>
                    </w:rPr>
                    <w:t>铜、锌、铝、</w:t>
                  </w:r>
                  <w:r>
                    <w:rPr>
                      <w:rFonts w:hint="default" w:ascii="Times New Roman" w:hAnsi="Times New Roman" w:eastAsia="宋体" w:cs="Times New Roman"/>
                      <w:color w:val="auto"/>
                      <w:sz w:val="21"/>
                      <w:szCs w:val="21"/>
                      <w:highlight w:val="none"/>
                    </w:rPr>
                    <w:t>溶解性总固体、高锰酸盐指数、硫酸盐、氯化物、总大肠菌群、细菌总数</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K</w:t>
                  </w:r>
                  <w:r>
                    <w:rPr>
                      <w:rFonts w:hint="default" w:ascii="Times New Roman" w:hAnsi="Times New Roman" w:eastAsia="宋体" w:cs="Times New Roman"/>
                      <w:color w:val="auto"/>
                      <w:sz w:val="21"/>
                      <w:szCs w:val="21"/>
                      <w:highlight w:val="none"/>
                      <w:vertAlign w:val="superscript"/>
                    </w:rPr>
                    <w:t>+</w:t>
                  </w:r>
                  <w:r>
                    <w:rPr>
                      <w:rFonts w:hint="default" w:ascii="Times New Roman" w:hAnsi="Times New Roman" w:eastAsia="宋体" w:cs="Times New Roman"/>
                      <w:color w:val="auto"/>
                      <w:sz w:val="21"/>
                      <w:szCs w:val="21"/>
                      <w:highlight w:val="none"/>
                    </w:rPr>
                    <w:t>、Na</w:t>
                  </w:r>
                  <w:r>
                    <w:rPr>
                      <w:rFonts w:hint="default" w:ascii="Times New Roman" w:hAnsi="Times New Roman" w:eastAsia="宋体" w:cs="Times New Roman"/>
                      <w:color w:val="auto"/>
                      <w:sz w:val="21"/>
                      <w:szCs w:val="21"/>
                      <w:highlight w:val="none"/>
                      <w:vertAlign w:val="superscript"/>
                    </w:rPr>
                    <w:t>+</w:t>
                  </w:r>
                  <w:r>
                    <w:rPr>
                      <w:rFonts w:hint="default" w:ascii="Times New Roman" w:hAnsi="Times New Roman" w:eastAsia="宋体" w:cs="Times New Roman"/>
                      <w:color w:val="auto"/>
                      <w:sz w:val="21"/>
                      <w:szCs w:val="21"/>
                      <w:highlight w:val="none"/>
                    </w:rPr>
                    <w:t>、Ca</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vertAlign w:val="superscript"/>
                      <w:lang w:val="en-US" w:eastAsia="zh-CN"/>
                    </w:rPr>
                    <w:t>+</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、CO</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、HCO</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vertAlign w:val="baseline"/>
                      <w:lang w:val="en-US" w:eastAsia="zh-CN"/>
                    </w:rPr>
                    <w:t>石油类，同时测量井深和水位</w:t>
                  </w:r>
                </w:p>
              </w:tc>
            </w:tr>
          </w:tbl>
          <w:p w14:paraId="7D2EE61B">
            <w:pPr>
              <w:pStyle w:val="5"/>
              <w:rPr>
                <w:rFonts w:hint="default" w:ascii="Times New Roman" w:hAnsi="Times New Roman" w:eastAsia="宋体" w:cs="Times New Roman"/>
                <w:color w:val="auto"/>
                <w:sz w:val="24"/>
                <w:szCs w:val="24"/>
                <w:highlight w:val="none"/>
              </w:rPr>
            </w:pPr>
          </w:p>
          <w:p w14:paraId="3261FAA4">
            <w:pPr>
              <w:pStyle w:val="5"/>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地下水监测结果详见下表</w:t>
            </w:r>
            <w:r>
              <w:rPr>
                <w:rFonts w:hint="default" w:ascii="Times New Roman" w:hAnsi="Times New Roman" w:eastAsia="宋体" w:cs="Times New Roman"/>
                <w:color w:val="auto"/>
                <w:sz w:val="24"/>
                <w:szCs w:val="24"/>
                <w:highlight w:val="none"/>
                <w:lang w:eastAsia="zh-CN"/>
              </w:rPr>
              <w:t>：</w:t>
            </w:r>
          </w:p>
          <w:p w14:paraId="21CC1118">
            <w:pPr>
              <w:spacing w:line="360" w:lineRule="auto"/>
              <w:ind w:firstLine="480" w:firstLineChars="20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3-5</w:t>
            </w:r>
            <w:r>
              <w:rPr>
                <w:rFonts w:hint="eastAsia" w:ascii="Times New Roman" w:hAnsi="Times New Roman"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地下水</w:t>
            </w:r>
            <w:r>
              <w:rPr>
                <w:rFonts w:hint="eastAsia" w:ascii="Times New Roman" w:hAnsi="Times New Roman" w:cs="Times New Roman"/>
                <w:color w:val="auto"/>
                <w:sz w:val="24"/>
                <w:szCs w:val="24"/>
                <w:highlight w:val="none"/>
                <w:lang w:val="en-US" w:eastAsia="zh-CN"/>
              </w:rPr>
              <w:t>水位资料</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1"/>
              <w:gridCol w:w="2860"/>
              <w:gridCol w:w="2177"/>
              <w:gridCol w:w="1682"/>
            </w:tblGrid>
            <w:tr w14:paraId="598A82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tblHeader/>
                <w:jc w:val="center"/>
              </w:trPr>
              <w:tc>
                <w:tcPr>
                  <w:tcW w:w="1093" w:type="pct"/>
                  <w:tcBorders>
                    <w:tl2br w:val="nil"/>
                    <w:tr2bl w:val="nil"/>
                  </w:tcBorders>
                  <w:noWrap w:val="0"/>
                  <w:vAlign w:val="center"/>
                </w:tcPr>
                <w:p w14:paraId="007A194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调查日期</w:t>
                  </w:r>
                </w:p>
              </w:tc>
              <w:tc>
                <w:tcPr>
                  <w:tcW w:w="1662" w:type="pct"/>
                  <w:tcBorders>
                    <w:tl2br w:val="nil"/>
                    <w:tr2bl w:val="nil"/>
                  </w:tcBorders>
                  <w:noWrap w:val="0"/>
                  <w:vAlign w:val="center"/>
                </w:tcPr>
                <w:p w14:paraId="193B01F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点位</w:t>
                  </w:r>
                </w:p>
              </w:tc>
              <w:tc>
                <w:tcPr>
                  <w:tcW w:w="1265" w:type="pct"/>
                  <w:tcBorders>
                    <w:tl2br w:val="nil"/>
                    <w:tr2bl w:val="nil"/>
                  </w:tcBorders>
                  <w:noWrap w:val="0"/>
                  <w:vAlign w:val="center"/>
                </w:tcPr>
                <w:p w14:paraId="1D85834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井深</w:t>
                  </w:r>
                  <w:r>
                    <w:rPr>
                      <w:rFonts w:hint="default" w:ascii="Times New Roman" w:hAnsi="Times New Roman" w:eastAsia="宋体" w:cs="Times New Roman"/>
                      <w:color w:val="auto"/>
                      <w:sz w:val="21"/>
                      <w:szCs w:val="21"/>
                      <w:highlight w:val="none"/>
                    </w:rPr>
                    <w:t>/m</w:t>
                  </w:r>
                </w:p>
              </w:tc>
              <w:tc>
                <w:tcPr>
                  <w:tcW w:w="977" w:type="pct"/>
                  <w:tcBorders>
                    <w:tl2br w:val="nil"/>
                    <w:tr2bl w:val="nil"/>
                  </w:tcBorders>
                  <w:noWrap w:val="0"/>
                  <w:vAlign w:val="center"/>
                </w:tcPr>
                <w:p w14:paraId="1461B65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水位埋深/m</w:t>
                  </w:r>
                </w:p>
              </w:tc>
            </w:tr>
            <w:tr w14:paraId="05E7A1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3" w:type="pct"/>
                  <w:tcBorders>
                    <w:tl2br w:val="nil"/>
                    <w:tr2bl w:val="nil"/>
                  </w:tcBorders>
                  <w:noWrap w:val="0"/>
                  <w:vAlign w:val="center"/>
                </w:tcPr>
                <w:p w14:paraId="0475A16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2024.9.22</w:t>
                  </w:r>
                </w:p>
              </w:tc>
              <w:tc>
                <w:tcPr>
                  <w:tcW w:w="1662" w:type="pct"/>
                  <w:tcBorders>
                    <w:tl2br w:val="nil"/>
                    <w:tr2bl w:val="nil"/>
                  </w:tcBorders>
                  <w:noWrap w:val="0"/>
                  <w:vAlign w:val="center"/>
                </w:tcPr>
                <w:p w14:paraId="263E64F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项目东北侧</w:t>
                  </w:r>
                </w:p>
                <w:p w14:paraId="000EB05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E:115.4673°  N:39.0520°</w:t>
                  </w:r>
                </w:p>
              </w:tc>
              <w:tc>
                <w:tcPr>
                  <w:tcW w:w="1265" w:type="pct"/>
                  <w:tcBorders>
                    <w:tl2br w:val="nil"/>
                    <w:tr2bl w:val="nil"/>
                  </w:tcBorders>
                  <w:noWrap w:val="0"/>
                  <w:vAlign w:val="center"/>
                </w:tcPr>
                <w:p w14:paraId="1C5F559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977" w:type="pct"/>
                  <w:tcBorders>
                    <w:tl2br w:val="nil"/>
                    <w:tr2bl w:val="nil"/>
                  </w:tcBorders>
                  <w:noWrap w:val="0"/>
                  <w:vAlign w:val="center"/>
                </w:tcPr>
                <w:p w14:paraId="1E11818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w:t>
                  </w:r>
                </w:p>
              </w:tc>
            </w:tr>
          </w:tbl>
          <w:p w14:paraId="6CAEB50F">
            <w:pPr>
              <w:spacing w:line="360" w:lineRule="auto"/>
              <w:ind w:firstLine="480" w:firstLineChars="200"/>
              <w:jc w:val="center"/>
              <w:rPr>
                <w:rFonts w:hint="default" w:ascii="Times New Roman" w:hAnsi="Times New Roman" w:eastAsia="宋体" w:cs="Times New Roman"/>
                <w:color w:val="auto"/>
                <w:sz w:val="24"/>
                <w:szCs w:val="24"/>
                <w:highlight w:val="none"/>
              </w:rPr>
            </w:pPr>
          </w:p>
          <w:p w14:paraId="57D6F3B8">
            <w:pPr>
              <w:spacing w:line="360" w:lineRule="auto"/>
              <w:ind w:firstLine="480" w:firstLineChars="20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5.2</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地下水</w:t>
            </w:r>
            <w:r>
              <w:rPr>
                <w:rFonts w:hint="default" w:ascii="Times New Roman" w:hAnsi="Times New Roman" w:eastAsia="宋体" w:cs="Times New Roman"/>
                <w:color w:val="auto"/>
                <w:sz w:val="24"/>
                <w:szCs w:val="24"/>
                <w:highlight w:val="none"/>
              </w:rPr>
              <w:t>监测位置和监测因子</w:t>
            </w:r>
          </w:p>
          <w:tbl>
            <w:tblPr>
              <w:tblStyle w:val="31"/>
              <w:tblW w:w="497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9"/>
              <w:gridCol w:w="3365"/>
              <w:gridCol w:w="1081"/>
              <w:gridCol w:w="1549"/>
              <w:gridCol w:w="2183"/>
            </w:tblGrid>
            <w:tr w14:paraId="21785B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187" w:type="pct"/>
                  <w:gridSpan w:val="2"/>
                  <w:vMerge w:val="restart"/>
                  <w:noWrap w:val="0"/>
                  <w:vAlign w:val="center"/>
                </w:tcPr>
                <w:p w14:paraId="5A0C33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检测项目</w:t>
                  </w:r>
                </w:p>
              </w:tc>
              <w:tc>
                <w:tcPr>
                  <w:tcW w:w="631" w:type="pct"/>
                  <w:noWrap w:val="0"/>
                  <w:vAlign w:val="center"/>
                </w:tcPr>
                <w:p w14:paraId="44EE880A">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点位编号</w:t>
                  </w:r>
                </w:p>
              </w:tc>
              <w:tc>
                <w:tcPr>
                  <w:tcW w:w="905" w:type="pct"/>
                  <w:noWrap w:val="0"/>
                  <w:vAlign w:val="center"/>
                </w:tcPr>
                <w:p w14:paraId="6AE53AA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r>
                    <w:rPr>
                      <w:rFonts w:hint="eastAsia" w:ascii="Times New Roman" w:hAnsi="Times New Roman"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lang w:val="en-US" w:eastAsia="zh-CN"/>
                    </w:rPr>
                    <w:t>北侧</w:t>
                  </w:r>
                </w:p>
              </w:tc>
              <w:tc>
                <w:tcPr>
                  <w:tcW w:w="1275" w:type="pct"/>
                  <w:noWrap w:val="0"/>
                  <w:vAlign w:val="center"/>
                </w:tcPr>
                <w:p w14:paraId="7B39CF7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r>
                    <w:rPr>
                      <w:rFonts w:hint="eastAsia" w:ascii="Times New Roman" w:hAnsi="Times New Roman"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lang w:val="en-US" w:eastAsia="zh-CN"/>
                    </w:rPr>
                    <w:t>北侧（现场平行）</w:t>
                  </w:r>
                </w:p>
              </w:tc>
            </w:tr>
            <w:tr w14:paraId="3D49B5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187" w:type="pct"/>
                  <w:gridSpan w:val="2"/>
                  <w:vMerge w:val="continue"/>
                  <w:noWrap w:val="0"/>
                  <w:vAlign w:val="center"/>
                </w:tcPr>
                <w:p w14:paraId="4FB1F9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631" w:type="pct"/>
                  <w:noWrap w:val="0"/>
                  <w:vAlign w:val="center"/>
                </w:tcPr>
                <w:p w14:paraId="2D2D607E">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采样</w:t>
                  </w:r>
                  <w:r>
                    <w:rPr>
                      <w:rFonts w:hint="default" w:ascii="Times New Roman" w:hAnsi="Times New Roman" w:eastAsia="宋体" w:cs="Times New Roman"/>
                      <w:color w:val="auto"/>
                      <w:sz w:val="21"/>
                      <w:szCs w:val="21"/>
                      <w:highlight w:val="none"/>
                    </w:rPr>
                    <w:t>时间</w:t>
                  </w:r>
                </w:p>
              </w:tc>
              <w:tc>
                <w:tcPr>
                  <w:tcW w:w="2180" w:type="pct"/>
                  <w:gridSpan w:val="2"/>
                  <w:noWrap w:val="0"/>
                  <w:vAlign w:val="center"/>
                </w:tcPr>
                <w:p w14:paraId="03A2AC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2024.9.22</w:t>
                  </w:r>
                </w:p>
              </w:tc>
            </w:tr>
            <w:tr w14:paraId="0D6E38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restart"/>
                  <w:noWrap w:val="0"/>
                  <w:vAlign w:val="center"/>
                </w:tcPr>
                <w:p w14:paraId="176F1F83">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基本水质因子</w:t>
                  </w:r>
                </w:p>
              </w:tc>
              <w:tc>
                <w:tcPr>
                  <w:tcW w:w="1966" w:type="pct"/>
                  <w:noWrap w:val="0"/>
                  <w:vAlign w:val="center"/>
                </w:tcPr>
                <w:p w14:paraId="01F2D364">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pH(无量纲)</w:t>
                  </w:r>
                </w:p>
              </w:tc>
              <w:tc>
                <w:tcPr>
                  <w:tcW w:w="631" w:type="pct"/>
                  <w:vMerge w:val="restart"/>
                  <w:noWrap w:val="0"/>
                  <w:vAlign w:val="center"/>
                </w:tcPr>
                <w:p w14:paraId="010D83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结果</w:t>
                  </w:r>
                </w:p>
              </w:tc>
              <w:tc>
                <w:tcPr>
                  <w:tcW w:w="905" w:type="pct"/>
                  <w:noWrap w:val="0"/>
                  <w:vAlign w:val="center"/>
                </w:tcPr>
                <w:p w14:paraId="2F67F0C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7.4（28.5℃）</w:t>
                  </w:r>
                </w:p>
              </w:tc>
              <w:tc>
                <w:tcPr>
                  <w:tcW w:w="1275" w:type="pct"/>
                  <w:noWrap w:val="0"/>
                  <w:vAlign w:val="center"/>
                </w:tcPr>
                <w:p w14:paraId="7E3C7BB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72C927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626D552A">
                  <w:pPr>
                    <w:jc w:val="center"/>
                    <w:rPr>
                      <w:rFonts w:hint="default" w:ascii="Times New Roman" w:hAnsi="Times New Roman" w:eastAsia="宋体" w:cs="Times New Roman"/>
                      <w:color w:val="auto"/>
                      <w:kern w:val="2"/>
                      <w:sz w:val="21"/>
                      <w:szCs w:val="21"/>
                      <w:highlight w:val="none"/>
                      <w:lang w:val="en-US" w:eastAsia="zh-CN" w:bidi="ar-SA"/>
                    </w:rPr>
                  </w:pPr>
                </w:p>
              </w:tc>
              <w:tc>
                <w:tcPr>
                  <w:tcW w:w="1966" w:type="pct"/>
                  <w:noWrap w:val="0"/>
                  <w:vAlign w:val="center"/>
                </w:tcPr>
                <w:p w14:paraId="66AC6334">
                  <w:pPr>
                    <w:keepNext w:val="0"/>
                    <w:keepLines w:val="0"/>
                    <w:pageBreakBefore w:val="0"/>
                    <w:widowControl/>
                    <w:suppressLineNumbers w:val="0"/>
                    <w:kinsoku/>
                    <w:wordWrap/>
                    <w:overflowPunct/>
                    <w:topLinePunct w:val="0"/>
                    <w:autoSpaceDE/>
                    <w:autoSpaceDN/>
                    <w:bidi w:val="0"/>
                    <w:adjustRightInd/>
                    <w:snapToGrid/>
                    <w:ind w:left="-210" w:leftChars="-100" w:right="-210" w:rightChars="-10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总硬度(以CaCO</w:t>
                  </w:r>
                  <w:r>
                    <w:rPr>
                      <w:rFonts w:hint="default" w:ascii="Times New Roman" w:hAnsi="Times New Roman" w:eastAsia="宋体" w:cs="Times New Roman"/>
                      <w:color w:val="auto"/>
                      <w:sz w:val="21"/>
                      <w:szCs w:val="21"/>
                      <w:highlight w:val="none"/>
                      <w:vertAlign w:val="subscript"/>
                      <w:lang w:val="en-US" w:eastAsia="zh-CN"/>
                    </w:rPr>
                    <w:t xml:space="preserve">3 </w:t>
                  </w:r>
                  <w:r>
                    <w:rPr>
                      <w:rFonts w:hint="default" w:ascii="Times New Roman" w:hAnsi="Times New Roman" w:eastAsia="宋体" w:cs="Times New Roman"/>
                      <w:color w:val="auto"/>
                      <w:sz w:val="21"/>
                      <w:szCs w:val="21"/>
                      <w:highlight w:val="none"/>
                      <w:lang w:val="en-US" w:eastAsia="zh-CN"/>
                    </w:rPr>
                    <w:t>计)(mg/L)</w:t>
                  </w:r>
                </w:p>
              </w:tc>
              <w:tc>
                <w:tcPr>
                  <w:tcW w:w="631" w:type="pct"/>
                  <w:vMerge w:val="continue"/>
                  <w:noWrap w:val="0"/>
                  <w:vAlign w:val="center"/>
                </w:tcPr>
                <w:p w14:paraId="2A47AD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4AC0EF4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305</w:t>
                  </w:r>
                </w:p>
              </w:tc>
              <w:tc>
                <w:tcPr>
                  <w:tcW w:w="1275" w:type="pct"/>
                  <w:noWrap w:val="0"/>
                  <w:vAlign w:val="center"/>
                </w:tcPr>
                <w:p w14:paraId="51C2E9F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308</w:t>
                  </w:r>
                </w:p>
              </w:tc>
            </w:tr>
            <w:tr w14:paraId="71A387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5BAE8FC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966" w:type="pct"/>
                  <w:noWrap w:val="0"/>
                  <w:vAlign w:val="center"/>
                </w:tcPr>
                <w:p w14:paraId="49D60EFF">
                  <w:pPr>
                    <w:keepNext w:val="0"/>
                    <w:keepLines w:val="0"/>
                    <w:pageBreakBefore w:val="0"/>
                    <w:widowControl/>
                    <w:suppressLineNumbers w:val="0"/>
                    <w:kinsoku/>
                    <w:wordWrap/>
                    <w:overflowPunct/>
                    <w:topLinePunct w:val="0"/>
                    <w:autoSpaceDE/>
                    <w:autoSpaceDN/>
                    <w:bidi w:val="0"/>
                    <w:adjustRightInd/>
                    <w:snapToGrid/>
                    <w:ind w:left="-210" w:leftChars="-100" w:right="-210" w:rightChars="-10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溶解性总固体(mg/L)</w:t>
                  </w:r>
                </w:p>
              </w:tc>
              <w:tc>
                <w:tcPr>
                  <w:tcW w:w="631" w:type="pct"/>
                  <w:vMerge w:val="continue"/>
                  <w:noWrap w:val="0"/>
                  <w:vAlign w:val="center"/>
                </w:tcPr>
                <w:p w14:paraId="0CC8D1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3EB2E25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346</w:t>
                  </w:r>
                </w:p>
              </w:tc>
              <w:tc>
                <w:tcPr>
                  <w:tcW w:w="1275" w:type="pct"/>
                  <w:noWrap w:val="0"/>
                  <w:vAlign w:val="center"/>
                </w:tcPr>
                <w:p w14:paraId="3A92BD0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001EB9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514AC61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966" w:type="pct"/>
                  <w:noWrap w:val="0"/>
                  <w:vAlign w:val="center"/>
                </w:tcPr>
                <w:p w14:paraId="3D8311BC">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耗氧量（COD</w:t>
                  </w:r>
                  <w:r>
                    <w:rPr>
                      <w:rFonts w:hint="default" w:ascii="Times New Roman" w:hAnsi="Times New Roman" w:eastAsia="宋体" w:cs="Times New Roman"/>
                      <w:color w:val="auto"/>
                      <w:sz w:val="21"/>
                      <w:szCs w:val="21"/>
                      <w:highlight w:val="none"/>
                      <w:vertAlign w:val="subscript"/>
                      <w:lang w:val="en-US" w:eastAsia="zh-CN"/>
                    </w:rPr>
                    <w:t>Mn</w:t>
                  </w:r>
                  <w:r>
                    <w:rPr>
                      <w:rFonts w:hint="default" w:ascii="Times New Roman" w:hAnsi="Times New Roman" w:eastAsia="宋体" w:cs="Times New Roman"/>
                      <w:color w:val="auto"/>
                      <w:sz w:val="21"/>
                      <w:szCs w:val="21"/>
                      <w:highlight w:val="none"/>
                      <w:lang w:val="en-US" w:eastAsia="zh-CN"/>
                    </w:rPr>
                    <w:t>法，以O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计）(mg/L)</w:t>
                  </w:r>
                </w:p>
              </w:tc>
              <w:tc>
                <w:tcPr>
                  <w:tcW w:w="631" w:type="pct"/>
                  <w:vMerge w:val="continue"/>
                  <w:noWrap w:val="0"/>
                  <w:vAlign w:val="center"/>
                </w:tcPr>
                <w:p w14:paraId="1B6B16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5D0C011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0.6</w:t>
                  </w:r>
                </w:p>
              </w:tc>
              <w:tc>
                <w:tcPr>
                  <w:tcW w:w="1275" w:type="pct"/>
                  <w:noWrap w:val="0"/>
                  <w:vAlign w:val="center"/>
                </w:tcPr>
                <w:p w14:paraId="644015C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0.6</w:t>
                  </w:r>
                </w:p>
              </w:tc>
            </w:tr>
            <w:tr w14:paraId="4D38D6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04E7BB00">
                  <w:pPr>
                    <w:jc w:val="center"/>
                    <w:rPr>
                      <w:rFonts w:hint="default" w:ascii="Times New Roman" w:hAnsi="Times New Roman" w:eastAsia="宋体" w:cs="Times New Roman"/>
                      <w:color w:val="auto"/>
                      <w:kern w:val="2"/>
                      <w:sz w:val="21"/>
                      <w:szCs w:val="21"/>
                      <w:highlight w:val="none"/>
                      <w:lang w:val="en-US" w:eastAsia="zh-CN" w:bidi="ar-SA"/>
                    </w:rPr>
                  </w:pPr>
                </w:p>
              </w:tc>
              <w:tc>
                <w:tcPr>
                  <w:tcW w:w="1966" w:type="pct"/>
                  <w:noWrap w:val="0"/>
                  <w:vAlign w:val="center"/>
                </w:tcPr>
                <w:p w14:paraId="19CC1C6A">
                  <w:pPr>
                    <w:keepNext w:val="0"/>
                    <w:keepLines w:val="0"/>
                    <w:pageBreakBefore w:val="0"/>
                    <w:widowControl/>
                    <w:suppressLineNumbers w:val="0"/>
                    <w:kinsoku/>
                    <w:wordWrap/>
                    <w:overflowPunct/>
                    <w:topLinePunct w:val="0"/>
                    <w:autoSpaceDE/>
                    <w:autoSpaceDN/>
                    <w:bidi w:val="0"/>
                    <w:adjustRightInd/>
                    <w:snapToGrid w:val="0"/>
                    <w:ind w:left="-105" w:leftChars="-50" w:right="-105" w:rightChars="-50"/>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67"/>
                      <w:rFonts w:hint="default" w:ascii="Times New Roman" w:hAnsi="Times New Roman" w:eastAsia="宋体" w:cs="Times New Roman"/>
                      <w:b w:val="0"/>
                      <w:bCs/>
                      <w:i w:val="0"/>
                      <w:color w:val="auto"/>
                      <w:sz w:val="21"/>
                      <w:szCs w:val="21"/>
                      <w:highlight w:val="none"/>
                      <w:lang w:val="en-US" w:eastAsia="zh-CN" w:bidi="ar"/>
                    </w:rPr>
                    <w:t>氨氮</w:t>
                  </w:r>
                  <w:r>
                    <w:rPr>
                      <w:rFonts w:hint="default" w:ascii="Times New Roman" w:hAnsi="Times New Roman" w:eastAsia="宋体" w:cs="Times New Roman"/>
                      <w:color w:val="auto"/>
                      <w:sz w:val="21"/>
                      <w:szCs w:val="21"/>
                      <w:highlight w:val="none"/>
                      <w:lang w:val="en-US" w:eastAsia="zh-CN"/>
                    </w:rPr>
                    <w:t>(mg/L)</w:t>
                  </w:r>
                </w:p>
              </w:tc>
              <w:tc>
                <w:tcPr>
                  <w:tcW w:w="631" w:type="pct"/>
                  <w:vMerge w:val="continue"/>
                  <w:noWrap w:val="0"/>
                  <w:vAlign w:val="center"/>
                </w:tcPr>
                <w:p w14:paraId="149F26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031944D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1275" w:type="pct"/>
                  <w:noWrap w:val="0"/>
                  <w:vAlign w:val="center"/>
                </w:tcPr>
                <w:p w14:paraId="1D1E25D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r>
            <w:tr w14:paraId="24BB1B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56EC49F8">
                  <w:pPr>
                    <w:keepNext w:val="0"/>
                    <w:keepLines w:val="0"/>
                    <w:pageBreakBefore w:val="0"/>
                    <w:kinsoku/>
                    <w:wordWrap/>
                    <w:overflowPunct/>
                    <w:topLinePunct w:val="0"/>
                    <w:autoSpaceDE/>
                    <w:autoSpaceDN/>
                    <w:bidi w:val="0"/>
                    <w:adjustRightInd/>
                    <w:snapToGrid/>
                    <w:spacing w:line="240" w:lineRule="auto"/>
                    <w:ind w:right="-105" w:rightChars="-50"/>
                    <w:jc w:val="center"/>
                    <w:rPr>
                      <w:rFonts w:hint="default" w:ascii="Times New Roman" w:hAnsi="Times New Roman" w:eastAsia="宋体" w:cs="Times New Roman"/>
                      <w:color w:val="auto"/>
                      <w:kern w:val="2"/>
                      <w:sz w:val="21"/>
                      <w:szCs w:val="21"/>
                      <w:highlight w:val="none"/>
                      <w:lang w:val="en-US" w:eastAsia="zh-CN" w:bidi="ar-SA"/>
                    </w:rPr>
                  </w:pPr>
                </w:p>
              </w:tc>
              <w:tc>
                <w:tcPr>
                  <w:tcW w:w="1966" w:type="pct"/>
                  <w:noWrap w:val="0"/>
                  <w:vAlign w:val="center"/>
                </w:tcPr>
                <w:p w14:paraId="0E333C6F">
                  <w:pPr>
                    <w:keepNext w:val="0"/>
                    <w:keepLines w:val="0"/>
                    <w:pageBreakBefore w:val="0"/>
                    <w:widowControl/>
                    <w:suppressLineNumbers w:val="0"/>
                    <w:kinsoku/>
                    <w:wordWrap/>
                    <w:overflowPunct/>
                    <w:topLinePunct w:val="0"/>
                    <w:autoSpaceDE/>
                    <w:autoSpaceDN/>
                    <w:bidi w:val="0"/>
                    <w:adjustRightInd/>
                    <w:snapToGrid w:val="0"/>
                    <w:ind w:left="-105" w:leftChars="-50" w:right="-105" w:rightChars="-50"/>
                    <w:jc w:val="center"/>
                    <w:textAlignment w:val="center"/>
                    <w:rPr>
                      <w:rFonts w:hint="default" w:ascii="Times New Roman" w:hAnsi="Times New Roman" w:eastAsia="宋体" w:cs="Times New Roman"/>
                      <w:b w:val="0"/>
                      <w:bCs/>
                      <w:i w:val="0"/>
                      <w:color w:val="auto"/>
                      <w:kern w:val="2"/>
                      <w:sz w:val="21"/>
                      <w:szCs w:val="21"/>
                      <w:highlight w:val="none"/>
                      <w:u w:val="none"/>
                      <w:lang w:val="en-US" w:eastAsia="zh-CN" w:bidi="ar"/>
                    </w:rPr>
                  </w:pPr>
                  <w:r>
                    <w:rPr>
                      <w:rStyle w:val="67"/>
                      <w:rFonts w:hint="default" w:ascii="Times New Roman" w:hAnsi="Times New Roman" w:eastAsia="宋体" w:cs="Times New Roman"/>
                      <w:b w:val="0"/>
                      <w:bCs/>
                      <w:i w:val="0"/>
                      <w:color w:val="auto"/>
                      <w:sz w:val="21"/>
                      <w:szCs w:val="21"/>
                      <w:highlight w:val="none"/>
                      <w:lang w:val="en-US" w:eastAsia="zh-CN" w:bidi="ar"/>
                    </w:rPr>
                    <w:t>硝酸盐（以N计）</w:t>
                  </w:r>
                  <w:r>
                    <w:rPr>
                      <w:rFonts w:hint="default" w:ascii="Times New Roman" w:hAnsi="Times New Roman" w:eastAsia="宋体" w:cs="Times New Roman"/>
                      <w:color w:val="auto"/>
                      <w:sz w:val="21"/>
                      <w:szCs w:val="21"/>
                      <w:highlight w:val="none"/>
                      <w:lang w:val="en-US" w:eastAsia="zh-CN"/>
                    </w:rPr>
                    <w:t>(mg/L)</w:t>
                  </w:r>
                </w:p>
              </w:tc>
              <w:tc>
                <w:tcPr>
                  <w:tcW w:w="631" w:type="pct"/>
                  <w:vMerge w:val="continue"/>
                  <w:noWrap w:val="0"/>
                  <w:vAlign w:val="center"/>
                </w:tcPr>
                <w:p w14:paraId="3B8C87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2356D25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3.48</w:t>
                  </w:r>
                </w:p>
              </w:tc>
              <w:tc>
                <w:tcPr>
                  <w:tcW w:w="1275" w:type="pct"/>
                  <w:noWrap w:val="0"/>
                  <w:vAlign w:val="center"/>
                </w:tcPr>
                <w:p w14:paraId="636A41A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3.31</w:t>
                  </w:r>
                </w:p>
              </w:tc>
            </w:tr>
            <w:tr w14:paraId="2A88C3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46A61752">
                  <w:pPr>
                    <w:jc w:val="center"/>
                    <w:rPr>
                      <w:rFonts w:hint="default" w:ascii="Times New Roman" w:hAnsi="Times New Roman" w:eastAsia="宋体" w:cs="Times New Roman"/>
                      <w:color w:val="auto"/>
                      <w:kern w:val="2"/>
                      <w:sz w:val="21"/>
                      <w:szCs w:val="21"/>
                      <w:highlight w:val="none"/>
                      <w:lang w:val="en-US" w:eastAsia="zh-CN" w:bidi="ar-SA"/>
                    </w:rPr>
                  </w:pPr>
                </w:p>
              </w:tc>
              <w:tc>
                <w:tcPr>
                  <w:tcW w:w="1966" w:type="pct"/>
                  <w:noWrap w:val="0"/>
                  <w:vAlign w:val="center"/>
                </w:tcPr>
                <w:p w14:paraId="31031F9C">
                  <w:pPr>
                    <w:keepNext w:val="0"/>
                    <w:keepLines w:val="0"/>
                    <w:pageBreakBefore w:val="0"/>
                    <w:widowControl/>
                    <w:suppressLineNumbers w:val="0"/>
                    <w:kinsoku/>
                    <w:wordWrap/>
                    <w:overflowPunct/>
                    <w:topLinePunct w:val="0"/>
                    <w:autoSpaceDE/>
                    <w:autoSpaceDN/>
                    <w:bidi w:val="0"/>
                    <w:adjustRightInd/>
                    <w:snapToGrid w:val="0"/>
                    <w:ind w:left="-105" w:leftChars="-50" w:right="-105" w:rightChars="-50"/>
                    <w:jc w:val="center"/>
                    <w:textAlignment w:val="center"/>
                    <w:rPr>
                      <w:rFonts w:hint="default" w:ascii="Times New Roman" w:hAnsi="Times New Roman" w:eastAsia="宋体" w:cs="Times New Roman"/>
                      <w:b w:val="0"/>
                      <w:bCs/>
                      <w:i w:val="0"/>
                      <w:color w:val="auto"/>
                      <w:kern w:val="2"/>
                      <w:sz w:val="21"/>
                      <w:szCs w:val="21"/>
                      <w:highlight w:val="none"/>
                      <w:u w:val="none"/>
                      <w:lang w:val="en-US" w:eastAsia="zh-CN" w:bidi="ar"/>
                    </w:rPr>
                  </w:pPr>
                  <w:r>
                    <w:rPr>
                      <w:rStyle w:val="67"/>
                      <w:rFonts w:hint="default" w:ascii="Times New Roman" w:hAnsi="Times New Roman" w:eastAsia="宋体" w:cs="Times New Roman"/>
                      <w:b w:val="0"/>
                      <w:bCs/>
                      <w:i w:val="0"/>
                      <w:color w:val="auto"/>
                      <w:sz w:val="21"/>
                      <w:szCs w:val="21"/>
                      <w:highlight w:val="none"/>
                      <w:lang w:val="en-US" w:eastAsia="zh-CN" w:bidi="ar"/>
                    </w:rPr>
                    <w:t>亚硝酸盐（以N计）</w:t>
                  </w:r>
                  <w:r>
                    <w:rPr>
                      <w:rFonts w:hint="default" w:ascii="Times New Roman" w:hAnsi="Times New Roman" w:eastAsia="宋体" w:cs="Times New Roman"/>
                      <w:color w:val="auto"/>
                      <w:sz w:val="21"/>
                      <w:szCs w:val="21"/>
                      <w:highlight w:val="none"/>
                      <w:lang w:val="en-US" w:eastAsia="zh-CN"/>
                    </w:rPr>
                    <w:t>(mg/L)</w:t>
                  </w:r>
                </w:p>
              </w:tc>
              <w:tc>
                <w:tcPr>
                  <w:tcW w:w="631" w:type="pct"/>
                  <w:vMerge w:val="continue"/>
                  <w:noWrap w:val="0"/>
                  <w:vAlign w:val="center"/>
                </w:tcPr>
                <w:p w14:paraId="18A6F833">
                  <w:pPr>
                    <w:jc w:val="center"/>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541CCD2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0.003L</w:t>
                  </w:r>
                </w:p>
              </w:tc>
              <w:tc>
                <w:tcPr>
                  <w:tcW w:w="1275" w:type="pct"/>
                  <w:noWrap w:val="0"/>
                  <w:vAlign w:val="center"/>
                </w:tcPr>
                <w:p w14:paraId="0E97D9A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0.003L</w:t>
                  </w:r>
                </w:p>
              </w:tc>
            </w:tr>
            <w:tr w14:paraId="0D6A61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5E88177D">
                  <w:pPr>
                    <w:jc w:val="center"/>
                    <w:rPr>
                      <w:rFonts w:hint="default" w:ascii="Times New Roman" w:hAnsi="Times New Roman" w:eastAsia="宋体" w:cs="Times New Roman"/>
                      <w:color w:val="auto"/>
                      <w:kern w:val="2"/>
                      <w:sz w:val="21"/>
                      <w:szCs w:val="21"/>
                      <w:highlight w:val="none"/>
                      <w:lang w:val="en-US" w:eastAsia="zh-CN" w:bidi="ar-SA"/>
                    </w:rPr>
                  </w:pPr>
                </w:p>
              </w:tc>
              <w:tc>
                <w:tcPr>
                  <w:tcW w:w="1966" w:type="pct"/>
                  <w:noWrap w:val="0"/>
                  <w:vAlign w:val="center"/>
                </w:tcPr>
                <w:p w14:paraId="472B3F09">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氯化物(mg/L)</w:t>
                  </w:r>
                </w:p>
              </w:tc>
              <w:tc>
                <w:tcPr>
                  <w:tcW w:w="631" w:type="pct"/>
                  <w:vMerge w:val="continue"/>
                  <w:noWrap w:val="0"/>
                  <w:vAlign w:val="center"/>
                </w:tcPr>
                <w:p w14:paraId="1B66975A">
                  <w:pPr>
                    <w:jc w:val="center"/>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1DDF077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275" w:type="pct"/>
                  <w:noWrap w:val="0"/>
                  <w:vAlign w:val="center"/>
                </w:tcPr>
                <w:p w14:paraId="18AB47E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r>
            <w:tr w14:paraId="5160FC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156FCF3B">
                  <w:pPr>
                    <w:jc w:val="center"/>
                    <w:rPr>
                      <w:rFonts w:hint="default" w:ascii="Times New Roman" w:hAnsi="Times New Roman" w:eastAsia="宋体" w:cs="Times New Roman"/>
                      <w:color w:val="auto"/>
                      <w:kern w:val="2"/>
                      <w:sz w:val="21"/>
                      <w:szCs w:val="21"/>
                      <w:highlight w:val="none"/>
                      <w:lang w:val="en-US" w:eastAsia="zh-CN" w:bidi="ar-SA"/>
                    </w:rPr>
                  </w:pPr>
                </w:p>
              </w:tc>
              <w:tc>
                <w:tcPr>
                  <w:tcW w:w="1966" w:type="pct"/>
                  <w:noWrap w:val="0"/>
                  <w:vAlign w:val="center"/>
                </w:tcPr>
                <w:p w14:paraId="6686877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硫酸盐(mg/L)</w:t>
                  </w:r>
                </w:p>
              </w:tc>
              <w:tc>
                <w:tcPr>
                  <w:tcW w:w="631" w:type="pct"/>
                  <w:vMerge w:val="continue"/>
                  <w:noWrap w:val="0"/>
                  <w:vAlign w:val="center"/>
                </w:tcPr>
                <w:p w14:paraId="07363097">
                  <w:pPr>
                    <w:jc w:val="center"/>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0E6A410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275" w:type="pct"/>
                  <w:noWrap w:val="0"/>
                  <w:vAlign w:val="center"/>
                </w:tcPr>
                <w:p w14:paraId="2ED0D48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14:paraId="23BA59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7B35A8BF">
                  <w:pPr>
                    <w:keepNext w:val="0"/>
                    <w:keepLines w:val="0"/>
                    <w:pageBreakBefore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66" w:type="pct"/>
                  <w:noWrap w:val="0"/>
                  <w:vAlign w:val="center"/>
                </w:tcPr>
                <w:p w14:paraId="54A8FE68">
                  <w:pPr>
                    <w:keepNext w:val="0"/>
                    <w:keepLines w:val="0"/>
                    <w:pageBreakBefore w:val="0"/>
                    <w:kinsoku/>
                    <w:wordWrap/>
                    <w:overflowPunct/>
                    <w:topLinePunct w:val="0"/>
                    <w:autoSpaceDE/>
                    <w:autoSpaceDN/>
                    <w:bidi w:val="0"/>
                    <w:adjustRightInd/>
                    <w:snapToGrid/>
                    <w:spacing w:line="240" w:lineRule="auto"/>
                    <w:ind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氰化物(mg/L)</w:t>
                  </w:r>
                </w:p>
              </w:tc>
              <w:tc>
                <w:tcPr>
                  <w:tcW w:w="631" w:type="pct"/>
                  <w:vMerge w:val="continue"/>
                  <w:noWrap w:val="0"/>
                  <w:vAlign w:val="center"/>
                </w:tcPr>
                <w:p w14:paraId="1C01B4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10E04D0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0.001L</w:t>
                  </w:r>
                </w:p>
              </w:tc>
              <w:tc>
                <w:tcPr>
                  <w:tcW w:w="1275" w:type="pct"/>
                  <w:noWrap w:val="0"/>
                  <w:vAlign w:val="center"/>
                </w:tcPr>
                <w:p w14:paraId="3B4F94D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0.001L</w:t>
                  </w:r>
                </w:p>
              </w:tc>
            </w:tr>
            <w:tr w14:paraId="453EF0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40E3F866">
                  <w:pPr>
                    <w:keepNext w:val="0"/>
                    <w:keepLines w:val="0"/>
                    <w:pageBreakBefore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66" w:type="pct"/>
                  <w:noWrap w:val="0"/>
                  <w:vAlign w:val="center"/>
                </w:tcPr>
                <w:p w14:paraId="4A928BC9">
                  <w:pPr>
                    <w:keepNext w:val="0"/>
                    <w:keepLines w:val="0"/>
                    <w:pageBreakBefore w:val="0"/>
                    <w:kinsoku/>
                    <w:wordWrap/>
                    <w:overflowPunct/>
                    <w:topLinePunct w:val="0"/>
                    <w:autoSpaceDE/>
                    <w:autoSpaceDN/>
                    <w:bidi w:val="0"/>
                    <w:adjustRightInd/>
                    <w:snapToGrid/>
                    <w:spacing w:line="240" w:lineRule="auto"/>
                    <w:ind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氟化物(mg/L)</w:t>
                  </w:r>
                </w:p>
              </w:tc>
              <w:tc>
                <w:tcPr>
                  <w:tcW w:w="631" w:type="pct"/>
                  <w:vMerge w:val="continue"/>
                  <w:noWrap w:val="0"/>
                  <w:vAlign w:val="center"/>
                </w:tcPr>
                <w:p w14:paraId="4C2C0C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6125B41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0.39</w:t>
                  </w:r>
                </w:p>
              </w:tc>
              <w:tc>
                <w:tcPr>
                  <w:tcW w:w="1275" w:type="pct"/>
                  <w:noWrap w:val="0"/>
                  <w:vAlign w:val="center"/>
                </w:tcPr>
                <w:p w14:paraId="3449B82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0.40</w:t>
                  </w:r>
                </w:p>
              </w:tc>
            </w:tr>
            <w:tr w14:paraId="7AD352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107D25A4">
                  <w:pPr>
                    <w:keepNext w:val="0"/>
                    <w:keepLines w:val="0"/>
                    <w:pageBreakBefore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66" w:type="pct"/>
                  <w:noWrap w:val="0"/>
                  <w:vAlign w:val="center"/>
                </w:tcPr>
                <w:p w14:paraId="7957DAC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挥发性酚类(以苯酚计)(mg/L)</w:t>
                  </w:r>
                </w:p>
              </w:tc>
              <w:tc>
                <w:tcPr>
                  <w:tcW w:w="631" w:type="pct"/>
                  <w:vMerge w:val="continue"/>
                  <w:noWrap w:val="0"/>
                  <w:vAlign w:val="center"/>
                </w:tcPr>
                <w:p w14:paraId="53DC1B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5FEE660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0.0003L</w:t>
                  </w:r>
                </w:p>
              </w:tc>
              <w:tc>
                <w:tcPr>
                  <w:tcW w:w="1275" w:type="pct"/>
                  <w:noWrap w:val="0"/>
                  <w:vAlign w:val="center"/>
                </w:tcPr>
                <w:p w14:paraId="7A4AFA6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0.0003L</w:t>
                  </w:r>
                </w:p>
              </w:tc>
            </w:tr>
            <w:tr w14:paraId="6F13E1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6D2C1BEB">
                  <w:pPr>
                    <w:keepNext w:val="0"/>
                    <w:keepLines w:val="0"/>
                    <w:pageBreakBefore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66" w:type="pct"/>
                  <w:noWrap w:val="0"/>
                  <w:vAlign w:val="center"/>
                </w:tcPr>
                <w:p w14:paraId="5BC5B120">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石油类(mg/L)</w:t>
                  </w:r>
                </w:p>
              </w:tc>
              <w:tc>
                <w:tcPr>
                  <w:tcW w:w="631" w:type="pct"/>
                  <w:vMerge w:val="continue"/>
                  <w:noWrap w:val="0"/>
                  <w:vAlign w:val="center"/>
                </w:tcPr>
                <w:p w14:paraId="01CB9C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485A352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0.01L</w:t>
                  </w:r>
                </w:p>
              </w:tc>
              <w:tc>
                <w:tcPr>
                  <w:tcW w:w="1275" w:type="pct"/>
                  <w:noWrap w:val="0"/>
                  <w:vAlign w:val="center"/>
                </w:tcPr>
                <w:p w14:paraId="6D2E780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14:paraId="346F0A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01C7793D">
                  <w:pPr>
                    <w:keepNext w:val="0"/>
                    <w:keepLines w:val="0"/>
                    <w:pageBreakBefore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66" w:type="pct"/>
                  <w:noWrap w:val="0"/>
                  <w:vAlign w:val="center"/>
                </w:tcPr>
                <w:p w14:paraId="1C8EA33C">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铝(mg/L)</w:t>
                  </w:r>
                </w:p>
              </w:tc>
              <w:tc>
                <w:tcPr>
                  <w:tcW w:w="631" w:type="pct"/>
                  <w:vMerge w:val="continue"/>
                  <w:noWrap w:val="0"/>
                  <w:vAlign w:val="center"/>
                </w:tcPr>
                <w:p w14:paraId="04BA2B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22D003F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0.008L </w:t>
                  </w:r>
                </w:p>
              </w:tc>
              <w:tc>
                <w:tcPr>
                  <w:tcW w:w="1275" w:type="pct"/>
                  <w:noWrap w:val="0"/>
                  <w:vAlign w:val="center"/>
                </w:tcPr>
                <w:p w14:paraId="1B4B3D5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0.008L </w:t>
                  </w:r>
                </w:p>
              </w:tc>
            </w:tr>
            <w:tr w14:paraId="3090D0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43DC4B7E">
                  <w:pPr>
                    <w:keepNext w:val="0"/>
                    <w:keepLines w:val="0"/>
                    <w:pageBreakBefore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66" w:type="pct"/>
                  <w:noWrap w:val="0"/>
                  <w:vAlign w:val="center"/>
                </w:tcPr>
                <w:p w14:paraId="4D83B851">
                  <w:pPr>
                    <w:keepNext w:val="0"/>
                    <w:keepLines w:val="0"/>
                    <w:pageBreakBefore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铁(mg/L)</w:t>
                  </w:r>
                </w:p>
              </w:tc>
              <w:tc>
                <w:tcPr>
                  <w:tcW w:w="631" w:type="pct"/>
                  <w:vMerge w:val="continue"/>
                  <w:noWrap w:val="0"/>
                  <w:vAlign w:val="center"/>
                </w:tcPr>
                <w:p w14:paraId="0C97D7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0346049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0.03L</w:t>
                  </w:r>
                </w:p>
              </w:tc>
              <w:tc>
                <w:tcPr>
                  <w:tcW w:w="1275" w:type="pct"/>
                  <w:noWrap w:val="0"/>
                  <w:vAlign w:val="center"/>
                </w:tcPr>
                <w:p w14:paraId="60E8D95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0.03L</w:t>
                  </w:r>
                </w:p>
              </w:tc>
            </w:tr>
            <w:tr w14:paraId="30842E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4B2EFFCD">
                  <w:pPr>
                    <w:keepNext w:val="0"/>
                    <w:keepLines w:val="0"/>
                    <w:pageBreakBefore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66" w:type="pct"/>
                  <w:noWrap w:val="0"/>
                  <w:vAlign w:val="center"/>
                </w:tcPr>
                <w:p w14:paraId="49F8D9CD">
                  <w:pPr>
                    <w:keepNext w:val="0"/>
                    <w:keepLines w:val="0"/>
                    <w:pageBreakBefore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锰(mg/L)</w:t>
                  </w:r>
                </w:p>
              </w:tc>
              <w:tc>
                <w:tcPr>
                  <w:tcW w:w="631" w:type="pct"/>
                  <w:vMerge w:val="continue"/>
                  <w:noWrap w:val="0"/>
                  <w:vAlign w:val="center"/>
                </w:tcPr>
                <w:p w14:paraId="28B706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590C824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0.01L</w:t>
                  </w:r>
                </w:p>
              </w:tc>
              <w:tc>
                <w:tcPr>
                  <w:tcW w:w="1275" w:type="pct"/>
                  <w:noWrap w:val="0"/>
                  <w:vAlign w:val="center"/>
                </w:tcPr>
                <w:p w14:paraId="1520E73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0.01L</w:t>
                  </w:r>
                </w:p>
              </w:tc>
            </w:tr>
            <w:tr w14:paraId="4BF9D0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2ABBBF5B">
                  <w:pPr>
                    <w:keepNext w:val="0"/>
                    <w:keepLines w:val="0"/>
                    <w:pageBreakBefore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66" w:type="pct"/>
                  <w:noWrap w:val="0"/>
                  <w:vAlign w:val="center"/>
                </w:tcPr>
                <w:p w14:paraId="1A43084B">
                  <w:pPr>
                    <w:keepNext w:val="0"/>
                    <w:keepLines w:val="0"/>
                    <w:pageBreakBefore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铜</w:t>
                  </w:r>
                  <w:r>
                    <w:rPr>
                      <w:rFonts w:hint="default" w:ascii="Times New Roman" w:hAnsi="Times New Roman" w:eastAsia="宋体" w:cs="Times New Roman"/>
                      <w:color w:val="auto"/>
                      <w:sz w:val="21"/>
                      <w:szCs w:val="21"/>
                      <w:highlight w:val="none"/>
                      <w:lang w:val="en-US" w:eastAsia="zh-CN"/>
                    </w:rPr>
                    <w:t>(mg/L)</w:t>
                  </w:r>
                </w:p>
              </w:tc>
              <w:tc>
                <w:tcPr>
                  <w:tcW w:w="631" w:type="pct"/>
                  <w:vMerge w:val="continue"/>
                  <w:noWrap w:val="0"/>
                  <w:vAlign w:val="center"/>
                </w:tcPr>
                <w:p w14:paraId="76A60F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6378637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0.05L</w:t>
                  </w:r>
                </w:p>
              </w:tc>
              <w:tc>
                <w:tcPr>
                  <w:tcW w:w="1275" w:type="pct"/>
                  <w:noWrap w:val="0"/>
                  <w:vAlign w:val="center"/>
                </w:tcPr>
                <w:p w14:paraId="0867852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0.05L</w:t>
                  </w:r>
                </w:p>
              </w:tc>
            </w:tr>
            <w:tr w14:paraId="028973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5C2F22E0">
                  <w:pPr>
                    <w:keepNext w:val="0"/>
                    <w:keepLines w:val="0"/>
                    <w:pageBreakBefore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66" w:type="pct"/>
                  <w:noWrap w:val="0"/>
                  <w:vAlign w:val="center"/>
                </w:tcPr>
                <w:p w14:paraId="52848F3C">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锌</w:t>
                  </w:r>
                  <w:r>
                    <w:rPr>
                      <w:rFonts w:hint="default" w:ascii="Times New Roman" w:hAnsi="Times New Roman" w:eastAsia="宋体" w:cs="Times New Roman"/>
                      <w:color w:val="auto"/>
                      <w:sz w:val="21"/>
                      <w:szCs w:val="21"/>
                      <w:highlight w:val="none"/>
                      <w:lang w:val="en-US" w:eastAsia="zh-CN"/>
                    </w:rPr>
                    <w:t>(mg/L)</w:t>
                  </w:r>
                </w:p>
              </w:tc>
              <w:tc>
                <w:tcPr>
                  <w:tcW w:w="631" w:type="pct"/>
                  <w:vMerge w:val="continue"/>
                  <w:noWrap w:val="0"/>
                  <w:vAlign w:val="center"/>
                </w:tcPr>
                <w:p w14:paraId="028522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6DEF4B7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0.05L</w:t>
                  </w:r>
                </w:p>
              </w:tc>
              <w:tc>
                <w:tcPr>
                  <w:tcW w:w="1275" w:type="pct"/>
                  <w:noWrap w:val="0"/>
                  <w:vAlign w:val="center"/>
                </w:tcPr>
                <w:p w14:paraId="352F06D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0.05L</w:t>
                  </w:r>
                </w:p>
              </w:tc>
            </w:tr>
            <w:tr w14:paraId="498CF9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031DB06D">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966" w:type="pct"/>
                  <w:noWrap w:val="0"/>
                  <w:vAlign w:val="center"/>
                </w:tcPr>
                <w:p w14:paraId="7BFFE2AF">
                  <w:pPr>
                    <w:keepNext w:val="0"/>
                    <w:keepLines w:val="0"/>
                    <w:pageBreakBefore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铅</w:t>
                  </w:r>
                  <w:r>
                    <w:rPr>
                      <w:rFonts w:hint="default" w:ascii="Times New Roman" w:hAnsi="Times New Roman" w:eastAsia="宋体" w:cs="Times New Roman"/>
                      <w:color w:val="auto"/>
                      <w:sz w:val="21"/>
                      <w:szCs w:val="21"/>
                      <w:highlight w:val="none"/>
                      <w:lang w:val="en-US" w:eastAsia="zh-CN"/>
                    </w:rPr>
                    <w:t>(mg/L)</w:t>
                  </w:r>
                </w:p>
              </w:tc>
              <w:tc>
                <w:tcPr>
                  <w:tcW w:w="631" w:type="pct"/>
                  <w:vMerge w:val="continue"/>
                  <w:noWrap w:val="0"/>
                  <w:vAlign w:val="center"/>
                </w:tcPr>
                <w:p w14:paraId="49A3C4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7693D4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2.46×10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1275" w:type="pct"/>
                  <w:noWrap w:val="0"/>
                  <w:vAlign w:val="center"/>
                </w:tcPr>
                <w:p w14:paraId="1FA2D8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2.27×10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r>
            <w:tr w14:paraId="38BD91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26088E7A">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966" w:type="pct"/>
                  <w:noWrap w:val="0"/>
                  <w:vAlign w:val="center"/>
                </w:tcPr>
                <w:p w14:paraId="5A4B1353">
                  <w:pPr>
                    <w:keepNext w:val="0"/>
                    <w:keepLines w:val="0"/>
                    <w:pageBreakBefore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镉</w:t>
                  </w:r>
                  <w:r>
                    <w:rPr>
                      <w:rFonts w:hint="default" w:ascii="Times New Roman" w:hAnsi="Times New Roman" w:eastAsia="宋体" w:cs="Times New Roman"/>
                      <w:color w:val="auto"/>
                      <w:sz w:val="21"/>
                      <w:szCs w:val="21"/>
                      <w:highlight w:val="none"/>
                      <w:lang w:val="en-US" w:eastAsia="zh-CN"/>
                    </w:rPr>
                    <w:t>(mg/L)</w:t>
                  </w:r>
                </w:p>
              </w:tc>
              <w:tc>
                <w:tcPr>
                  <w:tcW w:w="631" w:type="pct"/>
                  <w:vMerge w:val="continue"/>
                  <w:noWrap w:val="0"/>
                  <w:vAlign w:val="center"/>
                </w:tcPr>
                <w:p w14:paraId="6833C2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1ED726A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0.0001L</w:t>
                  </w:r>
                </w:p>
              </w:tc>
              <w:tc>
                <w:tcPr>
                  <w:tcW w:w="1275" w:type="pct"/>
                  <w:noWrap w:val="0"/>
                  <w:vAlign w:val="center"/>
                </w:tcPr>
                <w:p w14:paraId="6A01B34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0.0001L</w:t>
                  </w:r>
                </w:p>
              </w:tc>
            </w:tr>
            <w:tr w14:paraId="5D6E98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0305362B">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966" w:type="pct"/>
                  <w:noWrap w:val="0"/>
                  <w:vAlign w:val="center"/>
                </w:tcPr>
                <w:p w14:paraId="2DDD91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i w:val="0"/>
                      <w:color w:val="auto"/>
                      <w:kern w:val="2"/>
                      <w:sz w:val="21"/>
                      <w:szCs w:val="21"/>
                      <w:highlight w:val="none"/>
                      <w:u w:val="none"/>
                      <w:lang w:val="en-US" w:eastAsia="zh-CN" w:bidi="ar"/>
                    </w:rPr>
                  </w:pPr>
                  <w:r>
                    <w:rPr>
                      <w:rStyle w:val="67"/>
                      <w:rFonts w:hint="default" w:ascii="Times New Roman" w:hAnsi="Times New Roman" w:eastAsia="宋体" w:cs="Times New Roman"/>
                      <w:b w:val="0"/>
                      <w:bCs/>
                      <w:i w:val="0"/>
                      <w:color w:val="auto"/>
                      <w:sz w:val="21"/>
                      <w:szCs w:val="21"/>
                      <w:highlight w:val="none"/>
                      <w:lang w:val="en-US" w:eastAsia="zh-CN" w:bidi="ar"/>
                    </w:rPr>
                    <w:t>砷</w:t>
                  </w:r>
                  <w:r>
                    <w:rPr>
                      <w:rFonts w:hint="default" w:ascii="Times New Roman" w:hAnsi="Times New Roman" w:eastAsia="宋体" w:cs="Times New Roman"/>
                      <w:color w:val="auto"/>
                      <w:sz w:val="21"/>
                      <w:szCs w:val="21"/>
                      <w:highlight w:val="none"/>
                      <w:lang w:val="en-US" w:eastAsia="zh-CN"/>
                    </w:rPr>
                    <w:t>(mg/L)</w:t>
                  </w:r>
                </w:p>
              </w:tc>
              <w:tc>
                <w:tcPr>
                  <w:tcW w:w="631" w:type="pct"/>
                  <w:vMerge w:val="continue"/>
                  <w:noWrap w:val="0"/>
                  <w:vAlign w:val="center"/>
                </w:tcPr>
                <w:p w14:paraId="07BA1A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2A56AA6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9.66</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-4</w:t>
                  </w:r>
                </w:p>
              </w:tc>
              <w:tc>
                <w:tcPr>
                  <w:tcW w:w="1275" w:type="pct"/>
                  <w:noWrap w:val="0"/>
                  <w:vAlign w:val="center"/>
                </w:tcPr>
                <w:p w14:paraId="56595CE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9.90</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-4</w:t>
                  </w:r>
                </w:p>
              </w:tc>
            </w:tr>
            <w:tr w14:paraId="3BC7D2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5011B407">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966" w:type="pct"/>
                  <w:noWrap w:val="0"/>
                  <w:vAlign w:val="center"/>
                </w:tcPr>
                <w:p w14:paraId="0DEA70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i w:val="0"/>
                      <w:color w:val="auto"/>
                      <w:kern w:val="2"/>
                      <w:sz w:val="21"/>
                      <w:szCs w:val="21"/>
                      <w:highlight w:val="none"/>
                      <w:u w:val="none"/>
                      <w:lang w:val="en-US" w:eastAsia="zh-CN" w:bidi="ar"/>
                    </w:rPr>
                  </w:pPr>
                  <w:r>
                    <w:rPr>
                      <w:rStyle w:val="67"/>
                      <w:rFonts w:hint="default" w:ascii="Times New Roman" w:hAnsi="Times New Roman" w:eastAsia="宋体" w:cs="Times New Roman"/>
                      <w:b w:val="0"/>
                      <w:bCs/>
                      <w:i w:val="0"/>
                      <w:color w:val="auto"/>
                      <w:sz w:val="21"/>
                      <w:szCs w:val="21"/>
                      <w:highlight w:val="none"/>
                      <w:lang w:val="en-US" w:eastAsia="zh-CN" w:bidi="ar"/>
                    </w:rPr>
                    <w:t>汞</w:t>
                  </w:r>
                  <w:r>
                    <w:rPr>
                      <w:rFonts w:hint="default" w:ascii="Times New Roman" w:hAnsi="Times New Roman" w:eastAsia="宋体" w:cs="Times New Roman"/>
                      <w:color w:val="auto"/>
                      <w:sz w:val="21"/>
                      <w:szCs w:val="21"/>
                      <w:highlight w:val="none"/>
                      <w:lang w:val="en-US" w:eastAsia="zh-CN"/>
                    </w:rPr>
                    <w:t>(mg/L)</w:t>
                  </w:r>
                </w:p>
              </w:tc>
              <w:tc>
                <w:tcPr>
                  <w:tcW w:w="631" w:type="pct"/>
                  <w:vMerge w:val="continue"/>
                  <w:noWrap w:val="0"/>
                  <w:vAlign w:val="center"/>
                </w:tcPr>
                <w:p w14:paraId="7C6326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75220D0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0.00004L</w:t>
                  </w:r>
                </w:p>
              </w:tc>
              <w:tc>
                <w:tcPr>
                  <w:tcW w:w="1275" w:type="pct"/>
                  <w:noWrap w:val="0"/>
                  <w:vAlign w:val="center"/>
                </w:tcPr>
                <w:p w14:paraId="0629C90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0.00004L</w:t>
                  </w:r>
                </w:p>
              </w:tc>
            </w:tr>
            <w:tr w14:paraId="656F31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3A4DED30">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966" w:type="pct"/>
                  <w:noWrap w:val="0"/>
                  <w:vAlign w:val="center"/>
                </w:tcPr>
                <w:p w14:paraId="762DE543">
                  <w:pPr>
                    <w:keepNext w:val="0"/>
                    <w:keepLines w:val="0"/>
                    <w:pageBreakBefore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铬（六价）</w:t>
                  </w:r>
                  <w:r>
                    <w:rPr>
                      <w:rFonts w:hint="default" w:ascii="Times New Roman" w:hAnsi="Times New Roman" w:eastAsia="宋体" w:cs="Times New Roman"/>
                      <w:color w:val="auto"/>
                      <w:sz w:val="21"/>
                      <w:szCs w:val="21"/>
                      <w:highlight w:val="none"/>
                      <w:lang w:val="en-US" w:eastAsia="zh-CN"/>
                    </w:rPr>
                    <w:t>(mg/L)</w:t>
                  </w:r>
                </w:p>
              </w:tc>
              <w:tc>
                <w:tcPr>
                  <w:tcW w:w="631" w:type="pct"/>
                  <w:vMerge w:val="continue"/>
                  <w:noWrap w:val="0"/>
                  <w:vAlign w:val="center"/>
                </w:tcPr>
                <w:p w14:paraId="071145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50317A1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0.004L</w:t>
                  </w:r>
                </w:p>
              </w:tc>
              <w:tc>
                <w:tcPr>
                  <w:tcW w:w="1275" w:type="pct"/>
                  <w:noWrap w:val="0"/>
                  <w:vAlign w:val="center"/>
                </w:tcPr>
                <w:p w14:paraId="4E8E9DF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0.004L</w:t>
                  </w:r>
                </w:p>
              </w:tc>
            </w:tr>
            <w:tr w14:paraId="5B55E6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0538023C">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966" w:type="pct"/>
                  <w:noWrap w:val="0"/>
                  <w:vAlign w:val="center"/>
                </w:tcPr>
                <w:p w14:paraId="6FF8F791">
                  <w:pPr>
                    <w:keepNext w:val="0"/>
                    <w:keepLines w:val="0"/>
                    <w:pageBreakBefore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菌落总数(CFU/mL)</w:t>
                  </w:r>
                </w:p>
              </w:tc>
              <w:tc>
                <w:tcPr>
                  <w:tcW w:w="631" w:type="pct"/>
                  <w:vMerge w:val="continue"/>
                  <w:noWrap w:val="0"/>
                  <w:vAlign w:val="center"/>
                </w:tcPr>
                <w:p w14:paraId="43F95B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5011A3D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w:t>
                  </w:r>
                </w:p>
              </w:tc>
              <w:tc>
                <w:tcPr>
                  <w:tcW w:w="1275" w:type="pct"/>
                  <w:noWrap w:val="0"/>
                  <w:vAlign w:val="center"/>
                </w:tcPr>
                <w:p w14:paraId="0704691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2A74E0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28E5A487">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966" w:type="pct"/>
                  <w:noWrap w:val="0"/>
                  <w:vAlign w:val="center"/>
                </w:tcPr>
                <w:p w14:paraId="09A24166">
                  <w:pPr>
                    <w:keepNext w:val="0"/>
                    <w:keepLines w:val="0"/>
                    <w:pageBreakBefore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总大肠菌群(CFU/100mL)</w:t>
                  </w:r>
                </w:p>
              </w:tc>
              <w:tc>
                <w:tcPr>
                  <w:tcW w:w="631" w:type="pct"/>
                  <w:vMerge w:val="continue"/>
                  <w:noWrap w:val="0"/>
                  <w:vAlign w:val="center"/>
                </w:tcPr>
                <w:p w14:paraId="4713D2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6040F2E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1275" w:type="pct"/>
                  <w:noWrap w:val="0"/>
                  <w:vAlign w:val="center"/>
                </w:tcPr>
                <w:p w14:paraId="1C1FE8D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1118A6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7212195B">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966" w:type="pct"/>
                  <w:noWrap w:val="0"/>
                  <w:vAlign w:val="center"/>
                </w:tcPr>
                <w:p w14:paraId="1E326C52">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钾</w:t>
                  </w:r>
                  <w:r>
                    <w:rPr>
                      <w:rFonts w:hint="default" w:ascii="Times New Roman" w:hAnsi="Times New Roman" w:eastAsia="宋体" w:cs="Times New Roman"/>
                      <w:color w:val="auto"/>
                      <w:sz w:val="21"/>
                      <w:szCs w:val="21"/>
                      <w:highlight w:val="none"/>
                      <w:lang w:val="en-US" w:eastAsia="zh-CN"/>
                    </w:rPr>
                    <w:t>(mg/L)</w:t>
                  </w:r>
                </w:p>
              </w:tc>
              <w:tc>
                <w:tcPr>
                  <w:tcW w:w="631" w:type="pct"/>
                  <w:vMerge w:val="continue"/>
                  <w:noWrap w:val="0"/>
                  <w:vAlign w:val="center"/>
                </w:tcPr>
                <w:p w14:paraId="358111A7">
                  <w:pPr>
                    <w:jc w:val="center"/>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1528D51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0.90</w:t>
                  </w:r>
                </w:p>
              </w:tc>
              <w:tc>
                <w:tcPr>
                  <w:tcW w:w="1275" w:type="pct"/>
                  <w:noWrap w:val="0"/>
                  <w:vAlign w:val="center"/>
                </w:tcPr>
                <w:p w14:paraId="12175B2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0.89</w:t>
                  </w:r>
                </w:p>
              </w:tc>
            </w:tr>
            <w:tr w14:paraId="69D94C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52D5C059">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966" w:type="pct"/>
                  <w:noWrap w:val="0"/>
                  <w:vAlign w:val="center"/>
                </w:tcPr>
                <w:p w14:paraId="2005E3B4">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钠</w:t>
                  </w:r>
                  <w:r>
                    <w:rPr>
                      <w:rFonts w:hint="default" w:ascii="Times New Roman" w:hAnsi="Times New Roman" w:eastAsia="宋体" w:cs="Times New Roman"/>
                      <w:color w:val="auto"/>
                      <w:sz w:val="21"/>
                      <w:szCs w:val="21"/>
                      <w:highlight w:val="none"/>
                      <w:lang w:val="en-US" w:eastAsia="zh-CN"/>
                    </w:rPr>
                    <w:t>(mg/L)</w:t>
                  </w:r>
                </w:p>
              </w:tc>
              <w:tc>
                <w:tcPr>
                  <w:tcW w:w="631" w:type="pct"/>
                  <w:vMerge w:val="continue"/>
                  <w:noWrap w:val="0"/>
                  <w:vAlign w:val="center"/>
                </w:tcPr>
                <w:p w14:paraId="7AF977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78B7BDB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11.9</w:t>
                  </w:r>
                </w:p>
              </w:tc>
              <w:tc>
                <w:tcPr>
                  <w:tcW w:w="1275" w:type="pct"/>
                  <w:noWrap w:val="0"/>
                  <w:vAlign w:val="center"/>
                </w:tcPr>
                <w:p w14:paraId="20A6273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11.5</w:t>
                  </w:r>
                </w:p>
              </w:tc>
            </w:tr>
            <w:tr w14:paraId="7A3564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45F4C2E8">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966" w:type="pct"/>
                  <w:noWrap w:val="0"/>
                  <w:vAlign w:val="center"/>
                </w:tcPr>
                <w:p w14:paraId="51A29049">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钙</w:t>
                  </w:r>
                  <w:r>
                    <w:rPr>
                      <w:rFonts w:hint="default" w:ascii="Times New Roman" w:hAnsi="Times New Roman" w:eastAsia="宋体" w:cs="Times New Roman"/>
                      <w:color w:val="auto"/>
                      <w:sz w:val="21"/>
                      <w:szCs w:val="21"/>
                      <w:highlight w:val="none"/>
                      <w:lang w:val="en-US" w:eastAsia="zh-CN"/>
                    </w:rPr>
                    <w:t>(mg/L)</w:t>
                  </w:r>
                </w:p>
              </w:tc>
              <w:tc>
                <w:tcPr>
                  <w:tcW w:w="631" w:type="pct"/>
                  <w:vMerge w:val="continue"/>
                  <w:noWrap w:val="0"/>
                  <w:vAlign w:val="center"/>
                </w:tcPr>
                <w:p w14:paraId="0C7E11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05" w:type="pct"/>
                  <w:noWrap w:val="0"/>
                  <w:vAlign w:val="center"/>
                </w:tcPr>
                <w:p w14:paraId="26E0C90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75.8</w:t>
                  </w:r>
                </w:p>
              </w:tc>
              <w:tc>
                <w:tcPr>
                  <w:tcW w:w="1275" w:type="pct"/>
                  <w:noWrap w:val="0"/>
                  <w:vAlign w:val="center"/>
                </w:tcPr>
                <w:p w14:paraId="26866EE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75.4</w:t>
                  </w:r>
                </w:p>
              </w:tc>
            </w:tr>
          </w:tbl>
          <w:p w14:paraId="1D08A8D1">
            <w:pPr>
              <w:spacing w:line="360" w:lineRule="auto"/>
              <w:ind w:firstLine="480" w:firstLineChars="200"/>
              <w:jc w:val="center"/>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val="en-US" w:eastAsia="zh-CN"/>
              </w:rPr>
              <w:t>续</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5.2</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地下水</w:t>
            </w:r>
            <w:r>
              <w:rPr>
                <w:rFonts w:hint="default" w:ascii="Times New Roman" w:hAnsi="Times New Roman" w:eastAsia="宋体" w:cs="Times New Roman"/>
                <w:color w:val="auto"/>
                <w:sz w:val="24"/>
                <w:szCs w:val="24"/>
                <w:highlight w:val="none"/>
              </w:rPr>
              <w:t>监测位置和监测因子</w:t>
            </w:r>
          </w:p>
          <w:tbl>
            <w:tblPr>
              <w:tblStyle w:val="31"/>
              <w:tblW w:w="497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9"/>
              <w:gridCol w:w="3365"/>
              <w:gridCol w:w="1081"/>
              <w:gridCol w:w="1342"/>
              <w:gridCol w:w="2390"/>
            </w:tblGrid>
            <w:tr w14:paraId="0E4122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2187" w:type="pct"/>
                  <w:gridSpan w:val="2"/>
                  <w:vMerge w:val="restart"/>
                  <w:noWrap w:val="0"/>
                  <w:vAlign w:val="center"/>
                </w:tcPr>
                <w:p w14:paraId="2E4B2D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检测项目</w:t>
                  </w:r>
                </w:p>
              </w:tc>
              <w:tc>
                <w:tcPr>
                  <w:tcW w:w="631" w:type="pct"/>
                  <w:noWrap w:val="0"/>
                  <w:vAlign w:val="center"/>
                </w:tcPr>
                <w:p w14:paraId="014566B6">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点位编号</w:t>
                  </w:r>
                </w:p>
              </w:tc>
              <w:tc>
                <w:tcPr>
                  <w:tcW w:w="784" w:type="pct"/>
                  <w:noWrap w:val="0"/>
                  <w:vAlign w:val="center"/>
                </w:tcPr>
                <w:p w14:paraId="4C50E81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r>
                    <w:rPr>
                      <w:rFonts w:hint="eastAsia" w:ascii="Times New Roman" w:hAnsi="Times New Roman"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lang w:val="en-US" w:eastAsia="zh-CN"/>
                    </w:rPr>
                    <w:t>北侧</w:t>
                  </w:r>
                </w:p>
              </w:tc>
              <w:tc>
                <w:tcPr>
                  <w:tcW w:w="1396" w:type="pct"/>
                  <w:noWrap w:val="0"/>
                  <w:vAlign w:val="center"/>
                </w:tcPr>
                <w:p w14:paraId="7B19F32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r>
                    <w:rPr>
                      <w:rFonts w:hint="eastAsia" w:ascii="Times New Roman" w:hAnsi="Times New Roman"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lang w:val="en-US" w:eastAsia="zh-CN"/>
                    </w:rPr>
                    <w:t>北侧（现场平行）</w:t>
                  </w:r>
                </w:p>
              </w:tc>
            </w:tr>
            <w:tr w14:paraId="44D246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187" w:type="pct"/>
                  <w:gridSpan w:val="2"/>
                  <w:vMerge w:val="continue"/>
                  <w:noWrap w:val="0"/>
                  <w:vAlign w:val="center"/>
                </w:tcPr>
                <w:p w14:paraId="07A7B4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631" w:type="pct"/>
                  <w:noWrap w:val="0"/>
                  <w:vAlign w:val="center"/>
                </w:tcPr>
                <w:p w14:paraId="092444C6">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采样</w:t>
                  </w:r>
                  <w:r>
                    <w:rPr>
                      <w:rFonts w:hint="default" w:ascii="Times New Roman" w:hAnsi="Times New Roman" w:eastAsia="宋体" w:cs="Times New Roman"/>
                      <w:color w:val="auto"/>
                      <w:sz w:val="21"/>
                      <w:szCs w:val="21"/>
                      <w:highlight w:val="none"/>
                    </w:rPr>
                    <w:t>时间</w:t>
                  </w:r>
                </w:p>
              </w:tc>
              <w:tc>
                <w:tcPr>
                  <w:tcW w:w="2180" w:type="pct"/>
                  <w:gridSpan w:val="2"/>
                  <w:noWrap w:val="0"/>
                  <w:vAlign w:val="center"/>
                </w:tcPr>
                <w:p w14:paraId="3C7499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2024.9.22</w:t>
                  </w:r>
                </w:p>
              </w:tc>
            </w:tr>
            <w:tr w14:paraId="3AE2CF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restart"/>
                  <w:noWrap w:val="0"/>
                  <w:vAlign w:val="center"/>
                </w:tcPr>
                <w:p w14:paraId="19FEB50E">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基本水质因子</w:t>
                  </w:r>
                </w:p>
              </w:tc>
              <w:tc>
                <w:tcPr>
                  <w:tcW w:w="1966" w:type="pct"/>
                  <w:shd w:val="clear" w:color="auto" w:fill="auto"/>
                  <w:noWrap w:val="0"/>
                  <w:vAlign w:val="center"/>
                </w:tcPr>
                <w:p w14:paraId="2167BE88">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镁</w:t>
                  </w:r>
                  <w:r>
                    <w:rPr>
                      <w:rFonts w:hint="default" w:ascii="Times New Roman" w:hAnsi="Times New Roman" w:eastAsia="宋体" w:cs="Times New Roman"/>
                      <w:color w:val="auto"/>
                      <w:sz w:val="21"/>
                      <w:szCs w:val="21"/>
                      <w:highlight w:val="none"/>
                      <w:lang w:val="en-US" w:eastAsia="zh-CN"/>
                    </w:rPr>
                    <w:t>(mg/L)</w:t>
                  </w:r>
                </w:p>
              </w:tc>
              <w:tc>
                <w:tcPr>
                  <w:tcW w:w="631" w:type="pct"/>
                  <w:vMerge w:val="restart"/>
                  <w:noWrap w:val="0"/>
                  <w:vAlign w:val="center"/>
                </w:tcPr>
                <w:p w14:paraId="281277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结果</w:t>
                  </w:r>
                </w:p>
              </w:tc>
              <w:tc>
                <w:tcPr>
                  <w:tcW w:w="784" w:type="pct"/>
                  <w:shd w:val="clear" w:color="auto" w:fill="auto"/>
                  <w:noWrap w:val="0"/>
                  <w:vAlign w:val="center"/>
                </w:tcPr>
                <w:p w14:paraId="3E21A94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31.0</w:t>
                  </w:r>
                </w:p>
              </w:tc>
              <w:tc>
                <w:tcPr>
                  <w:tcW w:w="1396" w:type="pct"/>
                  <w:shd w:val="clear" w:color="auto" w:fill="auto"/>
                  <w:noWrap w:val="0"/>
                  <w:vAlign w:val="center"/>
                </w:tcPr>
                <w:p w14:paraId="79C8FE7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30.7</w:t>
                  </w:r>
                </w:p>
              </w:tc>
            </w:tr>
            <w:tr w14:paraId="171CB0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1EACA46D">
                  <w:pPr>
                    <w:jc w:val="center"/>
                    <w:rPr>
                      <w:rFonts w:hint="default" w:ascii="Times New Roman" w:hAnsi="Times New Roman" w:eastAsia="宋体" w:cs="Times New Roman"/>
                      <w:color w:val="auto"/>
                      <w:kern w:val="2"/>
                      <w:sz w:val="21"/>
                      <w:szCs w:val="21"/>
                      <w:highlight w:val="none"/>
                      <w:lang w:val="en-US" w:eastAsia="zh-CN" w:bidi="ar-SA"/>
                    </w:rPr>
                  </w:pPr>
                </w:p>
              </w:tc>
              <w:tc>
                <w:tcPr>
                  <w:tcW w:w="1966" w:type="pct"/>
                  <w:shd w:val="clear" w:color="auto" w:fill="auto"/>
                  <w:noWrap w:val="0"/>
                  <w:vAlign w:val="center"/>
                </w:tcPr>
                <w:p w14:paraId="4F96268A">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碳酸根</w:t>
                  </w:r>
                  <w:r>
                    <w:rPr>
                      <w:rFonts w:hint="default" w:ascii="Times New Roman" w:hAnsi="Times New Roman" w:eastAsia="宋体" w:cs="Times New Roman"/>
                      <w:color w:val="auto"/>
                      <w:sz w:val="21"/>
                      <w:szCs w:val="21"/>
                      <w:highlight w:val="none"/>
                      <w:lang w:val="en-US" w:eastAsia="zh-CN"/>
                    </w:rPr>
                    <w:t>(mg/L)</w:t>
                  </w:r>
                </w:p>
              </w:tc>
              <w:tc>
                <w:tcPr>
                  <w:tcW w:w="631" w:type="pct"/>
                  <w:vMerge w:val="continue"/>
                  <w:noWrap w:val="0"/>
                  <w:vAlign w:val="center"/>
                </w:tcPr>
                <w:p w14:paraId="3E80F2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784" w:type="pct"/>
                  <w:shd w:val="clear" w:color="auto" w:fill="auto"/>
                  <w:noWrap w:val="0"/>
                  <w:vAlign w:val="center"/>
                </w:tcPr>
                <w:p w14:paraId="2743CFA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5L</w:t>
                  </w:r>
                </w:p>
              </w:tc>
              <w:tc>
                <w:tcPr>
                  <w:tcW w:w="1396" w:type="pct"/>
                  <w:shd w:val="clear" w:color="auto" w:fill="auto"/>
                  <w:noWrap w:val="0"/>
                  <w:vAlign w:val="center"/>
                </w:tcPr>
                <w:p w14:paraId="3D1D34B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5L</w:t>
                  </w:r>
                </w:p>
              </w:tc>
            </w:tr>
            <w:tr w14:paraId="25DD7C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4328651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966" w:type="pct"/>
                  <w:shd w:val="clear" w:color="auto" w:fill="auto"/>
                  <w:noWrap w:val="0"/>
                  <w:vAlign w:val="center"/>
                </w:tcPr>
                <w:p w14:paraId="4EBC03C4">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重碳酸根</w:t>
                  </w:r>
                  <w:r>
                    <w:rPr>
                      <w:rFonts w:hint="default" w:ascii="Times New Roman" w:hAnsi="Times New Roman" w:eastAsia="宋体" w:cs="Times New Roman"/>
                      <w:color w:val="auto"/>
                      <w:sz w:val="21"/>
                      <w:szCs w:val="21"/>
                      <w:highlight w:val="none"/>
                      <w:lang w:val="en-US" w:eastAsia="zh-CN"/>
                    </w:rPr>
                    <w:t>(mg/L)</w:t>
                  </w:r>
                </w:p>
              </w:tc>
              <w:tc>
                <w:tcPr>
                  <w:tcW w:w="631" w:type="pct"/>
                  <w:vMerge w:val="continue"/>
                  <w:noWrap w:val="0"/>
                  <w:vAlign w:val="center"/>
                </w:tcPr>
                <w:p w14:paraId="3F0D5D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784" w:type="pct"/>
                  <w:shd w:val="clear" w:color="auto" w:fill="auto"/>
                  <w:noWrap w:val="0"/>
                  <w:vAlign w:val="center"/>
                </w:tcPr>
                <w:p w14:paraId="2F09F13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338</w:t>
                  </w:r>
                </w:p>
              </w:tc>
              <w:tc>
                <w:tcPr>
                  <w:tcW w:w="1396" w:type="pct"/>
                  <w:shd w:val="clear" w:color="auto" w:fill="auto"/>
                  <w:noWrap w:val="0"/>
                  <w:vAlign w:val="center"/>
                </w:tcPr>
                <w:p w14:paraId="6D7AA4F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330</w:t>
                  </w:r>
                </w:p>
              </w:tc>
            </w:tr>
            <w:tr w14:paraId="70F9A0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613476C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966" w:type="pct"/>
                  <w:shd w:val="clear" w:color="auto" w:fill="auto"/>
                  <w:noWrap w:val="0"/>
                  <w:vAlign w:val="center"/>
                </w:tcPr>
                <w:p w14:paraId="006D6F3B">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Cl</w:t>
                  </w:r>
                  <w:r>
                    <w:rPr>
                      <w:rFonts w:hint="default" w:ascii="Times New Roman" w:hAnsi="Times New Roman" w:eastAsia="宋体" w:cs="Times New Roman"/>
                      <w:color w:val="auto"/>
                      <w:sz w:val="21"/>
                      <w:szCs w:val="21"/>
                      <w:highlight w:val="none"/>
                      <w:vertAlign w:val="superscript"/>
                      <w:lang w:val="en-US" w:eastAsia="zh-CN"/>
                    </w:rPr>
                    <w:t>-</w:t>
                  </w:r>
                  <w:r>
                    <w:rPr>
                      <w:rFonts w:hint="default" w:ascii="Times New Roman" w:hAnsi="Times New Roman" w:eastAsia="宋体" w:cs="Times New Roman"/>
                      <w:color w:val="auto"/>
                      <w:sz w:val="21"/>
                      <w:szCs w:val="21"/>
                      <w:highlight w:val="none"/>
                      <w:lang w:val="en-US" w:eastAsia="zh-CN"/>
                    </w:rPr>
                    <w:t>(mg/L)</w:t>
                  </w:r>
                </w:p>
              </w:tc>
              <w:tc>
                <w:tcPr>
                  <w:tcW w:w="631" w:type="pct"/>
                  <w:vMerge w:val="continue"/>
                  <w:noWrap w:val="0"/>
                  <w:vAlign w:val="center"/>
                </w:tcPr>
                <w:p w14:paraId="0AACB0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784" w:type="pct"/>
                  <w:shd w:val="clear" w:color="auto" w:fill="auto"/>
                  <w:noWrap w:val="0"/>
                  <w:vAlign w:val="center"/>
                </w:tcPr>
                <w:p w14:paraId="33FB2B9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15</w:t>
                  </w:r>
                </w:p>
              </w:tc>
              <w:tc>
                <w:tcPr>
                  <w:tcW w:w="1396" w:type="pct"/>
                  <w:shd w:val="clear" w:color="auto" w:fill="auto"/>
                  <w:noWrap w:val="0"/>
                  <w:vAlign w:val="center"/>
                </w:tcPr>
                <w:p w14:paraId="7DC4D46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15</w:t>
                  </w:r>
                </w:p>
              </w:tc>
            </w:tr>
            <w:tr w14:paraId="13D7A6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 w:type="pct"/>
                  <w:vMerge w:val="continue"/>
                  <w:noWrap w:val="0"/>
                  <w:vAlign w:val="center"/>
                </w:tcPr>
                <w:p w14:paraId="0D72E7B5">
                  <w:pPr>
                    <w:jc w:val="center"/>
                    <w:rPr>
                      <w:rFonts w:hint="default" w:ascii="Times New Roman" w:hAnsi="Times New Roman" w:eastAsia="宋体" w:cs="Times New Roman"/>
                      <w:color w:val="auto"/>
                      <w:kern w:val="2"/>
                      <w:sz w:val="21"/>
                      <w:szCs w:val="21"/>
                      <w:highlight w:val="none"/>
                      <w:lang w:val="en-US" w:eastAsia="zh-CN" w:bidi="ar-SA"/>
                    </w:rPr>
                  </w:pPr>
                </w:p>
              </w:tc>
              <w:tc>
                <w:tcPr>
                  <w:tcW w:w="1966" w:type="pct"/>
                  <w:shd w:val="clear" w:color="auto" w:fill="auto"/>
                  <w:noWrap w:val="0"/>
                  <w:vAlign w:val="center"/>
                </w:tcPr>
                <w:p w14:paraId="33F99BA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SO</w:t>
                  </w:r>
                  <w:r>
                    <w:rPr>
                      <w:rFonts w:hint="default" w:ascii="Times New Roman" w:hAnsi="Times New Roman" w:eastAsia="宋体" w:cs="Times New Roman"/>
                      <w:color w:val="auto"/>
                      <w:sz w:val="21"/>
                      <w:szCs w:val="21"/>
                      <w:highlight w:val="none"/>
                      <w:vertAlign w:val="subscript"/>
                      <w:lang w:val="en-US" w:eastAsia="zh-CN"/>
                    </w:rPr>
                    <w:t>4</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(mg/L)</w:t>
                  </w:r>
                </w:p>
              </w:tc>
              <w:tc>
                <w:tcPr>
                  <w:tcW w:w="631" w:type="pct"/>
                  <w:vMerge w:val="continue"/>
                  <w:noWrap w:val="0"/>
                  <w:vAlign w:val="center"/>
                </w:tcPr>
                <w:p w14:paraId="7C6BD6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784" w:type="pct"/>
                  <w:shd w:val="clear" w:color="auto" w:fill="auto"/>
                  <w:noWrap w:val="0"/>
                  <w:vAlign w:val="center"/>
                </w:tcPr>
                <w:p w14:paraId="33621E0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w:t>
                  </w:r>
                </w:p>
              </w:tc>
              <w:tc>
                <w:tcPr>
                  <w:tcW w:w="1396" w:type="pct"/>
                  <w:shd w:val="clear" w:color="auto" w:fill="auto"/>
                  <w:noWrap w:val="0"/>
                  <w:vAlign w:val="center"/>
                </w:tcPr>
                <w:p w14:paraId="3F4D554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w:t>
                  </w:r>
                </w:p>
              </w:tc>
            </w:tr>
          </w:tbl>
          <w:p w14:paraId="0F3CE6B5">
            <w:pPr>
              <w:spacing w:line="360" w:lineRule="auto"/>
              <w:ind w:firstLine="420" w:firstLineChars="200"/>
              <w:rPr>
                <w:rFonts w:hint="eastAsia"/>
                <w:color w:val="auto"/>
                <w:highlight w:val="none"/>
                <w:lang w:val="en-US" w:eastAsia="zh-CN"/>
              </w:rPr>
            </w:pPr>
            <w:r>
              <w:rPr>
                <w:rFonts w:hint="eastAsia"/>
                <w:color w:val="auto"/>
                <w:highlight w:val="none"/>
                <w:lang w:eastAsia="zh-CN"/>
              </w:rPr>
              <w:t>注：数据中，</w:t>
            </w:r>
            <w:r>
              <w:rPr>
                <w:rFonts w:hint="eastAsia"/>
                <w:color w:val="auto"/>
                <w:highlight w:val="none"/>
                <w:lang w:val="en-US" w:eastAsia="zh-CN"/>
              </w:rPr>
              <w:t>检出限+L表示检测结果低于方法检出限。</w:t>
            </w:r>
          </w:p>
          <w:p w14:paraId="10F35B8C">
            <w:pPr>
              <w:pStyle w:val="2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从评价结果可知，该区域地下水各项监测因子均满足《地下水质量标准》（GB/T14848-2017）中Ⅲ类标准。</w:t>
            </w:r>
          </w:p>
          <w:p w14:paraId="5B27058B">
            <w:pPr>
              <w:pStyle w:val="21"/>
              <w:spacing w:line="360" w:lineRule="auto"/>
              <w:rPr>
                <w:rFonts w:ascii="Times New Roman" w:hAnsi="Times New Roman" w:eastAsiaTheme="minorEastAsia"/>
                <w:b/>
                <w:color w:val="auto"/>
                <w:kern w:val="0"/>
                <w:sz w:val="24"/>
                <w:szCs w:val="20"/>
                <w:highlight w:val="none"/>
              </w:rPr>
            </w:pPr>
            <w:r>
              <w:rPr>
                <w:rFonts w:hint="eastAsia" w:ascii="Times New Roman" w:hAnsi="Times New Roman" w:eastAsiaTheme="minorEastAsia"/>
                <w:b/>
                <w:color w:val="auto"/>
                <w:kern w:val="0"/>
                <w:sz w:val="24"/>
                <w:szCs w:val="20"/>
                <w:highlight w:val="none"/>
                <w:lang w:val="en-US" w:eastAsia="zh-CN"/>
              </w:rPr>
              <w:t>5</w:t>
            </w:r>
            <w:r>
              <w:rPr>
                <w:rFonts w:ascii="Times New Roman" w:hAnsi="Times New Roman" w:eastAsiaTheme="minorEastAsia"/>
                <w:b/>
                <w:color w:val="auto"/>
                <w:kern w:val="0"/>
                <w:sz w:val="24"/>
                <w:szCs w:val="20"/>
                <w:highlight w:val="none"/>
              </w:rPr>
              <w:t>、生态环境现状</w:t>
            </w:r>
          </w:p>
          <w:p w14:paraId="74CE9B18">
            <w:pPr>
              <w:spacing w:line="360" w:lineRule="auto"/>
              <w:ind w:firstLine="480" w:firstLineChars="200"/>
              <w:rPr>
                <w:rFonts w:ascii="Times New Roman" w:hAnsi="Times New Roman" w:eastAsiaTheme="minorEastAsia"/>
                <w:color w:val="auto"/>
                <w:szCs w:val="24"/>
                <w:highlight w:val="none"/>
              </w:rPr>
            </w:pPr>
            <w:r>
              <w:rPr>
                <w:rFonts w:hint="eastAsia" w:ascii="Times New Roman" w:hAnsi="Times New Roman" w:eastAsiaTheme="minorEastAsia"/>
                <w:color w:val="auto"/>
                <w:sz w:val="24"/>
                <w:szCs w:val="24"/>
                <w:highlight w:val="none"/>
                <w:lang w:val="en-US" w:eastAsia="zh-CN"/>
              </w:rPr>
              <w:t>本项目是租赁现有空厂房进行建设。评价区域内无</w:t>
            </w:r>
            <w:r>
              <w:rPr>
                <w:rFonts w:ascii="Times New Roman" w:hAnsi="Times New Roman" w:eastAsiaTheme="minorEastAsia"/>
                <w:color w:val="auto"/>
                <w:sz w:val="24"/>
                <w:szCs w:val="24"/>
                <w:highlight w:val="none"/>
              </w:rPr>
              <w:t>自然保护区、风景名胜区、森林公园等特殊及重要生态敏感区，不需开展生态环境现状调查。</w:t>
            </w:r>
          </w:p>
        </w:tc>
      </w:tr>
      <w:tr w14:paraId="63AC8A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0" w:hRule="atLeast"/>
          <w:jc w:val="center"/>
        </w:trPr>
        <w:tc>
          <w:tcPr>
            <w:tcW w:w="457" w:type="dxa"/>
            <w:vAlign w:val="center"/>
          </w:tcPr>
          <w:p w14:paraId="20ABFF34">
            <w:pPr>
              <w:adjustRightInd w:val="0"/>
              <w:snapToGrid w:val="0"/>
              <w:jc w:val="center"/>
              <w:rPr>
                <w:rFonts w:ascii="Times New Roman" w:hAnsi="Times New Roman" w:eastAsiaTheme="minorEastAsia"/>
                <w:color w:val="auto"/>
                <w:kern w:val="0"/>
                <w:szCs w:val="21"/>
                <w:highlight w:val="none"/>
              </w:rPr>
            </w:pPr>
            <w:r>
              <w:rPr>
                <w:rFonts w:ascii="Times New Roman" w:hAnsi="Times New Roman" w:eastAsiaTheme="minorEastAsia"/>
                <w:b/>
                <w:bCs/>
                <w:color w:val="auto"/>
                <w:kern w:val="0"/>
                <w:sz w:val="24"/>
                <w:szCs w:val="24"/>
                <w:highlight w:val="none"/>
              </w:rPr>
              <w:t>环境保护目标</w:t>
            </w:r>
          </w:p>
        </w:tc>
        <w:tc>
          <w:tcPr>
            <w:tcW w:w="8819" w:type="dxa"/>
            <w:vAlign w:val="center"/>
          </w:tcPr>
          <w:p w14:paraId="0B5C7F7B">
            <w:pPr>
              <w:snapToGrid w:val="0"/>
              <w:spacing w:line="480" w:lineRule="exact"/>
              <w:ind w:firstLine="482" w:firstLineChars="200"/>
              <w:rPr>
                <w:rFonts w:ascii="Times New Roman" w:hAnsi="Times New Roman" w:eastAsiaTheme="minorEastAsia"/>
                <w:b/>
                <w:color w:val="auto"/>
                <w:sz w:val="24"/>
                <w:szCs w:val="24"/>
                <w:highlight w:val="none"/>
              </w:rPr>
            </w:pPr>
            <w:r>
              <w:rPr>
                <w:rFonts w:ascii="Times New Roman" w:hAnsi="Times New Roman" w:eastAsiaTheme="minorEastAsia"/>
                <w:b/>
                <w:color w:val="auto"/>
                <w:sz w:val="24"/>
                <w:szCs w:val="24"/>
                <w:highlight w:val="none"/>
              </w:rPr>
              <w:t>1、大气环境</w:t>
            </w:r>
          </w:p>
          <w:p w14:paraId="77FC3D0C">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经调查，厂界外500范围内无环境空气环境保护目标。</w:t>
            </w:r>
          </w:p>
          <w:p w14:paraId="160D7394">
            <w:pPr>
              <w:spacing w:line="480" w:lineRule="exact"/>
              <w:ind w:firstLine="482" w:firstLineChars="200"/>
              <w:rPr>
                <w:rFonts w:ascii="Times New Roman" w:hAnsi="Times New Roman" w:eastAsiaTheme="minorEastAsia"/>
                <w:b/>
                <w:color w:val="auto"/>
                <w:sz w:val="24"/>
                <w:szCs w:val="24"/>
                <w:highlight w:val="none"/>
              </w:rPr>
            </w:pPr>
            <w:r>
              <w:rPr>
                <w:rFonts w:ascii="Times New Roman" w:hAnsi="Times New Roman" w:eastAsiaTheme="minorEastAsia"/>
                <w:b/>
                <w:color w:val="auto"/>
                <w:sz w:val="24"/>
                <w:szCs w:val="24"/>
                <w:highlight w:val="none"/>
              </w:rPr>
              <w:t>2、声环境</w:t>
            </w:r>
          </w:p>
          <w:p w14:paraId="44DE5F37">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经调查，项目厂界外50m范围内无声环境保护目标。</w:t>
            </w:r>
          </w:p>
          <w:p w14:paraId="239860A3">
            <w:pPr>
              <w:spacing w:line="480" w:lineRule="exact"/>
              <w:ind w:firstLine="482" w:firstLineChars="200"/>
              <w:rPr>
                <w:rFonts w:ascii="Times New Roman" w:hAnsi="Times New Roman" w:eastAsiaTheme="minorEastAsia"/>
                <w:b/>
                <w:color w:val="auto"/>
                <w:sz w:val="24"/>
                <w:szCs w:val="24"/>
                <w:highlight w:val="none"/>
              </w:rPr>
            </w:pPr>
            <w:r>
              <w:rPr>
                <w:rFonts w:ascii="Times New Roman" w:hAnsi="Times New Roman" w:eastAsiaTheme="minorEastAsia"/>
                <w:b/>
                <w:color w:val="auto"/>
                <w:sz w:val="24"/>
                <w:szCs w:val="24"/>
                <w:highlight w:val="none"/>
              </w:rPr>
              <w:t>3、地下水环境</w:t>
            </w:r>
          </w:p>
          <w:p w14:paraId="76C1EE61">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经调查，厂界外500m范围内无地下水集中式饮用水源、热水、矿泉水、温泉等特殊地下水资源。</w:t>
            </w:r>
          </w:p>
          <w:p w14:paraId="5571FD87">
            <w:pPr>
              <w:spacing w:line="480" w:lineRule="exact"/>
              <w:ind w:firstLine="482" w:firstLineChars="200"/>
              <w:rPr>
                <w:rFonts w:ascii="Times New Roman" w:hAnsi="Times New Roman" w:eastAsiaTheme="minorEastAsia"/>
                <w:color w:val="auto"/>
                <w:szCs w:val="24"/>
                <w:highlight w:val="none"/>
              </w:rPr>
            </w:pPr>
            <w:r>
              <w:rPr>
                <w:rFonts w:ascii="Times New Roman" w:hAnsi="Times New Roman" w:eastAsiaTheme="minorEastAsia"/>
                <w:b/>
                <w:color w:val="auto"/>
                <w:sz w:val="24"/>
                <w:szCs w:val="24"/>
                <w:highlight w:val="none"/>
              </w:rPr>
              <w:t>4、生态环境</w:t>
            </w:r>
          </w:p>
          <w:p w14:paraId="4169F392">
            <w:pPr>
              <w:spacing w:line="480" w:lineRule="exact"/>
              <w:ind w:firstLine="420" w:firstLineChars="175"/>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本项目在</w:t>
            </w:r>
            <w:r>
              <w:rPr>
                <w:rFonts w:hint="eastAsia" w:ascii="Times New Roman" w:hAnsi="Times New Roman" w:eastAsiaTheme="minorEastAsia"/>
                <w:color w:val="auto"/>
                <w:sz w:val="24"/>
                <w:szCs w:val="24"/>
                <w:highlight w:val="none"/>
                <w:lang w:val="en-US" w:eastAsia="zh-CN"/>
              </w:rPr>
              <w:t>租赁</w:t>
            </w:r>
            <w:r>
              <w:rPr>
                <w:rFonts w:ascii="Times New Roman" w:hAnsi="Times New Roman" w:eastAsiaTheme="minorEastAsia"/>
                <w:color w:val="auto"/>
                <w:sz w:val="24"/>
                <w:szCs w:val="24"/>
                <w:highlight w:val="none"/>
              </w:rPr>
              <w:t>厂区内建设，不涉及新增占地，用地范围内不含生态环境保护目标。</w:t>
            </w:r>
          </w:p>
          <w:p w14:paraId="3EA2D822">
            <w:pPr>
              <w:pStyle w:val="21"/>
              <w:rPr>
                <w:rFonts w:ascii="Times New Roman" w:hAnsi="Times New Roman" w:eastAsiaTheme="minorEastAsia"/>
                <w:color w:val="auto"/>
                <w:sz w:val="24"/>
                <w:szCs w:val="24"/>
                <w:highlight w:val="none"/>
              </w:rPr>
            </w:pPr>
          </w:p>
          <w:p w14:paraId="5DAC39DE">
            <w:pPr>
              <w:rPr>
                <w:rFonts w:ascii="Times New Roman" w:hAnsi="Times New Roman" w:eastAsiaTheme="minorEastAsia"/>
                <w:color w:val="auto"/>
                <w:sz w:val="24"/>
                <w:szCs w:val="24"/>
                <w:highlight w:val="none"/>
              </w:rPr>
            </w:pPr>
          </w:p>
          <w:p w14:paraId="7ADFB759">
            <w:pPr>
              <w:pStyle w:val="21"/>
              <w:rPr>
                <w:rFonts w:ascii="Times New Roman" w:hAnsi="Times New Roman" w:eastAsiaTheme="minorEastAsia"/>
                <w:color w:val="auto"/>
                <w:sz w:val="24"/>
                <w:szCs w:val="24"/>
                <w:highlight w:val="none"/>
              </w:rPr>
            </w:pPr>
          </w:p>
          <w:p w14:paraId="68ED9AC5">
            <w:pPr>
              <w:rPr>
                <w:rFonts w:ascii="Times New Roman" w:hAnsi="Times New Roman" w:eastAsiaTheme="minorEastAsia"/>
                <w:color w:val="auto"/>
                <w:sz w:val="24"/>
                <w:szCs w:val="24"/>
                <w:highlight w:val="none"/>
              </w:rPr>
            </w:pPr>
          </w:p>
          <w:p w14:paraId="54EFE8FB">
            <w:pPr>
              <w:pStyle w:val="21"/>
              <w:rPr>
                <w:rFonts w:ascii="Times New Roman" w:hAnsi="Times New Roman" w:eastAsiaTheme="minorEastAsia"/>
                <w:color w:val="auto"/>
                <w:sz w:val="24"/>
                <w:szCs w:val="24"/>
                <w:highlight w:val="none"/>
              </w:rPr>
            </w:pPr>
          </w:p>
          <w:p w14:paraId="27C6D0DF">
            <w:pPr>
              <w:rPr>
                <w:rFonts w:ascii="Times New Roman" w:hAnsi="Times New Roman" w:eastAsiaTheme="minorEastAsia"/>
                <w:color w:val="auto"/>
                <w:sz w:val="24"/>
                <w:szCs w:val="24"/>
                <w:highlight w:val="none"/>
              </w:rPr>
            </w:pPr>
          </w:p>
          <w:p w14:paraId="2F7E2DB3">
            <w:pPr>
              <w:pStyle w:val="21"/>
              <w:rPr>
                <w:color w:val="auto"/>
                <w:highlight w:val="none"/>
              </w:rPr>
            </w:pPr>
          </w:p>
          <w:p w14:paraId="1B175BF4">
            <w:pPr>
              <w:pStyle w:val="21"/>
              <w:rPr>
                <w:color w:val="auto"/>
                <w:highlight w:val="none"/>
              </w:rPr>
            </w:pPr>
          </w:p>
        </w:tc>
      </w:tr>
      <w:tr w14:paraId="24D3EB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17" w:hRule="atLeast"/>
          <w:jc w:val="center"/>
        </w:trPr>
        <w:tc>
          <w:tcPr>
            <w:tcW w:w="457" w:type="dxa"/>
            <w:tcMar>
              <w:left w:w="28" w:type="dxa"/>
              <w:right w:w="28" w:type="dxa"/>
            </w:tcMar>
            <w:vAlign w:val="center"/>
          </w:tcPr>
          <w:p w14:paraId="60835CBB">
            <w:pPr>
              <w:spacing w:after="120"/>
              <w:ind w:left="420" w:leftChars="200" w:firstLine="420" w:firstLineChars="200"/>
              <w:rPr>
                <w:rFonts w:ascii="Times New Roman" w:hAnsi="Times New Roman" w:eastAsiaTheme="minorEastAsia"/>
                <w:color w:val="auto"/>
                <w:szCs w:val="24"/>
                <w:highlight w:val="none"/>
              </w:rPr>
            </w:pPr>
          </w:p>
          <w:p w14:paraId="48DAEF75">
            <w:pPr>
              <w:adjustRightInd w:val="0"/>
              <w:snapToGrid w:val="0"/>
              <w:jc w:val="center"/>
              <w:rPr>
                <w:rFonts w:ascii="Times New Roman" w:hAnsi="Times New Roman" w:eastAsiaTheme="minorEastAsia"/>
                <w:b/>
                <w:bCs/>
                <w:color w:val="auto"/>
                <w:kern w:val="0"/>
                <w:szCs w:val="21"/>
                <w:highlight w:val="none"/>
              </w:rPr>
            </w:pPr>
            <w:r>
              <w:rPr>
                <w:rFonts w:ascii="Times New Roman" w:hAnsi="Times New Roman" w:eastAsiaTheme="minorEastAsia"/>
                <w:b/>
                <w:bCs/>
                <w:color w:val="auto"/>
                <w:kern w:val="0"/>
                <w:sz w:val="24"/>
                <w:szCs w:val="24"/>
                <w:highlight w:val="none"/>
              </w:rPr>
              <w:t>污染物排放控制标准</w:t>
            </w:r>
          </w:p>
        </w:tc>
        <w:tc>
          <w:tcPr>
            <w:tcW w:w="8819" w:type="dxa"/>
            <w:vAlign w:val="center"/>
          </w:tcPr>
          <w:p w14:paraId="2ABEA98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施工期</w:t>
            </w:r>
          </w:p>
          <w:p w14:paraId="47B5FB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废气：施工期扬尘执行《施工场地扬尘排放标准》（DB13/2934-2019）中表1扬尘（PM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）排放浓度限值（监控点浓度限值≤80µg/m³，PM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小时平均浓度大于150µg/m³时，以150µg/m³计）。</w:t>
            </w:r>
          </w:p>
          <w:p w14:paraId="3653F4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噪声：施工期场界环境噪声执行《建筑施工场界环境噪声排放标准》（GB12523-2011）标准限值（昼间≤70dB(A)</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夜间≤55dB(A)）。</w:t>
            </w:r>
          </w:p>
          <w:p w14:paraId="3CE5559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运营期</w:t>
            </w:r>
          </w:p>
          <w:p w14:paraId="427B63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废气：硫酸雾有组织排放执行《大气污染物综合排放标准》（GB16297-1996）表2中二级标准限值要求，即≤45mg/m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（15m，1.5kg/h）</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无组织执行</w:t>
            </w:r>
            <w:r>
              <w:rPr>
                <w:rFonts w:hint="eastAsia" w:ascii="Times New Roman" w:hAnsi="Times New Roman" w:eastAsiaTheme="minorEastAsia"/>
                <w:color w:val="auto"/>
                <w:sz w:val="24"/>
                <w:szCs w:val="24"/>
                <w:highlight w:val="none"/>
              </w:rPr>
              <w:t>《大气污染物综合排放标准》（GB16297-1996）表2</w:t>
            </w:r>
            <w:r>
              <w:rPr>
                <w:rFonts w:hint="eastAsia" w:ascii="Times New Roman" w:hAnsi="Times New Roman" w:cs="Times New Roman"/>
                <w:color w:val="auto"/>
                <w:sz w:val="24"/>
                <w:szCs w:val="24"/>
                <w:highlight w:val="none"/>
                <w:lang w:val="en-US" w:eastAsia="zh-CN"/>
              </w:rPr>
              <w:t>无组织排放监控浓度限值，</w:t>
            </w:r>
            <w:r>
              <w:rPr>
                <w:rFonts w:hint="default" w:ascii="Times New Roman" w:hAnsi="Times New Roman" w:eastAsia="宋体" w:cs="Times New Roman"/>
                <w:color w:val="auto"/>
                <w:sz w:val="24"/>
                <w:szCs w:val="24"/>
                <w:highlight w:val="none"/>
              </w:rPr>
              <w:t>即≤</w:t>
            </w:r>
            <w:r>
              <w:rPr>
                <w:rFonts w:hint="eastAsia" w:ascii="Times New Roman" w:hAnsi="Times New Roman"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cs="Times New Roman"/>
                <w:color w:val="auto"/>
                <w:sz w:val="24"/>
                <w:szCs w:val="24"/>
                <w:highlight w:val="none"/>
                <w:vertAlign w:val="baseline"/>
                <w:lang w:eastAsia="zh-CN"/>
              </w:rPr>
              <w:t>。</w:t>
            </w:r>
          </w:p>
          <w:p w14:paraId="1349F8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噪声：</w:t>
            </w:r>
            <w:r>
              <w:rPr>
                <w:rFonts w:hint="eastAsia" w:ascii="Times New Roman" w:hAnsi="Times New Roman" w:cs="Times New Roman"/>
                <w:color w:val="auto"/>
                <w:sz w:val="24"/>
                <w:szCs w:val="24"/>
                <w:highlight w:val="none"/>
                <w:lang w:val="en-US" w:eastAsia="zh-CN"/>
              </w:rPr>
              <w:t>根据声环境功能区划，</w:t>
            </w:r>
            <w:r>
              <w:rPr>
                <w:rFonts w:hint="default" w:ascii="Times New Roman" w:hAnsi="Times New Roman" w:eastAsia="宋体" w:cs="Times New Roman"/>
                <w:color w:val="auto"/>
                <w:sz w:val="24"/>
                <w:szCs w:val="24"/>
                <w:highlight w:val="none"/>
              </w:rPr>
              <w:t>项目厂界噪声执行《工业企业厂界环境噪声排放标准》（GB12348-2008）3类标准，即昼间≤65dB(A)、夜间≤55dB(A)。</w:t>
            </w:r>
          </w:p>
          <w:p w14:paraId="5CDB81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废水：</w:t>
            </w:r>
            <w:r>
              <w:rPr>
                <w:rFonts w:hint="eastAsia" w:ascii="Times New Roman" w:hAnsi="Times New Roman" w:eastAsiaTheme="minorEastAsia"/>
                <w:color w:val="auto"/>
                <w:sz w:val="24"/>
                <w:szCs w:val="24"/>
                <w:highlight w:val="none"/>
                <w:lang w:val="en-US" w:eastAsia="zh-CN"/>
              </w:rPr>
              <w:t>执行</w:t>
            </w:r>
            <w:r>
              <w:rPr>
                <w:rFonts w:hint="eastAsia" w:ascii="Times New Roman" w:hAnsi="Times New Roman" w:eastAsiaTheme="minorEastAsia"/>
                <w:color w:val="auto"/>
                <w:sz w:val="24"/>
                <w:szCs w:val="24"/>
                <w:highlight w:val="none"/>
              </w:rPr>
              <w:t>《污水综合排放标准》（GB8978-1996）</w:t>
            </w:r>
            <w:r>
              <w:rPr>
                <w:rFonts w:hint="eastAsia" w:ascii="Times New Roman" w:hAnsi="Times New Roman" w:eastAsiaTheme="minorEastAsia"/>
                <w:color w:val="auto"/>
                <w:sz w:val="24"/>
                <w:szCs w:val="24"/>
                <w:highlight w:val="none"/>
                <w:lang w:val="en-US" w:eastAsia="zh-CN"/>
              </w:rPr>
              <w:t>表4及</w:t>
            </w:r>
            <w:r>
              <w:rPr>
                <w:rFonts w:ascii="Times New Roman" w:hAnsi="Times New Roman" w:eastAsiaTheme="minorEastAsia"/>
                <w:color w:val="auto"/>
                <w:sz w:val="24"/>
                <w:szCs w:val="24"/>
                <w:highlight w:val="none"/>
              </w:rPr>
              <w:t>徐水区大王店污水处理厂</w:t>
            </w:r>
            <w:r>
              <w:rPr>
                <w:rFonts w:hint="eastAsia" w:ascii="Times New Roman" w:hAnsi="Times New Roman" w:eastAsiaTheme="minorEastAsia"/>
                <w:color w:val="auto"/>
                <w:sz w:val="24"/>
                <w:szCs w:val="24"/>
                <w:highlight w:val="none"/>
                <w:lang w:val="en-US" w:eastAsia="zh-CN"/>
              </w:rPr>
              <w:t>进水指标。</w:t>
            </w:r>
          </w:p>
          <w:p w14:paraId="7C776F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一般固体废物贮存执行《一般工业固体废物贮存和填埋污染控制标准》（GB18599-2020）中相关规定。危险废物执行《危险废物贮存污染控制标准》(GB18597-2023)相关要求。</w:t>
            </w:r>
          </w:p>
          <w:p w14:paraId="02DE26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污染物排放</w:t>
            </w:r>
            <w:r>
              <w:rPr>
                <w:rFonts w:hint="eastAsia" w:ascii="Times New Roman" w:hAnsi="Times New Roman" w:cs="Times New Roman"/>
                <w:color w:val="auto"/>
                <w:sz w:val="24"/>
                <w:szCs w:val="24"/>
                <w:highlight w:val="none"/>
                <w:lang w:val="en-US" w:eastAsia="zh-CN"/>
              </w:rPr>
              <w:t>控制</w:t>
            </w:r>
            <w:r>
              <w:rPr>
                <w:rFonts w:hint="default" w:ascii="Times New Roman" w:hAnsi="Times New Roman" w:eastAsia="宋体" w:cs="Times New Roman"/>
                <w:color w:val="auto"/>
                <w:sz w:val="24"/>
                <w:szCs w:val="24"/>
                <w:highlight w:val="none"/>
              </w:rPr>
              <w:t>标准见</w:t>
            </w:r>
            <w:r>
              <w:rPr>
                <w:rFonts w:hint="eastAsia" w:ascii="Times New Roman" w:hAnsi="Times New Roman" w:cs="Times New Roman"/>
                <w:color w:val="auto"/>
                <w:sz w:val="24"/>
                <w:szCs w:val="24"/>
                <w:highlight w:val="none"/>
                <w:lang w:val="en-US" w:eastAsia="zh-CN"/>
              </w:rPr>
              <w:t>下表</w:t>
            </w:r>
            <w:r>
              <w:rPr>
                <w:rFonts w:hint="default" w:ascii="Times New Roman" w:hAnsi="Times New Roman" w:eastAsia="宋体" w:cs="Times New Roman"/>
                <w:color w:val="auto"/>
                <w:sz w:val="24"/>
                <w:szCs w:val="24"/>
                <w:highlight w:val="none"/>
              </w:rPr>
              <w:t>。</w:t>
            </w:r>
          </w:p>
          <w:p w14:paraId="4EFCB86F">
            <w:pPr>
              <w:spacing w:line="360" w:lineRule="auto"/>
              <w:jc w:val="center"/>
              <w:rPr>
                <w:rFonts w:ascii="Times New Roman" w:hAnsi="Times New Roman"/>
                <w:color w:val="auto"/>
                <w:sz w:val="24"/>
                <w:szCs w:val="24"/>
                <w:highlight w:val="none"/>
              </w:rPr>
            </w:pPr>
            <w:r>
              <w:rPr>
                <w:rFonts w:ascii="Times New Roman" w:hAnsi="Times New Roman"/>
                <w:color w:val="auto"/>
                <w:sz w:val="24"/>
                <w:szCs w:val="24"/>
                <w:highlight w:val="none"/>
              </w:rPr>
              <w:t>表</w:t>
            </w:r>
            <w:r>
              <w:rPr>
                <w:rFonts w:hint="eastAsia" w:ascii="Times New Roman" w:hAnsi="Times New Roman"/>
                <w:color w:val="auto"/>
                <w:sz w:val="24"/>
                <w:szCs w:val="24"/>
                <w:highlight w:val="none"/>
                <w:lang w:val="en-US" w:eastAsia="zh-CN"/>
              </w:rPr>
              <w:t>3-6</w:t>
            </w:r>
            <w:r>
              <w:rPr>
                <w:rFonts w:ascii="Times New Roman" w:hAnsi="Times New Roman"/>
                <w:color w:val="auto"/>
                <w:sz w:val="24"/>
                <w:szCs w:val="24"/>
                <w:highlight w:val="none"/>
              </w:rPr>
              <w:t xml:space="preserve">  </w:t>
            </w:r>
            <w:r>
              <w:rPr>
                <w:rFonts w:hint="eastAsia" w:ascii="Times New Roman" w:hAnsi="Times New Roman"/>
                <w:color w:val="auto"/>
                <w:sz w:val="24"/>
                <w:szCs w:val="24"/>
                <w:highlight w:val="none"/>
                <w:lang w:val="en-US" w:eastAsia="zh-CN"/>
              </w:rPr>
              <w:t>污染物排放控制标准</w:t>
            </w:r>
            <w:r>
              <w:rPr>
                <w:rFonts w:ascii="Times New Roman" w:hAnsi="Times New Roman"/>
                <w:color w:val="auto"/>
                <w:sz w:val="24"/>
                <w:szCs w:val="24"/>
                <w:highlight w:val="none"/>
              </w:rPr>
              <w:t>一览表</w:t>
            </w:r>
          </w:p>
          <w:tbl>
            <w:tblPr>
              <w:tblStyle w:val="31"/>
              <w:tblW w:w="839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3"/>
              <w:gridCol w:w="729"/>
              <w:gridCol w:w="443"/>
              <w:gridCol w:w="870"/>
              <w:gridCol w:w="1727"/>
              <w:gridCol w:w="4245"/>
            </w:tblGrid>
            <w:tr w14:paraId="7691BD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83" w:type="dxa"/>
                  <w:shd w:val="clear" w:color="auto" w:fill="auto"/>
                  <w:vAlign w:val="center"/>
                </w:tcPr>
                <w:p w14:paraId="7BAC20EC">
                  <w:pPr>
                    <w:widowControl/>
                    <w:jc w:val="center"/>
                    <w:rPr>
                      <w:rFonts w:hint="eastAsia" w:ascii="Times New Roman" w:hAnsi="Times New Roman" w:eastAsiaTheme="minorEastAsia"/>
                      <w:b w:val="0"/>
                      <w:bCs/>
                      <w:color w:val="auto"/>
                      <w:sz w:val="21"/>
                      <w:szCs w:val="21"/>
                      <w:highlight w:val="none"/>
                      <w:lang w:eastAsia="zh-CN"/>
                    </w:rPr>
                  </w:pPr>
                  <w:r>
                    <w:rPr>
                      <w:rFonts w:hint="eastAsia" w:ascii="Times New Roman" w:hAnsi="Times New Roman" w:eastAsiaTheme="minorEastAsia"/>
                      <w:b w:val="0"/>
                      <w:bCs/>
                      <w:color w:val="auto"/>
                      <w:sz w:val="21"/>
                      <w:szCs w:val="21"/>
                      <w:highlight w:val="none"/>
                      <w:lang w:val="en-US" w:eastAsia="zh-CN"/>
                    </w:rPr>
                    <w:t>阶段</w:t>
                  </w:r>
                </w:p>
              </w:tc>
              <w:tc>
                <w:tcPr>
                  <w:tcW w:w="729" w:type="dxa"/>
                  <w:shd w:val="clear" w:color="auto" w:fill="auto"/>
                  <w:vAlign w:val="center"/>
                </w:tcPr>
                <w:p w14:paraId="53D4B8ED">
                  <w:pPr>
                    <w:widowControl/>
                    <w:jc w:val="center"/>
                    <w:rPr>
                      <w:rFonts w:hint="eastAsia" w:ascii="Times New Roman" w:hAnsi="Times New Roman" w:eastAsiaTheme="minorEastAsia"/>
                      <w:b w:val="0"/>
                      <w:bCs/>
                      <w:color w:val="auto"/>
                      <w:sz w:val="21"/>
                      <w:szCs w:val="21"/>
                      <w:highlight w:val="none"/>
                      <w:lang w:eastAsia="zh-CN"/>
                    </w:rPr>
                  </w:pPr>
                  <w:r>
                    <w:rPr>
                      <w:rFonts w:hint="eastAsia" w:ascii="Times New Roman" w:hAnsi="Times New Roman" w:eastAsiaTheme="minorEastAsia"/>
                      <w:b w:val="0"/>
                      <w:bCs/>
                      <w:color w:val="auto"/>
                      <w:sz w:val="21"/>
                      <w:szCs w:val="21"/>
                      <w:highlight w:val="none"/>
                      <w:lang w:val="en-US" w:eastAsia="zh-CN"/>
                    </w:rPr>
                    <w:t>项目</w:t>
                  </w:r>
                </w:p>
              </w:tc>
              <w:tc>
                <w:tcPr>
                  <w:tcW w:w="1313" w:type="dxa"/>
                  <w:gridSpan w:val="2"/>
                  <w:shd w:val="clear" w:color="auto" w:fill="auto"/>
                  <w:vAlign w:val="center"/>
                </w:tcPr>
                <w:p w14:paraId="08621E0A">
                  <w:pPr>
                    <w:widowControl/>
                    <w:jc w:val="center"/>
                    <w:rPr>
                      <w:rFonts w:hint="default" w:ascii="Times New Roman" w:hAnsi="Times New Roman" w:eastAsiaTheme="minorEastAsia"/>
                      <w:b w:val="0"/>
                      <w:bCs/>
                      <w:color w:val="auto"/>
                      <w:sz w:val="21"/>
                      <w:szCs w:val="21"/>
                      <w:highlight w:val="none"/>
                      <w:lang w:val="en-US" w:eastAsia="zh-CN"/>
                    </w:rPr>
                  </w:pPr>
                  <w:r>
                    <w:rPr>
                      <w:rFonts w:hint="eastAsia" w:ascii="Times New Roman" w:hAnsi="Times New Roman" w:eastAsiaTheme="minorEastAsia"/>
                      <w:b w:val="0"/>
                      <w:bCs/>
                      <w:color w:val="auto"/>
                      <w:sz w:val="21"/>
                      <w:szCs w:val="21"/>
                      <w:highlight w:val="none"/>
                      <w:lang w:val="en-US" w:eastAsia="zh-CN"/>
                    </w:rPr>
                    <w:t>评价因子</w:t>
                  </w:r>
                </w:p>
              </w:tc>
              <w:tc>
                <w:tcPr>
                  <w:tcW w:w="1727" w:type="dxa"/>
                  <w:shd w:val="clear" w:color="auto" w:fill="auto"/>
                  <w:vAlign w:val="center"/>
                </w:tcPr>
                <w:p w14:paraId="6AA1572D">
                  <w:pPr>
                    <w:widowControl/>
                    <w:jc w:val="center"/>
                    <w:rPr>
                      <w:rFonts w:hint="default" w:ascii="Times New Roman" w:hAnsi="Times New Roman" w:eastAsiaTheme="minorEastAsia"/>
                      <w:b w:val="0"/>
                      <w:bCs/>
                      <w:color w:val="auto"/>
                      <w:sz w:val="21"/>
                      <w:szCs w:val="21"/>
                      <w:highlight w:val="none"/>
                      <w:lang w:val="en-US" w:eastAsia="zh-CN"/>
                    </w:rPr>
                  </w:pPr>
                  <w:r>
                    <w:rPr>
                      <w:rFonts w:hint="eastAsia" w:ascii="Times New Roman" w:hAnsi="Times New Roman" w:eastAsiaTheme="minorEastAsia"/>
                      <w:b w:val="0"/>
                      <w:bCs/>
                      <w:color w:val="auto"/>
                      <w:sz w:val="21"/>
                      <w:szCs w:val="21"/>
                      <w:highlight w:val="none"/>
                      <w:lang w:val="en-US" w:eastAsia="zh-CN"/>
                    </w:rPr>
                    <w:t>标准值</w:t>
                  </w:r>
                </w:p>
              </w:tc>
              <w:tc>
                <w:tcPr>
                  <w:tcW w:w="4245" w:type="dxa"/>
                  <w:shd w:val="clear" w:color="auto" w:fill="auto"/>
                  <w:vAlign w:val="center"/>
                </w:tcPr>
                <w:p w14:paraId="0F495E83">
                  <w:pPr>
                    <w:widowControl/>
                    <w:jc w:val="center"/>
                    <w:rPr>
                      <w:rFonts w:hint="default" w:ascii="Times New Roman" w:hAnsi="Times New Roman" w:eastAsiaTheme="minorEastAsia"/>
                      <w:b w:val="0"/>
                      <w:bCs/>
                      <w:color w:val="auto"/>
                      <w:sz w:val="21"/>
                      <w:szCs w:val="21"/>
                      <w:highlight w:val="none"/>
                      <w:lang w:val="en-US" w:eastAsia="zh-CN"/>
                    </w:rPr>
                  </w:pPr>
                  <w:r>
                    <w:rPr>
                      <w:rFonts w:hint="eastAsia" w:ascii="Times New Roman" w:hAnsi="Times New Roman" w:eastAsiaTheme="minorEastAsia"/>
                      <w:b w:val="0"/>
                      <w:bCs/>
                      <w:color w:val="auto"/>
                      <w:sz w:val="21"/>
                      <w:szCs w:val="21"/>
                      <w:highlight w:val="none"/>
                      <w:lang w:val="en-US" w:eastAsia="zh-CN"/>
                    </w:rPr>
                    <w:t>标准依据</w:t>
                  </w:r>
                </w:p>
              </w:tc>
            </w:tr>
            <w:tr w14:paraId="08871B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83" w:type="dxa"/>
                  <w:vMerge w:val="restart"/>
                  <w:shd w:val="clear" w:color="auto" w:fill="auto"/>
                  <w:vAlign w:val="center"/>
                </w:tcPr>
                <w:p w14:paraId="466705C5">
                  <w:pPr>
                    <w:rPr>
                      <w:rFonts w:hint="default" w:ascii="Times New Roman" w:hAnsi="Times New Roman" w:eastAsiaTheme="minorEastAsia"/>
                      <w:color w:val="auto"/>
                      <w:sz w:val="21"/>
                      <w:szCs w:val="21"/>
                      <w:highlight w:val="none"/>
                      <w:lang w:val="en-US" w:eastAsia="zh-CN"/>
                    </w:rPr>
                  </w:pPr>
                  <w:r>
                    <w:rPr>
                      <w:rFonts w:hint="eastAsia" w:ascii="Times New Roman" w:hAnsi="Times New Roman" w:eastAsiaTheme="minorEastAsia"/>
                      <w:color w:val="auto"/>
                      <w:sz w:val="21"/>
                      <w:szCs w:val="21"/>
                      <w:highlight w:val="none"/>
                      <w:lang w:val="en-US" w:eastAsia="zh-CN"/>
                    </w:rPr>
                    <w:t>施工期</w:t>
                  </w:r>
                </w:p>
              </w:tc>
              <w:tc>
                <w:tcPr>
                  <w:tcW w:w="729" w:type="dxa"/>
                  <w:shd w:val="clear" w:color="auto" w:fill="auto"/>
                  <w:vAlign w:val="center"/>
                </w:tcPr>
                <w:p w14:paraId="4308DD94">
                  <w:pPr>
                    <w:widowControl/>
                    <w:jc w:val="center"/>
                    <w:rPr>
                      <w:rFonts w:hint="eastAsia" w:ascii="Times New Roman" w:hAnsi="Times New Roman" w:eastAsiaTheme="minorEastAsia"/>
                      <w:color w:val="auto"/>
                      <w:sz w:val="21"/>
                      <w:szCs w:val="21"/>
                      <w:highlight w:val="none"/>
                      <w:lang w:val="en-US" w:eastAsia="zh-CN"/>
                    </w:rPr>
                  </w:pPr>
                  <w:r>
                    <w:rPr>
                      <w:rFonts w:hint="eastAsia" w:ascii="Times New Roman" w:hAnsi="Times New Roman" w:eastAsiaTheme="minorEastAsia"/>
                      <w:color w:val="auto"/>
                      <w:sz w:val="21"/>
                      <w:szCs w:val="21"/>
                      <w:highlight w:val="none"/>
                      <w:lang w:val="en-US" w:eastAsia="zh-CN"/>
                    </w:rPr>
                    <w:t>废气</w:t>
                  </w:r>
                </w:p>
              </w:tc>
              <w:tc>
                <w:tcPr>
                  <w:tcW w:w="1313" w:type="dxa"/>
                  <w:gridSpan w:val="2"/>
                  <w:shd w:val="clear" w:color="auto" w:fill="auto"/>
                  <w:vAlign w:val="center"/>
                </w:tcPr>
                <w:p w14:paraId="6C670B0C">
                  <w:pPr>
                    <w:widowControl/>
                    <w:jc w:val="center"/>
                    <w:rPr>
                      <w:rFonts w:ascii="Times New Roman" w:hAnsi="Times New Roman" w:eastAsiaTheme="minorEastAsia"/>
                      <w:color w:val="auto"/>
                      <w:kern w:val="0"/>
                      <w:sz w:val="21"/>
                      <w:szCs w:val="21"/>
                      <w:highlight w:val="none"/>
                    </w:rPr>
                  </w:pPr>
                  <w:r>
                    <w:rPr>
                      <w:rFonts w:hint="eastAsia" w:ascii="Times New Roman" w:hAnsi="Times New Roman" w:eastAsiaTheme="minorEastAsia"/>
                      <w:color w:val="auto"/>
                      <w:kern w:val="0"/>
                      <w:sz w:val="21"/>
                      <w:szCs w:val="21"/>
                      <w:highlight w:val="none"/>
                    </w:rPr>
                    <w:t>PM</w:t>
                  </w:r>
                  <w:r>
                    <w:rPr>
                      <w:rFonts w:hint="eastAsia" w:ascii="Times New Roman" w:hAnsi="Times New Roman" w:eastAsiaTheme="minorEastAsia"/>
                      <w:color w:val="auto"/>
                      <w:kern w:val="0"/>
                      <w:sz w:val="21"/>
                      <w:szCs w:val="21"/>
                      <w:highlight w:val="none"/>
                      <w:vertAlign w:val="subscript"/>
                    </w:rPr>
                    <w:t>10</w:t>
                  </w:r>
                </w:p>
              </w:tc>
              <w:tc>
                <w:tcPr>
                  <w:tcW w:w="1727" w:type="dxa"/>
                  <w:shd w:val="clear" w:color="auto" w:fill="auto"/>
                  <w:vAlign w:val="center"/>
                </w:tcPr>
                <w:p w14:paraId="61B8FCB6">
                  <w:pPr>
                    <w:autoSpaceDE w:val="0"/>
                    <w:autoSpaceDN w:val="0"/>
                    <w:adjustRightInd w:val="0"/>
                    <w:jc w:val="center"/>
                    <w:rPr>
                      <w:rFonts w:ascii="Times New Roman" w:hAnsi="Times New Roman" w:eastAsiaTheme="minorEastAsia"/>
                      <w:color w:val="auto"/>
                      <w:kern w:val="0"/>
                      <w:sz w:val="21"/>
                      <w:szCs w:val="21"/>
                      <w:highlight w:val="none"/>
                    </w:rPr>
                  </w:pPr>
                  <w:r>
                    <w:rPr>
                      <w:rFonts w:hint="eastAsia" w:ascii="Times New Roman" w:hAnsi="Times New Roman" w:eastAsiaTheme="minorEastAsia"/>
                      <w:color w:val="auto"/>
                      <w:kern w:val="0"/>
                      <w:sz w:val="21"/>
                      <w:szCs w:val="21"/>
                      <w:highlight w:val="none"/>
                    </w:rPr>
                    <w:t>≤80µg/m</w:t>
                  </w:r>
                  <w:r>
                    <w:rPr>
                      <w:rFonts w:hint="eastAsia" w:ascii="Times New Roman" w:hAnsi="Times New Roman" w:eastAsiaTheme="minorEastAsia"/>
                      <w:color w:val="auto"/>
                      <w:kern w:val="0"/>
                      <w:sz w:val="21"/>
                      <w:szCs w:val="21"/>
                      <w:highlight w:val="none"/>
                      <w:vertAlign w:val="superscript"/>
                    </w:rPr>
                    <w:t>3</w:t>
                  </w:r>
                </w:p>
              </w:tc>
              <w:tc>
                <w:tcPr>
                  <w:tcW w:w="4245" w:type="dxa"/>
                  <w:shd w:val="clear" w:color="auto" w:fill="auto"/>
                  <w:vAlign w:val="center"/>
                </w:tcPr>
                <w:p w14:paraId="3FAF59C3">
                  <w:pPr>
                    <w:jc w:val="center"/>
                    <w:rPr>
                      <w:rFonts w:ascii="Times New Roman" w:hAnsi="Times New Roman" w:eastAsiaTheme="minorEastAsia"/>
                      <w:color w:val="auto"/>
                      <w:sz w:val="21"/>
                      <w:szCs w:val="21"/>
                      <w:highlight w:val="none"/>
                    </w:rPr>
                  </w:pPr>
                  <w:r>
                    <w:rPr>
                      <w:rFonts w:hint="eastAsia" w:ascii="Times New Roman" w:hAnsi="Times New Roman" w:eastAsiaTheme="minorEastAsia"/>
                      <w:color w:val="auto"/>
                      <w:sz w:val="21"/>
                      <w:szCs w:val="21"/>
                      <w:highlight w:val="none"/>
                    </w:rPr>
                    <w:t>《施工场地扬尘排放标准》（DB13/2934-2019）表1</w:t>
                  </w:r>
                  <w:r>
                    <w:rPr>
                      <w:rFonts w:hint="default" w:ascii="Times New Roman" w:hAnsi="Times New Roman" w:eastAsia="宋体" w:cs="Times New Roman"/>
                      <w:color w:val="auto"/>
                      <w:sz w:val="21"/>
                      <w:szCs w:val="21"/>
                      <w:highlight w:val="none"/>
                    </w:rPr>
                    <w:t>扬尘（PM</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）排放浓度限值</w:t>
                  </w:r>
                </w:p>
              </w:tc>
            </w:tr>
            <w:tr w14:paraId="7444EC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83" w:type="dxa"/>
                  <w:vMerge w:val="continue"/>
                  <w:shd w:val="clear" w:color="auto" w:fill="auto"/>
                  <w:vAlign w:val="center"/>
                </w:tcPr>
                <w:p w14:paraId="31CF1904">
                  <w:pPr>
                    <w:rPr>
                      <w:rFonts w:ascii="Times New Roman" w:hAnsi="Times New Roman" w:eastAsiaTheme="minorEastAsia"/>
                      <w:color w:val="auto"/>
                      <w:sz w:val="21"/>
                      <w:szCs w:val="21"/>
                      <w:highlight w:val="none"/>
                    </w:rPr>
                  </w:pPr>
                </w:p>
              </w:tc>
              <w:tc>
                <w:tcPr>
                  <w:tcW w:w="729" w:type="dxa"/>
                  <w:shd w:val="clear" w:color="auto" w:fill="auto"/>
                  <w:vAlign w:val="center"/>
                </w:tcPr>
                <w:p w14:paraId="198E8754">
                  <w:pPr>
                    <w:widowControl/>
                    <w:jc w:val="center"/>
                    <w:rPr>
                      <w:rFonts w:hint="eastAsia" w:ascii="Times New Roman" w:hAnsi="Times New Roman" w:eastAsiaTheme="minorEastAsia"/>
                      <w:color w:val="auto"/>
                      <w:sz w:val="21"/>
                      <w:szCs w:val="21"/>
                      <w:highlight w:val="none"/>
                      <w:lang w:val="en-US" w:eastAsia="zh-CN"/>
                    </w:rPr>
                  </w:pPr>
                  <w:r>
                    <w:rPr>
                      <w:rFonts w:hint="eastAsia" w:ascii="Times New Roman" w:hAnsi="Times New Roman" w:eastAsiaTheme="minorEastAsia"/>
                      <w:color w:val="auto"/>
                      <w:sz w:val="21"/>
                      <w:szCs w:val="21"/>
                      <w:highlight w:val="none"/>
                      <w:lang w:val="en-US" w:eastAsia="zh-CN"/>
                    </w:rPr>
                    <w:t>噪声</w:t>
                  </w:r>
                </w:p>
              </w:tc>
              <w:tc>
                <w:tcPr>
                  <w:tcW w:w="1313" w:type="dxa"/>
                  <w:gridSpan w:val="2"/>
                  <w:shd w:val="clear" w:color="auto" w:fill="auto"/>
                  <w:vAlign w:val="center"/>
                </w:tcPr>
                <w:p w14:paraId="6BDA5E42">
                  <w:pPr>
                    <w:widowControl/>
                    <w:jc w:val="center"/>
                    <w:rPr>
                      <w:rFonts w:hint="eastAsia" w:ascii="Times New Roman" w:hAnsi="Times New Roman" w:eastAsiaTheme="minorEastAsia"/>
                      <w:color w:val="auto"/>
                      <w:kern w:val="0"/>
                      <w:sz w:val="21"/>
                      <w:szCs w:val="21"/>
                      <w:highlight w:val="none"/>
                      <w:lang w:val="en-US" w:eastAsia="zh-CN"/>
                    </w:rPr>
                  </w:pPr>
                  <w:r>
                    <w:rPr>
                      <w:rFonts w:hint="eastAsia" w:ascii="Times New Roman" w:hAnsi="Times New Roman" w:eastAsiaTheme="minorEastAsia"/>
                      <w:color w:val="auto"/>
                      <w:kern w:val="0"/>
                      <w:sz w:val="21"/>
                      <w:szCs w:val="21"/>
                      <w:highlight w:val="none"/>
                    </w:rPr>
                    <w:t>Leq</w:t>
                  </w:r>
                  <w:r>
                    <w:rPr>
                      <w:rFonts w:hint="eastAsia" w:ascii="Times New Roman" w:hAnsi="Times New Roman" w:eastAsiaTheme="minorEastAsia"/>
                      <w:color w:val="auto"/>
                      <w:kern w:val="0"/>
                      <w:sz w:val="21"/>
                      <w:szCs w:val="21"/>
                      <w:highlight w:val="none"/>
                      <w:lang w:val="en-US" w:eastAsia="zh-CN"/>
                    </w:rPr>
                    <w:t>A</w:t>
                  </w:r>
                </w:p>
              </w:tc>
              <w:tc>
                <w:tcPr>
                  <w:tcW w:w="1727" w:type="dxa"/>
                  <w:shd w:val="clear" w:color="auto" w:fill="auto"/>
                  <w:vAlign w:val="center"/>
                </w:tcPr>
                <w:p w14:paraId="65BDE53E">
                  <w:pPr>
                    <w:autoSpaceDE w:val="0"/>
                    <w:autoSpaceDN w:val="0"/>
                    <w:adjustRightInd w:val="0"/>
                    <w:jc w:val="center"/>
                    <w:rPr>
                      <w:rFonts w:hint="eastAsia" w:ascii="Times New Roman" w:hAnsi="Times New Roman" w:eastAsiaTheme="minorEastAsia"/>
                      <w:color w:val="auto"/>
                      <w:kern w:val="0"/>
                      <w:sz w:val="21"/>
                      <w:szCs w:val="21"/>
                      <w:highlight w:val="none"/>
                    </w:rPr>
                  </w:pPr>
                  <w:r>
                    <w:rPr>
                      <w:rFonts w:hint="eastAsia" w:ascii="Times New Roman" w:hAnsi="Times New Roman" w:eastAsiaTheme="minorEastAsia"/>
                      <w:color w:val="auto"/>
                      <w:kern w:val="0"/>
                      <w:sz w:val="21"/>
                      <w:szCs w:val="21"/>
                      <w:highlight w:val="none"/>
                    </w:rPr>
                    <w:t>昼间≤70dB</w:t>
                  </w:r>
                </w:p>
                <w:p w14:paraId="738BC898">
                  <w:pPr>
                    <w:autoSpaceDE w:val="0"/>
                    <w:autoSpaceDN w:val="0"/>
                    <w:adjustRightInd w:val="0"/>
                    <w:jc w:val="center"/>
                    <w:rPr>
                      <w:rFonts w:ascii="Times New Roman" w:hAnsi="Times New Roman" w:eastAsiaTheme="minorEastAsia"/>
                      <w:color w:val="auto"/>
                      <w:kern w:val="0"/>
                      <w:sz w:val="21"/>
                      <w:szCs w:val="21"/>
                      <w:highlight w:val="none"/>
                    </w:rPr>
                  </w:pPr>
                  <w:r>
                    <w:rPr>
                      <w:rFonts w:hint="eastAsia" w:ascii="Times New Roman" w:hAnsi="Times New Roman" w:eastAsiaTheme="minorEastAsia"/>
                      <w:color w:val="auto"/>
                      <w:kern w:val="0"/>
                      <w:sz w:val="21"/>
                      <w:szCs w:val="21"/>
                      <w:highlight w:val="none"/>
                    </w:rPr>
                    <w:t>夜间≤55dB</w:t>
                  </w:r>
                </w:p>
              </w:tc>
              <w:tc>
                <w:tcPr>
                  <w:tcW w:w="4245" w:type="dxa"/>
                  <w:shd w:val="clear" w:color="auto" w:fill="auto"/>
                  <w:vAlign w:val="center"/>
                </w:tcPr>
                <w:p w14:paraId="2960CC83">
                  <w:pPr>
                    <w:jc w:val="center"/>
                    <w:rPr>
                      <w:rFonts w:ascii="Times New Roman" w:hAnsi="Times New Roman" w:eastAsiaTheme="minorEastAsia"/>
                      <w:color w:val="auto"/>
                      <w:sz w:val="21"/>
                      <w:szCs w:val="21"/>
                      <w:highlight w:val="none"/>
                    </w:rPr>
                  </w:pPr>
                  <w:r>
                    <w:rPr>
                      <w:rFonts w:hint="eastAsia" w:ascii="Times New Roman" w:hAnsi="Times New Roman" w:eastAsiaTheme="minorEastAsia"/>
                      <w:color w:val="auto"/>
                      <w:sz w:val="21"/>
                      <w:szCs w:val="21"/>
                      <w:highlight w:val="none"/>
                    </w:rPr>
                    <w:t>《建筑施工场界环境噪声排放标准》（GB12523-2011）表1标准</w:t>
                  </w:r>
                </w:p>
              </w:tc>
            </w:tr>
            <w:tr w14:paraId="269745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83" w:type="dxa"/>
                  <w:vMerge w:val="restart"/>
                  <w:shd w:val="clear" w:color="auto" w:fill="auto"/>
                  <w:vAlign w:val="center"/>
                </w:tcPr>
                <w:p w14:paraId="1A1FCBF2">
                  <w:pPr>
                    <w:rPr>
                      <w:rFonts w:hint="eastAsia" w:ascii="Times New Roman" w:hAnsi="Times New Roman" w:eastAsiaTheme="minorEastAsia"/>
                      <w:color w:val="auto"/>
                      <w:sz w:val="21"/>
                      <w:szCs w:val="21"/>
                      <w:highlight w:val="none"/>
                      <w:lang w:val="en-US" w:eastAsia="zh-CN"/>
                    </w:rPr>
                  </w:pPr>
                  <w:r>
                    <w:rPr>
                      <w:rFonts w:hint="eastAsia" w:ascii="Times New Roman" w:hAnsi="Times New Roman" w:eastAsiaTheme="minorEastAsia"/>
                      <w:color w:val="auto"/>
                      <w:sz w:val="21"/>
                      <w:szCs w:val="21"/>
                      <w:highlight w:val="none"/>
                      <w:lang w:val="en-US" w:eastAsia="zh-CN"/>
                    </w:rPr>
                    <w:t>运营期</w:t>
                  </w:r>
                </w:p>
              </w:tc>
              <w:tc>
                <w:tcPr>
                  <w:tcW w:w="729" w:type="dxa"/>
                  <w:vMerge w:val="restart"/>
                  <w:shd w:val="clear" w:color="auto" w:fill="auto"/>
                  <w:vAlign w:val="center"/>
                </w:tcPr>
                <w:p w14:paraId="02BD2693">
                  <w:pPr>
                    <w:widowControl/>
                    <w:jc w:val="center"/>
                    <w:rPr>
                      <w:rFonts w:ascii="Times New Roman" w:hAnsi="Times New Roman" w:eastAsiaTheme="minorEastAsia"/>
                      <w:color w:val="auto"/>
                      <w:sz w:val="21"/>
                      <w:szCs w:val="21"/>
                      <w:highlight w:val="none"/>
                    </w:rPr>
                  </w:pPr>
                  <w:r>
                    <w:rPr>
                      <w:rFonts w:hint="eastAsia" w:ascii="Times New Roman" w:hAnsi="Times New Roman" w:eastAsiaTheme="minorEastAsia"/>
                      <w:color w:val="auto"/>
                      <w:sz w:val="21"/>
                      <w:szCs w:val="21"/>
                      <w:highlight w:val="none"/>
                      <w:lang w:val="en-US" w:eastAsia="zh-CN"/>
                    </w:rPr>
                    <w:t>废气</w:t>
                  </w:r>
                </w:p>
              </w:tc>
              <w:tc>
                <w:tcPr>
                  <w:tcW w:w="443" w:type="dxa"/>
                  <w:vMerge w:val="restart"/>
                  <w:shd w:val="clear" w:color="auto" w:fill="auto"/>
                  <w:vAlign w:val="center"/>
                </w:tcPr>
                <w:p w14:paraId="3A486159">
                  <w:pPr>
                    <w:widowControl/>
                    <w:jc w:val="center"/>
                    <w:rPr>
                      <w:rFonts w:ascii="Times New Roman" w:hAnsi="Times New Roman" w:eastAsiaTheme="minorEastAsia"/>
                      <w:color w:val="auto"/>
                      <w:kern w:val="0"/>
                      <w:sz w:val="21"/>
                      <w:szCs w:val="21"/>
                      <w:highlight w:val="none"/>
                    </w:rPr>
                  </w:pPr>
                  <w:r>
                    <w:rPr>
                      <w:rFonts w:hint="eastAsia" w:ascii="Times New Roman" w:hAnsi="Times New Roman" w:eastAsiaTheme="minorEastAsia"/>
                      <w:color w:val="auto"/>
                      <w:kern w:val="0"/>
                      <w:sz w:val="21"/>
                      <w:szCs w:val="21"/>
                      <w:highlight w:val="none"/>
                    </w:rPr>
                    <w:t>硫酸雾</w:t>
                  </w:r>
                </w:p>
              </w:tc>
              <w:tc>
                <w:tcPr>
                  <w:tcW w:w="870" w:type="dxa"/>
                  <w:shd w:val="clear" w:color="auto" w:fill="auto"/>
                  <w:vAlign w:val="center"/>
                </w:tcPr>
                <w:p w14:paraId="744D3508">
                  <w:pPr>
                    <w:widowControl/>
                    <w:jc w:val="center"/>
                    <w:rPr>
                      <w:rFonts w:hint="eastAsia" w:ascii="Times New Roman" w:hAnsi="Times New Roman" w:eastAsiaTheme="minorEastAsia"/>
                      <w:color w:val="auto"/>
                      <w:kern w:val="0"/>
                      <w:sz w:val="21"/>
                      <w:szCs w:val="21"/>
                      <w:highlight w:val="none"/>
                      <w:lang w:val="en-US" w:eastAsia="zh-CN"/>
                    </w:rPr>
                  </w:pPr>
                  <w:r>
                    <w:rPr>
                      <w:rFonts w:hint="eastAsia" w:ascii="Times New Roman" w:hAnsi="Times New Roman" w:eastAsiaTheme="minorEastAsia"/>
                      <w:color w:val="auto"/>
                      <w:kern w:val="0"/>
                      <w:sz w:val="21"/>
                      <w:szCs w:val="21"/>
                      <w:highlight w:val="none"/>
                      <w:lang w:val="en-US" w:eastAsia="zh-CN"/>
                    </w:rPr>
                    <w:t>有组织</w:t>
                  </w:r>
                </w:p>
              </w:tc>
              <w:tc>
                <w:tcPr>
                  <w:tcW w:w="1727" w:type="dxa"/>
                  <w:shd w:val="clear" w:color="auto" w:fill="auto"/>
                  <w:vAlign w:val="center"/>
                </w:tcPr>
                <w:p w14:paraId="7C68B7B0">
                  <w:pPr>
                    <w:autoSpaceDE w:val="0"/>
                    <w:autoSpaceDN w:val="0"/>
                    <w:adjustRightInd w:val="0"/>
                    <w:jc w:val="center"/>
                    <w:rPr>
                      <w:rFonts w:ascii="Times New Roman" w:hAnsi="Times New Roman" w:eastAsiaTheme="minorEastAsia"/>
                      <w:color w:val="auto"/>
                      <w:kern w:val="0"/>
                      <w:sz w:val="21"/>
                      <w:szCs w:val="21"/>
                      <w:highlight w:val="none"/>
                    </w:rPr>
                  </w:pPr>
                  <w:r>
                    <w:rPr>
                      <w:rFonts w:hint="eastAsia" w:ascii="Times New Roman" w:hAnsi="Times New Roman" w:eastAsiaTheme="minorEastAsia"/>
                      <w:color w:val="auto"/>
                      <w:kern w:val="0"/>
                      <w:sz w:val="21"/>
                      <w:szCs w:val="21"/>
                      <w:highlight w:val="none"/>
                    </w:rPr>
                    <w:t>≤45mg/m</w:t>
                  </w:r>
                  <w:r>
                    <w:rPr>
                      <w:rFonts w:hint="eastAsia" w:ascii="Times New Roman" w:hAnsi="Times New Roman" w:eastAsiaTheme="minorEastAsia"/>
                      <w:color w:val="auto"/>
                      <w:kern w:val="0"/>
                      <w:sz w:val="21"/>
                      <w:szCs w:val="21"/>
                      <w:highlight w:val="none"/>
                      <w:vertAlign w:val="superscript"/>
                    </w:rPr>
                    <w:t>3</w:t>
                  </w:r>
                  <w:r>
                    <w:rPr>
                      <w:rFonts w:hint="eastAsia" w:ascii="Times New Roman" w:hAnsi="Times New Roman" w:eastAsiaTheme="minorEastAsia"/>
                      <w:color w:val="auto"/>
                      <w:kern w:val="0"/>
                      <w:sz w:val="21"/>
                      <w:szCs w:val="21"/>
                      <w:highlight w:val="none"/>
                    </w:rPr>
                    <w:t>（1.5kg/h）</w:t>
                  </w:r>
                </w:p>
              </w:tc>
              <w:tc>
                <w:tcPr>
                  <w:tcW w:w="4245" w:type="dxa"/>
                  <w:shd w:val="clear" w:color="auto" w:fill="auto"/>
                  <w:vAlign w:val="center"/>
                </w:tcPr>
                <w:p w14:paraId="66A93904">
                  <w:pPr>
                    <w:jc w:val="center"/>
                    <w:rPr>
                      <w:rFonts w:ascii="Times New Roman" w:hAnsi="Times New Roman" w:eastAsiaTheme="minorEastAsia"/>
                      <w:color w:val="auto"/>
                      <w:sz w:val="21"/>
                      <w:szCs w:val="21"/>
                      <w:highlight w:val="none"/>
                    </w:rPr>
                  </w:pPr>
                  <w:r>
                    <w:rPr>
                      <w:rFonts w:hint="eastAsia" w:ascii="Times New Roman" w:hAnsi="Times New Roman" w:eastAsiaTheme="minorEastAsia"/>
                      <w:color w:val="auto"/>
                      <w:sz w:val="21"/>
                      <w:szCs w:val="21"/>
                      <w:highlight w:val="none"/>
                    </w:rPr>
                    <w:t>《大气污染物综合排放标准》（GB16297-1996）表2</w:t>
                  </w:r>
                  <w:r>
                    <w:rPr>
                      <w:rFonts w:hint="default" w:ascii="Times New Roman" w:hAnsi="Times New Roman" w:eastAsia="宋体" w:cs="Times New Roman"/>
                      <w:color w:val="auto"/>
                      <w:sz w:val="21"/>
                      <w:szCs w:val="21"/>
                      <w:highlight w:val="none"/>
                    </w:rPr>
                    <w:t>中二级标准限值要求</w:t>
                  </w:r>
                </w:p>
              </w:tc>
            </w:tr>
            <w:tr w14:paraId="0244E5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83" w:type="dxa"/>
                  <w:vMerge w:val="continue"/>
                  <w:shd w:val="clear" w:color="auto" w:fill="auto"/>
                  <w:vAlign w:val="center"/>
                </w:tcPr>
                <w:p w14:paraId="068EC08A">
                  <w:pPr>
                    <w:rPr>
                      <w:rFonts w:hint="eastAsia" w:ascii="Times New Roman" w:hAnsi="Times New Roman" w:eastAsiaTheme="minorEastAsia"/>
                      <w:color w:val="auto"/>
                      <w:sz w:val="21"/>
                      <w:szCs w:val="21"/>
                      <w:highlight w:val="none"/>
                      <w:lang w:val="en-US" w:eastAsia="zh-CN"/>
                    </w:rPr>
                  </w:pPr>
                </w:p>
              </w:tc>
              <w:tc>
                <w:tcPr>
                  <w:tcW w:w="729" w:type="dxa"/>
                  <w:vMerge w:val="continue"/>
                  <w:shd w:val="clear" w:color="auto" w:fill="auto"/>
                  <w:vAlign w:val="center"/>
                </w:tcPr>
                <w:p w14:paraId="43A028F8">
                  <w:pPr>
                    <w:widowControl/>
                    <w:jc w:val="center"/>
                    <w:rPr>
                      <w:rFonts w:hint="eastAsia" w:ascii="Times New Roman" w:hAnsi="Times New Roman" w:eastAsiaTheme="minorEastAsia"/>
                      <w:color w:val="auto"/>
                      <w:sz w:val="21"/>
                      <w:szCs w:val="21"/>
                      <w:highlight w:val="none"/>
                      <w:lang w:val="en-US" w:eastAsia="zh-CN"/>
                    </w:rPr>
                  </w:pPr>
                </w:p>
              </w:tc>
              <w:tc>
                <w:tcPr>
                  <w:tcW w:w="443" w:type="dxa"/>
                  <w:vMerge w:val="continue"/>
                  <w:shd w:val="clear" w:color="auto" w:fill="auto"/>
                  <w:vAlign w:val="center"/>
                </w:tcPr>
                <w:p w14:paraId="6E146707">
                  <w:pPr>
                    <w:widowControl/>
                    <w:jc w:val="center"/>
                    <w:rPr>
                      <w:rFonts w:hint="eastAsia" w:ascii="Times New Roman" w:hAnsi="Times New Roman" w:eastAsiaTheme="minorEastAsia"/>
                      <w:color w:val="auto"/>
                      <w:kern w:val="0"/>
                      <w:sz w:val="21"/>
                      <w:szCs w:val="21"/>
                      <w:highlight w:val="none"/>
                    </w:rPr>
                  </w:pPr>
                </w:p>
              </w:tc>
              <w:tc>
                <w:tcPr>
                  <w:tcW w:w="870" w:type="dxa"/>
                  <w:shd w:val="clear" w:color="auto" w:fill="auto"/>
                  <w:vAlign w:val="center"/>
                </w:tcPr>
                <w:p w14:paraId="3AC41AA6">
                  <w:pPr>
                    <w:widowControl/>
                    <w:jc w:val="center"/>
                    <w:rPr>
                      <w:rFonts w:hint="eastAsia" w:ascii="Times New Roman" w:hAnsi="Times New Roman" w:eastAsiaTheme="minorEastAsia"/>
                      <w:color w:val="auto"/>
                      <w:kern w:val="0"/>
                      <w:sz w:val="21"/>
                      <w:szCs w:val="21"/>
                      <w:highlight w:val="none"/>
                      <w:lang w:val="en-US" w:eastAsia="zh-CN"/>
                    </w:rPr>
                  </w:pPr>
                  <w:r>
                    <w:rPr>
                      <w:rFonts w:hint="eastAsia" w:ascii="Times New Roman" w:hAnsi="Times New Roman" w:eastAsiaTheme="minorEastAsia"/>
                      <w:color w:val="auto"/>
                      <w:kern w:val="0"/>
                      <w:sz w:val="21"/>
                      <w:szCs w:val="21"/>
                      <w:highlight w:val="none"/>
                      <w:lang w:val="en-US" w:eastAsia="zh-CN"/>
                    </w:rPr>
                    <w:t>无组织</w:t>
                  </w:r>
                </w:p>
              </w:tc>
              <w:tc>
                <w:tcPr>
                  <w:tcW w:w="1727" w:type="dxa"/>
                  <w:shd w:val="clear" w:color="auto" w:fill="auto"/>
                  <w:vAlign w:val="center"/>
                </w:tcPr>
                <w:p w14:paraId="3085D197">
                  <w:pPr>
                    <w:autoSpaceDE w:val="0"/>
                    <w:autoSpaceDN w:val="0"/>
                    <w:adjustRightInd w:val="0"/>
                    <w:jc w:val="center"/>
                    <w:rPr>
                      <w:rFonts w:hint="default" w:ascii="Times New Roman" w:hAnsi="Times New Roman" w:eastAsiaTheme="minorEastAsia"/>
                      <w:color w:val="auto"/>
                      <w:kern w:val="0"/>
                      <w:sz w:val="21"/>
                      <w:szCs w:val="21"/>
                      <w:highlight w:val="none"/>
                      <w:lang w:val="en-US" w:eastAsia="zh-CN"/>
                    </w:rPr>
                  </w:pPr>
                  <w:r>
                    <w:rPr>
                      <w:rFonts w:hint="eastAsia" w:ascii="Times New Roman" w:hAnsi="Times New Roman" w:eastAsiaTheme="minorEastAsia"/>
                      <w:color w:val="auto"/>
                      <w:kern w:val="0"/>
                      <w:sz w:val="21"/>
                      <w:szCs w:val="21"/>
                      <w:highlight w:val="none"/>
                      <w:lang w:val="en-US" w:eastAsia="zh-CN"/>
                    </w:rPr>
                    <w:t>1.2</w:t>
                  </w:r>
                  <w:r>
                    <w:rPr>
                      <w:rFonts w:hint="eastAsia" w:ascii="Times New Roman" w:hAnsi="Times New Roman" w:eastAsiaTheme="minorEastAsia"/>
                      <w:color w:val="auto"/>
                      <w:kern w:val="0"/>
                      <w:sz w:val="21"/>
                      <w:szCs w:val="21"/>
                      <w:highlight w:val="none"/>
                    </w:rPr>
                    <w:t>mg/m</w:t>
                  </w:r>
                  <w:r>
                    <w:rPr>
                      <w:rFonts w:hint="eastAsia" w:ascii="Times New Roman" w:hAnsi="Times New Roman" w:eastAsiaTheme="minorEastAsia"/>
                      <w:color w:val="auto"/>
                      <w:kern w:val="0"/>
                      <w:sz w:val="21"/>
                      <w:szCs w:val="21"/>
                      <w:highlight w:val="none"/>
                      <w:vertAlign w:val="superscript"/>
                    </w:rPr>
                    <w:t>3</w:t>
                  </w:r>
                </w:p>
              </w:tc>
              <w:tc>
                <w:tcPr>
                  <w:tcW w:w="4245" w:type="dxa"/>
                  <w:shd w:val="clear" w:color="auto" w:fill="auto"/>
                  <w:vAlign w:val="center"/>
                </w:tcPr>
                <w:p w14:paraId="7F1C0840">
                  <w:pPr>
                    <w:jc w:val="center"/>
                    <w:rPr>
                      <w:rFonts w:hint="default" w:ascii="Times New Roman" w:hAnsi="Times New Roman" w:eastAsiaTheme="minorEastAsia"/>
                      <w:color w:val="auto"/>
                      <w:sz w:val="21"/>
                      <w:szCs w:val="21"/>
                      <w:highlight w:val="none"/>
                      <w:lang w:val="en-US" w:eastAsia="zh-CN"/>
                    </w:rPr>
                  </w:pPr>
                  <w:r>
                    <w:rPr>
                      <w:rFonts w:hint="eastAsia" w:ascii="Times New Roman" w:hAnsi="Times New Roman" w:eastAsiaTheme="minorEastAsia"/>
                      <w:color w:val="auto"/>
                      <w:sz w:val="21"/>
                      <w:szCs w:val="21"/>
                      <w:highlight w:val="none"/>
                    </w:rPr>
                    <w:t>《大气污染物综合排放标准》（GB16297-1996）表2</w:t>
                  </w:r>
                  <w:r>
                    <w:rPr>
                      <w:rFonts w:hint="eastAsia" w:ascii="Times New Roman" w:hAnsi="Times New Roman" w:cs="Times New Roman"/>
                      <w:color w:val="auto"/>
                      <w:sz w:val="21"/>
                      <w:szCs w:val="21"/>
                      <w:highlight w:val="none"/>
                      <w:lang w:val="en-US" w:eastAsia="zh-CN"/>
                    </w:rPr>
                    <w:t>无组织排放监控浓度限值</w:t>
                  </w:r>
                </w:p>
              </w:tc>
            </w:tr>
            <w:tr w14:paraId="0BC368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83" w:type="dxa"/>
                  <w:vMerge w:val="continue"/>
                  <w:shd w:val="clear" w:color="auto" w:fill="auto"/>
                  <w:vAlign w:val="center"/>
                </w:tcPr>
                <w:p w14:paraId="45E45B13">
                  <w:pPr>
                    <w:rPr>
                      <w:rFonts w:ascii="Times New Roman" w:hAnsi="Times New Roman" w:eastAsiaTheme="minorEastAsia"/>
                      <w:color w:val="auto"/>
                      <w:sz w:val="21"/>
                      <w:szCs w:val="21"/>
                      <w:highlight w:val="none"/>
                    </w:rPr>
                  </w:pPr>
                </w:p>
              </w:tc>
              <w:tc>
                <w:tcPr>
                  <w:tcW w:w="729" w:type="dxa"/>
                  <w:shd w:val="clear" w:color="auto" w:fill="auto"/>
                  <w:vAlign w:val="center"/>
                </w:tcPr>
                <w:p w14:paraId="208D814B">
                  <w:pPr>
                    <w:widowControl/>
                    <w:jc w:val="center"/>
                    <w:rPr>
                      <w:rFonts w:ascii="Times New Roman" w:hAnsi="Times New Roman" w:eastAsiaTheme="minorEastAsia"/>
                      <w:color w:val="auto"/>
                      <w:sz w:val="21"/>
                      <w:szCs w:val="21"/>
                      <w:highlight w:val="none"/>
                    </w:rPr>
                  </w:pPr>
                  <w:r>
                    <w:rPr>
                      <w:rFonts w:hint="eastAsia" w:ascii="Times New Roman" w:hAnsi="Times New Roman" w:eastAsiaTheme="minorEastAsia"/>
                      <w:color w:val="auto"/>
                      <w:sz w:val="21"/>
                      <w:szCs w:val="21"/>
                      <w:highlight w:val="none"/>
                      <w:lang w:val="en-US" w:eastAsia="zh-CN"/>
                    </w:rPr>
                    <w:t>噪声</w:t>
                  </w:r>
                </w:p>
              </w:tc>
              <w:tc>
                <w:tcPr>
                  <w:tcW w:w="1313" w:type="dxa"/>
                  <w:gridSpan w:val="2"/>
                  <w:shd w:val="clear" w:color="auto" w:fill="auto"/>
                  <w:vAlign w:val="center"/>
                </w:tcPr>
                <w:p w14:paraId="4BCC001B">
                  <w:pPr>
                    <w:widowControl/>
                    <w:jc w:val="center"/>
                    <w:rPr>
                      <w:rFonts w:hint="eastAsia" w:ascii="Times New Roman" w:hAnsi="Times New Roman" w:eastAsiaTheme="minorEastAsia"/>
                      <w:color w:val="auto"/>
                      <w:kern w:val="0"/>
                      <w:sz w:val="21"/>
                      <w:szCs w:val="21"/>
                      <w:highlight w:val="none"/>
                      <w:lang w:val="en-US" w:eastAsia="zh-CN"/>
                    </w:rPr>
                  </w:pPr>
                  <w:r>
                    <w:rPr>
                      <w:rFonts w:hint="eastAsia" w:ascii="Times New Roman" w:hAnsi="Times New Roman" w:eastAsiaTheme="minorEastAsia"/>
                      <w:color w:val="auto"/>
                      <w:kern w:val="0"/>
                      <w:sz w:val="21"/>
                      <w:szCs w:val="21"/>
                      <w:highlight w:val="none"/>
                    </w:rPr>
                    <w:t>Leq</w:t>
                  </w:r>
                  <w:r>
                    <w:rPr>
                      <w:rFonts w:hint="eastAsia" w:ascii="Times New Roman" w:hAnsi="Times New Roman" w:eastAsiaTheme="minorEastAsia"/>
                      <w:color w:val="auto"/>
                      <w:kern w:val="0"/>
                      <w:sz w:val="21"/>
                      <w:szCs w:val="21"/>
                      <w:highlight w:val="none"/>
                      <w:lang w:val="en-US" w:eastAsia="zh-CN"/>
                    </w:rPr>
                    <w:t>A</w:t>
                  </w:r>
                </w:p>
              </w:tc>
              <w:tc>
                <w:tcPr>
                  <w:tcW w:w="1727" w:type="dxa"/>
                  <w:shd w:val="clear" w:color="auto" w:fill="auto"/>
                  <w:vAlign w:val="center"/>
                </w:tcPr>
                <w:p w14:paraId="6EBF2F6E">
                  <w:pPr>
                    <w:autoSpaceDE w:val="0"/>
                    <w:autoSpaceDN w:val="0"/>
                    <w:adjustRightInd w:val="0"/>
                    <w:jc w:val="center"/>
                    <w:rPr>
                      <w:rFonts w:hint="eastAsia" w:ascii="Times New Roman" w:hAnsi="Times New Roman" w:eastAsiaTheme="minorEastAsia"/>
                      <w:color w:val="auto"/>
                      <w:kern w:val="0"/>
                      <w:sz w:val="21"/>
                      <w:szCs w:val="21"/>
                      <w:highlight w:val="none"/>
                    </w:rPr>
                  </w:pPr>
                  <w:r>
                    <w:rPr>
                      <w:rFonts w:hint="eastAsia" w:ascii="Times New Roman" w:hAnsi="Times New Roman" w:eastAsiaTheme="minorEastAsia"/>
                      <w:color w:val="auto"/>
                      <w:kern w:val="0"/>
                      <w:sz w:val="21"/>
                      <w:szCs w:val="21"/>
                      <w:highlight w:val="none"/>
                    </w:rPr>
                    <w:t>昼间≤</w:t>
                  </w:r>
                  <w:r>
                    <w:rPr>
                      <w:rFonts w:hint="eastAsia" w:ascii="Times New Roman" w:hAnsi="Times New Roman" w:eastAsiaTheme="minorEastAsia"/>
                      <w:color w:val="auto"/>
                      <w:kern w:val="0"/>
                      <w:sz w:val="21"/>
                      <w:szCs w:val="21"/>
                      <w:highlight w:val="none"/>
                      <w:lang w:val="en-US" w:eastAsia="zh-CN"/>
                    </w:rPr>
                    <w:t>65</w:t>
                  </w:r>
                  <w:r>
                    <w:rPr>
                      <w:rFonts w:hint="eastAsia" w:ascii="Times New Roman" w:hAnsi="Times New Roman" w:eastAsiaTheme="minorEastAsia"/>
                      <w:color w:val="auto"/>
                      <w:kern w:val="0"/>
                      <w:sz w:val="21"/>
                      <w:szCs w:val="21"/>
                      <w:highlight w:val="none"/>
                    </w:rPr>
                    <w:t>dB</w:t>
                  </w:r>
                </w:p>
                <w:p w14:paraId="6CF718DB">
                  <w:pPr>
                    <w:autoSpaceDE w:val="0"/>
                    <w:autoSpaceDN w:val="0"/>
                    <w:adjustRightInd w:val="0"/>
                    <w:jc w:val="center"/>
                    <w:rPr>
                      <w:rFonts w:ascii="Times New Roman" w:hAnsi="Times New Roman" w:eastAsiaTheme="minorEastAsia"/>
                      <w:color w:val="auto"/>
                      <w:kern w:val="0"/>
                      <w:sz w:val="21"/>
                      <w:szCs w:val="21"/>
                      <w:highlight w:val="none"/>
                    </w:rPr>
                  </w:pPr>
                  <w:r>
                    <w:rPr>
                      <w:rFonts w:hint="eastAsia" w:ascii="Times New Roman" w:hAnsi="Times New Roman" w:eastAsiaTheme="minorEastAsia"/>
                      <w:color w:val="auto"/>
                      <w:kern w:val="0"/>
                      <w:sz w:val="21"/>
                      <w:szCs w:val="21"/>
                      <w:highlight w:val="none"/>
                    </w:rPr>
                    <w:t>夜间≤55dB</w:t>
                  </w:r>
                </w:p>
              </w:tc>
              <w:tc>
                <w:tcPr>
                  <w:tcW w:w="4245" w:type="dxa"/>
                  <w:shd w:val="clear" w:color="auto" w:fill="auto"/>
                  <w:vAlign w:val="center"/>
                </w:tcPr>
                <w:p w14:paraId="794ED2F9">
                  <w:pPr>
                    <w:jc w:val="center"/>
                    <w:rPr>
                      <w:rFonts w:ascii="Times New Roman" w:hAnsi="Times New Roman" w:eastAsiaTheme="minorEastAsia"/>
                      <w:color w:val="auto"/>
                      <w:sz w:val="21"/>
                      <w:szCs w:val="21"/>
                      <w:highlight w:val="none"/>
                    </w:rPr>
                  </w:pPr>
                  <w:r>
                    <w:rPr>
                      <w:rFonts w:hint="eastAsia" w:ascii="Times New Roman" w:hAnsi="Times New Roman" w:eastAsiaTheme="minorEastAsia"/>
                      <w:color w:val="auto"/>
                      <w:sz w:val="21"/>
                      <w:szCs w:val="21"/>
                      <w:highlight w:val="none"/>
                    </w:rPr>
                    <w:t>《工业企业厂界环境噪声排放标准》(GB12348-2008)表1中3类标准</w:t>
                  </w:r>
                </w:p>
              </w:tc>
            </w:tr>
          </w:tbl>
          <w:p w14:paraId="1A3D9E58">
            <w:pPr>
              <w:pStyle w:val="21"/>
              <w:rPr>
                <w:rFonts w:hint="default"/>
                <w:color w:val="auto"/>
                <w:highlight w:val="none"/>
              </w:rPr>
            </w:pPr>
          </w:p>
          <w:p w14:paraId="28FC03FD">
            <w:pPr>
              <w:rPr>
                <w:rFonts w:hint="default"/>
                <w:color w:val="auto"/>
                <w:highlight w:val="none"/>
              </w:rPr>
            </w:pPr>
          </w:p>
          <w:p w14:paraId="37C1D358">
            <w:pPr>
              <w:spacing w:line="360" w:lineRule="auto"/>
              <w:jc w:val="center"/>
              <w:rPr>
                <w:rFonts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续</w:t>
            </w:r>
            <w:r>
              <w:rPr>
                <w:rFonts w:ascii="Times New Roman" w:hAnsi="Times New Roman"/>
                <w:color w:val="auto"/>
                <w:sz w:val="24"/>
                <w:szCs w:val="24"/>
                <w:highlight w:val="none"/>
              </w:rPr>
              <w:t>表</w:t>
            </w:r>
            <w:r>
              <w:rPr>
                <w:rFonts w:hint="eastAsia" w:ascii="Times New Roman" w:hAnsi="Times New Roman"/>
                <w:color w:val="auto"/>
                <w:sz w:val="24"/>
                <w:szCs w:val="24"/>
                <w:highlight w:val="none"/>
                <w:lang w:val="en-US" w:eastAsia="zh-CN"/>
              </w:rPr>
              <w:t>3-6</w:t>
            </w:r>
            <w:r>
              <w:rPr>
                <w:rFonts w:ascii="Times New Roman" w:hAnsi="Times New Roman"/>
                <w:color w:val="auto"/>
                <w:sz w:val="24"/>
                <w:szCs w:val="24"/>
                <w:highlight w:val="none"/>
              </w:rPr>
              <w:t xml:space="preserve">  </w:t>
            </w:r>
            <w:r>
              <w:rPr>
                <w:rFonts w:hint="eastAsia" w:ascii="Times New Roman" w:hAnsi="Times New Roman"/>
                <w:color w:val="auto"/>
                <w:sz w:val="24"/>
                <w:szCs w:val="24"/>
                <w:highlight w:val="none"/>
                <w:lang w:val="en-US" w:eastAsia="zh-CN"/>
              </w:rPr>
              <w:t>污染物排放控制标准</w:t>
            </w:r>
            <w:r>
              <w:rPr>
                <w:rFonts w:ascii="Times New Roman" w:hAnsi="Times New Roman"/>
                <w:color w:val="auto"/>
                <w:sz w:val="24"/>
                <w:szCs w:val="24"/>
                <w:highlight w:val="none"/>
              </w:rPr>
              <w:t>一览表</w:t>
            </w:r>
          </w:p>
          <w:tbl>
            <w:tblPr>
              <w:tblStyle w:val="31"/>
              <w:tblW w:w="839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3"/>
              <w:gridCol w:w="729"/>
              <w:gridCol w:w="1313"/>
              <w:gridCol w:w="1727"/>
              <w:gridCol w:w="4245"/>
            </w:tblGrid>
            <w:tr w14:paraId="5AB7E6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83" w:type="dxa"/>
                  <w:shd w:val="clear" w:color="auto" w:fill="auto"/>
                  <w:vAlign w:val="center"/>
                </w:tcPr>
                <w:p w14:paraId="619C236F">
                  <w:pPr>
                    <w:widowControl/>
                    <w:jc w:val="center"/>
                    <w:rPr>
                      <w:rFonts w:hint="eastAsia" w:ascii="Times New Roman" w:hAnsi="Times New Roman" w:eastAsiaTheme="minorEastAsia"/>
                      <w:bCs/>
                      <w:color w:val="auto"/>
                      <w:sz w:val="21"/>
                      <w:szCs w:val="21"/>
                      <w:highlight w:val="none"/>
                      <w:lang w:eastAsia="zh-CN"/>
                    </w:rPr>
                  </w:pPr>
                  <w:r>
                    <w:rPr>
                      <w:rFonts w:hint="eastAsia" w:ascii="Times New Roman" w:hAnsi="Times New Roman" w:eastAsiaTheme="minorEastAsia"/>
                      <w:bCs/>
                      <w:color w:val="auto"/>
                      <w:sz w:val="21"/>
                      <w:szCs w:val="21"/>
                      <w:highlight w:val="none"/>
                      <w:lang w:val="en-US" w:eastAsia="zh-CN"/>
                    </w:rPr>
                    <w:t>阶段</w:t>
                  </w:r>
                </w:p>
              </w:tc>
              <w:tc>
                <w:tcPr>
                  <w:tcW w:w="729" w:type="dxa"/>
                  <w:shd w:val="clear" w:color="auto" w:fill="auto"/>
                  <w:vAlign w:val="center"/>
                </w:tcPr>
                <w:p w14:paraId="77EAC87B">
                  <w:pPr>
                    <w:widowControl/>
                    <w:jc w:val="center"/>
                    <w:rPr>
                      <w:rFonts w:hint="eastAsia" w:ascii="Times New Roman" w:hAnsi="Times New Roman" w:eastAsiaTheme="minorEastAsia"/>
                      <w:bCs/>
                      <w:color w:val="auto"/>
                      <w:sz w:val="21"/>
                      <w:szCs w:val="21"/>
                      <w:highlight w:val="none"/>
                      <w:lang w:eastAsia="zh-CN"/>
                    </w:rPr>
                  </w:pPr>
                  <w:r>
                    <w:rPr>
                      <w:rFonts w:hint="eastAsia" w:ascii="Times New Roman" w:hAnsi="Times New Roman" w:eastAsiaTheme="minorEastAsia"/>
                      <w:bCs/>
                      <w:color w:val="auto"/>
                      <w:sz w:val="21"/>
                      <w:szCs w:val="21"/>
                      <w:highlight w:val="none"/>
                      <w:lang w:val="en-US" w:eastAsia="zh-CN"/>
                    </w:rPr>
                    <w:t>项目</w:t>
                  </w:r>
                </w:p>
              </w:tc>
              <w:tc>
                <w:tcPr>
                  <w:tcW w:w="1313" w:type="dxa"/>
                  <w:shd w:val="clear" w:color="auto" w:fill="auto"/>
                  <w:vAlign w:val="center"/>
                </w:tcPr>
                <w:p w14:paraId="7F7EFE4A">
                  <w:pPr>
                    <w:widowControl/>
                    <w:jc w:val="center"/>
                    <w:rPr>
                      <w:rFonts w:hint="default" w:ascii="Times New Roman" w:hAnsi="Times New Roman" w:eastAsiaTheme="minorEastAsia"/>
                      <w:bCs/>
                      <w:color w:val="auto"/>
                      <w:sz w:val="21"/>
                      <w:szCs w:val="21"/>
                      <w:highlight w:val="none"/>
                      <w:lang w:val="en-US" w:eastAsia="zh-CN"/>
                    </w:rPr>
                  </w:pPr>
                  <w:r>
                    <w:rPr>
                      <w:rFonts w:hint="eastAsia" w:ascii="Times New Roman" w:hAnsi="Times New Roman" w:eastAsiaTheme="minorEastAsia"/>
                      <w:bCs/>
                      <w:color w:val="auto"/>
                      <w:sz w:val="21"/>
                      <w:szCs w:val="21"/>
                      <w:highlight w:val="none"/>
                      <w:lang w:val="en-US" w:eastAsia="zh-CN"/>
                    </w:rPr>
                    <w:t>评价因子</w:t>
                  </w:r>
                </w:p>
              </w:tc>
              <w:tc>
                <w:tcPr>
                  <w:tcW w:w="1727" w:type="dxa"/>
                  <w:shd w:val="clear" w:color="auto" w:fill="auto"/>
                  <w:vAlign w:val="center"/>
                </w:tcPr>
                <w:p w14:paraId="6554B6C8">
                  <w:pPr>
                    <w:widowControl/>
                    <w:jc w:val="center"/>
                    <w:rPr>
                      <w:rFonts w:hint="default" w:ascii="Times New Roman" w:hAnsi="Times New Roman" w:eastAsiaTheme="minorEastAsia"/>
                      <w:bCs/>
                      <w:color w:val="auto"/>
                      <w:sz w:val="21"/>
                      <w:szCs w:val="21"/>
                      <w:highlight w:val="none"/>
                      <w:lang w:val="en-US" w:eastAsia="zh-CN"/>
                    </w:rPr>
                  </w:pPr>
                  <w:r>
                    <w:rPr>
                      <w:rFonts w:hint="eastAsia" w:ascii="Times New Roman" w:hAnsi="Times New Roman" w:eastAsiaTheme="minorEastAsia"/>
                      <w:bCs/>
                      <w:color w:val="auto"/>
                      <w:sz w:val="21"/>
                      <w:szCs w:val="21"/>
                      <w:highlight w:val="none"/>
                      <w:lang w:val="en-US" w:eastAsia="zh-CN"/>
                    </w:rPr>
                    <w:t>标准值</w:t>
                  </w:r>
                </w:p>
              </w:tc>
              <w:tc>
                <w:tcPr>
                  <w:tcW w:w="4245" w:type="dxa"/>
                  <w:shd w:val="clear" w:color="auto" w:fill="auto"/>
                  <w:vAlign w:val="center"/>
                </w:tcPr>
                <w:p w14:paraId="56F2B288">
                  <w:pPr>
                    <w:widowControl/>
                    <w:jc w:val="center"/>
                    <w:rPr>
                      <w:rFonts w:hint="default" w:ascii="Times New Roman" w:hAnsi="Times New Roman" w:eastAsiaTheme="minorEastAsia"/>
                      <w:bCs/>
                      <w:color w:val="auto"/>
                      <w:sz w:val="21"/>
                      <w:szCs w:val="21"/>
                      <w:highlight w:val="none"/>
                      <w:lang w:val="en-US" w:eastAsia="zh-CN"/>
                    </w:rPr>
                  </w:pPr>
                  <w:r>
                    <w:rPr>
                      <w:rFonts w:hint="eastAsia" w:ascii="Times New Roman" w:hAnsi="Times New Roman" w:eastAsiaTheme="minorEastAsia"/>
                      <w:bCs/>
                      <w:color w:val="auto"/>
                      <w:sz w:val="21"/>
                      <w:szCs w:val="21"/>
                      <w:highlight w:val="none"/>
                      <w:lang w:val="en-US" w:eastAsia="zh-CN"/>
                    </w:rPr>
                    <w:t>标准依据</w:t>
                  </w:r>
                </w:p>
              </w:tc>
            </w:tr>
            <w:tr w14:paraId="60B933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5" w:hRule="atLeast"/>
                <w:jc w:val="center"/>
              </w:trPr>
              <w:tc>
                <w:tcPr>
                  <w:tcW w:w="383" w:type="dxa"/>
                  <w:vMerge w:val="restart"/>
                  <w:shd w:val="clear" w:color="auto" w:fill="auto"/>
                  <w:vAlign w:val="center"/>
                </w:tcPr>
                <w:p w14:paraId="5891F7FE">
                  <w:pPr>
                    <w:rPr>
                      <w:rFonts w:ascii="Times New Roman" w:hAnsi="Times New Roman" w:eastAsiaTheme="minorEastAsia"/>
                      <w:color w:val="auto"/>
                      <w:sz w:val="21"/>
                      <w:szCs w:val="21"/>
                      <w:highlight w:val="none"/>
                    </w:rPr>
                  </w:pPr>
                  <w:r>
                    <w:rPr>
                      <w:rFonts w:hint="eastAsia" w:ascii="Times New Roman" w:hAnsi="Times New Roman" w:eastAsiaTheme="minorEastAsia"/>
                      <w:color w:val="auto"/>
                      <w:sz w:val="21"/>
                      <w:szCs w:val="21"/>
                      <w:highlight w:val="none"/>
                      <w:lang w:val="en-US" w:eastAsia="zh-CN"/>
                    </w:rPr>
                    <w:t>运营期</w:t>
                  </w:r>
                </w:p>
              </w:tc>
              <w:tc>
                <w:tcPr>
                  <w:tcW w:w="729" w:type="dxa"/>
                  <w:shd w:val="clear" w:color="auto" w:fill="auto"/>
                  <w:vAlign w:val="center"/>
                </w:tcPr>
                <w:p w14:paraId="13E41A39">
                  <w:pPr>
                    <w:widowControl/>
                    <w:jc w:val="center"/>
                    <w:rPr>
                      <w:rFonts w:hint="default" w:ascii="Times New Roman" w:hAnsi="Times New Roman" w:eastAsiaTheme="minorEastAsia"/>
                      <w:color w:val="auto"/>
                      <w:sz w:val="21"/>
                      <w:szCs w:val="21"/>
                      <w:highlight w:val="none"/>
                      <w:lang w:val="en-US" w:eastAsia="zh-CN"/>
                    </w:rPr>
                  </w:pPr>
                  <w:r>
                    <w:rPr>
                      <w:rFonts w:hint="eastAsia" w:ascii="Times New Roman" w:hAnsi="Times New Roman" w:eastAsiaTheme="minorEastAsia"/>
                      <w:color w:val="auto"/>
                      <w:sz w:val="21"/>
                      <w:szCs w:val="21"/>
                      <w:highlight w:val="none"/>
                      <w:lang w:val="en-US" w:eastAsia="zh-CN"/>
                    </w:rPr>
                    <w:t>废水</w:t>
                  </w:r>
                </w:p>
              </w:tc>
              <w:tc>
                <w:tcPr>
                  <w:tcW w:w="1313" w:type="dxa"/>
                  <w:shd w:val="clear" w:color="auto" w:fill="auto"/>
                  <w:vAlign w:val="center"/>
                </w:tcPr>
                <w:p w14:paraId="627BDCB0">
                  <w:pPr>
                    <w:widowControl/>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pH</w:t>
                  </w:r>
                </w:p>
                <w:p w14:paraId="4F363C6C">
                  <w:pPr>
                    <w:widowControl/>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COD</w:t>
                  </w:r>
                </w:p>
                <w:p w14:paraId="51A5B3FF">
                  <w:pPr>
                    <w:widowControl/>
                    <w:jc w:val="center"/>
                    <w:rPr>
                      <w:rFonts w:hint="default" w:ascii="Times New Roman" w:hAnsi="Times New Roman" w:cs="Times New Roman"/>
                      <w:snapToGrid w:val="0"/>
                      <w:color w:val="auto"/>
                      <w:kern w:val="0"/>
                      <w:sz w:val="21"/>
                      <w:szCs w:val="21"/>
                      <w:highlight w:val="none"/>
                      <w:vertAlign w:val="subscript"/>
                    </w:rPr>
                  </w:pPr>
                  <w:r>
                    <w:rPr>
                      <w:rFonts w:hint="default" w:ascii="Times New Roman" w:hAnsi="Times New Roman" w:cs="Times New Roman"/>
                      <w:snapToGrid w:val="0"/>
                      <w:color w:val="auto"/>
                      <w:kern w:val="0"/>
                      <w:sz w:val="21"/>
                      <w:szCs w:val="21"/>
                      <w:highlight w:val="none"/>
                    </w:rPr>
                    <w:t>BOD</w:t>
                  </w:r>
                  <w:r>
                    <w:rPr>
                      <w:rFonts w:hint="default" w:ascii="Times New Roman" w:hAnsi="Times New Roman" w:cs="Times New Roman"/>
                      <w:snapToGrid w:val="0"/>
                      <w:color w:val="auto"/>
                      <w:kern w:val="0"/>
                      <w:sz w:val="21"/>
                      <w:szCs w:val="21"/>
                      <w:highlight w:val="none"/>
                      <w:vertAlign w:val="subscript"/>
                    </w:rPr>
                    <w:t>5</w:t>
                  </w:r>
                </w:p>
                <w:p w14:paraId="15251004">
                  <w:pPr>
                    <w:widowControl/>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氨氮</w:t>
                  </w:r>
                </w:p>
                <w:p w14:paraId="63738E96">
                  <w:pPr>
                    <w:widowControl/>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总氮</w:t>
                  </w:r>
                </w:p>
                <w:p w14:paraId="599F1ED5">
                  <w:pPr>
                    <w:widowControl/>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总磷</w:t>
                  </w:r>
                </w:p>
                <w:p w14:paraId="26EBA28E">
                  <w:pPr>
                    <w:widowControl/>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SS</w:t>
                  </w:r>
                </w:p>
                <w:p w14:paraId="71FFF326">
                  <w:pPr>
                    <w:widowControl/>
                    <w:jc w:val="center"/>
                    <w:rPr>
                      <w:rFonts w:hint="eastAsia" w:ascii="Times New Roman" w:hAnsi="Times New Roman" w:eastAsiaTheme="minorEastAsia"/>
                      <w:color w:val="auto"/>
                      <w:kern w:val="0"/>
                      <w:sz w:val="21"/>
                      <w:szCs w:val="21"/>
                      <w:highlight w:val="none"/>
                    </w:rPr>
                  </w:pPr>
                  <w:r>
                    <w:rPr>
                      <w:rFonts w:hint="default" w:ascii="Times New Roman" w:hAnsi="Times New Roman" w:cs="Times New Roman"/>
                      <w:snapToGrid w:val="0"/>
                      <w:color w:val="auto"/>
                      <w:kern w:val="0"/>
                      <w:sz w:val="21"/>
                      <w:szCs w:val="21"/>
                      <w:highlight w:val="none"/>
                    </w:rPr>
                    <w:t>动植物油</w:t>
                  </w:r>
                </w:p>
              </w:tc>
              <w:tc>
                <w:tcPr>
                  <w:tcW w:w="1727" w:type="dxa"/>
                  <w:shd w:val="clear" w:color="auto" w:fill="auto"/>
                  <w:vAlign w:val="center"/>
                </w:tcPr>
                <w:p w14:paraId="49A9B4A2">
                  <w:pPr>
                    <w:widowControl/>
                    <w:jc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6-8.5（无量纲）</w:t>
                  </w:r>
                </w:p>
                <w:p w14:paraId="6AE20A8E">
                  <w:pPr>
                    <w:widowControl/>
                    <w:jc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500</w:t>
                  </w:r>
                  <w:r>
                    <w:rPr>
                      <w:rFonts w:hint="eastAsia" w:ascii="Times New Roman" w:hAnsi="Times New Roman" w:eastAsiaTheme="minorEastAsia"/>
                      <w:color w:val="auto"/>
                      <w:kern w:val="0"/>
                      <w:sz w:val="21"/>
                      <w:szCs w:val="21"/>
                      <w:highlight w:val="none"/>
                      <w:lang w:val="en-US" w:eastAsia="zh-CN"/>
                    </w:rPr>
                    <w:t>m</w:t>
                  </w:r>
                  <w:r>
                    <w:rPr>
                      <w:rFonts w:hint="eastAsia" w:ascii="Times New Roman" w:hAnsi="Times New Roman" w:eastAsiaTheme="minorEastAsia"/>
                      <w:color w:val="auto"/>
                      <w:kern w:val="0"/>
                      <w:sz w:val="21"/>
                      <w:szCs w:val="21"/>
                      <w:highlight w:val="none"/>
                    </w:rPr>
                    <w:t>g/m</w:t>
                  </w:r>
                  <w:r>
                    <w:rPr>
                      <w:rFonts w:hint="eastAsia" w:ascii="Times New Roman" w:hAnsi="Times New Roman" w:eastAsiaTheme="minorEastAsia"/>
                      <w:color w:val="auto"/>
                      <w:kern w:val="0"/>
                      <w:sz w:val="21"/>
                      <w:szCs w:val="21"/>
                      <w:highlight w:val="none"/>
                      <w:vertAlign w:val="superscript"/>
                    </w:rPr>
                    <w:t>3</w:t>
                  </w:r>
                </w:p>
                <w:p w14:paraId="6D8DC1A1">
                  <w:pPr>
                    <w:widowControl/>
                    <w:jc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250</w:t>
                  </w:r>
                  <w:r>
                    <w:rPr>
                      <w:rFonts w:hint="eastAsia" w:ascii="Times New Roman" w:hAnsi="Times New Roman" w:eastAsiaTheme="minorEastAsia"/>
                      <w:color w:val="auto"/>
                      <w:kern w:val="0"/>
                      <w:sz w:val="21"/>
                      <w:szCs w:val="21"/>
                      <w:highlight w:val="none"/>
                      <w:lang w:val="en-US" w:eastAsia="zh-CN"/>
                    </w:rPr>
                    <w:t>m</w:t>
                  </w:r>
                  <w:r>
                    <w:rPr>
                      <w:rFonts w:hint="eastAsia" w:ascii="Times New Roman" w:hAnsi="Times New Roman" w:eastAsiaTheme="minorEastAsia"/>
                      <w:color w:val="auto"/>
                      <w:kern w:val="0"/>
                      <w:sz w:val="21"/>
                      <w:szCs w:val="21"/>
                      <w:highlight w:val="none"/>
                    </w:rPr>
                    <w:t>g/m</w:t>
                  </w:r>
                  <w:r>
                    <w:rPr>
                      <w:rFonts w:hint="eastAsia" w:ascii="Times New Roman" w:hAnsi="Times New Roman" w:eastAsiaTheme="minorEastAsia"/>
                      <w:color w:val="auto"/>
                      <w:kern w:val="0"/>
                      <w:sz w:val="21"/>
                      <w:szCs w:val="21"/>
                      <w:highlight w:val="none"/>
                      <w:vertAlign w:val="superscript"/>
                    </w:rPr>
                    <w:t>3</w:t>
                  </w:r>
                </w:p>
                <w:p w14:paraId="3518EC04">
                  <w:pPr>
                    <w:widowControl/>
                    <w:jc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40</w:t>
                  </w:r>
                  <w:r>
                    <w:rPr>
                      <w:rFonts w:hint="eastAsia" w:ascii="Times New Roman" w:hAnsi="Times New Roman" w:eastAsiaTheme="minorEastAsia"/>
                      <w:color w:val="auto"/>
                      <w:kern w:val="0"/>
                      <w:sz w:val="21"/>
                      <w:szCs w:val="21"/>
                      <w:highlight w:val="none"/>
                      <w:lang w:val="en-US" w:eastAsia="zh-CN"/>
                    </w:rPr>
                    <w:t>m</w:t>
                  </w:r>
                  <w:r>
                    <w:rPr>
                      <w:rFonts w:hint="eastAsia" w:ascii="Times New Roman" w:hAnsi="Times New Roman" w:eastAsiaTheme="minorEastAsia"/>
                      <w:color w:val="auto"/>
                      <w:kern w:val="0"/>
                      <w:sz w:val="21"/>
                      <w:szCs w:val="21"/>
                      <w:highlight w:val="none"/>
                    </w:rPr>
                    <w:t>g/m</w:t>
                  </w:r>
                  <w:r>
                    <w:rPr>
                      <w:rFonts w:hint="eastAsia" w:ascii="Times New Roman" w:hAnsi="Times New Roman" w:eastAsiaTheme="minorEastAsia"/>
                      <w:color w:val="auto"/>
                      <w:kern w:val="0"/>
                      <w:sz w:val="21"/>
                      <w:szCs w:val="21"/>
                      <w:highlight w:val="none"/>
                      <w:vertAlign w:val="superscript"/>
                    </w:rPr>
                    <w:t>3</w:t>
                  </w:r>
                </w:p>
                <w:p w14:paraId="42C62803">
                  <w:pPr>
                    <w:widowControl/>
                    <w:jc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30</w:t>
                  </w:r>
                  <w:r>
                    <w:rPr>
                      <w:rFonts w:hint="eastAsia" w:ascii="Times New Roman" w:hAnsi="Times New Roman" w:eastAsiaTheme="minorEastAsia"/>
                      <w:color w:val="auto"/>
                      <w:kern w:val="0"/>
                      <w:sz w:val="21"/>
                      <w:szCs w:val="21"/>
                      <w:highlight w:val="none"/>
                      <w:lang w:val="en-US" w:eastAsia="zh-CN"/>
                    </w:rPr>
                    <w:t>m</w:t>
                  </w:r>
                  <w:r>
                    <w:rPr>
                      <w:rFonts w:hint="eastAsia" w:ascii="Times New Roman" w:hAnsi="Times New Roman" w:eastAsiaTheme="minorEastAsia"/>
                      <w:color w:val="auto"/>
                      <w:kern w:val="0"/>
                      <w:sz w:val="21"/>
                      <w:szCs w:val="21"/>
                      <w:highlight w:val="none"/>
                    </w:rPr>
                    <w:t>g/m</w:t>
                  </w:r>
                  <w:r>
                    <w:rPr>
                      <w:rFonts w:hint="eastAsia" w:ascii="Times New Roman" w:hAnsi="Times New Roman" w:eastAsiaTheme="minorEastAsia"/>
                      <w:color w:val="auto"/>
                      <w:kern w:val="0"/>
                      <w:sz w:val="21"/>
                      <w:szCs w:val="21"/>
                      <w:highlight w:val="none"/>
                      <w:vertAlign w:val="superscript"/>
                    </w:rPr>
                    <w:t>3</w:t>
                  </w:r>
                </w:p>
                <w:p w14:paraId="424BAA10">
                  <w:pPr>
                    <w:widowControl/>
                    <w:jc w:val="center"/>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3</w:t>
                  </w:r>
                  <w:r>
                    <w:rPr>
                      <w:rFonts w:hint="eastAsia" w:ascii="Times New Roman" w:hAnsi="Times New Roman" w:eastAsiaTheme="minorEastAsia"/>
                      <w:color w:val="auto"/>
                      <w:kern w:val="0"/>
                      <w:sz w:val="21"/>
                      <w:szCs w:val="21"/>
                      <w:highlight w:val="none"/>
                      <w:lang w:val="en-US" w:eastAsia="zh-CN"/>
                    </w:rPr>
                    <w:t>m</w:t>
                  </w:r>
                  <w:r>
                    <w:rPr>
                      <w:rFonts w:hint="eastAsia" w:ascii="Times New Roman" w:hAnsi="Times New Roman" w:eastAsiaTheme="minorEastAsia"/>
                      <w:color w:val="auto"/>
                      <w:kern w:val="0"/>
                      <w:sz w:val="21"/>
                      <w:szCs w:val="21"/>
                      <w:highlight w:val="none"/>
                    </w:rPr>
                    <w:t>g/m</w:t>
                  </w:r>
                  <w:r>
                    <w:rPr>
                      <w:rFonts w:hint="eastAsia" w:ascii="Times New Roman" w:hAnsi="Times New Roman" w:eastAsiaTheme="minorEastAsia"/>
                      <w:color w:val="auto"/>
                      <w:kern w:val="0"/>
                      <w:sz w:val="21"/>
                      <w:szCs w:val="21"/>
                      <w:highlight w:val="none"/>
                      <w:vertAlign w:val="superscript"/>
                    </w:rPr>
                    <w:t>3</w:t>
                  </w:r>
                </w:p>
                <w:p w14:paraId="5B2D82FC">
                  <w:pPr>
                    <w:widowControl/>
                    <w:jc w:val="center"/>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25</w:t>
                  </w:r>
                  <w:r>
                    <w:rPr>
                      <w:rFonts w:hint="eastAsia" w:ascii="Times New Roman" w:hAnsi="Times New Roman" w:eastAsia="宋体" w:cs="Times New Roman"/>
                      <w:snapToGrid w:val="0"/>
                      <w:color w:val="auto"/>
                      <w:kern w:val="0"/>
                      <w:sz w:val="21"/>
                      <w:szCs w:val="21"/>
                      <w:highlight w:val="none"/>
                      <w:lang w:val="en-US" w:eastAsia="zh-CN"/>
                    </w:rPr>
                    <w:t>0</w:t>
                  </w:r>
                  <w:r>
                    <w:rPr>
                      <w:rFonts w:hint="eastAsia" w:ascii="Times New Roman" w:hAnsi="Times New Roman" w:eastAsiaTheme="minorEastAsia"/>
                      <w:color w:val="auto"/>
                      <w:kern w:val="0"/>
                      <w:sz w:val="21"/>
                      <w:szCs w:val="21"/>
                      <w:highlight w:val="none"/>
                      <w:lang w:val="en-US" w:eastAsia="zh-CN"/>
                    </w:rPr>
                    <w:t>m</w:t>
                  </w:r>
                  <w:r>
                    <w:rPr>
                      <w:rFonts w:hint="eastAsia" w:ascii="Times New Roman" w:hAnsi="Times New Roman" w:eastAsiaTheme="minorEastAsia"/>
                      <w:color w:val="auto"/>
                      <w:kern w:val="0"/>
                      <w:sz w:val="21"/>
                      <w:szCs w:val="21"/>
                      <w:highlight w:val="none"/>
                    </w:rPr>
                    <w:t>g/m</w:t>
                  </w:r>
                  <w:r>
                    <w:rPr>
                      <w:rFonts w:hint="eastAsia" w:ascii="Times New Roman" w:hAnsi="Times New Roman" w:eastAsiaTheme="minorEastAsia"/>
                      <w:color w:val="auto"/>
                      <w:kern w:val="0"/>
                      <w:sz w:val="21"/>
                      <w:szCs w:val="21"/>
                      <w:highlight w:val="none"/>
                      <w:vertAlign w:val="superscript"/>
                    </w:rPr>
                    <w:t>3</w:t>
                  </w:r>
                </w:p>
                <w:p w14:paraId="4004A944">
                  <w:pPr>
                    <w:widowControl/>
                    <w:jc w:val="center"/>
                    <w:rPr>
                      <w:rFonts w:hint="eastAsia" w:ascii="Times New Roman" w:hAnsi="Times New Roman" w:eastAsiaTheme="minorEastAsia"/>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lang w:val="en-US" w:eastAsia="zh-CN"/>
                    </w:rPr>
                    <w:t>100</w:t>
                  </w:r>
                  <w:r>
                    <w:rPr>
                      <w:rFonts w:hint="eastAsia" w:ascii="Times New Roman" w:hAnsi="Times New Roman" w:eastAsiaTheme="minorEastAsia"/>
                      <w:color w:val="auto"/>
                      <w:kern w:val="0"/>
                      <w:sz w:val="21"/>
                      <w:szCs w:val="21"/>
                      <w:highlight w:val="none"/>
                      <w:lang w:val="en-US" w:eastAsia="zh-CN"/>
                    </w:rPr>
                    <w:t>m</w:t>
                  </w:r>
                  <w:r>
                    <w:rPr>
                      <w:rFonts w:hint="eastAsia" w:ascii="Times New Roman" w:hAnsi="Times New Roman" w:eastAsiaTheme="minorEastAsia"/>
                      <w:color w:val="auto"/>
                      <w:kern w:val="0"/>
                      <w:sz w:val="21"/>
                      <w:szCs w:val="21"/>
                      <w:highlight w:val="none"/>
                    </w:rPr>
                    <w:t>g/m</w:t>
                  </w:r>
                  <w:r>
                    <w:rPr>
                      <w:rFonts w:hint="eastAsia" w:ascii="Times New Roman" w:hAnsi="Times New Roman" w:eastAsiaTheme="minorEastAsia"/>
                      <w:color w:val="auto"/>
                      <w:kern w:val="0"/>
                      <w:sz w:val="21"/>
                      <w:szCs w:val="21"/>
                      <w:highlight w:val="none"/>
                      <w:vertAlign w:val="superscript"/>
                    </w:rPr>
                    <w:t>3</w:t>
                  </w:r>
                </w:p>
              </w:tc>
              <w:tc>
                <w:tcPr>
                  <w:tcW w:w="4245" w:type="dxa"/>
                  <w:shd w:val="clear" w:color="auto" w:fill="auto"/>
                  <w:vAlign w:val="center"/>
                </w:tcPr>
                <w:p w14:paraId="5AD597F1">
                  <w:pPr>
                    <w:jc w:val="center"/>
                    <w:rPr>
                      <w:rFonts w:hint="eastAsia" w:ascii="Times New Roman" w:hAnsi="Times New Roman" w:eastAsiaTheme="minorEastAsia"/>
                      <w:color w:val="auto"/>
                      <w:sz w:val="21"/>
                      <w:szCs w:val="21"/>
                      <w:highlight w:val="none"/>
                    </w:rPr>
                  </w:pPr>
                  <w:r>
                    <w:rPr>
                      <w:rFonts w:hint="eastAsia" w:ascii="Times New Roman" w:hAnsi="Times New Roman" w:eastAsiaTheme="minorEastAsia"/>
                      <w:color w:val="auto"/>
                      <w:sz w:val="21"/>
                      <w:szCs w:val="21"/>
                      <w:highlight w:val="none"/>
                      <w:lang w:val="en-US" w:eastAsia="zh-CN"/>
                    </w:rPr>
                    <w:t>满足</w:t>
                  </w:r>
                  <w:r>
                    <w:rPr>
                      <w:rFonts w:hint="eastAsia" w:ascii="Times New Roman" w:hAnsi="Times New Roman" w:eastAsiaTheme="minorEastAsia"/>
                      <w:color w:val="auto"/>
                      <w:sz w:val="21"/>
                      <w:szCs w:val="21"/>
                      <w:highlight w:val="none"/>
                    </w:rPr>
                    <w:t>《污水综合排放标准》（GB8978-1996）</w:t>
                  </w:r>
                  <w:r>
                    <w:rPr>
                      <w:rFonts w:hint="eastAsia" w:ascii="Times New Roman" w:hAnsi="Times New Roman" w:eastAsiaTheme="minorEastAsia"/>
                      <w:color w:val="auto"/>
                      <w:sz w:val="21"/>
                      <w:szCs w:val="21"/>
                      <w:highlight w:val="none"/>
                      <w:lang w:val="en-US" w:eastAsia="zh-CN"/>
                    </w:rPr>
                    <w:t>表4及</w:t>
                  </w:r>
                  <w:r>
                    <w:rPr>
                      <w:rFonts w:ascii="Times New Roman" w:hAnsi="Times New Roman" w:eastAsiaTheme="minorEastAsia"/>
                      <w:color w:val="auto"/>
                      <w:sz w:val="21"/>
                      <w:szCs w:val="21"/>
                      <w:highlight w:val="none"/>
                    </w:rPr>
                    <w:t>徐水区大王店污水处理厂</w:t>
                  </w:r>
                  <w:r>
                    <w:rPr>
                      <w:rFonts w:hint="eastAsia" w:ascii="Times New Roman" w:hAnsi="Times New Roman" w:eastAsiaTheme="minorEastAsia"/>
                      <w:color w:val="auto"/>
                      <w:sz w:val="21"/>
                      <w:szCs w:val="21"/>
                      <w:highlight w:val="none"/>
                      <w:lang w:val="en-US" w:eastAsia="zh-CN"/>
                    </w:rPr>
                    <w:t>进水指标。</w:t>
                  </w:r>
                </w:p>
              </w:tc>
            </w:tr>
            <w:tr w14:paraId="1F1309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383" w:type="dxa"/>
                  <w:vMerge w:val="continue"/>
                  <w:shd w:val="clear" w:color="auto" w:fill="auto"/>
                  <w:vAlign w:val="center"/>
                </w:tcPr>
                <w:p w14:paraId="24DF15AD">
                  <w:pPr>
                    <w:rPr>
                      <w:rFonts w:ascii="Times New Roman" w:hAnsi="Times New Roman" w:eastAsiaTheme="minorEastAsia"/>
                      <w:color w:val="auto"/>
                      <w:sz w:val="21"/>
                      <w:szCs w:val="21"/>
                      <w:highlight w:val="none"/>
                    </w:rPr>
                  </w:pPr>
                </w:p>
              </w:tc>
              <w:tc>
                <w:tcPr>
                  <w:tcW w:w="729" w:type="dxa"/>
                  <w:shd w:val="clear" w:color="auto" w:fill="auto"/>
                  <w:vAlign w:val="center"/>
                </w:tcPr>
                <w:p w14:paraId="2671E2BB">
                  <w:pPr>
                    <w:widowControl/>
                    <w:jc w:val="center"/>
                    <w:rPr>
                      <w:rFonts w:hint="eastAsia" w:ascii="Times New Roman" w:hAnsi="Times New Roman" w:eastAsiaTheme="minorEastAsia"/>
                      <w:color w:val="auto"/>
                      <w:sz w:val="21"/>
                      <w:szCs w:val="21"/>
                      <w:highlight w:val="none"/>
                      <w:lang w:val="en-US" w:eastAsia="zh-CN"/>
                    </w:rPr>
                  </w:pPr>
                  <w:r>
                    <w:rPr>
                      <w:rFonts w:hint="eastAsia" w:ascii="Times New Roman" w:hAnsi="Times New Roman" w:eastAsiaTheme="minorEastAsia"/>
                      <w:color w:val="auto"/>
                      <w:sz w:val="21"/>
                      <w:szCs w:val="21"/>
                      <w:highlight w:val="none"/>
                      <w:lang w:val="en-US" w:eastAsia="zh-CN"/>
                    </w:rPr>
                    <w:t>固废</w:t>
                  </w:r>
                </w:p>
              </w:tc>
              <w:tc>
                <w:tcPr>
                  <w:tcW w:w="1313" w:type="dxa"/>
                  <w:shd w:val="clear" w:color="auto" w:fill="auto"/>
                  <w:vAlign w:val="center"/>
                </w:tcPr>
                <w:p w14:paraId="5BDFB1B2">
                  <w:pPr>
                    <w:widowControl/>
                    <w:jc w:val="center"/>
                    <w:rPr>
                      <w:rFonts w:hint="default" w:ascii="Times New Roman" w:hAnsi="Times New Roman" w:eastAsiaTheme="minorEastAsia"/>
                      <w:color w:val="auto"/>
                      <w:kern w:val="0"/>
                      <w:sz w:val="21"/>
                      <w:szCs w:val="21"/>
                      <w:highlight w:val="none"/>
                      <w:lang w:val="en-US" w:eastAsia="zh-CN"/>
                    </w:rPr>
                  </w:pPr>
                  <w:r>
                    <w:rPr>
                      <w:rFonts w:hint="eastAsia" w:ascii="Times New Roman" w:hAnsi="Times New Roman" w:eastAsiaTheme="minorEastAsia"/>
                      <w:color w:val="auto"/>
                      <w:kern w:val="0"/>
                      <w:sz w:val="21"/>
                      <w:szCs w:val="21"/>
                      <w:highlight w:val="none"/>
                      <w:lang w:val="en-US" w:eastAsia="zh-CN"/>
                    </w:rPr>
                    <w:t>固体废物</w:t>
                  </w:r>
                </w:p>
              </w:tc>
              <w:tc>
                <w:tcPr>
                  <w:tcW w:w="1727" w:type="dxa"/>
                  <w:shd w:val="clear" w:color="auto" w:fill="auto"/>
                  <w:vAlign w:val="center"/>
                </w:tcPr>
                <w:p w14:paraId="6892D1A0">
                  <w:pPr>
                    <w:autoSpaceDE w:val="0"/>
                    <w:autoSpaceDN w:val="0"/>
                    <w:adjustRightInd w:val="0"/>
                    <w:jc w:val="center"/>
                    <w:rPr>
                      <w:rFonts w:hint="eastAsia" w:ascii="Times New Roman" w:hAnsi="Times New Roman" w:eastAsiaTheme="minorEastAsia"/>
                      <w:color w:val="auto"/>
                      <w:kern w:val="0"/>
                      <w:sz w:val="21"/>
                      <w:szCs w:val="21"/>
                      <w:highlight w:val="none"/>
                      <w:lang w:eastAsia="zh-CN"/>
                    </w:rPr>
                  </w:pPr>
                  <w:r>
                    <w:rPr>
                      <w:rFonts w:hint="eastAsia" w:ascii="Times New Roman" w:hAnsi="Times New Roman" w:eastAsiaTheme="minorEastAsia"/>
                      <w:color w:val="auto"/>
                      <w:kern w:val="0"/>
                      <w:sz w:val="21"/>
                      <w:szCs w:val="21"/>
                      <w:highlight w:val="none"/>
                      <w:lang w:eastAsia="zh-CN"/>
                    </w:rPr>
                    <w:t>——</w:t>
                  </w:r>
                </w:p>
              </w:tc>
              <w:tc>
                <w:tcPr>
                  <w:tcW w:w="4245" w:type="dxa"/>
                  <w:shd w:val="clear" w:color="auto" w:fill="auto"/>
                  <w:vAlign w:val="center"/>
                </w:tcPr>
                <w:p w14:paraId="72A73E6D">
                  <w:pPr>
                    <w:jc w:val="center"/>
                    <w:rPr>
                      <w:rFonts w:ascii="Times New Roman" w:hAnsi="Times New Roman" w:eastAsiaTheme="minorEastAsia"/>
                      <w:color w:val="auto"/>
                      <w:sz w:val="21"/>
                      <w:szCs w:val="21"/>
                      <w:highlight w:val="none"/>
                    </w:rPr>
                  </w:pPr>
                  <w:r>
                    <w:rPr>
                      <w:rFonts w:hint="eastAsia" w:ascii="Times New Roman" w:hAnsi="Times New Roman" w:eastAsiaTheme="minorEastAsia"/>
                      <w:color w:val="auto"/>
                      <w:sz w:val="21"/>
                      <w:szCs w:val="21"/>
                      <w:highlight w:val="none"/>
                    </w:rPr>
                    <w:t>生活垃圾参照执行《生活垃圾填埋场污染控制标准》（GB16889-2008）</w:t>
                  </w:r>
                  <w:r>
                    <w:rPr>
                      <w:rFonts w:hint="eastAsia" w:ascii="Times New Roman" w:hAnsi="Times New Roman" w:eastAsiaTheme="minorEastAsia"/>
                      <w:color w:val="auto"/>
                      <w:sz w:val="21"/>
                      <w:szCs w:val="21"/>
                      <w:highlight w:val="none"/>
                      <w:lang w:eastAsia="zh-CN"/>
                    </w:rPr>
                    <w:t>；</w:t>
                  </w:r>
                  <w:r>
                    <w:rPr>
                      <w:rFonts w:hint="eastAsia" w:ascii="Times New Roman" w:hAnsi="Times New Roman" w:eastAsiaTheme="minorEastAsia"/>
                      <w:color w:val="auto"/>
                      <w:sz w:val="21"/>
                      <w:szCs w:val="21"/>
                      <w:highlight w:val="none"/>
                    </w:rPr>
                    <w:t>危险废物执行《危险废物贮存污染控制标准》(GB18597-2023)相关要求</w:t>
                  </w:r>
                </w:p>
              </w:tc>
            </w:tr>
          </w:tbl>
          <w:p w14:paraId="79136463">
            <w:pPr>
              <w:pStyle w:val="21"/>
              <w:rPr>
                <w:rFonts w:hint="default"/>
                <w:color w:val="auto"/>
                <w:highlight w:val="none"/>
              </w:rPr>
            </w:pPr>
          </w:p>
        </w:tc>
      </w:tr>
      <w:tr w14:paraId="287BC4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7" w:hRule="atLeast"/>
          <w:jc w:val="center"/>
        </w:trPr>
        <w:tc>
          <w:tcPr>
            <w:tcW w:w="457" w:type="dxa"/>
            <w:vAlign w:val="center"/>
          </w:tcPr>
          <w:p w14:paraId="42A8345D">
            <w:pPr>
              <w:adjustRightInd w:val="0"/>
              <w:snapToGrid w:val="0"/>
              <w:jc w:val="center"/>
              <w:rPr>
                <w:rFonts w:ascii="Times New Roman" w:hAnsi="Times New Roman" w:eastAsiaTheme="minorEastAsia"/>
                <w:b/>
                <w:bCs/>
                <w:color w:val="auto"/>
                <w:kern w:val="0"/>
                <w:sz w:val="24"/>
                <w:szCs w:val="24"/>
                <w:highlight w:val="none"/>
              </w:rPr>
            </w:pPr>
            <w:r>
              <w:rPr>
                <w:rFonts w:ascii="Times New Roman" w:hAnsi="Times New Roman" w:eastAsiaTheme="minorEastAsia"/>
                <w:b/>
                <w:bCs/>
                <w:color w:val="auto"/>
                <w:kern w:val="0"/>
                <w:sz w:val="24"/>
                <w:szCs w:val="24"/>
                <w:highlight w:val="none"/>
              </w:rPr>
              <w:t>总量</w:t>
            </w:r>
          </w:p>
          <w:p w14:paraId="5C0E95E9">
            <w:pPr>
              <w:adjustRightInd w:val="0"/>
              <w:snapToGrid w:val="0"/>
              <w:jc w:val="center"/>
              <w:rPr>
                <w:rFonts w:ascii="Times New Roman" w:hAnsi="Times New Roman" w:eastAsiaTheme="minorEastAsia"/>
                <w:b/>
                <w:bCs/>
                <w:color w:val="auto"/>
                <w:kern w:val="0"/>
                <w:sz w:val="24"/>
                <w:szCs w:val="24"/>
                <w:highlight w:val="none"/>
              </w:rPr>
            </w:pPr>
            <w:r>
              <w:rPr>
                <w:rFonts w:ascii="Times New Roman" w:hAnsi="Times New Roman" w:eastAsiaTheme="minorEastAsia"/>
                <w:b/>
                <w:bCs/>
                <w:color w:val="auto"/>
                <w:kern w:val="0"/>
                <w:sz w:val="24"/>
                <w:szCs w:val="24"/>
                <w:highlight w:val="none"/>
              </w:rPr>
              <w:t>控制</w:t>
            </w:r>
          </w:p>
          <w:p w14:paraId="3AA73CCB">
            <w:pPr>
              <w:adjustRightInd w:val="0"/>
              <w:snapToGrid w:val="0"/>
              <w:jc w:val="center"/>
              <w:rPr>
                <w:rFonts w:ascii="Times New Roman" w:hAnsi="Times New Roman" w:eastAsiaTheme="minorEastAsia"/>
                <w:color w:val="auto"/>
                <w:kern w:val="0"/>
                <w:szCs w:val="21"/>
                <w:highlight w:val="none"/>
              </w:rPr>
            </w:pPr>
            <w:r>
              <w:rPr>
                <w:rFonts w:ascii="Times New Roman" w:hAnsi="Times New Roman" w:eastAsiaTheme="minorEastAsia"/>
                <w:b/>
                <w:bCs/>
                <w:color w:val="auto"/>
                <w:kern w:val="0"/>
                <w:sz w:val="24"/>
                <w:szCs w:val="24"/>
                <w:highlight w:val="none"/>
              </w:rPr>
              <w:t>指标</w:t>
            </w:r>
          </w:p>
        </w:tc>
        <w:tc>
          <w:tcPr>
            <w:tcW w:w="8819" w:type="dxa"/>
            <w:vAlign w:val="center"/>
          </w:tcPr>
          <w:p w14:paraId="5B851D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根据国家对建设项目污染物排放总量控制的有关要求，并结合本项目的污染物排放特点，确定本项目执行总量控制的污染物为SO</w:t>
            </w:r>
            <w:r>
              <w:rPr>
                <w:rFonts w:hint="eastAsia" w:ascii="Times New Roman" w:hAnsi="Times New Roman" w:eastAsiaTheme="minorEastAsia"/>
                <w:color w:val="auto"/>
                <w:sz w:val="24"/>
                <w:szCs w:val="24"/>
                <w:highlight w:val="none"/>
                <w:vertAlign w:val="subscript"/>
              </w:rPr>
              <w:t>2</w:t>
            </w:r>
            <w:r>
              <w:rPr>
                <w:rFonts w:hint="eastAsia" w:ascii="Times New Roman" w:hAnsi="Times New Roman" w:eastAsiaTheme="minorEastAsia"/>
                <w:color w:val="auto"/>
                <w:sz w:val="24"/>
                <w:szCs w:val="24"/>
                <w:highlight w:val="none"/>
              </w:rPr>
              <w:t>、NOx、COD、氨氮、总氮、TP、颗粒物、VOCs共计8项。</w:t>
            </w:r>
          </w:p>
          <w:p w14:paraId="4971A9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项目完成后全厂总量控制指标为：SO</w:t>
            </w:r>
            <w:r>
              <w:rPr>
                <w:rFonts w:hint="eastAsia" w:ascii="Times New Roman" w:hAnsi="Times New Roman" w:eastAsiaTheme="minorEastAsia"/>
                <w:color w:val="auto"/>
                <w:sz w:val="24"/>
                <w:szCs w:val="24"/>
                <w:highlight w:val="none"/>
                <w:vertAlign w:val="subscript"/>
              </w:rPr>
              <w:t>2</w:t>
            </w:r>
            <w:r>
              <w:rPr>
                <w:rFonts w:hint="eastAsia" w:ascii="Times New Roman" w:hAnsi="Times New Roman" w:eastAsiaTheme="minorEastAsia"/>
                <w:color w:val="auto"/>
                <w:sz w:val="24"/>
                <w:szCs w:val="24"/>
                <w:highlight w:val="none"/>
              </w:rPr>
              <w:t xml:space="preserve"> 0t/a、NOx 0t/a、颗粒物0t/a、VOC</w:t>
            </w:r>
            <w:r>
              <w:rPr>
                <w:rFonts w:hint="eastAsia" w:ascii="Times New Roman" w:hAnsi="Times New Roman" w:eastAsiaTheme="minorEastAsia"/>
                <w:color w:val="auto"/>
                <w:sz w:val="24"/>
                <w:szCs w:val="24"/>
                <w:highlight w:val="none"/>
                <w:vertAlign w:val="subscript"/>
              </w:rPr>
              <w:t>S</w:t>
            </w:r>
            <w:r>
              <w:rPr>
                <w:rFonts w:hint="eastAsia" w:ascii="Times New Roman" w:hAnsi="Times New Roman" w:eastAsiaTheme="minorEastAsia"/>
                <w:color w:val="auto"/>
                <w:sz w:val="24"/>
                <w:szCs w:val="24"/>
                <w:highlight w:val="none"/>
              </w:rPr>
              <w:t xml:space="preserve"> 0、COD0t/a、氨氮0t/a、总氮0t/a、总磷0t/a。</w:t>
            </w:r>
          </w:p>
          <w:p w14:paraId="2D244961">
            <w:pPr>
              <w:pStyle w:val="21"/>
              <w:rPr>
                <w:rFonts w:hint="eastAsia" w:ascii="Times New Roman" w:hAnsi="Times New Roman" w:eastAsiaTheme="minorEastAsia"/>
                <w:color w:val="auto"/>
                <w:sz w:val="24"/>
                <w:szCs w:val="24"/>
                <w:highlight w:val="none"/>
              </w:rPr>
            </w:pPr>
          </w:p>
          <w:p w14:paraId="36541770">
            <w:pPr>
              <w:rPr>
                <w:rFonts w:hint="eastAsia" w:ascii="Times New Roman" w:hAnsi="Times New Roman" w:eastAsiaTheme="minorEastAsia"/>
                <w:color w:val="auto"/>
                <w:sz w:val="24"/>
                <w:szCs w:val="24"/>
                <w:highlight w:val="none"/>
              </w:rPr>
            </w:pPr>
          </w:p>
          <w:p w14:paraId="14D00C99">
            <w:pPr>
              <w:pStyle w:val="21"/>
              <w:rPr>
                <w:rFonts w:hint="eastAsia" w:ascii="Times New Roman" w:hAnsi="Times New Roman" w:eastAsiaTheme="minorEastAsia"/>
                <w:color w:val="auto"/>
                <w:sz w:val="24"/>
                <w:szCs w:val="24"/>
                <w:highlight w:val="none"/>
              </w:rPr>
            </w:pPr>
          </w:p>
          <w:p w14:paraId="5BBF021F">
            <w:pPr>
              <w:rPr>
                <w:rFonts w:hint="eastAsia" w:ascii="Times New Roman" w:hAnsi="Times New Roman" w:eastAsiaTheme="minorEastAsia"/>
                <w:color w:val="auto"/>
                <w:sz w:val="24"/>
                <w:szCs w:val="24"/>
                <w:highlight w:val="none"/>
              </w:rPr>
            </w:pPr>
          </w:p>
          <w:p w14:paraId="0C52BF16">
            <w:pPr>
              <w:pStyle w:val="21"/>
              <w:rPr>
                <w:rFonts w:hint="eastAsia" w:ascii="Times New Roman" w:hAnsi="Times New Roman" w:eastAsiaTheme="minorEastAsia"/>
                <w:color w:val="auto"/>
                <w:sz w:val="24"/>
                <w:szCs w:val="24"/>
                <w:highlight w:val="none"/>
              </w:rPr>
            </w:pPr>
          </w:p>
          <w:p w14:paraId="0E756CE9">
            <w:pPr>
              <w:rPr>
                <w:rFonts w:hint="eastAsia" w:ascii="Times New Roman" w:hAnsi="Times New Roman" w:eastAsiaTheme="minorEastAsia"/>
                <w:color w:val="auto"/>
                <w:sz w:val="24"/>
                <w:szCs w:val="24"/>
                <w:highlight w:val="none"/>
              </w:rPr>
            </w:pPr>
          </w:p>
          <w:p w14:paraId="5086AC3B">
            <w:pPr>
              <w:pStyle w:val="21"/>
              <w:rPr>
                <w:rFonts w:hint="eastAsia" w:ascii="Times New Roman" w:hAnsi="Times New Roman" w:eastAsiaTheme="minorEastAsia"/>
                <w:color w:val="auto"/>
                <w:sz w:val="24"/>
                <w:szCs w:val="24"/>
                <w:highlight w:val="none"/>
              </w:rPr>
            </w:pPr>
          </w:p>
          <w:p w14:paraId="6C077FC9">
            <w:pPr>
              <w:rPr>
                <w:rFonts w:hint="eastAsia" w:ascii="Times New Roman" w:hAnsi="Times New Roman" w:eastAsiaTheme="minorEastAsia"/>
                <w:color w:val="auto"/>
                <w:sz w:val="24"/>
                <w:szCs w:val="24"/>
                <w:highlight w:val="none"/>
              </w:rPr>
            </w:pPr>
          </w:p>
          <w:p w14:paraId="183C8FE7">
            <w:pPr>
              <w:pStyle w:val="21"/>
              <w:rPr>
                <w:rFonts w:hint="eastAsia" w:ascii="Times New Roman" w:hAnsi="Times New Roman" w:eastAsiaTheme="minorEastAsia"/>
                <w:color w:val="auto"/>
                <w:sz w:val="24"/>
                <w:szCs w:val="24"/>
                <w:highlight w:val="none"/>
              </w:rPr>
            </w:pPr>
          </w:p>
          <w:p w14:paraId="4179C9DC">
            <w:pPr>
              <w:rPr>
                <w:rFonts w:hint="eastAsia" w:ascii="Times New Roman" w:hAnsi="Times New Roman" w:eastAsiaTheme="minorEastAsia"/>
                <w:color w:val="auto"/>
                <w:sz w:val="24"/>
                <w:szCs w:val="24"/>
                <w:highlight w:val="none"/>
              </w:rPr>
            </w:pPr>
          </w:p>
          <w:p w14:paraId="21211EB6">
            <w:pPr>
              <w:pStyle w:val="21"/>
              <w:rPr>
                <w:rFonts w:hint="eastAsia" w:ascii="Times New Roman" w:hAnsi="Times New Roman" w:eastAsiaTheme="minorEastAsia"/>
                <w:color w:val="auto"/>
                <w:sz w:val="24"/>
                <w:szCs w:val="24"/>
                <w:highlight w:val="none"/>
              </w:rPr>
            </w:pPr>
          </w:p>
          <w:p w14:paraId="3FBF753F">
            <w:pPr>
              <w:rPr>
                <w:rFonts w:hint="eastAsia"/>
                <w:color w:val="auto"/>
                <w:highlight w:val="none"/>
              </w:rPr>
            </w:pPr>
          </w:p>
          <w:p w14:paraId="1FC869D8">
            <w:pPr>
              <w:pStyle w:val="13"/>
              <w:rPr>
                <w:rFonts w:hint="eastAsia" w:ascii="Times New Roman" w:hAnsi="Times New Roman" w:eastAsiaTheme="minorEastAsia"/>
                <w:color w:val="auto"/>
                <w:sz w:val="24"/>
                <w:szCs w:val="24"/>
                <w:highlight w:val="none"/>
              </w:rPr>
            </w:pPr>
          </w:p>
          <w:p w14:paraId="1133C16B">
            <w:pPr>
              <w:pStyle w:val="8"/>
              <w:rPr>
                <w:rFonts w:hint="eastAsia" w:ascii="Times New Roman" w:hAnsi="Times New Roman" w:eastAsiaTheme="minorEastAsia"/>
                <w:color w:val="auto"/>
                <w:sz w:val="24"/>
                <w:szCs w:val="24"/>
                <w:highlight w:val="none"/>
              </w:rPr>
            </w:pPr>
          </w:p>
          <w:p w14:paraId="75EE9A22">
            <w:pPr>
              <w:pStyle w:val="9"/>
              <w:rPr>
                <w:rFonts w:hint="eastAsia"/>
              </w:rPr>
            </w:pPr>
          </w:p>
          <w:p w14:paraId="2530FF05">
            <w:pPr>
              <w:pStyle w:val="8"/>
              <w:rPr>
                <w:color w:val="auto"/>
                <w:highlight w:val="none"/>
              </w:rPr>
            </w:pPr>
          </w:p>
        </w:tc>
      </w:tr>
    </w:tbl>
    <w:p w14:paraId="6333EC24">
      <w:pPr>
        <w:widowControl/>
        <w:numPr>
          <w:ilvl w:val="0"/>
          <w:numId w:val="0"/>
        </w:numPr>
        <w:jc w:val="center"/>
        <w:outlineLvl w:val="0"/>
        <w:rPr>
          <w:rFonts w:hint="eastAsia" w:ascii="Times New Roman" w:hAnsi="Times New Roman" w:cs="Times New Roman" w:eastAsiaTheme="minorEastAsia"/>
          <w:b/>
          <w:snapToGrid w:val="0"/>
          <w:color w:val="auto"/>
          <w:kern w:val="0"/>
          <w:sz w:val="30"/>
          <w:szCs w:val="30"/>
          <w:highlight w:val="none"/>
          <w:lang w:val="en-US" w:eastAsia="zh-CN" w:bidi="ar-SA"/>
        </w:rPr>
      </w:pPr>
      <w:bookmarkStart w:id="20" w:name="_Toc25411"/>
    </w:p>
    <w:p w14:paraId="3BE7E847">
      <w:pPr>
        <w:widowControl/>
        <w:numPr>
          <w:ilvl w:val="0"/>
          <w:numId w:val="0"/>
        </w:numPr>
        <w:jc w:val="center"/>
        <w:outlineLvl w:val="0"/>
        <w:rPr>
          <w:rFonts w:ascii="Times New Roman" w:hAnsi="Times New Roman" w:eastAsiaTheme="minorEastAsia"/>
          <w:b/>
          <w:snapToGrid w:val="0"/>
          <w:color w:val="auto"/>
          <w:kern w:val="0"/>
          <w:sz w:val="30"/>
          <w:szCs w:val="30"/>
          <w:highlight w:val="none"/>
        </w:rPr>
      </w:pPr>
      <w:r>
        <w:rPr>
          <w:rFonts w:hint="eastAsia" w:ascii="Times New Roman" w:hAnsi="Times New Roman" w:cs="Times New Roman" w:eastAsiaTheme="minorEastAsia"/>
          <w:b/>
          <w:snapToGrid w:val="0"/>
          <w:color w:val="auto"/>
          <w:kern w:val="0"/>
          <w:sz w:val="30"/>
          <w:szCs w:val="30"/>
          <w:highlight w:val="none"/>
          <w:lang w:val="en-US" w:eastAsia="zh-CN" w:bidi="ar-SA"/>
        </w:rPr>
        <w:t>四、</w:t>
      </w:r>
      <w:r>
        <w:rPr>
          <w:rFonts w:ascii="Times New Roman" w:hAnsi="Times New Roman" w:eastAsiaTheme="minorEastAsia"/>
          <w:b/>
          <w:snapToGrid w:val="0"/>
          <w:color w:val="auto"/>
          <w:kern w:val="0"/>
          <w:sz w:val="30"/>
          <w:szCs w:val="30"/>
          <w:highlight w:val="none"/>
        </w:rPr>
        <w:t>主要环境影响和保护措施</w:t>
      </w:r>
      <w:bookmarkEnd w:id="20"/>
    </w:p>
    <w:tbl>
      <w:tblPr>
        <w:tblStyle w:val="31"/>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8631"/>
      </w:tblGrid>
      <w:tr w14:paraId="4D0C4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dxa"/>
            <w:shd w:val="clear" w:color="auto" w:fill="auto"/>
            <w:vAlign w:val="center"/>
          </w:tcPr>
          <w:p w14:paraId="25E0594A">
            <w:pPr>
              <w:spacing w:line="360" w:lineRule="exact"/>
              <w:jc w:val="center"/>
              <w:rPr>
                <w:rFonts w:ascii="Times New Roman" w:hAnsi="Times New Roman" w:eastAsiaTheme="minorEastAsia"/>
                <w:color w:val="auto"/>
                <w:sz w:val="18"/>
                <w:szCs w:val="18"/>
                <w:highlight w:val="none"/>
              </w:rPr>
            </w:pPr>
            <w:r>
              <w:rPr>
                <w:rFonts w:ascii="Times New Roman" w:hAnsi="Times New Roman" w:eastAsiaTheme="minorEastAsia"/>
                <w:b/>
                <w:color w:val="auto"/>
                <w:spacing w:val="-10"/>
                <w:sz w:val="24"/>
                <w:szCs w:val="18"/>
                <w:highlight w:val="none"/>
              </w:rPr>
              <w:t>施工期环境保护措施</w:t>
            </w:r>
          </w:p>
        </w:tc>
        <w:tc>
          <w:tcPr>
            <w:tcW w:w="8631" w:type="dxa"/>
            <w:shd w:val="clear" w:color="auto" w:fill="auto"/>
          </w:tcPr>
          <w:p w14:paraId="031965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本项目无土建施工，只是厂房进行布局调整，搭建隔断、建设办公用房，对地面进行防渗，设置各分区及废液收集系统（导流槽、收集</w:t>
            </w:r>
            <w:r>
              <w:rPr>
                <w:rFonts w:hint="eastAsia" w:ascii="Times New Roman" w:hAnsi="Times New Roman" w:cs="Times New Roman"/>
                <w:color w:val="auto"/>
                <w:sz w:val="24"/>
                <w:szCs w:val="24"/>
                <w:highlight w:val="none"/>
                <w:lang w:val="en-US" w:eastAsia="zh-CN"/>
              </w:rPr>
              <w:t>池</w:t>
            </w:r>
            <w:r>
              <w:rPr>
                <w:rFonts w:hint="default" w:ascii="Times New Roman" w:hAnsi="Times New Roman" w:eastAsia="宋体" w:cs="Times New Roman"/>
                <w:color w:val="auto"/>
                <w:sz w:val="24"/>
                <w:szCs w:val="24"/>
                <w:highlight w:val="none"/>
              </w:rPr>
              <w:t>），安装地</w:t>
            </w:r>
            <w:r>
              <w:rPr>
                <w:rFonts w:hint="eastAsia" w:ascii="Times New Roman" w:hAnsi="Times New Roman" w:cs="Times New Roman"/>
                <w:color w:val="auto"/>
                <w:sz w:val="24"/>
                <w:szCs w:val="24"/>
                <w:highlight w:val="none"/>
                <w:lang w:val="en-US" w:eastAsia="zh-CN"/>
              </w:rPr>
              <w:t>磅</w:t>
            </w:r>
            <w:r>
              <w:rPr>
                <w:rFonts w:hint="default" w:ascii="Times New Roman" w:hAnsi="Times New Roman" w:eastAsia="宋体" w:cs="Times New Roman"/>
                <w:color w:val="auto"/>
                <w:sz w:val="24"/>
                <w:szCs w:val="24"/>
                <w:highlight w:val="none"/>
              </w:rPr>
              <w:t>等设备。施工期产生的影响主要施工车辆的扬尘、施工噪声及施工车辆交通噪声、施工人员生活废水以及设备包装及施工人员生活垃圾等固体废物。</w:t>
            </w:r>
          </w:p>
          <w:p w14:paraId="205FF6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（1）大气环境影响</w:t>
            </w:r>
          </w:p>
          <w:p w14:paraId="439EB1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间影响环境空气的主要污染物为施工扬尘。本项目车间内地面已进行硬化，在运输车辆进出厂区时将产生扬尘，影响周围环境空气，但以上扬尘仅伴随运输车辆进出厂区的过程。鉴于项目施工设备数量较少，运输车辆进出频次和时间相对较少，因此产生的扬尘污染影响范围相对较小和影响时间较短。</w:t>
            </w:r>
          </w:p>
          <w:p w14:paraId="6CFAFB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本评价要求建设单位建立洒水清扫制度，对厂区进出道路进行定时洒水和地面清扫，可最大限度避免或减轻施工扬尘对周围环境的不利影响。</w:t>
            </w:r>
          </w:p>
          <w:p w14:paraId="7D4A64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（2）水环境影响</w:t>
            </w:r>
          </w:p>
          <w:p w14:paraId="661F70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施工期间的水污染物主要是施工人员产生的生活盥洗废水，按施工队的规模估算（约10人），废水产生量约0.6m³/d，产生量较小而且污染物浓度较低，废水</w:t>
            </w:r>
            <w:r>
              <w:rPr>
                <w:rFonts w:hint="eastAsia" w:ascii="Times New Roman" w:hAnsi="Times New Roman" w:cs="Times New Roman"/>
                <w:color w:val="auto"/>
                <w:sz w:val="24"/>
                <w:szCs w:val="24"/>
                <w:highlight w:val="none"/>
                <w:lang w:val="en-US" w:eastAsia="zh-CN"/>
              </w:rPr>
              <w:t>利用现有排水管网排入</w:t>
            </w:r>
            <w:r>
              <w:rPr>
                <w:rFonts w:ascii="Times New Roman" w:hAnsi="Times New Roman" w:eastAsiaTheme="minorEastAsia"/>
                <w:color w:val="auto"/>
                <w:sz w:val="24"/>
                <w:szCs w:val="24"/>
                <w:highlight w:val="none"/>
              </w:rPr>
              <w:t>徐水区大王店污水处理厂</w:t>
            </w:r>
            <w:r>
              <w:rPr>
                <w:rFonts w:hint="default" w:ascii="Times New Roman" w:hAnsi="Times New Roman" w:eastAsia="宋体" w:cs="Times New Roman"/>
                <w:color w:val="auto"/>
                <w:sz w:val="24"/>
                <w:szCs w:val="24"/>
                <w:highlight w:val="none"/>
              </w:rPr>
              <w:t>，对区域水环境无明显影响。</w:t>
            </w:r>
          </w:p>
          <w:p w14:paraId="0B8825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（3）声环境影响分析</w:t>
            </w:r>
          </w:p>
          <w:p w14:paraId="5F2629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噪声主要为运输车辆进出厂区产生的交通噪声，生产或环保设备吊运、安装产生的安装噪声。本项目设备吊运和安装过程主要在厂房内部进行，本项目所产生的安装噪声在合理安装施工情况下不会对周围声环境产生不利影响。</w:t>
            </w:r>
          </w:p>
          <w:p w14:paraId="058D28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减轻施工噪声，施工单位应做到：选用低噪设备，并采取有效的隔声减振措施；合理安排工期，禁止夜间、午休时间施工；车辆运输路线应尽量远离敏感区，车辆出入厂区时应低速、禁鸣。建设单位在认真严格落实污染防治措施的基础上，文明施工，对区域声环境的影响较小。</w:t>
            </w:r>
          </w:p>
          <w:p w14:paraId="4B1EFF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（4）固体废物</w:t>
            </w:r>
          </w:p>
          <w:p w14:paraId="449C61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施工过程中产生的固体废物主要是设备包装和施工人员产生的生活垃圾，及时清运至环卫部门指定地点。固体废物不会对周边环境产生不利影响。</w:t>
            </w:r>
          </w:p>
          <w:p w14:paraId="567D0C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Theme="minorEastAsia"/>
                <w:color w:val="auto"/>
                <w:sz w:val="18"/>
                <w:szCs w:val="18"/>
                <w:highlight w:val="none"/>
              </w:rPr>
            </w:pPr>
            <w:r>
              <w:rPr>
                <w:rFonts w:hint="default" w:ascii="Times New Roman" w:hAnsi="Times New Roman" w:eastAsia="宋体" w:cs="Times New Roman"/>
                <w:color w:val="auto"/>
                <w:sz w:val="24"/>
                <w:szCs w:val="24"/>
                <w:highlight w:val="none"/>
              </w:rPr>
              <w:t>综上所述，施工期各要素对环境的影响是暂时的、局部的、可逆的影响，采取有效的控制措施，可将影响降至最低，施工结束后，其影响基本可消除。</w:t>
            </w:r>
          </w:p>
        </w:tc>
      </w:tr>
      <w:tr w14:paraId="58E25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1" w:hRule="atLeast"/>
        </w:trPr>
        <w:tc>
          <w:tcPr>
            <w:tcW w:w="408" w:type="dxa"/>
            <w:shd w:val="clear" w:color="auto" w:fill="auto"/>
            <w:vAlign w:val="center"/>
          </w:tcPr>
          <w:p w14:paraId="77E4567D">
            <w:pPr>
              <w:adjustRightInd w:val="0"/>
              <w:snapToGrid w:val="0"/>
              <w:jc w:val="center"/>
              <w:rPr>
                <w:rFonts w:ascii="Times New Roman" w:hAnsi="Times New Roman" w:eastAsiaTheme="minorEastAsia"/>
                <w:b/>
                <w:color w:val="auto"/>
                <w:sz w:val="24"/>
                <w:szCs w:val="24"/>
                <w:highlight w:val="none"/>
              </w:rPr>
            </w:pPr>
            <w:r>
              <w:rPr>
                <w:rFonts w:ascii="Times New Roman" w:hAnsi="Times New Roman" w:eastAsiaTheme="minorEastAsia"/>
                <w:b/>
                <w:color w:val="auto"/>
                <w:sz w:val="24"/>
                <w:szCs w:val="24"/>
                <w:highlight w:val="none"/>
              </w:rPr>
              <w:t>运营期环境影</w:t>
            </w:r>
          </w:p>
          <w:p w14:paraId="53DAB3B5">
            <w:pPr>
              <w:adjustRightInd w:val="0"/>
              <w:snapToGrid w:val="0"/>
              <w:jc w:val="center"/>
              <w:rPr>
                <w:rFonts w:ascii="Times New Roman" w:hAnsi="Times New Roman" w:eastAsiaTheme="minorEastAsia"/>
                <w:b/>
                <w:color w:val="auto"/>
                <w:sz w:val="24"/>
                <w:szCs w:val="24"/>
                <w:highlight w:val="none"/>
              </w:rPr>
            </w:pPr>
            <w:r>
              <w:rPr>
                <w:rFonts w:ascii="Times New Roman" w:hAnsi="Times New Roman" w:eastAsiaTheme="minorEastAsia"/>
                <w:b/>
                <w:color w:val="auto"/>
                <w:sz w:val="24"/>
                <w:szCs w:val="24"/>
                <w:highlight w:val="none"/>
              </w:rPr>
              <w:t>响和保护措施</w:t>
            </w:r>
          </w:p>
          <w:p w14:paraId="54D97E41">
            <w:pPr>
              <w:pStyle w:val="5"/>
              <w:rPr>
                <w:rFonts w:ascii="Times New Roman" w:hAnsi="Times New Roman"/>
                <w:color w:val="auto"/>
                <w:highlight w:val="none"/>
              </w:rPr>
            </w:pPr>
          </w:p>
          <w:p w14:paraId="7B773290">
            <w:pPr>
              <w:ind w:left="1470"/>
              <w:jc w:val="center"/>
              <w:rPr>
                <w:rFonts w:ascii="Times New Roman" w:hAnsi="Times New Roman" w:eastAsiaTheme="minorEastAsia"/>
                <w:color w:val="auto"/>
                <w:sz w:val="18"/>
                <w:szCs w:val="18"/>
                <w:highlight w:val="none"/>
              </w:rPr>
            </w:pPr>
          </w:p>
        </w:tc>
        <w:tc>
          <w:tcPr>
            <w:tcW w:w="8631" w:type="dxa"/>
            <w:shd w:val="clear" w:color="auto" w:fill="auto"/>
          </w:tcPr>
          <w:p w14:paraId="7AA04971">
            <w:pPr>
              <w:pStyle w:val="52"/>
              <w:snapToGrid w:val="0"/>
              <w:spacing w:line="480" w:lineRule="exact"/>
              <w:ind w:firstLine="482"/>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1、废气</w:t>
            </w:r>
          </w:p>
          <w:p w14:paraId="6A561E7E">
            <w:pPr>
              <w:spacing w:line="48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（1）叉车、运输车辆等汽车尾气</w:t>
            </w:r>
          </w:p>
          <w:p w14:paraId="7869E9BF">
            <w:pPr>
              <w:spacing w:line="48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本项目叉车、运输车辆进出会产生一定量的汽车尾气，主要污染因子为CO、HC(碳氢化合物)、NOx等，根据汽车工作原理及统计资料可知，汽车在空挡和减速行驶时排气量最小，燃料燃烧不充分，因此汽车尾气中HC(碳氢化和物)的浓度在汽车减速时最高，CO浓度在空挡时最高，NOx浓度在高速行驶时最高，汽车出入为怠速、慢速行驶，故本项目汽车尾气主要污染物为HC(碳氢化和物)及CO，由于本项目涉及转运车辆较少，少量的汽车尾气经大气扩散稀释后对周围环境</w:t>
            </w:r>
            <w:r>
              <w:rPr>
                <w:rFonts w:hint="eastAsia" w:ascii="Times New Roman" w:hAnsi="Times New Roman"/>
                <w:color w:val="auto"/>
                <w:sz w:val="24"/>
                <w:szCs w:val="24"/>
                <w:highlight w:val="none"/>
                <w:lang w:val="en-US" w:eastAsia="zh-CN"/>
              </w:rPr>
              <w:t>影响很小</w:t>
            </w:r>
            <w:r>
              <w:rPr>
                <w:rFonts w:hint="eastAsia" w:ascii="Times New Roman" w:hAnsi="Times New Roman"/>
                <w:color w:val="auto"/>
                <w:sz w:val="24"/>
                <w:szCs w:val="24"/>
                <w:highlight w:val="none"/>
              </w:rPr>
              <w:t>。</w:t>
            </w:r>
          </w:p>
          <w:p w14:paraId="343102B2">
            <w:pPr>
              <w:spacing w:line="48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（2）</w:t>
            </w:r>
            <w:r>
              <w:rPr>
                <w:rFonts w:hint="eastAsia" w:ascii="Times New Roman" w:hAnsi="Times New Roman"/>
                <w:color w:val="auto"/>
                <w:sz w:val="24"/>
                <w:szCs w:val="24"/>
                <w:highlight w:val="none"/>
                <w:lang w:eastAsia="zh-CN"/>
              </w:rPr>
              <w:t>废旧铅酸蓄电池</w:t>
            </w:r>
            <w:r>
              <w:rPr>
                <w:rFonts w:hint="eastAsia" w:ascii="Times New Roman" w:hAnsi="Times New Roman"/>
                <w:color w:val="auto"/>
                <w:sz w:val="24"/>
                <w:szCs w:val="24"/>
                <w:highlight w:val="none"/>
              </w:rPr>
              <w:t>暂存过程中产生的废气</w:t>
            </w:r>
          </w:p>
          <w:p w14:paraId="7DC50E11">
            <w:pPr>
              <w:spacing w:line="48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项目只进行</w:t>
            </w:r>
            <w:r>
              <w:rPr>
                <w:rFonts w:hint="eastAsia" w:ascii="Times New Roman" w:hAnsi="Times New Roman"/>
                <w:color w:val="auto"/>
                <w:sz w:val="24"/>
                <w:szCs w:val="24"/>
                <w:highlight w:val="none"/>
                <w:lang w:eastAsia="zh-CN"/>
              </w:rPr>
              <w:t>废旧铅酸蓄电池</w:t>
            </w:r>
            <w:r>
              <w:rPr>
                <w:rFonts w:hint="eastAsia" w:ascii="Times New Roman" w:hAnsi="Times New Roman"/>
                <w:color w:val="auto"/>
                <w:sz w:val="24"/>
                <w:szCs w:val="24"/>
                <w:highlight w:val="none"/>
              </w:rPr>
              <w:t>仓储贮存，不涉及</w:t>
            </w:r>
            <w:r>
              <w:rPr>
                <w:rFonts w:hint="eastAsia" w:ascii="Times New Roman" w:hAnsi="Times New Roman"/>
                <w:color w:val="auto"/>
                <w:sz w:val="24"/>
                <w:szCs w:val="24"/>
                <w:highlight w:val="none"/>
                <w:lang w:eastAsia="zh-CN"/>
              </w:rPr>
              <w:t>废旧铅酸蓄电池</w:t>
            </w:r>
            <w:r>
              <w:rPr>
                <w:rFonts w:hint="eastAsia" w:ascii="Times New Roman" w:hAnsi="Times New Roman"/>
                <w:color w:val="auto"/>
                <w:sz w:val="24"/>
                <w:szCs w:val="24"/>
                <w:highlight w:val="none"/>
              </w:rPr>
              <w:t>的拆解、处置等加工环节。收集的</w:t>
            </w:r>
            <w:r>
              <w:rPr>
                <w:rFonts w:hint="eastAsia" w:ascii="Times New Roman" w:hAnsi="Times New Roman"/>
                <w:color w:val="auto"/>
                <w:sz w:val="24"/>
                <w:szCs w:val="24"/>
                <w:highlight w:val="none"/>
                <w:lang w:eastAsia="zh-CN"/>
              </w:rPr>
              <w:t>废旧铅酸蓄电池</w:t>
            </w:r>
            <w:r>
              <w:rPr>
                <w:rFonts w:hint="eastAsia" w:ascii="Times New Roman" w:hAnsi="Times New Roman"/>
                <w:color w:val="auto"/>
                <w:sz w:val="24"/>
                <w:szCs w:val="24"/>
                <w:highlight w:val="none"/>
              </w:rPr>
              <w:t>主要来源于使用铅蓄电池的企业单位，正常情况下密封良好（破损电池装入专用密封容器），项目收集运输车内设金属外框加固收集箱，在运输过程中一般不会对完整电池造成损伤，无废气产生。项目运营期废气主要为废旧铅蓄电池破损泄露后流出的电解液产生的废气，废气中主要污染物为硫酸雾。本项目预计每天发生破损泄露到清理完毕用时2h，则硫酸雾废气年产生时间6</w:t>
            </w:r>
            <w:r>
              <w:rPr>
                <w:rFonts w:hint="eastAsia" w:ascii="Times New Roman" w:hAnsi="Times New Roman"/>
                <w:color w:val="auto"/>
                <w:sz w:val="24"/>
                <w:szCs w:val="24"/>
                <w:highlight w:val="none"/>
                <w:lang w:val="en-US" w:eastAsia="zh-CN"/>
              </w:rPr>
              <w:t>0</w:t>
            </w:r>
            <w:r>
              <w:rPr>
                <w:rFonts w:hint="eastAsia" w:ascii="Times New Roman" w:hAnsi="Times New Roman"/>
                <w:color w:val="auto"/>
                <w:sz w:val="24"/>
                <w:szCs w:val="24"/>
                <w:highlight w:val="none"/>
              </w:rPr>
              <w:t>0h。</w:t>
            </w:r>
          </w:p>
          <w:p w14:paraId="0C3C1341">
            <w:pPr>
              <w:spacing w:line="48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①正常工况下</w:t>
            </w:r>
          </w:p>
          <w:p w14:paraId="639303A2">
            <w:pPr>
              <w:spacing w:line="48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a)污染物产生量</w:t>
            </w:r>
          </w:p>
          <w:p w14:paraId="588DBEA6">
            <w:pPr>
              <w:spacing w:line="48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本项目收集的电池均为各收集点更换下来的</w:t>
            </w:r>
            <w:r>
              <w:rPr>
                <w:rFonts w:hint="eastAsia" w:ascii="Times New Roman" w:hAnsi="Times New Roman"/>
                <w:color w:val="auto"/>
                <w:sz w:val="24"/>
                <w:szCs w:val="24"/>
                <w:highlight w:val="none"/>
                <w:lang w:eastAsia="zh-CN"/>
              </w:rPr>
              <w:t>废旧铅酸蓄电池</w:t>
            </w:r>
            <w:r>
              <w:rPr>
                <w:rFonts w:hint="eastAsia" w:ascii="Times New Roman" w:hAnsi="Times New Roman"/>
                <w:color w:val="auto"/>
                <w:sz w:val="24"/>
                <w:szCs w:val="24"/>
                <w:highlight w:val="none"/>
              </w:rPr>
              <w:t>，经专用车辆运至本贮存仓库，一般不会对电池造成创伤，完整铅蓄电池无废气产生。收集过程中会收集到少量开口式</w:t>
            </w:r>
            <w:r>
              <w:rPr>
                <w:rFonts w:hint="eastAsia" w:ascii="Times New Roman" w:hAnsi="Times New Roman"/>
                <w:color w:val="auto"/>
                <w:sz w:val="24"/>
                <w:szCs w:val="24"/>
                <w:highlight w:val="none"/>
                <w:lang w:eastAsia="zh-CN"/>
              </w:rPr>
              <w:t>废旧铅酸蓄电池</w:t>
            </w:r>
            <w:r>
              <w:rPr>
                <w:rFonts w:hint="eastAsia" w:ascii="Times New Roman" w:hAnsi="Times New Roman"/>
                <w:color w:val="auto"/>
                <w:sz w:val="24"/>
                <w:szCs w:val="24"/>
                <w:highlight w:val="none"/>
              </w:rPr>
              <w:t>和破损的密封式免维护</w:t>
            </w:r>
            <w:r>
              <w:rPr>
                <w:rFonts w:hint="eastAsia" w:ascii="Times New Roman" w:hAnsi="Times New Roman"/>
                <w:color w:val="auto"/>
                <w:sz w:val="24"/>
                <w:szCs w:val="24"/>
                <w:highlight w:val="none"/>
                <w:lang w:eastAsia="zh-CN"/>
              </w:rPr>
              <w:t>废旧铅酸蓄电池</w:t>
            </w:r>
            <w:r>
              <w:rPr>
                <w:rFonts w:hint="eastAsia" w:ascii="Times New Roman" w:hAnsi="Times New Roman"/>
                <w:color w:val="auto"/>
                <w:sz w:val="24"/>
                <w:szCs w:val="24"/>
                <w:highlight w:val="none"/>
              </w:rPr>
              <w:t>（第Ⅱ类</w:t>
            </w:r>
            <w:r>
              <w:rPr>
                <w:rFonts w:hint="eastAsia" w:ascii="Times New Roman" w:hAnsi="Times New Roman"/>
                <w:color w:val="auto"/>
                <w:sz w:val="24"/>
                <w:szCs w:val="24"/>
                <w:highlight w:val="none"/>
                <w:lang w:eastAsia="zh-CN"/>
              </w:rPr>
              <w:t>废旧铅酸蓄电池</w:t>
            </w:r>
            <w:r>
              <w:rPr>
                <w:rFonts w:hint="eastAsia" w:ascii="Times New Roman" w:hAnsi="Times New Roman"/>
                <w:color w:val="auto"/>
                <w:sz w:val="24"/>
                <w:szCs w:val="24"/>
                <w:highlight w:val="none"/>
              </w:rPr>
              <w:t>），采用专用的有盖密闭的耐酸容器（PV塑料材质）存放，至厂区后存放于破损电池存储间。项目设计</w:t>
            </w:r>
            <w:r>
              <w:rPr>
                <w:rFonts w:hint="eastAsia" w:ascii="Times New Roman" w:hAnsi="Times New Roman"/>
                <w:color w:val="auto"/>
                <w:sz w:val="24"/>
                <w:szCs w:val="24"/>
                <w:highlight w:val="none"/>
                <w:lang w:eastAsia="zh-CN"/>
              </w:rPr>
              <w:t>废旧铅酸蓄电池</w:t>
            </w:r>
            <w:r>
              <w:rPr>
                <w:rFonts w:hint="eastAsia" w:ascii="Times New Roman" w:hAnsi="Times New Roman"/>
                <w:color w:val="auto"/>
                <w:sz w:val="24"/>
                <w:szCs w:val="24"/>
                <w:highlight w:val="none"/>
              </w:rPr>
              <w:t>最大贮存量为</w:t>
            </w:r>
            <w:r>
              <w:rPr>
                <w:rFonts w:hint="eastAsia" w:ascii="Times New Roman" w:hAnsi="Times New Roman"/>
                <w:color w:val="auto"/>
                <w:sz w:val="24"/>
                <w:szCs w:val="24"/>
                <w:highlight w:val="none"/>
                <w:lang w:val="en-US" w:eastAsia="zh-CN"/>
              </w:rPr>
              <w:t>70</w:t>
            </w:r>
            <w:r>
              <w:rPr>
                <w:rFonts w:hint="eastAsia" w:ascii="Times New Roman" w:hAnsi="Times New Roman"/>
                <w:color w:val="auto"/>
                <w:sz w:val="24"/>
                <w:szCs w:val="24"/>
                <w:highlight w:val="none"/>
              </w:rPr>
              <w:t>t，鉴于各种</w:t>
            </w:r>
            <w:r>
              <w:rPr>
                <w:rFonts w:hint="eastAsia" w:ascii="Times New Roman" w:hAnsi="Times New Roman"/>
                <w:color w:val="auto"/>
                <w:sz w:val="24"/>
                <w:szCs w:val="24"/>
                <w:highlight w:val="none"/>
                <w:lang w:eastAsia="zh-CN"/>
              </w:rPr>
              <w:t>废旧铅酸蓄电池</w:t>
            </w:r>
            <w:r>
              <w:rPr>
                <w:rFonts w:hint="eastAsia" w:ascii="Times New Roman" w:hAnsi="Times New Roman"/>
                <w:color w:val="auto"/>
                <w:sz w:val="24"/>
                <w:szCs w:val="24"/>
                <w:highlight w:val="none"/>
              </w:rPr>
              <w:t>种类比例不确定，本次贮存搬运过程破</w:t>
            </w:r>
            <w:r>
              <w:rPr>
                <w:rFonts w:hint="eastAsia" w:ascii="Times New Roman" w:hAnsi="Times New Roman"/>
                <w:color w:val="auto"/>
                <w:sz w:val="24"/>
                <w:szCs w:val="24"/>
                <w:highlight w:val="none"/>
                <w:lang w:val="en-US" w:eastAsia="zh-CN"/>
              </w:rPr>
              <w:t>损</w:t>
            </w:r>
            <w:r>
              <w:rPr>
                <w:rFonts w:hint="eastAsia" w:ascii="Times New Roman" w:hAnsi="Times New Roman"/>
                <w:color w:val="auto"/>
                <w:sz w:val="24"/>
                <w:szCs w:val="24"/>
                <w:highlight w:val="none"/>
              </w:rPr>
              <w:t>率统一按5%计，则破损电池量为</w:t>
            </w:r>
            <w:r>
              <w:rPr>
                <w:rFonts w:hint="eastAsia" w:ascii="Times New Roman" w:hAnsi="Times New Roman"/>
                <w:color w:val="auto"/>
                <w:sz w:val="24"/>
                <w:szCs w:val="24"/>
                <w:highlight w:val="none"/>
                <w:lang w:val="en-US" w:eastAsia="zh-CN"/>
              </w:rPr>
              <w:t>3.5</w:t>
            </w:r>
            <w:r>
              <w:rPr>
                <w:rFonts w:hint="eastAsia" w:ascii="Times New Roman" w:hAnsi="Times New Roman"/>
                <w:color w:val="auto"/>
                <w:sz w:val="24"/>
                <w:szCs w:val="24"/>
                <w:highlight w:val="none"/>
              </w:rPr>
              <w:t>t，若装破损的</w:t>
            </w:r>
            <w:r>
              <w:rPr>
                <w:rFonts w:hint="eastAsia" w:ascii="Times New Roman" w:hAnsi="Times New Roman"/>
                <w:color w:val="auto"/>
                <w:sz w:val="24"/>
                <w:szCs w:val="24"/>
                <w:highlight w:val="none"/>
                <w:lang w:eastAsia="zh-CN"/>
              </w:rPr>
              <w:t>废旧铅酸蓄电池</w:t>
            </w:r>
            <w:r>
              <w:rPr>
                <w:rFonts w:hint="eastAsia" w:ascii="Times New Roman" w:hAnsi="Times New Roman"/>
                <w:color w:val="auto"/>
                <w:sz w:val="24"/>
                <w:szCs w:val="24"/>
                <w:highlight w:val="none"/>
              </w:rPr>
              <w:t>容器发生破泄露时，硫酸雾会泄露至破损</w:t>
            </w:r>
            <w:r>
              <w:rPr>
                <w:rFonts w:hint="eastAsia" w:ascii="Times New Roman" w:hAnsi="Times New Roman"/>
                <w:color w:val="auto"/>
                <w:sz w:val="24"/>
                <w:szCs w:val="24"/>
                <w:highlight w:val="none"/>
                <w:lang w:eastAsia="zh-CN"/>
              </w:rPr>
              <w:t>废旧铅酸蓄电池</w:t>
            </w:r>
            <w:r>
              <w:rPr>
                <w:rFonts w:hint="eastAsia" w:ascii="Times New Roman" w:hAnsi="Times New Roman"/>
                <w:color w:val="auto"/>
                <w:sz w:val="24"/>
                <w:szCs w:val="24"/>
                <w:highlight w:val="none"/>
              </w:rPr>
              <w:t>贮存区。</w:t>
            </w:r>
          </w:p>
          <w:p w14:paraId="691CBED1">
            <w:pPr>
              <w:spacing w:line="48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根据《企业环境统计实用手册》中介绍的方法计算酸雾的理论挥发量，其计算公式如下：</w:t>
            </w:r>
          </w:p>
          <w:p w14:paraId="1527C670">
            <w:pPr>
              <w:spacing w:line="48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Gz=M×(0.000352+0.000786×V)×P×F</w:t>
            </w:r>
          </w:p>
          <w:p w14:paraId="38F1C758">
            <w:pPr>
              <w:spacing w:line="48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式中：Gz—液体挥发量，kg/h；</w:t>
            </w:r>
          </w:p>
          <w:p w14:paraId="0C45194F">
            <w:pPr>
              <w:spacing w:line="480" w:lineRule="exact"/>
              <w:ind w:firstLine="1200" w:firstLineChars="5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M—液体的分子量，g/mol，硫酸为 98；</w:t>
            </w:r>
          </w:p>
          <w:p w14:paraId="2636D43B">
            <w:pPr>
              <w:spacing w:line="480" w:lineRule="exact"/>
              <w:ind w:left="479" w:leftChars="228" w:firstLine="720" w:firstLineChars="3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V—蒸发液体表面上的空气流速，m/s，以实测数据为准，无条件实测时，一般可取0.2-0.5m/s，本评价取0.3m/s；</w:t>
            </w:r>
          </w:p>
          <w:p w14:paraId="50C7BE68">
            <w:pPr>
              <w:spacing w:line="480" w:lineRule="exact"/>
              <w:ind w:left="479" w:leftChars="228" w:firstLine="720" w:firstLineChars="3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P—相应于酸液温度下的空气中的蒸汽分压（mmHg），项目电解液中硫酸浓度取40%，温度为20℃，经查P=9.84mmHg；</w:t>
            </w:r>
          </w:p>
          <w:p w14:paraId="2BDF1DEB">
            <w:pPr>
              <w:spacing w:line="480" w:lineRule="exact"/>
              <w:ind w:left="479" w:leftChars="228" w:firstLine="720" w:firstLineChars="3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F—液体蒸发面的表面积，m</w:t>
            </w:r>
            <w:r>
              <w:rPr>
                <w:rFonts w:hint="eastAsia" w:ascii="Times New Roman" w:hAnsi="Times New Roman"/>
                <w:color w:val="auto"/>
                <w:sz w:val="24"/>
                <w:szCs w:val="24"/>
                <w:highlight w:val="none"/>
                <w:vertAlign w:val="superscript"/>
              </w:rPr>
              <w:t>2</w:t>
            </w:r>
            <w:r>
              <w:rPr>
                <w:rFonts w:hint="eastAsia" w:ascii="Times New Roman" w:hAnsi="Times New Roman"/>
                <w:color w:val="auto"/>
                <w:sz w:val="24"/>
                <w:szCs w:val="24"/>
                <w:highlight w:val="none"/>
              </w:rPr>
              <w:t>，由于废电池破损率较低，且一般废电池活性较低，电解液含量较少，本项目以0.5m</w:t>
            </w:r>
            <w:r>
              <w:rPr>
                <w:rFonts w:hint="eastAsia" w:ascii="Times New Roman" w:hAnsi="Times New Roman"/>
                <w:color w:val="auto"/>
                <w:sz w:val="24"/>
                <w:szCs w:val="24"/>
                <w:highlight w:val="none"/>
                <w:vertAlign w:val="superscript"/>
              </w:rPr>
              <w:t>2</w:t>
            </w:r>
            <w:r>
              <w:rPr>
                <w:rFonts w:hint="eastAsia" w:ascii="Times New Roman" w:hAnsi="Times New Roman"/>
                <w:color w:val="auto"/>
                <w:sz w:val="24"/>
                <w:szCs w:val="24"/>
                <w:highlight w:val="none"/>
              </w:rPr>
              <w:t>计。</w:t>
            </w:r>
          </w:p>
          <w:p w14:paraId="57BAF64B">
            <w:pPr>
              <w:spacing w:line="48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因此，本项目硫酸雾的排放速率为：</w:t>
            </w:r>
          </w:p>
          <w:p w14:paraId="0D8B92F3">
            <w:pPr>
              <w:spacing w:line="48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Gz=98×(0.000352+0.000786×0.3)×9.84×0.5=0.28kg/h，硫酸雾年产生时间6</w:t>
            </w:r>
            <w:r>
              <w:rPr>
                <w:rFonts w:hint="eastAsia" w:ascii="Times New Roman" w:hAnsi="Times New Roman"/>
                <w:color w:val="auto"/>
                <w:sz w:val="24"/>
                <w:szCs w:val="24"/>
                <w:highlight w:val="none"/>
                <w:lang w:val="en-US" w:eastAsia="zh-CN"/>
              </w:rPr>
              <w:t>0</w:t>
            </w:r>
            <w:r>
              <w:rPr>
                <w:rFonts w:hint="eastAsia" w:ascii="Times New Roman" w:hAnsi="Times New Roman"/>
                <w:color w:val="auto"/>
                <w:sz w:val="24"/>
                <w:szCs w:val="24"/>
                <w:highlight w:val="none"/>
              </w:rPr>
              <w:t>0h，则年产生量约为0.</w:t>
            </w:r>
            <w:r>
              <w:rPr>
                <w:rFonts w:hint="eastAsia" w:ascii="Times New Roman" w:hAnsi="Times New Roman"/>
                <w:color w:val="auto"/>
                <w:sz w:val="24"/>
                <w:szCs w:val="24"/>
                <w:highlight w:val="none"/>
                <w:lang w:val="en-US" w:eastAsia="zh-CN"/>
              </w:rPr>
              <w:t>168</w:t>
            </w:r>
            <w:r>
              <w:rPr>
                <w:rFonts w:hint="eastAsia" w:ascii="Times New Roman" w:hAnsi="Times New Roman"/>
                <w:color w:val="auto"/>
                <w:sz w:val="24"/>
                <w:szCs w:val="24"/>
                <w:highlight w:val="none"/>
              </w:rPr>
              <w:t>t。</w:t>
            </w:r>
          </w:p>
          <w:p w14:paraId="078D4C80">
            <w:pPr>
              <w:spacing w:line="48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b</w:t>
            </w:r>
            <w:r>
              <w:rPr>
                <w:rFonts w:hint="eastAsia" w:ascii="Times New Roman" w:hAnsi="Times New Roman"/>
                <w:color w:val="auto"/>
                <w:sz w:val="24"/>
                <w:szCs w:val="24"/>
                <w:highlight w:val="none"/>
              </w:rPr>
              <w:t>)污染物排放量</w:t>
            </w:r>
          </w:p>
          <w:p w14:paraId="7C431455">
            <w:pPr>
              <w:spacing w:line="48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破损</w:t>
            </w:r>
            <w:r>
              <w:rPr>
                <w:rFonts w:hint="eastAsia" w:ascii="Times New Roman" w:hAnsi="Times New Roman"/>
                <w:color w:val="auto"/>
                <w:sz w:val="24"/>
                <w:szCs w:val="24"/>
                <w:highlight w:val="none"/>
                <w:lang w:eastAsia="zh-CN"/>
              </w:rPr>
              <w:t>废旧铅酸蓄电池</w:t>
            </w:r>
            <w:r>
              <w:rPr>
                <w:rFonts w:hint="eastAsia" w:ascii="Times New Roman" w:hAnsi="Times New Roman"/>
                <w:color w:val="auto"/>
                <w:sz w:val="24"/>
                <w:szCs w:val="24"/>
                <w:highlight w:val="none"/>
              </w:rPr>
              <w:t>存放区密闭，废气负压收集，</w:t>
            </w:r>
            <w:r>
              <w:rPr>
                <w:rFonts w:hint="eastAsia" w:ascii="Times New Roman" w:hAnsi="Times New Roman"/>
                <w:color w:val="auto"/>
                <w:sz w:val="24"/>
                <w:szCs w:val="24"/>
                <w:highlight w:val="none"/>
                <w:lang w:val="en-US" w:eastAsia="zh-CN"/>
              </w:rPr>
              <w:t>收集效率95%，</w:t>
            </w:r>
            <w:r>
              <w:rPr>
                <w:rFonts w:hint="eastAsia" w:ascii="Times New Roman" w:hAnsi="Times New Roman"/>
                <w:color w:val="auto"/>
                <w:sz w:val="24"/>
                <w:szCs w:val="24"/>
                <w:highlight w:val="none"/>
              </w:rPr>
              <w:t>风机风量为3000m³/h计，则有组织硫酸雾产生量0.1</w:t>
            </w:r>
            <w:r>
              <w:rPr>
                <w:rFonts w:hint="eastAsia" w:ascii="Times New Roman" w:hAnsi="Times New Roman"/>
                <w:color w:val="auto"/>
                <w:sz w:val="24"/>
                <w:szCs w:val="24"/>
                <w:highlight w:val="none"/>
                <w:lang w:val="en-US" w:eastAsia="zh-CN"/>
              </w:rPr>
              <w:t>60</w:t>
            </w:r>
            <w:r>
              <w:rPr>
                <w:rFonts w:hint="eastAsia" w:ascii="Times New Roman" w:hAnsi="Times New Roman"/>
                <w:color w:val="auto"/>
                <w:sz w:val="24"/>
                <w:szCs w:val="24"/>
                <w:highlight w:val="none"/>
              </w:rPr>
              <w:t>t/a，产生浓度</w:t>
            </w:r>
            <w:r>
              <w:rPr>
                <w:rFonts w:hint="eastAsia" w:ascii="Times New Roman" w:hAnsi="Times New Roman"/>
                <w:color w:val="auto"/>
                <w:sz w:val="24"/>
                <w:szCs w:val="24"/>
                <w:highlight w:val="none"/>
                <w:lang w:val="en-US" w:eastAsia="zh-CN"/>
              </w:rPr>
              <w:t>88.89</w:t>
            </w:r>
            <w:r>
              <w:rPr>
                <w:rFonts w:hint="eastAsia" w:ascii="Times New Roman" w:hAnsi="Times New Roman"/>
                <w:color w:val="auto"/>
                <w:sz w:val="24"/>
                <w:szCs w:val="24"/>
                <w:highlight w:val="none"/>
              </w:rPr>
              <w:t>mg/m³，产生速率为0.2</w:t>
            </w:r>
            <w:r>
              <w:rPr>
                <w:rFonts w:hint="eastAsia" w:ascii="Times New Roman" w:hAnsi="Times New Roman"/>
                <w:color w:val="auto"/>
                <w:sz w:val="24"/>
                <w:szCs w:val="24"/>
                <w:highlight w:val="none"/>
                <w:lang w:val="en-US" w:eastAsia="zh-CN"/>
              </w:rPr>
              <w:t>7</w:t>
            </w:r>
            <w:r>
              <w:rPr>
                <w:rFonts w:hint="eastAsia" w:ascii="Times New Roman" w:hAnsi="Times New Roman"/>
                <w:color w:val="auto"/>
                <w:sz w:val="24"/>
                <w:szCs w:val="24"/>
                <w:highlight w:val="none"/>
              </w:rPr>
              <w:t>kg/h。</w:t>
            </w:r>
            <w:r>
              <w:rPr>
                <w:rFonts w:hint="eastAsia" w:ascii="Times New Roman" w:hAnsi="Times New Roman"/>
                <w:color w:val="auto"/>
                <w:sz w:val="24"/>
                <w:szCs w:val="24"/>
                <w:highlight w:val="none"/>
                <w:lang w:val="en-US" w:eastAsia="zh-CN"/>
              </w:rPr>
              <w:t>脱硫</w:t>
            </w:r>
            <w:r>
              <w:rPr>
                <w:rFonts w:hint="eastAsia" w:ascii="Times New Roman" w:hAnsi="Times New Roman"/>
                <w:color w:val="auto"/>
                <w:sz w:val="24"/>
                <w:szCs w:val="24"/>
                <w:highlight w:val="none"/>
              </w:rPr>
              <w:t>塔处理效率按80%计，则有组织硫酸雾排放量为0.03</w:t>
            </w:r>
            <w:r>
              <w:rPr>
                <w:rFonts w:hint="eastAsia" w:ascii="Times New Roman" w:hAnsi="Times New Roman"/>
                <w:color w:val="auto"/>
                <w:sz w:val="24"/>
                <w:szCs w:val="24"/>
                <w:highlight w:val="none"/>
                <w:lang w:val="en-US" w:eastAsia="zh-CN"/>
              </w:rPr>
              <w:t>2</w:t>
            </w:r>
            <w:r>
              <w:rPr>
                <w:rFonts w:hint="eastAsia" w:ascii="Times New Roman" w:hAnsi="Times New Roman"/>
                <w:color w:val="auto"/>
                <w:sz w:val="24"/>
                <w:szCs w:val="24"/>
                <w:highlight w:val="none"/>
              </w:rPr>
              <w:t>t/a，排放速率0.05kg/h，排放浓度</w:t>
            </w:r>
            <w:r>
              <w:rPr>
                <w:rFonts w:hint="eastAsia" w:ascii="Times New Roman" w:hAnsi="Times New Roman"/>
                <w:color w:val="auto"/>
                <w:sz w:val="24"/>
                <w:szCs w:val="24"/>
                <w:highlight w:val="none"/>
                <w:lang w:val="en-US" w:eastAsia="zh-CN"/>
              </w:rPr>
              <w:t>17.78</w:t>
            </w:r>
            <w:r>
              <w:rPr>
                <w:rFonts w:hint="eastAsia" w:ascii="Times New Roman" w:hAnsi="Times New Roman"/>
                <w:color w:val="auto"/>
                <w:sz w:val="24"/>
                <w:szCs w:val="24"/>
                <w:highlight w:val="none"/>
              </w:rPr>
              <w:t>mg/m³。满足《大气污染物综合排放标准》（GB16297-1966）表2中硫酸雾（其他）最高允许排放浓度限值要求。</w:t>
            </w:r>
          </w:p>
          <w:p w14:paraId="19A01253">
            <w:pPr>
              <w:spacing w:line="48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未经收集的硫酸雾以无组织形式排放，年排放量为0.008</w:t>
            </w:r>
            <w:r>
              <w:rPr>
                <w:rFonts w:hint="eastAsia" w:ascii="Times New Roman" w:hAnsi="Times New Roman"/>
                <w:color w:val="auto"/>
                <w:sz w:val="24"/>
                <w:szCs w:val="24"/>
                <w:highlight w:val="none"/>
              </w:rPr>
              <w:t>t/a</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排放速率为0.01</w:t>
            </w:r>
            <w:r>
              <w:rPr>
                <w:rFonts w:hint="eastAsia" w:ascii="Times New Roman" w:hAnsi="Times New Roman"/>
                <w:color w:val="auto"/>
                <w:sz w:val="24"/>
                <w:szCs w:val="24"/>
                <w:highlight w:val="none"/>
              </w:rPr>
              <w:t>kg/h</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排放量很少，经预测，项目边界硫酸雾浓度可以满足</w:t>
            </w:r>
            <w:r>
              <w:rPr>
                <w:rFonts w:hint="eastAsia" w:ascii="Times New Roman" w:hAnsi="Times New Roman" w:eastAsiaTheme="minorEastAsia"/>
                <w:color w:val="auto"/>
                <w:sz w:val="24"/>
                <w:szCs w:val="24"/>
                <w:highlight w:val="none"/>
              </w:rPr>
              <w:t>《大气污染物综合排放标准》（GB16297-1996）表2</w:t>
            </w:r>
            <w:r>
              <w:rPr>
                <w:rFonts w:hint="eastAsia" w:ascii="Times New Roman" w:hAnsi="Times New Roman" w:cs="Times New Roman"/>
                <w:color w:val="auto"/>
                <w:sz w:val="24"/>
                <w:szCs w:val="24"/>
                <w:highlight w:val="none"/>
                <w:lang w:val="en-US" w:eastAsia="zh-CN"/>
              </w:rPr>
              <w:t>无组织排放监控浓度限值</w:t>
            </w:r>
            <w:r>
              <w:rPr>
                <w:rFonts w:hint="eastAsia" w:ascii="Times New Roman" w:hAnsi="Times New Roman"/>
                <w:color w:val="auto"/>
                <w:sz w:val="24"/>
                <w:szCs w:val="24"/>
                <w:highlight w:val="none"/>
              </w:rPr>
              <w:t>。</w:t>
            </w:r>
          </w:p>
          <w:p w14:paraId="3117DC23">
            <w:pPr>
              <w:spacing w:line="48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c</w:t>
            </w:r>
            <w:r>
              <w:rPr>
                <w:rFonts w:hint="eastAsia" w:ascii="Times New Roman" w:hAnsi="Times New Roman"/>
                <w:color w:val="auto"/>
                <w:sz w:val="24"/>
                <w:szCs w:val="24"/>
                <w:highlight w:val="none"/>
              </w:rPr>
              <w:t>)废气治理设施及可行性分析</w:t>
            </w:r>
          </w:p>
          <w:p w14:paraId="16297544">
            <w:pPr>
              <w:spacing w:line="48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破损</w:t>
            </w:r>
            <w:r>
              <w:rPr>
                <w:rFonts w:hint="eastAsia" w:ascii="Times New Roman" w:hAnsi="Times New Roman"/>
                <w:color w:val="auto"/>
                <w:sz w:val="24"/>
                <w:szCs w:val="24"/>
                <w:highlight w:val="none"/>
                <w:lang w:eastAsia="zh-CN"/>
              </w:rPr>
              <w:t>废旧铅酸蓄电池</w:t>
            </w:r>
            <w:r>
              <w:rPr>
                <w:rFonts w:hint="eastAsia" w:ascii="Times New Roman" w:hAnsi="Times New Roman"/>
                <w:color w:val="auto"/>
                <w:sz w:val="24"/>
                <w:szCs w:val="24"/>
                <w:highlight w:val="none"/>
              </w:rPr>
              <w:t>存放于单独密闭区域内，破损铅蓄电池产生的少量硫酸雾通过房间顶部管道进入</w:t>
            </w:r>
            <w:r>
              <w:rPr>
                <w:rFonts w:hint="eastAsia" w:ascii="Times New Roman" w:hAnsi="Times New Roman"/>
                <w:color w:val="auto"/>
                <w:sz w:val="24"/>
                <w:szCs w:val="24"/>
                <w:highlight w:val="none"/>
                <w:lang w:val="en-US" w:eastAsia="zh-CN"/>
              </w:rPr>
              <w:t>脱硫塔</w:t>
            </w:r>
            <w:r>
              <w:rPr>
                <w:rFonts w:hint="eastAsia" w:ascii="Times New Roman" w:hAnsi="Times New Roman"/>
                <w:color w:val="auto"/>
                <w:sz w:val="24"/>
                <w:szCs w:val="24"/>
                <w:highlight w:val="none"/>
              </w:rPr>
              <w:t>（风机风量为3000m³/h），处理后经过1根15m高排气筒排放。</w:t>
            </w:r>
            <w:r>
              <w:rPr>
                <w:rFonts w:hint="eastAsia" w:ascii="Times New Roman" w:hAnsi="Times New Roman"/>
                <w:color w:val="auto"/>
                <w:sz w:val="24"/>
                <w:szCs w:val="24"/>
                <w:highlight w:val="none"/>
                <w:lang w:val="en-US" w:eastAsia="zh-CN"/>
              </w:rPr>
              <w:t>脱硫</w:t>
            </w:r>
            <w:r>
              <w:rPr>
                <w:rFonts w:hint="eastAsia" w:ascii="Times New Roman" w:hAnsi="Times New Roman"/>
                <w:color w:val="auto"/>
                <w:sz w:val="24"/>
                <w:szCs w:val="24"/>
                <w:highlight w:val="none"/>
              </w:rPr>
              <w:t>塔由进风段、压力室、鼓泡贮液箱、两级喷淋段、旋流板、出风锥帽等组成。一般采用氢氧化钠为吸收中和液、溶液浓度为2%-6%，净化效率可达80%以上。硫酸雾通过集气管道由离心风机压入吸收塔的进气段后，垂直向上与喷淋段自上而下的吸收液起中和反应，使废气浓度降低，然后继续向上进入填料段，废气在填料段再与吸收液起中和反应，使废气浓度进一步降低后进入脱水器段，脱去液滴，净化后的气体排入大气。</w:t>
            </w:r>
          </w:p>
          <w:p w14:paraId="28059E22">
            <w:pPr>
              <w:spacing w:line="480" w:lineRule="exact"/>
              <w:jc w:val="center"/>
              <w:rPr>
                <w:rFonts w:ascii="Times New Roman" w:hAnsi="Times New Roman"/>
                <w:color w:val="auto"/>
                <w:sz w:val="24"/>
                <w:szCs w:val="24"/>
                <w:highlight w:val="none"/>
              </w:rPr>
            </w:pPr>
            <w:r>
              <w:rPr>
                <w:rFonts w:ascii="Times New Roman" w:hAnsi="Times New Roman"/>
                <w:color w:val="auto"/>
                <w:sz w:val="24"/>
                <w:szCs w:val="24"/>
                <w:highlight w:val="none"/>
              </w:rPr>
              <w:t>表4-1   本项目废气污染治理措施情况一览表</w:t>
            </w:r>
          </w:p>
          <w:tbl>
            <w:tblPr>
              <w:tblStyle w:val="31"/>
              <w:tblW w:w="493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23"/>
              <w:gridCol w:w="703"/>
              <w:gridCol w:w="795"/>
              <w:gridCol w:w="853"/>
              <w:gridCol w:w="1234"/>
              <w:gridCol w:w="924"/>
              <w:gridCol w:w="902"/>
              <w:gridCol w:w="901"/>
              <w:gridCol w:w="1577"/>
            </w:tblGrid>
            <w:tr w14:paraId="701BBA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54" w:type="pct"/>
                  <w:vMerge w:val="restart"/>
                  <w:shd w:val="clear" w:color="auto" w:fill="auto"/>
                  <w:vAlign w:val="center"/>
                </w:tcPr>
                <w:p w14:paraId="405BFB96">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序号</w:t>
                  </w:r>
                </w:p>
              </w:tc>
              <w:tc>
                <w:tcPr>
                  <w:tcW w:w="422" w:type="pct"/>
                  <w:vMerge w:val="restart"/>
                  <w:shd w:val="clear" w:color="auto" w:fill="auto"/>
                  <w:vAlign w:val="center"/>
                </w:tcPr>
                <w:p w14:paraId="3BEAEE3F">
                  <w:pPr>
                    <w:adjustRightInd w:val="0"/>
                    <w:snapToGrid w:val="0"/>
                    <w:spacing w:line="0" w:lineRule="atLeast"/>
                    <w:jc w:val="center"/>
                    <w:rPr>
                      <w:rFonts w:hint="eastAsia" w:ascii="Times New Roman" w:hAnsi="Times New Roman" w:eastAsiaTheme="minorEastAsia"/>
                      <w:bCs/>
                      <w:color w:val="auto"/>
                      <w:spacing w:val="-10"/>
                      <w:szCs w:val="21"/>
                      <w:highlight w:val="none"/>
                      <w:lang w:eastAsia="zh-CN"/>
                    </w:rPr>
                  </w:pPr>
                  <w:r>
                    <w:rPr>
                      <w:rFonts w:hint="eastAsia" w:ascii="Times New Roman" w:hAnsi="Times New Roman" w:eastAsiaTheme="minorEastAsia"/>
                      <w:bCs/>
                      <w:color w:val="auto"/>
                      <w:spacing w:val="-10"/>
                      <w:szCs w:val="21"/>
                      <w:highlight w:val="none"/>
                      <w:lang w:val="en-US" w:eastAsia="zh-CN"/>
                    </w:rPr>
                    <w:t>污染源</w:t>
                  </w:r>
                </w:p>
              </w:tc>
              <w:tc>
                <w:tcPr>
                  <w:tcW w:w="478" w:type="pct"/>
                  <w:vMerge w:val="restart"/>
                  <w:shd w:val="clear" w:color="auto" w:fill="auto"/>
                  <w:vAlign w:val="center"/>
                </w:tcPr>
                <w:p w14:paraId="606BC024">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污染物</w:t>
                  </w:r>
                </w:p>
              </w:tc>
              <w:tc>
                <w:tcPr>
                  <w:tcW w:w="513" w:type="pct"/>
                  <w:vMerge w:val="restart"/>
                  <w:shd w:val="clear" w:color="auto" w:fill="auto"/>
                  <w:vAlign w:val="center"/>
                </w:tcPr>
                <w:p w14:paraId="73288C5B">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排放</w:t>
                  </w:r>
                </w:p>
                <w:p w14:paraId="51DDD86D">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形式</w:t>
                  </w:r>
                </w:p>
              </w:tc>
              <w:tc>
                <w:tcPr>
                  <w:tcW w:w="3331" w:type="pct"/>
                  <w:gridSpan w:val="5"/>
                  <w:shd w:val="clear" w:color="auto" w:fill="auto"/>
                  <w:vAlign w:val="center"/>
                </w:tcPr>
                <w:p w14:paraId="13433618">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污染治理措施</w:t>
                  </w:r>
                </w:p>
              </w:tc>
            </w:tr>
            <w:tr w14:paraId="5119F9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54" w:type="pct"/>
                  <w:vMerge w:val="continue"/>
                  <w:shd w:val="clear" w:color="auto" w:fill="auto"/>
                  <w:vAlign w:val="center"/>
                </w:tcPr>
                <w:p w14:paraId="2E428224">
                  <w:pPr>
                    <w:adjustRightInd w:val="0"/>
                    <w:snapToGrid w:val="0"/>
                    <w:spacing w:line="0" w:lineRule="atLeast"/>
                    <w:jc w:val="center"/>
                    <w:rPr>
                      <w:rFonts w:ascii="Times New Roman" w:hAnsi="Times New Roman" w:eastAsiaTheme="minorEastAsia"/>
                      <w:bCs/>
                      <w:color w:val="auto"/>
                      <w:spacing w:val="-10"/>
                      <w:szCs w:val="21"/>
                      <w:highlight w:val="none"/>
                    </w:rPr>
                  </w:pPr>
                </w:p>
              </w:tc>
              <w:tc>
                <w:tcPr>
                  <w:tcW w:w="422" w:type="pct"/>
                  <w:vMerge w:val="continue"/>
                  <w:shd w:val="clear" w:color="auto" w:fill="auto"/>
                  <w:vAlign w:val="center"/>
                </w:tcPr>
                <w:p w14:paraId="6653F067">
                  <w:pPr>
                    <w:adjustRightInd w:val="0"/>
                    <w:snapToGrid w:val="0"/>
                    <w:spacing w:line="0" w:lineRule="atLeast"/>
                    <w:jc w:val="center"/>
                    <w:rPr>
                      <w:rFonts w:ascii="Times New Roman" w:hAnsi="Times New Roman" w:eastAsiaTheme="minorEastAsia"/>
                      <w:bCs/>
                      <w:color w:val="auto"/>
                      <w:spacing w:val="-10"/>
                      <w:szCs w:val="21"/>
                      <w:highlight w:val="none"/>
                    </w:rPr>
                  </w:pPr>
                </w:p>
              </w:tc>
              <w:tc>
                <w:tcPr>
                  <w:tcW w:w="478" w:type="pct"/>
                  <w:vMerge w:val="continue"/>
                  <w:shd w:val="clear" w:color="auto" w:fill="auto"/>
                  <w:vAlign w:val="center"/>
                </w:tcPr>
                <w:p w14:paraId="1CCFCB1D">
                  <w:pPr>
                    <w:adjustRightInd w:val="0"/>
                    <w:snapToGrid w:val="0"/>
                    <w:spacing w:line="0" w:lineRule="atLeast"/>
                    <w:jc w:val="center"/>
                    <w:rPr>
                      <w:rFonts w:ascii="Times New Roman" w:hAnsi="Times New Roman" w:eastAsiaTheme="minorEastAsia"/>
                      <w:bCs/>
                      <w:color w:val="auto"/>
                      <w:spacing w:val="-10"/>
                      <w:szCs w:val="21"/>
                      <w:highlight w:val="none"/>
                    </w:rPr>
                  </w:pPr>
                </w:p>
              </w:tc>
              <w:tc>
                <w:tcPr>
                  <w:tcW w:w="513" w:type="pct"/>
                  <w:vMerge w:val="continue"/>
                  <w:shd w:val="clear" w:color="auto" w:fill="auto"/>
                  <w:vAlign w:val="center"/>
                </w:tcPr>
                <w:p w14:paraId="0B7B7D69">
                  <w:pPr>
                    <w:adjustRightInd w:val="0"/>
                    <w:snapToGrid w:val="0"/>
                    <w:spacing w:line="0" w:lineRule="atLeast"/>
                    <w:jc w:val="center"/>
                    <w:rPr>
                      <w:rFonts w:ascii="Times New Roman" w:hAnsi="Times New Roman" w:eastAsiaTheme="minorEastAsia"/>
                      <w:bCs/>
                      <w:color w:val="auto"/>
                      <w:spacing w:val="-10"/>
                      <w:szCs w:val="21"/>
                      <w:highlight w:val="none"/>
                    </w:rPr>
                  </w:pPr>
                </w:p>
              </w:tc>
              <w:tc>
                <w:tcPr>
                  <w:tcW w:w="742" w:type="pct"/>
                  <w:shd w:val="clear" w:color="auto" w:fill="auto"/>
                  <w:vAlign w:val="center"/>
                </w:tcPr>
                <w:p w14:paraId="2C14BC61">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工艺名称</w:t>
                  </w:r>
                </w:p>
              </w:tc>
              <w:tc>
                <w:tcPr>
                  <w:tcW w:w="555" w:type="pct"/>
                  <w:shd w:val="clear" w:color="auto" w:fill="auto"/>
                  <w:vAlign w:val="center"/>
                </w:tcPr>
                <w:p w14:paraId="3BB126FF">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处理能力</w:t>
                  </w:r>
                </w:p>
                <w:p w14:paraId="7A0C2006">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Nm³/h</w:t>
                  </w:r>
                </w:p>
              </w:tc>
              <w:tc>
                <w:tcPr>
                  <w:tcW w:w="542" w:type="pct"/>
                  <w:shd w:val="clear" w:color="auto" w:fill="auto"/>
                  <w:vAlign w:val="center"/>
                </w:tcPr>
                <w:p w14:paraId="167B18D3">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收集</w:t>
                  </w:r>
                </w:p>
                <w:p w14:paraId="1A832AD0">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效率%</w:t>
                  </w:r>
                </w:p>
              </w:tc>
              <w:tc>
                <w:tcPr>
                  <w:tcW w:w="541" w:type="pct"/>
                  <w:shd w:val="clear" w:color="auto" w:fill="auto"/>
                  <w:vAlign w:val="center"/>
                </w:tcPr>
                <w:p w14:paraId="4C474A97">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去除率%</w:t>
                  </w:r>
                </w:p>
              </w:tc>
              <w:tc>
                <w:tcPr>
                  <w:tcW w:w="948" w:type="pct"/>
                  <w:shd w:val="clear" w:color="auto" w:fill="auto"/>
                  <w:vAlign w:val="center"/>
                </w:tcPr>
                <w:p w14:paraId="2EE88891">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是否为可行技术</w:t>
                  </w:r>
                </w:p>
              </w:tc>
            </w:tr>
            <w:tr w14:paraId="1495CB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54" w:type="pct"/>
                  <w:shd w:val="clear" w:color="auto" w:fill="auto"/>
                  <w:vAlign w:val="center"/>
                </w:tcPr>
                <w:p w14:paraId="068FDC82">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1</w:t>
                  </w:r>
                </w:p>
              </w:tc>
              <w:tc>
                <w:tcPr>
                  <w:tcW w:w="422" w:type="pct"/>
                  <w:shd w:val="clear" w:color="auto" w:fill="auto"/>
                  <w:vAlign w:val="center"/>
                </w:tcPr>
                <w:p w14:paraId="365D7A40">
                  <w:pPr>
                    <w:adjustRightInd w:val="0"/>
                    <w:snapToGrid w:val="0"/>
                    <w:spacing w:line="0" w:lineRule="atLeast"/>
                    <w:jc w:val="center"/>
                    <w:rPr>
                      <w:rFonts w:ascii="Times New Roman" w:hAnsi="Times New Roman" w:eastAsiaTheme="minorEastAsia"/>
                      <w:bCs/>
                      <w:color w:val="auto"/>
                      <w:spacing w:val="-10"/>
                      <w:szCs w:val="21"/>
                      <w:highlight w:val="none"/>
                    </w:rPr>
                  </w:pPr>
                  <w:r>
                    <w:rPr>
                      <w:rFonts w:hint="eastAsia" w:ascii="Times New Roman" w:hAnsi="Times New Roman" w:eastAsiaTheme="minorEastAsia"/>
                      <w:bCs/>
                      <w:color w:val="auto"/>
                      <w:spacing w:val="-10"/>
                      <w:szCs w:val="21"/>
                      <w:highlight w:val="none"/>
                    </w:rPr>
                    <w:t>破损</w:t>
                  </w:r>
                  <w:r>
                    <w:rPr>
                      <w:rFonts w:hint="eastAsia" w:ascii="Times New Roman" w:hAnsi="Times New Roman" w:eastAsiaTheme="minorEastAsia"/>
                      <w:bCs/>
                      <w:color w:val="auto"/>
                      <w:spacing w:val="-10"/>
                      <w:szCs w:val="21"/>
                      <w:highlight w:val="none"/>
                      <w:lang w:eastAsia="zh-CN"/>
                    </w:rPr>
                    <w:t>废旧铅酸蓄电池</w:t>
                  </w:r>
                  <w:r>
                    <w:rPr>
                      <w:rFonts w:hint="eastAsia" w:ascii="Times New Roman" w:hAnsi="Times New Roman" w:eastAsiaTheme="minorEastAsia"/>
                      <w:bCs/>
                      <w:color w:val="auto"/>
                      <w:spacing w:val="-10"/>
                      <w:szCs w:val="21"/>
                      <w:highlight w:val="none"/>
                    </w:rPr>
                    <w:t>贮存</w:t>
                  </w:r>
                </w:p>
              </w:tc>
              <w:tc>
                <w:tcPr>
                  <w:tcW w:w="478" w:type="pct"/>
                  <w:shd w:val="clear" w:color="auto" w:fill="auto"/>
                  <w:vAlign w:val="center"/>
                </w:tcPr>
                <w:p w14:paraId="57CBEC1C">
                  <w:pPr>
                    <w:spacing w:line="0" w:lineRule="atLeast"/>
                    <w:jc w:val="center"/>
                    <w:rPr>
                      <w:rFonts w:ascii="Times New Roman" w:hAnsi="Times New Roman" w:eastAsiaTheme="minorEastAsia"/>
                      <w:color w:val="auto"/>
                      <w:spacing w:val="-10"/>
                      <w:szCs w:val="21"/>
                      <w:highlight w:val="none"/>
                    </w:rPr>
                  </w:pPr>
                  <w:r>
                    <w:rPr>
                      <w:rFonts w:hint="eastAsia" w:ascii="Times New Roman" w:hAnsi="Times New Roman" w:eastAsiaTheme="minorEastAsia"/>
                      <w:color w:val="auto"/>
                      <w:szCs w:val="21"/>
                      <w:highlight w:val="none"/>
                    </w:rPr>
                    <w:t>硫酸雾</w:t>
                  </w:r>
                </w:p>
              </w:tc>
              <w:tc>
                <w:tcPr>
                  <w:tcW w:w="513" w:type="pct"/>
                  <w:shd w:val="clear" w:color="auto" w:fill="auto"/>
                  <w:vAlign w:val="center"/>
                </w:tcPr>
                <w:p w14:paraId="73C91C5B">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有组织</w:t>
                  </w:r>
                </w:p>
              </w:tc>
              <w:tc>
                <w:tcPr>
                  <w:tcW w:w="742" w:type="pct"/>
                  <w:shd w:val="clear" w:color="auto" w:fill="auto"/>
                  <w:vAlign w:val="center"/>
                </w:tcPr>
                <w:p w14:paraId="6AB7D3F0">
                  <w:pPr>
                    <w:adjustRightInd w:val="0"/>
                    <w:snapToGrid w:val="0"/>
                    <w:spacing w:line="0" w:lineRule="atLeast"/>
                    <w:jc w:val="center"/>
                    <w:rPr>
                      <w:rFonts w:ascii="Times New Roman" w:hAnsi="Times New Roman" w:eastAsiaTheme="minorEastAsia"/>
                      <w:bCs/>
                      <w:color w:val="auto"/>
                      <w:spacing w:val="-10"/>
                      <w:szCs w:val="21"/>
                      <w:highlight w:val="none"/>
                    </w:rPr>
                  </w:pPr>
                  <w:r>
                    <w:rPr>
                      <w:rFonts w:hint="eastAsia" w:ascii="Times New Roman" w:hAnsi="Times New Roman" w:eastAsiaTheme="minorEastAsia"/>
                      <w:bCs/>
                      <w:color w:val="auto"/>
                      <w:spacing w:val="-10"/>
                      <w:szCs w:val="21"/>
                      <w:highlight w:val="none"/>
                    </w:rPr>
                    <w:t>贮存间密闭+风机抽风+</w:t>
                  </w:r>
                  <w:r>
                    <w:rPr>
                      <w:rFonts w:hint="eastAsia" w:ascii="Times New Roman" w:hAnsi="Times New Roman" w:eastAsiaTheme="minorEastAsia"/>
                      <w:bCs/>
                      <w:color w:val="auto"/>
                      <w:spacing w:val="-10"/>
                      <w:szCs w:val="21"/>
                      <w:highlight w:val="none"/>
                      <w:lang w:val="en-US" w:eastAsia="zh-CN"/>
                    </w:rPr>
                    <w:t>脱硫</w:t>
                  </w:r>
                  <w:r>
                    <w:rPr>
                      <w:rFonts w:hint="eastAsia" w:ascii="Times New Roman" w:hAnsi="Times New Roman" w:eastAsiaTheme="minorEastAsia"/>
                      <w:bCs/>
                      <w:color w:val="auto"/>
                      <w:spacing w:val="-10"/>
                      <w:szCs w:val="21"/>
                      <w:highlight w:val="none"/>
                    </w:rPr>
                    <w:t>塔</w:t>
                  </w:r>
                </w:p>
              </w:tc>
              <w:tc>
                <w:tcPr>
                  <w:tcW w:w="555" w:type="pct"/>
                  <w:shd w:val="clear" w:color="auto" w:fill="auto"/>
                  <w:vAlign w:val="center"/>
                </w:tcPr>
                <w:p w14:paraId="254C92D7">
                  <w:pPr>
                    <w:adjustRightInd w:val="0"/>
                    <w:snapToGrid w:val="0"/>
                    <w:spacing w:line="0" w:lineRule="atLeast"/>
                    <w:jc w:val="center"/>
                    <w:rPr>
                      <w:rFonts w:ascii="Times New Roman" w:hAnsi="Times New Roman" w:eastAsiaTheme="minorEastAsia"/>
                      <w:bCs/>
                      <w:color w:val="auto"/>
                      <w:spacing w:val="-10"/>
                      <w:szCs w:val="21"/>
                      <w:highlight w:val="none"/>
                    </w:rPr>
                  </w:pPr>
                  <w:r>
                    <w:rPr>
                      <w:rFonts w:hint="eastAsia" w:ascii="Times New Roman" w:hAnsi="Times New Roman" w:eastAsiaTheme="minorEastAsia"/>
                      <w:bCs/>
                      <w:color w:val="auto"/>
                      <w:spacing w:val="-10"/>
                      <w:szCs w:val="21"/>
                      <w:highlight w:val="none"/>
                      <w:lang w:val="en-US" w:eastAsia="zh-CN"/>
                    </w:rPr>
                    <w:t>3</w:t>
                  </w:r>
                  <w:r>
                    <w:rPr>
                      <w:rFonts w:ascii="Times New Roman" w:hAnsi="Times New Roman" w:eastAsiaTheme="minorEastAsia"/>
                      <w:bCs/>
                      <w:color w:val="auto"/>
                      <w:spacing w:val="-10"/>
                      <w:szCs w:val="21"/>
                      <w:highlight w:val="none"/>
                    </w:rPr>
                    <w:t>000</w:t>
                  </w:r>
                </w:p>
              </w:tc>
              <w:tc>
                <w:tcPr>
                  <w:tcW w:w="542" w:type="pct"/>
                  <w:shd w:val="clear" w:color="auto" w:fill="auto"/>
                  <w:vAlign w:val="center"/>
                </w:tcPr>
                <w:p w14:paraId="2498AD8B">
                  <w:pPr>
                    <w:adjustRightInd w:val="0"/>
                    <w:snapToGrid w:val="0"/>
                    <w:spacing w:line="0" w:lineRule="atLeast"/>
                    <w:jc w:val="center"/>
                    <w:rPr>
                      <w:rFonts w:ascii="Times New Roman" w:hAnsi="Times New Roman" w:eastAsiaTheme="minorEastAsia"/>
                      <w:bCs/>
                      <w:color w:val="auto"/>
                      <w:spacing w:val="-10"/>
                      <w:szCs w:val="21"/>
                      <w:highlight w:val="none"/>
                    </w:rPr>
                  </w:pPr>
                  <w:r>
                    <w:rPr>
                      <w:rFonts w:hint="eastAsia" w:ascii="Times New Roman" w:hAnsi="Times New Roman" w:eastAsiaTheme="minorEastAsia"/>
                      <w:bCs/>
                      <w:color w:val="auto"/>
                      <w:spacing w:val="-10"/>
                      <w:szCs w:val="21"/>
                      <w:highlight w:val="none"/>
                      <w:lang w:val="en-US" w:eastAsia="zh-CN"/>
                    </w:rPr>
                    <w:t>95</w:t>
                  </w:r>
                  <w:r>
                    <w:rPr>
                      <w:rFonts w:ascii="Times New Roman" w:hAnsi="Times New Roman" w:eastAsiaTheme="minorEastAsia"/>
                      <w:bCs/>
                      <w:color w:val="auto"/>
                      <w:spacing w:val="-10"/>
                      <w:szCs w:val="21"/>
                      <w:highlight w:val="none"/>
                    </w:rPr>
                    <w:t>%</w:t>
                  </w:r>
                </w:p>
              </w:tc>
              <w:tc>
                <w:tcPr>
                  <w:tcW w:w="541" w:type="pct"/>
                  <w:shd w:val="clear" w:color="auto" w:fill="auto"/>
                  <w:vAlign w:val="center"/>
                </w:tcPr>
                <w:p w14:paraId="414C8B7E">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80%</w:t>
                  </w:r>
                </w:p>
              </w:tc>
              <w:tc>
                <w:tcPr>
                  <w:tcW w:w="948" w:type="pct"/>
                  <w:shd w:val="clear" w:color="auto" w:fill="auto"/>
                  <w:vAlign w:val="center"/>
                </w:tcPr>
                <w:p w14:paraId="0668EF87">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是</w:t>
                  </w:r>
                </w:p>
              </w:tc>
            </w:tr>
          </w:tbl>
          <w:p w14:paraId="4915E8E0">
            <w:pPr>
              <w:pStyle w:val="5"/>
              <w:spacing w:line="480" w:lineRule="exact"/>
              <w:ind w:firstLine="480"/>
              <w:rPr>
                <w:rFonts w:ascii="Times New Roman" w:hAnsi="Times New Roman"/>
                <w:color w:val="auto"/>
                <w:sz w:val="24"/>
                <w:szCs w:val="24"/>
                <w:highlight w:val="none"/>
              </w:rPr>
            </w:pPr>
            <w:r>
              <w:rPr>
                <w:rFonts w:ascii="Times New Roman" w:hAnsi="Times New Roman"/>
                <w:color w:val="auto"/>
                <w:sz w:val="24"/>
                <w:szCs w:val="24"/>
                <w:highlight w:val="none"/>
              </w:rPr>
              <w:t>项目</w:t>
            </w:r>
            <w:r>
              <w:rPr>
                <w:rFonts w:hint="eastAsia" w:ascii="Times New Roman" w:hAnsi="Times New Roman"/>
                <w:color w:val="auto"/>
                <w:sz w:val="24"/>
                <w:szCs w:val="24"/>
                <w:highlight w:val="none"/>
              </w:rPr>
              <w:t>废气污染物产生及排放情况见下表</w:t>
            </w:r>
            <w:r>
              <w:rPr>
                <w:rFonts w:ascii="Times New Roman" w:hAnsi="Times New Roman"/>
                <w:color w:val="auto"/>
                <w:sz w:val="24"/>
                <w:szCs w:val="24"/>
                <w:highlight w:val="none"/>
              </w:rPr>
              <w:t>。</w:t>
            </w:r>
          </w:p>
          <w:p w14:paraId="7B1AA116">
            <w:pPr>
              <w:spacing w:line="480" w:lineRule="exact"/>
              <w:jc w:val="center"/>
              <w:rPr>
                <w:rFonts w:ascii="Times New Roman" w:hAnsi="Times New Roman"/>
                <w:color w:val="auto"/>
                <w:sz w:val="24"/>
                <w:szCs w:val="24"/>
                <w:highlight w:val="none"/>
              </w:rPr>
            </w:pPr>
            <w:r>
              <w:rPr>
                <w:rFonts w:ascii="Times New Roman" w:hAnsi="Times New Roman"/>
                <w:color w:val="auto"/>
                <w:sz w:val="24"/>
                <w:szCs w:val="24"/>
                <w:highlight w:val="none"/>
              </w:rPr>
              <w:t xml:space="preserve">表4-2  </w:t>
            </w:r>
            <w:r>
              <w:rPr>
                <w:rFonts w:hint="eastAsia" w:ascii="Times New Roman" w:hAnsi="Times New Roman"/>
                <w:color w:val="auto"/>
                <w:sz w:val="24"/>
                <w:szCs w:val="24"/>
                <w:highlight w:val="none"/>
                <w:lang w:val="en-US" w:eastAsia="zh-CN"/>
              </w:rPr>
              <w:t>项目</w:t>
            </w:r>
            <w:r>
              <w:rPr>
                <w:rFonts w:ascii="Times New Roman" w:hAnsi="Times New Roman"/>
                <w:color w:val="auto"/>
                <w:sz w:val="24"/>
                <w:szCs w:val="24"/>
                <w:highlight w:val="none"/>
              </w:rPr>
              <w:t>废气</w:t>
            </w:r>
            <w:r>
              <w:rPr>
                <w:rFonts w:hint="eastAsia" w:ascii="Times New Roman" w:hAnsi="Times New Roman"/>
                <w:color w:val="auto"/>
                <w:sz w:val="24"/>
                <w:szCs w:val="24"/>
                <w:highlight w:val="none"/>
              </w:rPr>
              <w:t>产生及排放情况汇总表</w:t>
            </w:r>
          </w:p>
          <w:tbl>
            <w:tblPr>
              <w:tblStyle w:val="3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53"/>
              <w:gridCol w:w="770"/>
              <w:gridCol w:w="754"/>
              <w:gridCol w:w="919"/>
              <w:gridCol w:w="593"/>
              <w:gridCol w:w="643"/>
              <w:gridCol w:w="985"/>
              <w:gridCol w:w="756"/>
              <w:gridCol w:w="576"/>
              <w:gridCol w:w="741"/>
              <w:gridCol w:w="666"/>
              <w:gridCol w:w="759"/>
            </w:tblGrid>
            <w:tr w14:paraId="4991E4E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0" w:type="pct"/>
                  <w:vMerge w:val="restart"/>
                  <w:shd w:val="clear" w:color="auto" w:fill="auto"/>
                  <w:vAlign w:val="center"/>
                </w:tcPr>
                <w:p w14:paraId="0112934D">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序号</w:t>
                  </w:r>
                </w:p>
              </w:tc>
              <w:tc>
                <w:tcPr>
                  <w:tcW w:w="457" w:type="pct"/>
                  <w:vMerge w:val="restart"/>
                  <w:shd w:val="clear" w:color="auto" w:fill="auto"/>
                  <w:vAlign w:val="center"/>
                </w:tcPr>
                <w:p w14:paraId="39264611">
                  <w:pPr>
                    <w:adjustRightInd w:val="0"/>
                    <w:snapToGrid w:val="0"/>
                    <w:spacing w:line="0" w:lineRule="atLeast"/>
                    <w:jc w:val="center"/>
                    <w:rPr>
                      <w:rFonts w:ascii="Times New Roman" w:hAnsi="Times New Roman" w:eastAsiaTheme="minorEastAsia"/>
                      <w:bCs/>
                      <w:color w:val="auto"/>
                      <w:spacing w:val="-10"/>
                      <w:szCs w:val="21"/>
                      <w:highlight w:val="none"/>
                    </w:rPr>
                  </w:pPr>
                  <w:r>
                    <w:rPr>
                      <w:rFonts w:hint="eastAsia" w:ascii="Times New Roman" w:hAnsi="Times New Roman" w:eastAsiaTheme="minorEastAsia"/>
                      <w:bCs/>
                      <w:color w:val="auto"/>
                      <w:spacing w:val="-10"/>
                      <w:szCs w:val="21"/>
                      <w:highlight w:val="none"/>
                      <w:lang w:val="en-US" w:eastAsia="zh-CN"/>
                    </w:rPr>
                    <w:t>污染源</w:t>
                  </w:r>
                </w:p>
              </w:tc>
              <w:tc>
                <w:tcPr>
                  <w:tcW w:w="448" w:type="pct"/>
                  <w:vMerge w:val="restart"/>
                  <w:shd w:val="clear" w:color="auto" w:fill="auto"/>
                  <w:vAlign w:val="center"/>
                </w:tcPr>
                <w:p w14:paraId="7C9C9BED">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污染物</w:t>
                  </w:r>
                </w:p>
              </w:tc>
              <w:tc>
                <w:tcPr>
                  <w:tcW w:w="546" w:type="pct"/>
                  <w:vMerge w:val="restart"/>
                  <w:shd w:val="clear" w:color="auto" w:fill="auto"/>
                  <w:vAlign w:val="center"/>
                </w:tcPr>
                <w:p w14:paraId="20B9D94C">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废气</w:t>
                  </w:r>
                </w:p>
                <w:p w14:paraId="750818A6">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排放量</w:t>
                  </w:r>
                </w:p>
                <w:p w14:paraId="2B1673BC">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Nm³/h</w:t>
                  </w:r>
                </w:p>
              </w:tc>
              <w:tc>
                <w:tcPr>
                  <w:tcW w:w="352" w:type="pct"/>
                  <w:vMerge w:val="restart"/>
                  <w:shd w:val="clear" w:color="auto" w:fill="auto"/>
                  <w:vAlign w:val="center"/>
                </w:tcPr>
                <w:p w14:paraId="0E39A106">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产生</w:t>
                  </w:r>
                </w:p>
                <w:p w14:paraId="475B904F">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浓度</w:t>
                  </w:r>
                </w:p>
                <w:p w14:paraId="53E75210">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mg/m³</w:t>
                  </w:r>
                </w:p>
              </w:tc>
              <w:tc>
                <w:tcPr>
                  <w:tcW w:w="382" w:type="pct"/>
                  <w:vMerge w:val="restart"/>
                  <w:shd w:val="clear" w:color="auto" w:fill="auto"/>
                  <w:vAlign w:val="center"/>
                </w:tcPr>
                <w:p w14:paraId="100D5A9D">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产生量</w:t>
                  </w:r>
                </w:p>
                <w:p w14:paraId="57C83F44">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t/a</w:t>
                  </w:r>
                </w:p>
              </w:tc>
              <w:tc>
                <w:tcPr>
                  <w:tcW w:w="585" w:type="pct"/>
                  <w:vMerge w:val="restart"/>
                  <w:shd w:val="clear" w:color="auto" w:fill="auto"/>
                  <w:vAlign w:val="center"/>
                </w:tcPr>
                <w:p w14:paraId="102A09FC">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污染治理</w:t>
                  </w:r>
                </w:p>
                <w:p w14:paraId="0B4E83DE">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设施</w:t>
                  </w:r>
                </w:p>
              </w:tc>
              <w:tc>
                <w:tcPr>
                  <w:tcW w:w="791" w:type="pct"/>
                  <w:gridSpan w:val="2"/>
                  <w:shd w:val="clear" w:color="auto" w:fill="auto"/>
                  <w:vAlign w:val="center"/>
                </w:tcPr>
                <w:p w14:paraId="0E6A02C1">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排放浓度mg/m³</w:t>
                  </w:r>
                </w:p>
              </w:tc>
              <w:tc>
                <w:tcPr>
                  <w:tcW w:w="440" w:type="pct"/>
                  <w:vMerge w:val="restart"/>
                  <w:shd w:val="clear" w:color="auto" w:fill="auto"/>
                  <w:vAlign w:val="center"/>
                </w:tcPr>
                <w:p w14:paraId="01EB9C7D">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排放</w:t>
                  </w:r>
                </w:p>
                <w:p w14:paraId="0338E306">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速率</w:t>
                  </w:r>
                </w:p>
                <w:p w14:paraId="221203E7">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kg/h</w:t>
                  </w:r>
                </w:p>
              </w:tc>
              <w:tc>
                <w:tcPr>
                  <w:tcW w:w="395" w:type="pct"/>
                  <w:vMerge w:val="restart"/>
                  <w:shd w:val="clear" w:color="auto" w:fill="auto"/>
                  <w:vAlign w:val="center"/>
                </w:tcPr>
                <w:p w14:paraId="26475FAB">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年运行时长</w:t>
                  </w:r>
                </w:p>
                <w:p w14:paraId="53FD1B1C">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h</w:t>
                  </w:r>
                </w:p>
              </w:tc>
              <w:tc>
                <w:tcPr>
                  <w:tcW w:w="450" w:type="pct"/>
                  <w:vMerge w:val="restart"/>
                  <w:shd w:val="clear" w:color="auto" w:fill="auto"/>
                  <w:vAlign w:val="center"/>
                </w:tcPr>
                <w:p w14:paraId="1D51B955">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年排</w:t>
                  </w:r>
                </w:p>
                <w:p w14:paraId="7AE78585">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放量</w:t>
                  </w:r>
                </w:p>
                <w:p w14:paraId="0A471EDD">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t/a</w:t>
                  </w:r>
                </w:p>
              </w:tc>
            </w:tr>
            <w:tr w14:paraId="6EE018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0" w:type="pct"/>
                  <w:vMerge w:val="continue"/>
                  <w:shd w:val="clear" w:color="auto" w:fill="auto"/>
                  <w:vAlign w:val="center"/>
                </w:tcPr>
                <w:p w14:paraId="18CA9AF1">
                  <w:pPr>
                    <w:adjustRightInd w:val="0"/>
                    <w:snapToGrid w:val="0"/>
                    <w:spacing w:line="0" w:lineRule="atLeast"/>
                    <w:jc w:val="center"/>
                    <w:rPr>
                      <w:rFonts w:ascii="Times New Roman" w:hAnsi="Times New Roman" w:eastAsiaTheme="minorEastAsia"/>
                      <w:bCs/>
                      <w:color w:val="auto"/>
                      <w:spacing w:val="-10"/>
                      <w:szCs w:val="21"/>
                      <w:highlight w:val="none"/>
                    </w:rPr>
                  </w:pPr>
                </w:p>
              </w:tc>
              <w:tc>
                <w:tcPr>
                  <w:tcW w:w="457" w:type="pct"/>
                  <w:vMerge w:val="continue"/>
                  <w:shd w:val="clear" w:color="auto" w:fill="auto"/>
                  <w:vAlign w:val="center"/>
                </w:tcPr>
                <w:p w14:paraId="380DC2CA">
                  <w:pPr>
                    <w:adjustRightInd w:val="0"/>
                    <w:snapToGrid w:val="0"/>
                    <w:spacing w:line="0" w:lineRule="atLeast"/>
                    <w:jc w:val="center"/>
                    <w:rPr>
                      <w:rFonts w:ascii="Times New Roman" w:hAnsi="Times New Roman" w:eastAsiaTheme="minorEastAsia"/>
                      <w:bCs/>
                      <w:color w:val="auto"/>
                      <w:spacing w:val="-10"/>
                      <w:szCs w:val="21"/>
                      <w:highlight w:val="none"/>
                    </w:rPr>
                  </w:pPr>
                </w:p>
              </w:tc>
              <w:tc>
                <w:tcPr>
                  <w:tcW w:w="448" w:type="pct"/>
                  <w:vMerge w:val="continue"/>
                  <w:shd w:val="clear" w:color="auto" w:fill="auto"/>
                  <w:vAlign w:val="center"/>
                </w:tcPr>
                <w:p w14:paraId="5C9BFEFB">
                  <w:pPr>
                    <w:adjustRightInd w:val="0"/>
                    <w:snapToGrid w:val="0"/>
                    <w:spacing w:line="0" w:lineRule="atLeast"/>
                    <w:jc w:val="center"/>
                    <w:rPr>
                      <w:rFonts w:ascii="Times New Roman" w:hAnsi="Times New Roman" w:eastAsiaTheme="minorEastAsia"/>
                      <w:bCs/>
                      <w:color w:val="auto"/>
                      <w:spacing w:val="-10"/>
                      <w:szCs w:val="21"/>
                      <w:highlight w:val="none"/>
                    </w:rPr>
                  </w:pPr>
                </w:p>
              </w:tc>
              <w:tc>
                <w:tcPr>
                  <w:tcW w:w="546" w:type="pct"/>
                  <w:vMerge w:val="continue"/>
                  <w:shd w:val="clear" w:color="auto" w:fill="auto"/>
                  <w:vAlign w:val="center"/>
                </w:tcPr>
                <w:p w14:paraId="3FC7B9B9">
                  <w:pPr>
                    <w:adjustRightInd w:val="0"/>
                    <w:snapToGrid w:val="0"/>
                    <w:spacing w:line="0" w:lineRule="atLeast"/>
                    <w:jc w:val="center"/>
                    <w:rPr>
                      <w:rFonts w:ascii="Times New Roman" w:hAnsi="Times New Roman" w:eastAsiaTheme="minorEastAsia"/>
                      <w:bCs/>
                      <w:color w:val="auto"/>
                      <w:spacing w:val="-10"/>
                      <w:szCs w:val="21"/>
                      <w:highlight w:val="none"/>
                    </w:rPr>
                  </w:pPr>
                </w:p>
              </w:tc>
              <w:tc>
                <w:tcPr>
                  <w:tcW w:w="352" w:type="pct"/>
                  <w:vMerge w:val="continue"/>
                  <w:shd w:val="clear" w:color="auto" w:fill="auto"/>
                  <w:vAlign w:val="center"/>
                </w:tcPr>
                <w:p w14:paraId="35D7D775">
                  <w:pPr>
                    <w:adjustRightInd w:val="0"/>
                    <w:snapToGrid w:val="0"/>
                    <w:spacing w:line="0" w:lineRule="atLeast"/>
                    <w:jc w:val="center"/>
                    <w:rPr>
                      <w:rFonts w:ascii="Times New Roman" w:hAnsi="Times New Roman" w:eastAsiaTheme="minorEastAsia"/>
                      <w:bCs/>
                      <w:color w:val="auto"/>
                      <w:spacing w:val="-10"/>
                      <w:szCs w:val="21"/>
                      <w:highlight w:val="none"/>
                    </w:rPr>
                  </w:pPr>
                </w:p>
              </w:tc>
              <w:tc>
                <w:tcPr>
                  <w:tcW w:w="382" w:type="pct"/>
                  <w:vMerge w:val="continue"/>
                  <w:shd w:val="clear" w:color="auto" w:fill="auto"/>
                  <w:vAlign w:val="center"/>
                </w:tcPr>
                <w:p w14:paraId="189AA8CE">
                  <w:pPr>
                    <w:adjustRightInd w:val="0"/>
                    <w:snapToGrid w:val="0"/>
                    <w:spacing w:line="0" w:lineRule="atLeast"/>
                    <w:jc w:val="center"/>
                    <w:rPr>
                      <w:rFonts w:ascii="Times New Roman" w:hAnsi="Times New Roman" w:eastAsiaTheme="minorEastAsia"/>
                      <w:bCs/>
                      <w:color w:val="auto"/>
                      <w:spacing w:val="-10"/>
                      <w:szCs w:val="21"/>
                      <w:highlight w:val="none"/>
                    </w:rPr>
                  </w:pPr>
                </w:p>
              </w:tc>
              <w:tc>
                <w:tcPr>
                  <w:tcW w:w="585" w:type="pct"/>
                  <w:vMerge w:val="continue"/>
                  <w:shd w:val="clear" w:color="auto" w:fill="auto"/>
                  <w:vAlign w:val="center"/>
                </w:tcPr>
                <w:p w14:paraId="0CA20323">
                  <w:pPr>
                    <w:adjustRightInd w:val="0"/>
                    <w:snapToGrid w:val="0"/>
                    <w:spacing w:line="0" w:lineRule="atLeast"/>
                    <w:jc w:val="center"/>
                    <w:rPr>
                      <w:rFonts w:ascii="Times New Roman" w:hAnsi="Times New Roman" w:eastAsiaTheme="minorEastAsia"/>
                      <w:bCs/>
                      <w:color w:val="auto"/>
                      <w:spacing w:val="-10"/>
                      <w:szCs w:val="21"/>
                      <w:highlight w:val="none"/>
                    </w:rPr>
                  </w:pPr>
                </w:p>
              </w:tc>
              <w:tc>
                <w:tcPr>
                  <w:tcW w:w="449" w:type="pct"/>
                  <w:shd w:val="clear" w:color="auto" w:fill="auto"/>
                  <w:vAlign w:val="center"/>
                </w:tcPr>
                <w:p w14:paraId="47324471">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排放值</w:t>
                  </w:r>
                </w:p>
              </w:tc>
              <w:tc>
                <w:tcPr>
                  <w:tcW w:w="342" w:type="pct"/>
                  <w:shd w:val="clear" w:color="auto" w:fill="auto"/>
                  <w:vAlign w:val="center"/>
                </w:tcPr>
                <w:p w14:paraId="55A8C6F0">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标准值</w:t>
                  </w:r>
                </w:p>
              </w:tc>
              <w:tc>
                <w:tcPr>
                  <w:tcW w:w="440" w:type="pct"/>
                  <w:vMerge w:val="continue"/>
                  <w:shd w:val="clear" w:color="auto" w:fill="auto"/>
                  <w:vAlign w:val="center"/>
                </w:tcPr>
                <w:p w14:paraId="73039B6A">
                  <w:pPr>
                    <w:adjustRightInd w:val="0"/>
                    <w:snapToGrid w:val="0"/>
                    <w:spacing w:line="0" w:lineRule="atLeast"/>
                    <w:jc w:val="center"/>
                    <w:rPr>
                      <w:rFonts w:ascii="Times New Roman" w:hAnsi="Times New Roman" w:eastAsiaTheme="minorEastAsia"/>
                      <w:bCs/>
                      <w:color w:val="auto"/>
                      <w:spacing w:val="-10"/>
                      <w:szCs w:val="21"/>
                      <w:highlight w:val="none"/>
                    </w:rPr>
                  </w:pPr>
                </w:p>
              </w:tc>
              <w:tc>
                <w:tcPr>
                  <w:tcW w:w="395" w:type="pct"/>
                  <w:vMerge w:val="continue"/>
                  <w:shd w:val="clear" w:color="auto" w:fill="auto"/>
                  <w:vAlign w:val="center"/>
                </w:tcPr>
                <w:p w14:paraId="6A271DCD">
                  <w:pPr>
                    <w:adjustRightInd w:val="0"/>
                    <w:snapToGrid w:val="0"/>
                    <w:spacing w:line="0" w:lineRule="atLeast"/>
                    <w:jc w:val="center"/>
                    <w:rPr>
                      <w:rFonts w:ascii="Times New Roman" w:hAnsi="Times New Roman" w:eastAsiaTheme="minorEastAsia"/>
                      <w:bCs/>
                      <w:color w:val="auto"/>
                      <w:spacing w:val="-10"/>
                      <w:szCs w:val="21"/>
                      <w:highlight w:val="none"/>
                    </w:rPr>
                  </w:pPr>
                </w:p>
              </w:tc>
              <w:tc>
                <w:tcPr>
                  <w:tcW w:w="450" w:type="pct"/>
                  <w:vMerge w:val="continue"/>
                  <w:shd w:val="clear" w:color="auto" w:fill="auto"/>
                  <w:vAlign w:val="center"/>
                </w:tcPr>
                <w:p w14:paraId="16940E0D">
                  <w:pPr>
                    <w:adjustRightInd w:val="0"/>
                    <w:snapToGrid w:val="0"/>
                    <w:spacing w:line="0" w:lineRule="atLeast"/>
                    <w:jc w:val="center"/>
                    <w:rPr>
                      <w:rFonts w:ascii="Times New Roman" w:hAnsi="Times New Roman" w:eastAsiaTheme="minorEastAsia"/>
                      <w:bCs/>
                      <w:color w:val="auto"/>
                      <w:spacing w:val="-10"/>
                      <w:szCs w:val="21"/>
                      <w:highlight w:val="none"/>
                    </w:rPr>
                  </w:pPr>
                </w:p>
              </w:tc>
            </w:tr>
            <w:tr w14:paraId="1DD8AB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0" w:type="pct"/>
                  <w:shd w:val="clear" w:color="auto" w:fill="auto"/>
                  <w:vAlign w:val="center"/>
                </w:tcPr>
                <w:p w14:paraId="26D55C98">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1</w:t>
                  </w:r>
                </w:p>
              </w:tc>
              <w:tc>
                <w:tcPr>
                  <w:tcW w:w="457" w:type="pct"/>
                  <w:shd w:val="clear" w:color="auto" w:fill="auto"/>
                  <w:vAlign w:val="center"/>
                </w:tcPr>
                <w:p w14:paraId="1D34ECF9">
                  <w:pPr>
                    <w:adjustRightInd w:val="0"/>
                    <w:snapToGrid w:val="0"/>
                    <w:spacing w:line="0" w:lineRule="atLeast"/>
                    <w:jc w:val="center"/>
                    <w:rPr>
                      <w:rFonts w:ascii="Times New Roman" w:hAnsi="Times New Roman" w:eastAsiaTheme="minorEastAsia"/>
                      <w:bCs/>
                      <w:color w:val="auto"/>
                      <w:spacing w:val="-10"/>
                      <w:szCs w:val="21"/>
                      <w:highlight w:val="none"/>
                    </w:rPr>
                  </w:pPr>
                  <w:r>
                    <w:rPr>
                      <w:rFonts w:hint="eastAsia" w:ascii="Times New Roman" w:hAnsi="Times New Roman" w:eastAsiaTheme="minorEastAsia"/>
                      <w:bCs/>
                      <w:color w:val="auto"/>
                      <w:spacing w:val="-10"/>
                      <w:szCs w:val="21"/>
                      <w:highlight w:val="none"/>
                    </w:rPr>
                    <w:t>破损</w:t>
                  </w:r>
                  <w:r>
                    <w:rPr>
                      <w:rFonts w:hint="eastAsia" w:ascii="Times New Roman" w:hAnsi="Times New Roman" w:eastAsiaTheme="minorEastAsia"/>
                      <w:bCs/>
                      <w:color w:val="auto"/>
                      <w:spacing w:val="-10"/>
                      <w:szCs w:val="21"/>
                      <w:highlight w:val="none"/>
                      <w:lang w:eastAsia="zh-CN"/>
                    </w:rPr>
                    <w:t>废旧铅酸蓄电池</w:t>
                  </w:r>
                  <w:r>
                    <w:rPr>
                      <w:rFonts w:hint="eastAsia" w:ascii="Times New Roman" w:hAnsi="Times New Roman" w:eastAsiaTheme="minorEastAsia"/>
                      <w:bCs/>
                      <w:color w:val="auto"/>
                      <w:spacing w:val="-10"/>
                      <w:szCs w:val="21"/>
                      <w:highlight w:val="none"/>
                    </w:rPr>
                    <w:t>贮存</w:t>
                  </w:r>
                </w:p>
              </w:tc>
              <w:tc>
                <w:tcPr>
                  <w:tcW w:w="448" w:type="pct"/>
                  <w:shd w:val="clear" w:color="auto" w:fill="auto"/>
                  <w:vAlign w:val="center"/>
                </w:tcPr>
                <w:p w14:paraId="55905464">
                  <w:pPr>
                    <w:spacing w:line="0" w:lineRule="atLeast"/>
                    <w:jc w:val="center"/>
                    <w:rPr>
                      <w:rFonts w:ascii="Times New Roman" w:hAnsi="Times New Roman" w:eastAsiaTheme="minorEastAsia"/>
                      <w:bCs/>
                      <w:color w:val="auto"/>
                      <w:spacing w:val="-10"/>
                      <w:szCs w:val="21"/>
                      <w:highlight w:val="none"/>
                    </w:rPr>
                  </w:pPr>
                  <w:r>
                    <w:rPr>
                      <w:rFonts w:hint="eastAsia" w:ascii="Times New Roman" w:hAnsi="Times New Roman" w:eastAsiaTheme="minorEastAsia"/>
                      <w:color w:val="auto"/>
                      <w:szCs w:val="21"/>
                      <w:highlight w:val="none"/>
                    </w:rPr>
                    <w:t>硫酸雾</w:t>
                  </w:r>
                </w:p>
              </w:tc>
              <w:tc>
                <w:tcPr>
                  <w:tcW w:w="546" w:type="pct"/>
                  <w:shd w:val="clear" w:color="auto" w:fill="auto"/>
                  <w:vAlign w:val="center"/>
                </w:tcPr>
                <w:p w14:paraId="7CF3C164">
                  <w:pPr>
                    <w:pStyle w:val="5"/>
                    <w:ind w:firstLine="0" w:firstLineChars="0"/>
                    <w:jc w:val="center"/>
                    <w:rPr>
                      <w:rFonts w:ascii="Times New Roman" w:hAnsi="Times New Roman"/>
                      <w:color w:val="auto"/>
                      <w:spacing w:val="-20"/>
                      <w:highlight w:val="none"/>
                    </w:rPr>
                  </w:pPr>
                  <w:r>
                    <w:rPr>
                      <w:rFonts w:hint="eastAsia" w:ascii="Times New Roman" w:hAnsi="Times New Roman" w:eastAsiaTheme="minorEastAsia"/>
                      <w:bCs/>
                      <w:color w:val="auto"/>
                      <w:spacing w:val="-20"/>
                      <w:szCs w:val="21"/>
                      <w:highlight w:val="none"/>
                      <w:lang w:val="en-US" w:eastAsia="zh-CN"/>
                    </w:rPr>
                    <w:t>3</w:t>
                  </w:r>
                  <w:r>
                    <w:rPr>
                      <w:rFonts w:ascii="Times New Roman" w:hAnsi="Times New Roman" w:eastAsiaTheme="minorEastAsia"/>
                      <w:bCs/>
                      <w:color w:val="auto"/>
                      <w:spacing w:val="-20"/>
                      <w:szCs w:val="21"/>
                      <w:highlight w:val="none"/>
                    </w:rPr>
                    <w:t>000</w:t>
                  </w:r>
                </w:p>
              </w:tc>
              <w:tc>
                <w:tcPr>
                  <w:tcW w:w="352" w:type="pct"/>
                  <w:shd w:val="clear" w:color="auto" w:fill="auto"/>
                  <w:vAlign w:val="center"/>
                </w:tcPr>
                <w:p w14:paraId="0E26593B">
                  <w:pPr>
                    <w:adjustRightInd w:val="0"/>
                    <w:snapToGrid w:val="0"/>
                    <w:spacing w:line="0" w:lineRule="atLeast"/>
                    <w:jc w:val="center"/>
                    <w:rPr>
                      <w:rFonts w:hint="default" w:ascii="Times New Roman" w:hAnsi="Times New Roman" w:eastAsiaTheme="minorEastAsia"/>
                      <w:bCs/>
                      <w:color w:val="auto"/>
                      <w:spacing w:val="-10"/>
                      <w:szCs w:val="21"/>
                      <w:highlight w:val="none"/>
                      <w:lang w:val="en-US" w:eastAsia="zh-CN"/>
                    </w:rPr>
                  </w:pPr>
                  <w:r>
                    <w:rPr>
                      <w:rFonts w:hint="eastAsia" w:ascii="Times New Roman" w:hAnsi="Times New Roman" w:eastAsiaTheme="minorEastAsia"/>
                      <w:bCs/>
                      <w:color w:val="auto"/>
                      <w:spacing w:val="-10"/>
                      <w:szCs w:val="21"/>
                      <w:highlight w:val="none"/>
                      <w:lang w:val="en-US" w:eastAsia="zh-CN"/>
                    </w:rPr>
                    <w:t>88.89</w:t>
                  </w:r>
                </w:p>
              </w:tc>
              <w:tc>
                <w:tcPr>
                  <w:tcW w:w="382" w:type="pct"/>
                  <w:shd w:val="clear" w:color="auto" w:fill="auto"/>
                  <w:vAlign w:val="center"/>
                </w:tcPr>
                <w:p w14:paraId="12D2A562">
                  <w:pPr>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0.160</w:t>
                  </w:r>
                </w:p>
              </w:tc>
              <w:tc>
                <w:tcPr>
                  <w:tcW w:w="585" w:type="pct"/>
                  <w:shd w:val="clear" w:color="auto" w:fill="auto"/>
                  <w:vAlign w:val="center"/>
                </w:tcPr>
                <w:p w14:paraId="38371ECA">
                  <w:pPr>
                    <w:adjustRightInd w:val="0"/>
                    <w:snapToGrid w:val="0"/>
                    <w:spacing w:line="0" w:lineRule="atLeast"/>
                    <w:jc w:val="center"/>
                    <w:rPr>
                      <w:rFonts w:ascii="Times New Roman" w:hAnsi="Times New Roman" w:eastAsiaTheme="minorEastAsia"/>
                      <w:bCs/>
                      <w:color w:val="auto"/>
                      <w:spacing w:val="-10"/>
                      <w:szCs w:val="21"/>
                      <w:highlight w:val="none"/>
                    </w:rPr>
                  </w:pPr>
                  <w:r>
                    <w:rPr>
                      <w:rFonts w:hint="eastAsia" w:ascii="Times New Roman" w:hAnsi="Times New Roman" w:eastAsiaTheme="minorEastAsia"/>
                      <w:bCs/>
                      <w:color w:val="auto"/>
                      <w:spacing w:val="-10"/>
                      <w:szCs w:val="21"/>
                      <w:highlight w:val="none"/>
                    </w:rPr>
                    <w:t>贮存间密闭+风机抽风+</w:t>
                  </w:r>
                  <w:r>
                    <w:rPr>
                      <w:rFonts w:hint="eastAsia" w:ascii="Times New Roman" w:hAnsi="Times New Roman" w:eastAsiaTheme="minorEastAsia"/>
                      <w:bCs/>
                      <w:color w:val="auto"/>
                      <w:spacing w:val="-10"/>
                      <w:szCs w:val="21"/>
                      <w:highlight w:val="none"/>
                      <w:lang w:val="en-US" w:eastAsia="zh-CN"/>
                    </w:rPr>
                    <w:t>脱硫</w:t>
                  </w:r>
                  <w:r>
                    <w:rPr>
                      <w:rFonts w:hint="eastAsia" w:ascii="Times New Roman" w:hAnsi="Times New Roman" w:eastAsiaTheme="minorEastAsia"/>
                      <w:bCs/>
                      <w:color w:val="auto"/>
                      <w:spacing w:val="-10"/>
                      <w:szCs w:val="21"/>
                      <w:highlight w:val="none"/>
                    </w:rPr>
                    <w:t>塔</w:t>
                  </w:r>
                </w:p>
              </w:tc>
              <w:tc>
                <w:tcPr>
                  <w:tcW w:w="449" w:type="pct"/>
                  <w:shd w:val="clear" w:color="auto" w:fill="auto"/>
                  <w:vAlign w:val="center"/>
                </w:tcPr>
                <w:p w14:paraId="01D1E45B">
                  <w:pPr>
                    <w:adjustRightInd w:val="0"/>
                    <w:snapToGrid w:val="0"/>
                    <w:spacing w:line="0" w:lineRule="atLeast"/>
                    <w:jc w:val="center"/>
                    <w:rPr>
                      <w:rFonts w:hint="default" w:ascii="Times New Roman" w:hAnsi="Times New Roman" w:eastAsiaTheme="minorEastAsia"/>
                      <w:bCs/>
                      <w:color w:val="auto"/>
                      <w:spacing w:val="-10"/>
                      <w:szCs w:val="21"/>
                      <w:highlight w:val="none"/>
                      <w:lang w:val="en-US" w:eastAsia="zh-CN"/>
                    </w:rPr>
                  </w:pPr>
                  <w:r>
                    <w:rPr>
                      <w:rFonts w:hint="eastAsia" w:ascii="Times New Roman" w:hAnsi="Times New Roman" w:eastAsiaTheme="minorEastAsia"/>
                      <w:bCs/>
                      <w:color w:val="auto"/>
                      <w:spacing w:val="-10"/>
                      <w:szCs w:val="21"/>
                      <w:highlight w:val="none"/>
                      <w:lang w:val="en-US" w:eastAsia="zh-CN"/>
                    </w:rPr>
                    <w:t>17.78</w:t>
                  </w:r>
                </w:p>
              </w:tc>
              <w:tc>
                <w:tcPr>
                  <w:tcW w:w="342" w:type="pct"/>
                  <w:shd w:val="clear" w:color="auto" w:fill="auto"/>
                  <w:vAlign w:val="center"/>
                </w:tcPr>
                <w:p w14:paraId="10141F35">
                  <w:pPr>
                    <w:adjustRightInd w:val="0"/>
                    <w:snapToGrid w:val="0"/>
                    <w:spacing w:line="0" w:lineRule="atLeast"/>
                    <w:jc w:val="center"/>
                    <w:rPr>
                      <w:rFonts w:hint="default" w:ascii="Times New Roman" w:hAnsi="Times New Roman" w:eastAsiaTheme="minorEastAsia"/>
                      <w:bCs/>
                      <w:color w:val="auto"/>
                      <w:spacing w:val="-10"/>
                      <w:szCs w:val="21"/>
                      <w:highlight w:val="none"/>
                      <w:lang w:val="en-US" w:eastAsia="zh-CN"/>
                    </w:rPr>
                  </w:pPr>
                  <w:r>
                    <w:rPr>
                      <w:rFonts w:hint="eastAsia" w:ascii="Times New Roman" w:hAnsi="Times New Roman" w:eastAsiaTheme="minorEastAsia"/>
                      <w:bCs/>
                      <w:color w:val="auto"/>
                      <w:spacing w:val="-10"/>
                      <w:szCs w:val="21"/>
                      <w:highlight w:val="none"/>
                      <w:lang w:val="en-US" w:eastAsia="zh-CN"/>
                    </w:rPr>
                    <w:t>45</w:t>
                  </w:r>
                </w:p>
              </w:tc>
              <w:tc>
                <w:tcPr>
                  <w:tcW w:w="440" w:type="pct"/>
                  <w:shd w:val="clear" w:color="auto" w:fill="auto"/>
                  <w:vAlign w:val="center"/>
                </w:tcPr>
                <w:p w14:paraId="38C415CE">
                  <w:pPr>
                    <w:adjustRightInd w:val="0"/>
                    <w:snapToGrid w:val="0"/>
                    <w:spacing w:line="0" w:lineRule="atLeast"/>
                    <w:jc w:val="center"/>
                    <w:rPr>
                      <w:rFonts w:hint="default" w:ascii="Times New Roman" w:hAnsi="Times New Roman" w:eastAsiaTheme="minorEastAsia"/>
                      <w:bCs/>
                      <w:color w:val="auto"/>
                      <w:spacing w:val="-10"/>
                      <w:szCs w:val="21"/>
                      <w:highlight w:val="none"/>
                      <w:lang w:val="en-US" w:eastAsia="zh-CN"/>
                    </w:rPr>
                  </w:pPr>
                  <w:r>
                    <w:rPr>
                      <w:rFonts w:hint="eastAsia" w:ascii="Times New Roman" w:hAnsi="Times New Roman" w:eastAsiaTheme="minorEastAsia"/>
                      <w:bCs/>
                      <w:color w:val="auto"/>
                      <w:spacing w:val="-10"/>
                      <w:szCs w:val="21"/>
                      <w:highlight w:val="none"/>
                      <w:lang w:val="en-US" w:eastAsia="zh-CN"/>
                    </w:rPr>
                    <w:t>0.05</w:t>
                  </w:r>
                </w:p>
              </w:tc>
              <w:tc>
                <w:tcPr>
                  <w:tcW w:w="395" w:type="pct"/>
                  <w:shd w:val="clear" w:color="auto" w:fill="auto"/>
                  <w:vAlign w:val="center"/>
                </w:tcPr>
                <w:p w14:paraId="719FDF10">
                  <w:pPr>
                    <w:adjustRightInd w:val="0"/>
                    <w:snapToGrid w:val="0"/>
                    <w:spacing w:line="0" w:lineRule="atLeast"/>
                    <w:jc w:val="center"/>
                    <w:rPr>
                      <w:rFonts w:ascii="Times New Roman" w:hAnsi="Times New Roman" w:eastAsiaTheme="minorEastAsia"/>
                      <w:bCs/>
                      <w:color w:val="auto"/>
                      <w:spacing w:val="-10"/>
                      <w:szCs w:val="21"/>
                      <w:highlight w:val="none"/>
                    </w:rPr>
                  </w:pPr>
                  <w:r>
                    <w:rPr>
                      <w:rFonts w:hint="eastAsia" w:ascii="Times New Roman" w:hAnsi="Times New Roman" w:eastAsiaTheme="minorEastAsia"/>
                      <w:bCs/>
                      <w:color w:val="auto"/>
                      <w:spacing w:val="-10"/>
                      <w:szCs w:val="21"/>
                      <w:highlight w:val="none"/>
                      <w:lang w:val="en-US" w:eastAsia="zh-CN"/>
                    </w:rPr>
                    <w:t>6</w:t>
                  </w:r>
                  <w:r>
                    <w:rPr>
                      <w:rFonts w:ascii="Times New Roman" w:hAnsi="Times New Roman" w:eastAsiaTheme="minorEastAsia"/>
                      <w:bCs/>
                      <w:color w:val="auto"/>
                      <w:spacing w:val="-10"/>
                      <w:szCs w:val="21"/>
                      <w:highlight w:val="none"/>
                    </w:rPr>
                    <w:t>00</w:t>
                  </w:r>
                </w:p>
              </w:tc>
              <w:tc>
                <w:tcPr>
                  <w:tcW w:w="450" w:type="pct"/>
                  <w:shd w:val="clear" w:color="auto" w:fill="auto"/>
                  <w:vAlign w:val="center"/>
                </w:tcPr>
                <w:p w14:paraId="450B4E01">
                  <w:pPr>
                    <w:adjustRightInd w:val="0"/>
                    <w:snapToGrid w:val="0"/>
                    <w:spacing w:line="0" w:lineRule="atLeast"/>
                    <w:jc w:val="center"/>
                    <w:rPr>
                      <w:rFonts w:hint="default" w:ascii="Times New Roman" w:hAnsi="Times New Roman" w:eastAsiaTheme="minorEastAsia"/>
                      <w:bCs/>
                      <w:color w:val="auto"/>
                      <w:spacing w:val="-10"/>
                      <w:szCs w:val="21"/>
                      <w:highlight w:val="none"/>
                      <w:lang w:val="en-US" w:eastAsia="zh-CN"/>
                    </w:rPr>
                  </w:pPr>
                  <w:r>
                    <w:rPr>
                      <w:rFonts w:hint="eastAsia" w:ascii="Times New Roman" w:hAnsi="Times New Roman" w:eastAsiaTheme="minorEastAsia"/>
                      <w:bCs/>
                      <w:color w:val="auto"/>
                      <w:spacing w:val="-10"/>
                      <w:szCs w:val="21"/>
                      <w:highlight w:val="none"/>
                      <w:lang w:val="en-US" w:eastAsia="zh-CN"/>
                    </w:rPr>
                    <w:t>0.032</w:t>
                  </w:r>
                </w:p>
              </w:tc>
            </w:tr>
          </w:tbl>
          <w:p w14:paraId="11477E61">
            <w:pPr>
              <w:spacing w:line="480" w:lineRule="exact"/>
              <w:ind w:firstLine="480" w:firstLineChars="200"/>
              <w:rPr>
                <w:rFonts w:hint="default" w:ascii="Times New Roman" w:hAnsi="Times New Roman" w:eastAsiaTheme="minorEastAsia"/>
                <w:color w:val="auto"/>
                <w:sz w:val="24"/>
                <w:szCs w:val="24"/>
                <w:highlight w:val="none"/>
                <w:lang w:val="en-US" w:eastAsia="zh-CN"/>
              </w:rPr>
            </w:pPr>
            <w:r>
              <w:rPr>
                <w:rFonts w:hint="eastAsia" w:ascii="Times New Roman" w:hAnsi="Times New Roman" w:eastAsiaTheme="minorEastAsia"/>
                <w:color w:val="auto"/>
                <w:sz w:val="24"/>
                <w:szCs w:val="24"/>
                <w:highlight w:val="none"/>
                <w:lang w:val="en-US" w:eastAsia="zh-CN"/>
              </w:rPr>
              <w:t>②非正常工况</w:t>
            </w:r>
          </w:p>
          <w:p w14:paraId="7F95444F">
            <w:pPr>
              <w:spacing w:line="480" w:lineRule="exact"/>
              <w:ind w:firstLine="480" w:firstLineChars="200"/>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本工程涉及到的非正常排放原因可能为</w:t>
            </w:r>
            <w:r>
              <w:rPr>
                <w:rFonts w:hint="eastAsia" w:ascii="Times New Roman" w:hAnsi="Times New Roman" w:eastAsiaTheme="minorEastAsia"/>
                <w:color w:val="auto"/>
                <w:sz w:val="24"/>
                <w:szCs w:val="24"/>
                <w:highlight w:val="none"/>
                <w:lang w:val="en-US" w:eastAsia="zh-CN"/>
              </w:rPr>
              <w:t>脱硫</w:t>
            </w:r>
            <w:r>
              <w:rPr>
                <w:rFonts w:hint="eastAsia" w:ascii="Times New Roman" w:hAnsi="Times New Roman" w:eastAsiaTheme="minorEastAsia"/>
                <w:color w:val="auto"/>
                <w:sz w:val="24"/>
                <w:szCs w:val="24"/>
                <w:highlight w:val="none"/>
              </w:rPr>
              <w:t>塔失效，硫酸雾未经处理直接排放（废气处理效率下降至0%）。污染物排放情况如下：</w:t>
            </w:r>
          </w:p>
          <w:p w14:paraId="4798C635">
            <w:pPr>
              <w:spacing w:line="480" w:lineRule="exact"/>
              <w:jc w:val="center"/>
              <w:rPr>
                <w:rFonts w:ascii="Times New Roman" w:hAnsi="Times New Roman"/>
                <w:color w:val="auto"/>
                <w:sz w:val="24"/>
                <w:szCs w:val="24"/>
                <w:highlight w:val="none"/>
              </w:rPr>
            </w:pPr>
            <w:r>
              <w:rPr>
                <w:rFonts w:ascii="Times New Roman" w:hAnsi="Times New Roman"/>
                <w:color w:val="auto"/>
                <w:sz w:val="24"/>
                <w:szCs w:val="24"/>
                <w:highlight w:val="none"/>
              </w:rPr>
              <w:t>表4-</w:t>
            </w:r>
            <w:r>
              <w:rPr>
                <w:rFonts w:hint="eastAsia" w:ascii="Times New Roman" w:hAnsi="Times New Roman"/>
                <w:color w:val="auto"/>
                <w:sz w:val="24"/>
                <w:szCs w:val="24"/>
                <w:highlight w:val="none"/>
                <w:lang w:val="en-US" w:eastAsia="zh-CN"/>
              </w:rPr>
              <w:t>3</w:t>
            </w:r>
            <w:r>
              <w:rPr>
                <w:rFonts w:ascii="Times New Roman" w:hAnsi="Times New Roman"/>
                <w:color w:val="auto"/>
                <w:sz w:val="24"/>
                <w:szCs w:val="24"/>
                <w:highlight w:val="none"/>
              </w:rPr>
              <w:t xml:space="preserve">  </w:t>
            </w:r>
            <w:r>
              <w:rPr>
                <w:rFonts w:hint="eastAsia" w:ascii="Times New Roman" w:hAnsi="Times New Roman"/>
                <w:color w:val="auto"/>
                <w:sz w:val="24"/>
                <w:szCs w:val="24"/>
                <w:highlight w:val="none"/>
                <w:lang w:val="en-US" w:eastAsia="zh-CN"/>
              </w:rPr>
              <w:t>非正常排放污染物参数一览</w:t>
            </w:r>
            <w:r>
              <w:rPr>
                <w:rFonts w:hint="eastAsia" w:ascii="Times New Roman" w:hAnsi="Times New Roman"/>
                <w:color w:val="auto"/>
                <w:sz w:val="24"/>
                <w:szCs w:val="24"/>
                <w:highlight w:val="none"/>
              </w:rPr>
              <w:t>表</w:t>
            </w:r>
          </w:p>
          <w:tbl>
            <w:tblPr>
              <w:tblStyle w:val="31"/>
              <w:tblW w:w="8367"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03"/>
              <w:gridCol w:w="1310"/>
              <w:gridCol w:w="971"/>
              <w:gridCol w:w="943"/>
              <w:gridCol w:w="813"/>
              <w:gridCol w:w="745"/>
              <w:gridCol w:w="1461"/>
              <w:gridCol w:w="1421"/>
            </w:tblGrid>
            <w:tr w14:paraId="062F76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79" w:hRule="atLeast"/>
                <w:jc w:val="center"/>
              </w:trPr>
              <w:tc>
                <w:tcPr>
                  <w:tcW w:w="420" w:type="pct"/>
                  <w:shd w:val="clear" w:color="auto" w:fill="auto"/>
                  <w:vAlign w:val="center"/>
                </w:tcPr>
                <w:p w14:paraId="0CB4BBC5">
                  <w:pPr>
                    <w:adjustRightInd w:val="0"/>
                    <w:snapToGrid w:val="0"/>
                    <w:spacing w:line="0" w:lineRule="atLeast"/>
                    <w:jc w:val="center"/>
                    <w:rPr>
                      <w:rFonts w:ascii="Times New Roman" w:hAnsi="Times New Roman" w:eastAsiaTheme="minorEastAsia"/>
                      <w:bCs/>
                      <w:color w:val="auto"/>
                      <w:spacing w:val="-10"/>
                      <w:szCs w:val="21"/>
                      <w:highlight w:val="none"/>
                    </w:rPr>
                  </w:pPr>
                  <w:r>
                    <w:rPr>
                      <w:rFonts w:hint="eastAsia" w:ascii="Times New Roman" w:hAnsi="Times New Roman" w:eastAsiaTheme="minorEastAsia"/>
                      <w:bCs/>
                      <w:color w:val="auto"/>
                      <w:spacing w:val="-10"/>
                      <w:szCs w:val="21"/>
                      <w:highlight w:val="none"/>
                      <w:lang w:val="en-US" w:eastAsia="zh-CN"/>
                    </w:rPr>
                    <w:t>污染源</w:t>
                  </w:r>
                </w:p>
              </w:tc>
              <w:tc>
                <w:tcPr>
                  <w:tcW w:w="782" w:type="pct"/>
                  <w:shd w:val="clear" w:color="auto" w:fill="auto"/>
                  <w:vAlign w:val="center"/>
                </w:tcPr>
                <w:p w14:paraId="76911CF2">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污染物</w:t>
                  </w:r>
                </w:p>
              </w:tc>
              <w:tc>
                <w:tcPr>
                  <w:tcW w:w="580" w:type="pct"/>
                  <w:shd w:val="clear" w:color="auto" w:fill="auto"/>
                  <w:vAlign w:val="center"/>
                </w:tcPr>
                <w:p w14:paraId="21EAB8F7">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废气排放量Nm³/h</w:t>
                  </w:r>
                </w:p>
              </w:tc>
              <w:tc>
                <w:tcPr>
                  <w:tcW w:w="563" w:type="pct"/>
                  <w:shd w:val="clear" w:color="auto" w:fill="auto"/>
                  <w:vAlign w:val="center"/>
                </w:tcPr>
                <w:p w14:paraId="1808ED39">
                  <w:pPr>
                    <w:adjustRightInd w:val="0"/>
                    <w:snapToGri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产生浓度mg/m³</w:t>
                  </w:r>
                </w:p>
              </w:tc>
              <w:tc>
                <w:tcPr>
                  <w:tcW w:w="485" w:type="pct"/>
                  <w:shd w:val="clear" w:color="auto" w:fill="auto"/>
                  <w:vAlign w:val="center"/>
                </w:tcPr>
                <w:p w14:paraId="70BE5A7C">
                  <w:pPr>
                    <w:adjustRightInd w:val="0"/>
                    <w:snapToGrid w:val="0"/>
                    <w:spacing w:line="0" w:lineRule="atLeast"/>
                    <w:jc w:val="center"/>
                    <w:rPr>
                      <w:rFonts w:hint="default" w:ascii="Times New Roman" w:hAnsi="Times New Roman" w:eastAsiaTheme="minorEastAsia"/>
                      <w:bCs/>
                      <w:color w:val="auto"/>
                      <w:spacing w:val="-10"/>
                      <w:szCs w:val="21"/>
                      <w:highlight w:val="none"/>
                      <w:lang w:val="en-US" w:eastAsia="zh-CN"/>
                    </w:rPr>
                  </w:pPr>
                  <w:r>
                    <w:rPr>
                      <w:rFonts w:hint="eastAsia" w:ascii="Times New Roman" w:hAnsi="Times New Roman" w:eastAsiaTheme="minorEastAsia"/>
                      <w:bCs/>
                      <w:color w:val="auto"/>
                      <w:spacing w:val="-10"/>
                      <w:szCs w:val="21"/>
                      <w:highlight w:val="none"/>
                      <w:lang w:val="en-US" w:eastAsia="zh-CN"/>
                    </w:rPr>
                    <w:t>单次持续时间h</w:t>
                  </w:r>
                </w:p>
              </w:tc>
              <w:tc>
                <w:tcPr>
                  <w:tcW w:w="445" w:type="pct"/>
                  <w:shd w:val="clear" w:color="auto" w:fill="auto"/>
                  <w:vAlign w:val="center"/>
                </w:tcPr>
                <w:p w14:paraId="775A0E21">
                  <w:pPr>
                    <w:adjustRightInd w:val="0"/>
                    <w:snapToGrid w:val="0"/>
                    <w:spacing w:line="0" w:lineRule="atLeast"/>
                    <w:jc w:val="center"/>
                    <w:rPr>
                      <w:rFonts w:ascii="Times New Roman" w:hAnsi="Times New Roman" w:eastAsiaTheme="minorEastAsia"/>
                      <w:bCs/>
                      <w:color w:val="auto"/>
                      <w:spacing w:val="-10"/>
                      <w:szCs w:val="21"/>
                      <w:highlight w:val="none"/>
                    </w:rPr>
                  </w:pPr>
                  <w:r>
                    <w:rPr>
                      <w:rFonts w:hint="eastAsia" w:ascii="Times New Roman" w:hAnsi="Times New Roman" w:eastAsiaTheme="minorEastAsia"/>
                      <w:bCs/>
                      <w:color w:val="auto"/>
                      <w:spacing w:val="-10"/>
                      <w:szCs w:val="21"/>
                      <w:highlight w:val="none"/>
                    </w:rPr>
                    <w:t>年发生频次/年</w:t>
                  </w:r>
                </w:p>
              </w:tc>
              <w:tc>
                <w:tcPr>
                  <w:tcW w:w="873" w:type="pct"/>
                  <w:shd w:val="clear" w:color="auto" w:fill="auto"/>
                  <w:vAlign w:val="center"/>
                </w:tcPr>
                <w:p w14:paraId="11AA4877">
                  <w:pPr>
                    <w:adjustRightInd w:val="0"/>
                    <w:snapToGrid w:val="0"/>
                    <w:spacing w:line="0" w:lineRule="atLeast"/>
                    <w:jc w:val="center"/>
                    <w:rPr>
                      <w:rFonts w:hint="eastAsia" w:ascii="Times New Roman" w:hAnsi="Times New Roman" w:eastAsiaTheme="minorEastAsia"/>
                      <w:bCs/>
                      <w:color w:val="auto"/>
                      <w:spacing w:val="-10"/>
                      <w:szCs w:val="21"/>
                      <w:highlight w:val="none"/>
                    </w:rPr>
                  </w:pPr>
                  <w:r>
                    <w:rPr>
                      <w:rFonts w:hint="eastAsia" w:ascii="Times New Roman" w:hAnsi="Times New Roman" w:eastAsiaTheme="minorEastAsia"/>
                      <w:bCs/>
                      <w:color w:val="auto"/>
                      <w:spacing w:val="-10"/>
                      <w:szCs w:val="21"/>
                      <w:highlight w:val="none"/>
                      <w:lang w:val="en-US" w:eastAsia="zh-CN"/>
                    </w:rPr>
                    <w:t>非正常工况排放</w:t>
                  </w:r>
                  <w:r>
                    <w:rPr>
                      <w:rFonts w:ascii="Times New Roman" w:hAnsi="Times New Roman" w:eastAsiaTheme="minorEastAsia"/>
                      <w:bCs/>
                      <w:color w:val="auto"/>
                      <w:spacing w:val="-10"/>
                      <w:szCs w:val="21"/>
                      <w:highlight w:val="none"/>
                    </w:rPr>
                    <w:t>量t/a</w:t>
                  </w:r>
                </w:p>
              </w:tc>
              <w:tc>
                <w:tcPr>
                  <w:tcW w:w="849" w:type="pct"/>
                  <w:shd w:val="clear" w:color="auto" w:fill="auto"/>
                  <w:vAlign w:val="center"/>
                </w:tcPr>
                <w:p w14:paraId="4F4473F7">
                  <w:pPr>
                    <w:adjustRightInd w:val="0"/>
                    <w:snapToGrid w:val="0"/>
                    <w:spacing w:line="0" w:lineRule="atLeast"/>
                    <w:jc w:val="center"/>
                    <w:rPr>
                      <w:rFonts w:hint="default" w:ascii="Times New Roman" w:hAnsi="Times New Roman" w:eastAsiaTheme="minorEastAsia"/>
                      <w:bCs/>
                      <w:color w:val="auto"/>
                      <w:spacing w:val="-10"/>
                      <w:szCs w:val="21"/>
                      <w:highlight w:val="none"/>
                      <w:lang w:val="en-US" w:eastAsia="zh-CN"/>
                    </w:rPr>
                  </w:pPr>
                  <w:r>
                    <w:rPr>
                      <w:rFonts w:hint="eastAsia" w:ascii="Times New Roman" w:hAnsi="Times New Roman" w:eastAsiaTheme="minorEastAsia"/>
                      <w:bCs/>
                      <w:color w:val="auto"/>
                      <w:spacing w:val="-10"/>
                      <w:szCs w:val="21"/>
                      <w:highlight w:val="none"/>
                      <w:lang w:val="en-US" w:eastAsia="zh-CN"/>
                    </w:rPr>
                    <w:t>措施</w:t>
                  </w:r>
                </w:p>
              </w:tc>
            </w:tr>
            <w:tr w14:paraId="29FC79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95" w:hRule="atLeast"/>
                <w:jc w:val="center"/>
              </w:trPr>
              <w:tc>
                <w:tcPr>
                  <w:tcW w:w="420" w:type="pct"/>
                  <w:shd w:val="clear" w:color="auto" w:fill="auto"/>
                  <w:vAlign w:val="center"/>
                </w:tcPr>
                <w:p w14:paraId="4EE2940A">
                  <w:pPr>
                    <w:adjustRightInd w:val="0"/>
                    <w:snapToGrid w:val="0"/>
                    <w:spacing w:line="0" w:lineRule="atLeast"/>
                    <w:jc w:val="center"/>
                    <w:rPr>
                      <w:rFonts w:hint="eastAsia" w:ascii="Times New Roman" w:hAnsi="Times New Roman" w:eastAsiaTheme="minorEastAsia"/>
                      <w:bCs/>
                      <w:color w:val="auto"/>
                      <w:spacing w:val="-10"/>
                      <w:szCs w:val="21"/>
                      <w:highlight w:val="none"/>
                      <w:lang w:val="en-US" w:eastAsia="zh-CN"/>
                    </w:rPr>
                  </w:pPr>
                  <w:r>
                    <w:rPr>
                      <w:rFonts w:hint="eastAsia" w:ascii="Times New Roman" w:hAnsi="Times New Roman" w:eastAsiaTheme="minorEastAsia"/>
                      <w:bCs/>
                      <w:color w:val="auto"/>
                      <w:spacing w:val="-10"/>
                      <w:szCs w:val="21"/>
                      <w:highlight w:val="none"/>
                      <w:lang w:val="en-US" w:eastAsia="zh-CN"/>
                    </w:rPr>
                    <w:t>排气筒</w:t>
                  </w:r>
                </w:p>
              </w:tc>
              <w:tc>
                <w:tcPr>
                  <w:tcW w:w="782" w:type="pct"/>
                  <w:shd w:val="clear" w:color="auto" w:fill="auto"/>
                  <w:vAlign w:val="center"/>
                </w:tcPr>
                <w:p w14:paraId="380E7638">
                  <w:pPr>
                    <w:spacing w:line="0" w:lineRule="atLeast"/>
                    <w:jc w:val="center"/>
                    <w:rPr>
                      <w:rFonts w:ascii="Times New Roman" w:hAnsi="Times New Roman" w:eastAsiaTheme="minorEastAsia"/>
                      <w:bCs/>
                      <w:color w:val="auto"/>
                      <w:spacing w:val="-10"/>
                      <w:szCs w:val="21"/>
                      <w:highlight w:val="none"/>
                    </w:rPr>
                  </w:pPr>
                  <w:r>
                    <w:rPr>
                      <w:rFonts w:hint="eastAsia" w:ascii="Times New Roman" w:hAnsi="Times New Roman" w:eastAsiaTheme="minorEastAsia"/>
                      <w:color w:val="auto"/>
                      <w:szCs w:val="21"/>
                      <w:highlight w:val="none"/>
                    </w:rPr>
                    <w:t>硫酸雾未经处理直接排放</w:t>
                  </w:r>
                </w:p>
              </w:tc>
              <w:tc>
                <w:tcPr>
                  <w:tcW w:w="580" w:type="pct"/>
                  <w:shd w:val="clear" w:color="auto" w:fill="auto"/>
                  <w:vAlign w:val="center"/>
                </w:tcPr>
                <w:p w14:paraId="3D339FD3">
                  <w:pPr>
                    <w:pStyle w:val="5"/>
                    <w:ind w:firstLine="0" w:firstLineChars="0"/>
                    <w:jc w:val="center"/>
                    <w:rPr>
                      <w:rFonts w:ascii="Times New Roman" w:hAnsi="Times New Roman"/>
                      <w:color w:val="auto"/>
                      <w:spacing w:val="-20"/>
                      <w:highlight w:val="none"/>
                    </w:rPr>
                  </w:pPr>
                  <w:r>
                    <w:rPr>
                      <w:rFonts w:hint="eastAsia" w:ascii="Times New Roman" w:hAnsi="Times New Roman" w:eastAsiaTheme="minorEastAsia"/>
                      <w:bCs/>
                      <w:color w:val="auto"/>
                      <w:spacing w:val="-20"/>
                      <w:szCs w:val="21"/>
                      <w:highlight w:val="none"/>
                      <w:lang w:val="en-US" w:eastAsia="zh-CN"/>
                    </w:rPr>
                    <w:t>3</w:t>
                  </w:r>
                  <w:r>
                    <w:rPr>
                      <w:rFonts w:ascii="Times New Roman" w:hAnsi="Times New Roman" w:eastAsiaTheme="minorEastAsia"/>
                      <w:bCs/>
                      <w:color w:val="auto"/>
                      <w:spacing w:val="-20"/>
                      <w:szCs w:val="21"/>
                      <w:highlight w:val="none"/>
                    </w:rPr>
                    <w:t>000</w:t>
                  </w:r>
                </w:p>
              </w:tc>
              <w:tc>
                <w:tcPr>
                  <w:tcW w:w="563" w:type="pct"/>
                  <w:shd w:val="clear" w:color="auto" w:fill="auto"/>
                  <w:vAlign w:val="center"/>
                </w:tcPr>
                <w:p w14:paraId="28D75263">
                  <w:pPr>
                    <w:adjustRightInd w:val="0"/>
                    <w:snapToGrid w:val="0"/>
                    <w:spacing w:line="0" w:lineRule="atLeast"/>
                    <w:jc w:val="center"/>
                    <w:rPr>
                      <w:rFonts w:hint="default" w:ascii="Times New Roman" w:hAnsi="Times New Roman" w:eastAsiaTheme="minorEastAsia"/>
                      <w:bCs/>
                      <w:color w:val="auto"/>
                      <w:spacing w:val="-10"/>
                      <w:szCs w:val="21"/>
                      <w:highlight w:val="none"/>
                      <w:lang w:val="en-US" w:eastAsia="zh-CN"/>
                    </w:rPr>
                  </w:pPr>
                  <w:r>
                    <w:rPr>
                      <w:rFonts w:hint="eastAsia" w:ascii="Times New Roman" w:hAnsi="Times New Roman" w:eastAsiaTheme="minorEastAsia"/>
                      <w:bCs/>
                      <w:color w:val="auto"/>
                      <w:spacing w:val="-10"/>
                      <w:szCs w:val="21"/>
                      <w:highlight w:val="none"/>
                      <w:lang w:val="en-US" w:eastAsia="zh-CN"/>
                    </w:rPr>
                    <w:t>88.89</w:t>
                  </w:r>
                </w:p>
              </w:tc>
              <w:tc>
                <w:tcPr>
                  <w:tcW w:w="485" w:type="pct"/>
                  <w:shd w:val="clear" w:color="auto" w:fill="auto"/>
                  <w:vAlign w:val="center"/>
                </w:tcPr>
                <w:p w14:paraId="3DC21C13">
                  <w:pPr>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0.5</w:t>
                  </w:r>
                </w:p>
              </w:tc>
              <w:tc>
                <w:tcPr>
                  <w:tcW w:w="445" w:type="pct"/>
                  <w:shd w:val="clear" w:color="auto" w:fill="auto"/>
                  <w:vAlign w:val="center"/>
                </w:tcPr>
                <w:p w14:paraId="6EFC8306">
                  <w:pPr>
                    <w:adjustRightInd w:val="0"/>
                    <w:snapToGrid w:val="0"/>
                    <w:spacing w:line="0" w:lineRule="atLeast"/>
                    <w:jc w:val="center"/>
                    <w:rPr>
                      <w:rFonts w:hint="eastAsia" w:ascii="Times New Roman" w:hAnsi="Times New Roman" w:eastAsiaTheme="minorEastAsia"/>
                      <w:bCs/>
                      <w:color w:val="auto"/>
                      <w:spacing w:val="-10"/>
                      <w:szCs w:val="21"/>
                      <w:highlight w:val="none"/>
                      <w:lang w:eastAsia="zh-CN"/>
                    </w:rPr>
                  </w:pPr>
                  <w:r>
                    <w:rPr>
                      <w:rFonts w:hint="eastAsia" w:ascii="Times New Roman" w:hAnsi="Times New Roman" w:eastAsiaTheme="minorEastAsia"/>
                      <w:bCs/>
                      <w:color w:val="auto"/>
                      <w:spacing w:val="-10"/>
                      <w:szCs w:val="21"/>
                      <w:highlight w:val="none"/>
                      <w:lang w:val="en-US" w:eastAsia="zh-CN"/>
                    </w:rPr>
                    <w:t>1</w:t>
                  </w:r>
                </w:p>
              </w:tc>
              <w:tc>
                <w:tcPr>
                  <w:tcW w:w="873" w:type="pct"/>
                  <w:shd w:val="clear" w:color="auto" w:fill="auto"/>
                  <w:vAlign w:val="center"/>
                </w:tcPr>
                <w:p w14:paraId="629840C1">
                  <w:pPr>
                    <w:adjustRightInd w:val="0"/>
                    <w:snapToGrid w:val="0"/>
                    <w:spacing w:line="0" w:lineRule="atLeast"/>
                    <w:jc w:val="center"/>
                    <w:rPr>
                      <w:rFonts w:hint="default" w:ascii="Times New Roman" w:hAnsi="Times New Roman" w:eastAsiaTheme="minorEastAsia"/>
                      <w:bCs/>
                      <w:color w:val="auto"/>
                      <w:spacing w:val="-10"/>
                      <w:szCs w:val="21"/>
                      <w:highlight w:val="none"/>
                      <w:lang w:val="en-US" w:eastAsia="zh-CN"/>
                    </w:rPr>
                  </w:pPr>
                  <w:r>
                    <w:rPr>
                      <w:rFonts w:hint="eastAsia" w:ascii="Times New Roman" w:hAnsi="Times New Roman" w:eastAsiaTheme="minorEastAsia"/>
                      <w:color w:val="auto"/>
                      <w:szCs w:val="21"/>
                      <w:highlight w:val="none"/>
                      <w:lang w:val="en-US" w:eastAsia="zh-CN"/>
                    </w:rPr>
                    <w:t>0.135</w:t>
                  </w:r>
                </w:p>
              </w:tc>
              <w:tc>
                <w:tcPr>
                  <w:tcW w:w="849" w:type="pct"/>
                  <w:shd w:val="clear" w:color="auto" w:fill="auto"/>
                  <w:vAlign w:val="center"/>
                </w:tcPr>
                <w:p w14:paraId="61E3A905">
                  <w:pPr>
                    <w:adjustRightInd w:val="0"/>
                    <w:snapToGrid w:val="0"/>
                    <w:spacing w:line="0" w:lineRule="atLeast"/>
                    <w:jc w:val="center"/>
                    <w:rPr>
                      <w:rFonts w:hint="eastAsia" w:ascii="Times New Roman" w:hAnsi="Times New Roman" w:eastAsiaTheme="minorEastAsia"/>
                      <w:bCs/>
                      <w:color w:val="auto"/>
                      <w:spacing w:val="-10"/>
                      <w:szCs w:val="21"/>
                      <w:highlight w:val="none"/>
                      <w:lang w:val="en-US" w:eastAsia="zh-CN"/>
                    </w:rPr>
                  </w:pPr>
                  <w:r>
                    <w:rPr>
                      <w:rFonts w:hint="eastAsia" w:ascii="Times New Roman" w:hAnsi="Times New Roman" w:eastAsiaTheme="minorEastAsia"/>
                      <w:bCs/>
                      <w:color w:val="auto"/>
                      <w:spacing w:val="-10"/>
                      <w:szCs w:val="21"/>
                      <w:highlight w:val="none"/>
                      <w:lang w:val="en-US" w:eastAsia="zh-CN"/>
                    </w:rPr>
                    <w:t>停止风机工</w:t>
                  </w:r>
                </w:p>
                <w:p w14:paraId="2C559D56">
                  <w:pPr>
                    <w:adjustRightInd w:val="0"/>
                    <w:snapToGrid w:val="0"/>
                    <w:spacing w:line="0" w:lineRule="atLeast"/>
                    <w:jc w:val="center"/>
                    <w:rPr>
                      <w:rFonts w:hint="eastAsia" w:ascii="Times New Roman" w:hAnsi="Times New Roman" w:eastAsiaTheme="minorEastAsia"/>
                      <w:bCs/>
                      <w:color w:val="auto"/>
                      <w:spacing w:val="-10"/>
                      <w:szCs w:val="21"/>
                      <w:highlight w:val="none"/>
                      <w:lang w:val="en-US" w:eastAsia="zh-CN"/>
                    </w:rPr>
                  </w:pPr>
                  <w:r>
                    <w:rPr>
                      <w:rFonts w:hint="eastAsia" w:ascii="Times New Roman" w:hAnsi="Times New Roman" w:eastAsiaTheme="minorEastAsia"/>
                      <w:bCs/>
                      <w:color w:val="auto"/>
                      <w:spacing w:val="-10"/>
                      <w:szCs w:val="21"/>
                      <w:highlight w:val="none"/>
                      <w:lang w:val="en-US" w:eastAsia="zh-CN"/>
                    </w:rPr>
                    <w:t>作，脱硫</w:t>
                  </w:r>
                </w:p>
                <w:p w14:paraId="4ADBD396">
                  <w:pPr>
                    <w:adjustRightInd w:val="0"/>
                    <w:snapToGrid w:val="0"/>
                    <w:spacing w:line="0" w:lineRule="atLeast"/>
                    <w:jc w:val="center"/>
                    <w:rPr>
                      <w:rFonts w:hint="default" w:ascii="Times New Roman" w:hAnsi="Times New Roman" w:eastAsiaTheme="minorEastAsia"/>
                      <w:bCs/>
                      <w:color w:val="auto"/>
                      <w:spacing w:val="-10"/>
                      <w:szCs w:val="21"/>
                      <w:highlight w:val="none"/>
                      <w:lang w:val="en-US" w:eastAsia="zh-CN"/>
                    </w:rPr>
                  </w:pPr>
                  <w:r>
                    <w:rPr>
                      <w:rFonts w:hint="eastAsia" w:ascii="Times New Roman" w:hAnsi="Times New Roman" w:eastAsiaTheme="minorEastAsia"/>
                      <w:bCs/>
                      <w:color w:val="auto"/>
                      <w:spacing w:val="-10"/>
                      <w:szCs w:val="21"/>
                      <w:highlight w:val="none"/>
                      <w:lang w:val="en-US" w:eastAsia="zh-CN"/>
                    </w:rPr>
                    <w:t>塔维修</w:t>
                  </w:r>
                </w:p>
              </w:tc>
            </w:tr>
          </w:tbl>
          <w:p w14:paraId="1E63D975">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（3）废气排放口基本情况</w:t>
            </w:r>
          </w:p>
          <w:p w14:paraId="2055222D">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扩建项目废气污染物排放口基本情况见</w:t>
            </w:r>
            <w:r>
              <w:rPr>
                <w:rFonts w:hint="eastAsia" w:ascii="Times New Roman" w:hAnsi="Times New Roman" w:eastAsiaTheme="minorEastAsia"/>
                <w:color w:val="auto"/>
                <w:sz w:val="24"/>
                <w:szCs w:val="24"/>
                <w:highlight w:val="none"/>
                <w:lang w:val="en-US" w:eastAsia="zh-CN"/>
              </w:rPr>
              <w:t>下表</w:t>
            </w:r>
            <w:r>
              <w:rPr>
                <w:rFonts w:ascii="Times New Roman" w:hAnsi="Times New Roman" w:eastAsiaTheme="minorEastAsia"/>
                <w:color w:val="auto"/>
                <w:sz w:val="24"/>
                <w:szCs w:val="24"/>
                <w:highlight w:val="none"/>
              </w:rPr>
              <w:t>。</w:t>
            </w:r>
          </w:p>
          <w:p w14:paraId="10DE6FFF">
            <w:pPr>
              <w:spacing w:line="480" w:lineRule="exact"/>
              <w:jc w:val="center"/>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表4-</w:t>
            </w:r>
            <w:r>
              <w:rPr>
                <w:rFonts w:hint="eastAsia" w:ascii="Times New Roman" w:hAnsi="Times New Roman" w:eastAsiaTheme="minorEastAsia"/>
                <w:color w:val="auto"/>
                <w:sz w:val="24"/>
                <w:szCs w:val="24"/>
                <w:highlight w:val="none"/>
                <w:lang w:val="en-US" w:eastAsia="zh-CN"/>
              </w:rPr>
              <w:t>4</w:t>
            </w:r>
            <w:r>
              <w:rPr>
                <w:rFonts w:ascii="Times New Roman" w:hAnsi="Times New Roman" w:eastAsiaTheme="minorEastAsia"/>
                <w:color w:val="auto"/>
                <w:sz w:val="24"/>
                <w:szCs w:val="24"/>
                <w:highlight w:val="none"/>
              </w:rPr>
              <w:t xml:space="preserve">  </w:t>
            </w:r>
            <w:r>
              <w:rPr>
                <w:rFonts w:hint="eastAsia" w:ascii="Times New Roman" w:hAnsi="Times New Roman" w:eastAsiaTheme="minorEastAsia"/>
                <w:color w:val="auto"/>
                <w:sz w:val="24"/>
                <w:szCs w:val="24"/>
                <w:highlight w:val="none"/>
                <w:lang w:val="en-US" w:eastAsia="zh-CN"/>
              </w:rPr>
              <w:t>本</w:t>
            </w:r>
            <w:r>
              <w:rPr>
                <w:rFonts w:ascii="Times New Roman" w:hAnsi="Times New Roman" w:eastAsiaTheme="minorEastAsia"/>
                <w:color w:val="auto"/>
                <w:sz w:val="24"/>
                <w:szCs w:val="24"/>
                <w:highlight w:val="none"/>
              </w:rPr>
              <w:t>项目废气污染物排放口基本情况一览表</w:t>
            </w:r>
          </w:p>
          <w:tbl>
            <w:tblPr>
              <w:tblStyle w:val="31"/>
              <w:tblW w:w="4982"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34"/>
              <w:gridCol w:w="1637"/>
              <w:gridCol w:w="995"/>
              <w:gridCol w:w="682"/>
              <w:gridCol w:w="682"/>
              <w:gridCol w:w="627"/>
              <w:gridCol w:w="777"/>
              <w:gridCol w:w="832"/>
              <w:gridCol w:w="819"/>
            </w:tblGrid>
            <w:tr w14:paraId="6EEE10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pct"/>
                  <w:vMerge w:val="restart"/>
                  <w:vAlign w:val="center"/>
                </w:tcPr>
                <w:p w14:paraId="1A8699C1">
                  <w:pPr>
                    <w:spacing w:line="0" w:lineRule="atLeas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污染源、名称</w:t>
                  </w:r>
                </w:p>
              </w:tc>
              <w:tc>
                <w:tcPr>
                  <w:tcW w:w="976" w:type="pct"/>
                  <w:vMerge w:val="restart"/>
                  <w:vAlign w:val="center"/>
                </w:tcPr>
                <w:p w14:paraId="6AA688CF">
                  <w:pPr>
                    <w:spacing w:line="0" w:lineRule="atLeas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排气筒底部中心</w:t>
                  </w:r>
                </w:p>
              </w:tc>
              <w:tc>
                <w:tcPr>
                  <w:tcW w:w="593" w:type="pct"/>
                  <w:vMerge w:val="restart"/>
                  <w:vAlign w:val="center"/>
                </w:tcPr>
                <w:p w14:paraId="3E004B0C">
                  <w:pPr>
                    <w:spacing w:line="0" w:lineRule="atLeas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排气筒底部高度</w:t>
                  </w:r>
                  <w:r>
                    <w:rPr>
                      <w:rFonts w:ascii="Times New Roman" w:hAnsi="Times New Roman" w:eastAsiaTheme="minorEastAsia"/>
                      <w:snapToGrid w:val="0"/>
                      <w:color w:val="auto"/>
                      <w:szCs w:val="21"/>
                      <w:highlight w:val="none"/>
                    </w:rPr>
                    <w:t>(m)</w:t>
                  </w:r>
                </w:p>
              </w:tc>
              <w:tc>
                <w:tcPr>
                  <w:tcW w:w="406" w:type="pct"/>
                  <w:vMerge w:val="restart"/>
                  <w:vAlign w:val="center"/>
                </w:tcPr>
                <w:p w14:paraId="62AA0DDB">
                  <w:pPr>
                    <w:spacing w:line="0" w:lineRule="atLeas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烟气量(m</w:t>
                  </w:r>
                  <w:r>
                    <w:rPr>
                      <w:rFonts w:ascii="Times New Roman" w:hAnsi="Times New Roman" w:eastAsiaTheme="minorEastAsia"/>
                      <w:color w:val="auto"/>
                      <w:szCs w:val="21"/>
                      <w:highlight w:val="none"/>
                      <w:vertAlign w:val="superscript"/>
                    </w:rPr>
                    <w:t>3</w:t>
                  </w:r>
                  <w:r>
                    <w:rPr>
                      <w:rFonts w:ascii="Times New Roman" w:hAnsi="Times New Roman" w:eastAsiaTheme="minorEastAsia"/>
                      <w:color w:val="auto"/>
                      <w:szCs w:val="21"/>
                      <w:highlight w:val="none"/>
                    </w:rPr>
                    <w:t>/h)</w:t>
                  </w:r>
                </w:p>
              </w:tc>
              <w:tc>
                <w:tcPr>
                  <w:tcW w:w="780" w:type="pct"/>
                  <w:gridSpan w:val="2"/>
                  <w:vAlign w:val="center"/>
                </w:tcPr>
                <w:p w14:paraId="2311EB31">
                  <w:pPr>
                    <w:spacing w:line="0" w:lineRule="atLeas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排气筒</w:t>
                  </w:r>
                </w:p>
              </w:tc>
              <w:tc>
                <w:tcPr>
                  <w:tcW w:w="463" w:type="pct"/>
                  <w:vMerge w:val="restart"/>
                  <w:vAlign w:val="center"/>
                </w:tcPr>
                <w:p w14:paraId="628F2834">
                  <w:pPr>
                    <w:spacing w:line="0" w:lineRule="atLeas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出口烟气温度(℃)</w:t>
                  </w:r>
                </w:p>
              </w:tc>
              <w:tc>
                <w:tcPr>
                  <w:tcW w:w="496" w:type="pct"/>
                  <w:vMerge w:val="restart"/>
                  <w:vAlign w:val="center"/>
                </w:tcPr>
                <w:p w14:paraId="1B942911">
                  <w:pPr>
                    <w:spacing w:line="0" w:lineRule="atLeas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排放因子</w:t>
                  </w:r>
                </w:p>
              </w:tc>
              <w:tc>
                <w:tcPr>
                  <w:tcW w:w="488" w:type="pct"/>
                  <w:vMerge w:val="restart"/>
                  <w:vAlign w:val="center"/>
                </w:tcPr>
                <w:p w14:paraId="72ED07FB">
                  <w:pPr>
                    <w:spacing w:line="0" w:lineRule="atLeas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排放口类型</w:t>
                  </w:r>
                </w:p>
              </w:tc>
            </w:tr>
            <w:tr w14:paraId="41B65D6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2" w:hRule="atLeast"/>
                <w:jc w:val="center"/>
              </w:trPr>
              <w:tc>
                <w:tcPr>
                  <w:tcW w:w="795" w:type="pct"/>
                  <w:vMerge w:val="continue"/>
                  <w:vAlign w:val="center"/>
                </w:tcPr>
                <w:p w14:paraId="51DF494D">
                  <w:pPr>
                    <w:spacing w:line="0" w:lineRule="atLeast"/>
                    <w:jc w:val="center"/>
                    <w:rPr>
                      <w:rFonts w:ascii="Times New Roman" w:hAnsi="Times New Roman" w:eastAsiaTheme="minorEastAsia"/>
                      <w:color w:val="auto"/>
                      <w:szCs w:val="21"/>
                      <w:highlight w:val="none"/>
                    </w:rPr>
                  </w:pPr>
                </w:p>
              </w:tc>
              <w:tc>
                <w:tcPr>
                  <w:tcW w:w="976" w:type="pct"/>
                  <w:vMerge w:val="continue"/>
                  <w:vAlign w:val="center"/>
                </w:tcPr>
                <w:p w14:paraId="22C0BDB6">
                  <w:pPr>
                    <w:spacing w:line="0" w:lineRule="atLeast"/>
                    <w:jc w:val="center"/>
                    <w:rPr>
                      <w:rFonts w:ascii="Times New Roman" w:hAnsi="Times New Roman" w:eastAsiaTheme="minorEastAsia"/>
                      <w:color w:val="auto"/>
                      <w:szCs w:val="21"/>
                      <w:highlight w:val="none"/>
                    </w:rPr>
                  </w:pPr>
                </w:p>
              </w:tc>
              <w:tc>
                <w:tcPr>
                  <w:tcW w:w="593" w:type="pct"/>
                  <w:vMerge w:val="continue"/>
                  <w:vAlign w:val="center"/>
                </w:tcPr>
                <w:p w14:paraId="0D944FC2">
                  <w:pPr>
                    <w:spacing w:line="0" w:lineRule="atLeast"/>
                    <w:jc w:val="center"/>
                    <w:rPr>
                      <w:rFonts w:ascii="Times New Roman" w:hAnsi="Times New Roman" w:eastAsiaTheme="minorEastAsia"/>
                      <w:color w:val="auto"/>
                      <w:szCs w:val="21"/>
                      <w:highlight w:val="none"/>
                    </w:rPr>
                  </w:pPr>
                </w:p>
              </w:tc>
              <w:tc>
                <w:tcPr>
                  <w:tcW w:w="406" w:type="pct"/>
                  <w:vMerge w:val="continue"/>
                  <w:vAlign w:val="center"/>
                </w:tcPr>
                <w:p w14:paraId="55ABF714">
                  <w:pPr>
                    <w:spacing w:line="0" w:lineRule="atLeast"/>
                    <w:jc w:val="center"/>
                    <w:rPr>
                      <w:rFonts w:ascii="Times New Roman" w:hAnsi="Times New Roman" w:eastAsiaTheme="minorEastAsia"/>
                      <w:color w:val="auto"/>
                      <w:szCs w:val="21"/>
                      <w:highlight w:val="none"/>
                    </w:rPr>
                  </w:pPr>
                </w:p>
              </w:tc>
              <w:tc>
                <w:tcPr>
                  <w:tcW w:w="406" w:type="pct"/>
                  <w:vAlign w:val="center"/>
                </w:tcPr>
                <w:p w14:paraId="6A91EC5C">
                  <w:pPr>
                    <w:spacing w:line="0" w:lineRule="atLeas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内径(m)</w:t>
                  </w:r>
                </w:p>
              </w:tc>
              <w:tc>
                <w:tcPr>
                  <w:tcW w:w="373" w:type="pct"/>
                  <w:vAlign w:val="center"/>
                </w:tcPr>
                <w:p w14:paraId="4ABBE613">
                  <w:pPr>
                    <w:spacing w:line="0" w:lineRule="atLeas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高度(m)</w:t>
                  </w:r>
                </w:p>
              </w:tc>
              <w:tc>
                <w:tcPr>
                  <w:tcW w:w="463" w:type="pct"/>
                  <w:vMerge w:val="continue"/>
                  <w:vAlign w:val="center"/>
                </w:tcPr>
                <w:p w14:paraId="212B4605">
                  <w:pPr>
                    <w:spacing w:line="0" w:lineRule="atLeast"/>
                    <w:jc w:val="center"/>
                    <w:rPr>
                      <w:rFonts w:ascii="Times New Roman" w:hAnsi="Times New Roman" w:eastAsiaTheme="minorEastAsia"/>
                      <w:color w:val="auto"/>
                      <w:szCs w:val="21"/>
                      <w:highlight w:val="none"/>
                    </w:rPr>
                  </w:pPr>
                </w:p>
              </w:tc>
              <w:tc>
                <w:tcPr>
                  <w:tcW w:w="496" w:type="pct"/>
                  <w:vMerge w:val="continue"/>
                  <w:vAlign w:val="center"/>
                </w:tcPr>
                <w:p w14:paraId="1061464C">
                  <w:pPr>
                    <w:spacing w:line="0" w:lineRule="atLeast"/>
                    <w:jc w:val="center"/>
                    <w:rPr>
                      <w:rFonts w:ascii="Times New Roman" w:hAnsi="Times New Roman" w:eastAsiaTheme="minorEastAsia"/>
                      <w:color w:val="auto"/>
                      <w:szCs w:val="21"/>
                      <w:highlight w:val="none"/>
                    </w:rPr>
                  </w:pPr>
                </w:p>
              </w:tc>
              <w:tc>
                <w:tcPr>
                  <w:tcW w:w="488" w:type="pct"/>
                  <w:vMerge w:val="continue"/>
                  <w:vAlign w:val="center"/>
                </w:tcPr>
                <w:p w14:paraId="5D83B4FD">
                  <w:pPr>
                    <w:spacing w:line="0" w:lineRule="atLeast"/>
                    <w:jc w:val="center"/>
                    <w:rPr>
                      <w:rFonts w:ascii="Times New Roman" w:hAnsi="Times New Roman" w:eastAsiaTheme="minorEastAsia"/>
                      <w:color w:val="auto"/>
                      <w:szCs w:val="21"/>
                      <w:highlight w:val="none"/>
                    </w:rPr>
                  </w:pPr>
                </w:p>
              </w:tc>
            </w:tr>
            <w:tr w14:paraId="622724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pct"/>
                  <w:vAlign w:val="center"/>
                </w:tcPr>
                <w:p w14:paraId="4717C4FD">
                  <w:pPr>
                    <w:adjustRightInd w:val="0"/>
                    <w:snapToGrid w:val="0"/>
                    <w:spacing w:line="0" w:lineRule="atLeast"/>
                    <w:jc w:val="center"/>
                    <w:rPr>
                      <w:rFonts w:ascii="Times New Roman" w:hAnsi="Times New Roman" w:eastAsiaTheme="minorEastAsia"/>
                      <w:bCs/>
                      <w:color w:val="auto"/>
                      <w:szCs w:val="21"/>
                      <w:highlight w:val="none"/>
                    </w:rPr>
                  </w:pPr>
                  <w:r>
                    <w:rPr>
                      <w:rFonts w:hint="eastAsia" w:ascii="Times New Roman" w:hAnsi="Times New Roman" w:eastAsiaTheme="minorEastAsia"/>
                      <w:bCs/>
                      <w:color w:val="auto"/>
                      <w:spacing w:val="-10"/>
                      <w:szCs w:val="21"/>
                      <w:highlight w:val="none"/>
                    </w:rPr>
                    <w:t>破损</w:t>
                  </w:r>
                  <w:r>
                    <w:rPr>
                      <w:rFonts w:hint="eastAsia" w:ascii="Times New Roman" w:hAnsi="Times New Roman" w:eastAsiaTheme="minorEastAsia"/>
                      <w:bCs/>
                      <w:color w:val="auto"/>
                      <w:spacing w:val="-10"/>
                      <w:szCs w:val="21"/>
                      <w:highlight w:val="none"/>
                      <w:lang w:eastAsia="zh-CN"/>
                    </w:rPr>
                    <w:t>废旧铅酸蓄电池</w:t>
                  </w:r>
                  <w:r>
                    <w:rPr>
                      <w:rFonts w:hint="eastAsia" w:ascii="Times New Roman" w:hAnsi="Times New Roman" w:eastAsiaTheme="minorEastAsia"/>
                      <w:bCs/>
                      <w:color w:val="auto"/>
                      <w:spacing w:val="-10"/>
                      <w:szCs w:val="21"/>
                      <w:highlight w:val="none"/>
                    </w:rPr>
                    <w:t>贮存</w:t>
                  </w:r>
                  <w:r>
                    <w:rPr>
                      <w:rFonts w:ascii="Times New Roman" w:hAnsi="Times New Roman" w:eastAsiaTheme="minorEastAsia"/>
                      <w:bCs/>
                      <w:color w:val="auto"/>
                      <w:szCs w:val="21"/>
                      <w:highlight w:val="none"/>
                    </w:rPr>
                    <w:t>废气</w:t>
                  </w:r>
                  <w:r>
                    <w:rPr>
                      <w:rFonts w:hint="eastAsia" w:ascii="Times New Roman" w:hAnsi="Times New Roman" w:eastAsiaTheme="minorEastAsia"/>
                      <w:bCs/>
                      <w:color w:val="auto"/>
                      <w:szCs w:val="21"/>
                      <w:highlight w:val="none"/>
                      <w:lang w:val="en-US" w:eastAsia="zh-CN"/>
                    </w:rPr>
                    <w:t>排气筒</w:t>
                  </w:r>
                  <w:r>
                    <w:rPr>
                      <w:rFonts w:ascii="Times New Roman" w:hAnsi="Times New Roman" w:eastAsiaTheme="minorEastAsia"/>
                      <w:bCs/>
                      <w:color w:val="auto"/>
                      <w:szCs w:val="21"/>
                      <w:highlight w:val="none"/>
                    </w:rPr>
                    <w:t>（DA001）</w:t>
                  </w:r>
                </w:p>
              </w:tc>
              <w:tc>
                <w:tcPr>
                  <w:tcW w:w="976" w:type="pct"/>
                  <w:vAlign w:val="center"/>
                </w:tcPr>
                <w:p w14:paraId="7F461A69">
                  <w:pPr>
                    <w:adjustRightInd w:val="0"/>
                    <w:spacing w:line="0" w:lineRule="atLeast"/>
                    <w:jc w:val="center"/>
                    <w:rPr>
                      <w:rFonts w:ascii="Times New Roman" w:hAnsi="Times New Roman" w:eastAsiaTheme="minorEastAsia"/>
                      <w:bCs/>
                      <w:color w:val="auto"/>
                      <w:spacing w:val="-10"/>
                      <w:szCs w:val="21"/>
                      <w:highlight w:val="none"/>
                    </w:rPr>
                  </w:pPr>
                  <w:r>
                    <w:rPr>
                      <w:rFonts w:ascii="Times New Roman" w:hAnsi="Times New Roman" w:eastAsiaTheme="minorEastAsia"/>
                      <w:bCs/>
                      <w:color w:val="auto"/>
                      <w:spacing w:val="-10"/>
                      <w:szCs w:val="21"/>
                      <w:highlight w:val="none"/>
                    </w:rPr>
                    <w:t>E115°2</w:t>
                  </w:r>
                  <w:r>
                    <w:rPr>
                      <w:rFonts w:hint="eastAsia" w:ascii="Times New Roman" w:hAnsi="Times New Roman" w:eastAsiaTheme="minorEastAsia"/>
                      <w:bCs/>
                      <w:color w:val="auto"/>
                      <w:spacing w:val="-10"/>
                      <w:szCs w:val="21"/>
                      <w:highlight w:val="none"/>
                      <w:lang w:val="en-US" w:eastAsia="zh-CN"/>
                    </w:rPr>
                    <w:t>7</w:t>
                  </w:r>
                  <w:r>
                    <w:rPr>
                      <w:rFonts w:ascii="Times New Roman" w:hAnsi="Times New Roman" w:eastAsiaTheme="minorEastAsia"/>
                      <w:bCs/>
                      <w:color w:val="auto"/>
                      <w:spacing w:val="-10"/>
                      <w:szCs w:val="21"/>
                      <w:highlight w:val="none"/>
                    </w:rPr>
                    <w:t>′</w:t>
                  </w:r>
                  <w:r>
                    <w:rPr>
                      <w:rFonts w:hint="eastAsia" w:ascii="Times New Roman" w:hAnsi="Times New Roman" w:eastAsiaTheme="minorEastAsia"/>
                      <w:bCs/>
                      <w:color w:val="auto"/>
                      <w:spacing w:val="-10"/>
                      <w:szCs w:val="21"/>
                      <w:highlight w:val="none"/>
                      <w:lang w:val="en-US" w:eastAsia="zh-CN"/>
                    </w:rPr>
                    <w:t>59.132</w:t>
                  </w:r>
                  <w:r>
                    <w:rPr>
                      <w:rFonts w:ascii="Times New Roman" w:hAnsi="Times New Roman" w:eastAsiaTheme="minorEastAsia"/>
                      <w:bCs/>
                      <w:color w:val="auto"/>
                      <w:spacing w:val="-10"/>
                      <w:szCs w:val="21"/>
                      <w:highlight w:val="none"/>
                    </w:rPr>
                    <w:t>″</w:t>
                  </w:r>
                </w:p>
                <w:p w14:paraId="006511E4">
                  <w:pPr>
                    <w:adjustRightInd w:val="0"/>
                    <w:spacing w:line="0" w:lineRule="atLeast"/>
                    <w:jc w:val="center"/>
                    <w:rPr>
                      <w:color w:val="auto"/>
                      <w:highlight w:val="none"/>
                    </w:rPr>
                  </w:pPr>
                  <w:r>
                    <w:rPr>
                      <w:rFonts w:ascii="Times New Roman" w:hAnsi="Times New Roman" w:eastAsiaTheme="minorEastAsia"/>
                      <w:bCs/>
                      <w:color w:val="auto"/>
                      <w:spacing w:val="-10"/>
                      <w:szCs w:val="21"/>
                      <w:highlight w:val="none"/>
                    </w:rPr>
                    <w:t>N39°</w:t>
                  </w:r>
                  <w:r>
                    <w:rPr>
                      <w:rFonts w:hint="eastAsia" w:ascii="Times New Roman" w:hAnsi="Times New Roman" w:eastAsiaTheme="minorEastAsia"/>
                      <w:bCs/>
                      <w:color w:val="auto"/>
                      <w:spacing w:val="-10"/>
                      <w:szCs w:val="21"/>
                      <w:highlight w:val="none"/>
                      <w:lang w:val="en-US" w:eastAsia="zh-CN"/>
                    </w:rPr>
                    <w:t>3</w:t>
                  </w:r>
                  <w:r>
                    <w:rPr>
                      <w:rFonts w:ascii="Times New Roman" w:hAnsi="Times New Roman" w:eastAsiaTheme="minorEastAsia"/>
                      <w:bCs/>
                      <w:color w:val="auto"/>
                      <w:spacing w:val="-10"/>
                      <w:szCs w:val="21"/>
                      <w:highlight w:val="none"/>
                    </w:rPr>
                    <w:t>′</w:t>
                  </w:r>
                  <w:r>
                    <w:rPr>
                      <w:rFonts w:hint="eastAsia" w:ascii="Times New Roman" w:hAnsi="Times New Roman" w:eastAsiaTheme="minorEastAsia"/>
                      <w:bCs/>
                      <w:color w:val="auto"/>
                      <w:spacing w:val="-10"/>
                      <w:szCs w:val="21"/>
                      <w:highlight w:val="none"/>
                      <w:lang w:val="en-US" w:eastAsia="zh-CN"/>
                    </w:rPr>
                    <w:t>2.834</w:t>
                  </w:r>
                  <w:r>
                    <w:rPr>
                      <w:rFonts w:ascii="Times New Roman" w:hAnsi="Times New Roman" w:eastAsiaTheme="minorEastAsia"/>
                      <w:bCs/>
                      <w:color w:val="auto"/>
                      <w:spacing w:val="-10"/>
                      <w:szCs w:val="21"/>
                      <w:highlight w:val="none"/>
                    </w:rPr>
                    <w:t>″</w:t>
                  </w:r>
                </w:p>
              </w:tc>
              <w:tc>
                <w:tcPr>
                  <w:tcW w:w="593" w:type="pct"/>
                  <w:vAlign w:val="center"/>
                </w:tcPr>
                <w:p w14:paraId="164695E4">
                  <w:pPr>
                    <w:adjustRightInd w:val="0"/>
                    <w:spacing w:line="0" w:lineRule="atLeast"/>
                    <w:jc w:val="center"/>
                    <w:rPr>
                      <w:rFonts w:hint="default" w:ascii="Times New Roman" w:hAnsi="Times New Roman" w:eastAsiaTheme="minorEastAsia"/>
                      <w:snapToGrid w:val="0"/>
                      <w:color w:val="auto"/>
                      <w:szCs w:val="21"/>
                      <w:highlight w:val="none"/>
                      <w:lang w:val="en-US" w:eastAsia="zh-CN"/>
                    </w:rPr>
                  </w:pPr>
                  <w:r>
                    <w:rPr>
                      <w:rFonts w:hint="eastAsia" w:ascii="Times New Roman" w:hAnsi="Times New Roman" w:eastAsiaTheme="minorEastAsia"/>
                      <w:snapToGrid w:val="0"/>
                      <w:color w:val="auto"/>
                      <w:szCs w:val="21"/>
                      <w:highlight w:val="none"/>
                      <w:lang w:val="en-US" w:eastAsia="zh-CN"/>
                    </w:rPr>
                    <w:t>15</w:t>
                  </w:r>
                </w:p>
              </w:tc>
              <w:tc>
                <w:tcPr>
                  <w:tcW w:w="406" w:type="pct"/>
                  <w:vAlign w:val="center"/>
                </w:tcPr>
                <w:p w14:paraId="791D1B0B">
                  <w:pPr>
                    <w:adjustRightInd w:val="0"/>
                    <w:snapToGrid w:val="0"/>
                    <w:spacing w:line="0" w:lineRule="atLeast"/>
                    <w:jc w:val="center"/>
                    <w:rPr>
                      <w:rFonts w:ascii="Times New Roman" w:hAnsi="Times New Roman" w:eastAsiaTheme="minorEastAsia"/>
                      <w:bCs/>
                      <w:color w:val="auto"/>
                      <w:szCs w:val="21"/>
                      <w:highlight w:val="none"/>
                    </w:rPr>
                  </w:pPr>
                  <w:r>
                    <w:rPr>
                      <w:rFonts w:hint="eastAsia" w:ascii="Times New Roman" w:hAnsi="Times New Roman" w:eastAsiaTheme="minorEastAsia"/>
                      <w:bCs/>
                      <w:color w:val="auto"/>
                      <w:szCs w:val="21"/>
                      <w:highlight w:val="none"/>
                      <w:lang w:val="en-US" w:eastAsia="zh-CN"/>
                    </w:rPr>
                    <w:t>3</w:t>
                  </w:r>
                  <w:r>
                    <w:rPr>
                      <w:rFonts w:ascii="Times New Roman" w:hAnsi="Times New Roman" w:eastAsiaTheme="minorEastAsia"/>
                      <w:bCs/>
                      <w:color w:val="auto"/>
                      <w:szCs w:val="21"/>
                      <w:highlight w:val="none"/>
                    </w:rPr>
                    <w:t>000</w:t>
                  </w:r>
                </w:p>
              </w:tc>
              <w:tc>
                <w:tcPr>
                  <w:tcW w:w="406" w:type="pct"/>
                  <w:vAlign w:val="center"/>
                </w:tcPr>
                <w:p w14:paraId="6BD2B98C">
                  <w:pPr>
                    <w:spacing w:line="0" w:lineRule="atLeast"/>
                    <w:jc w:val="center"/>
                    <w:rPr>
                      <w:rFonts w:hint="eastAsia" w:ascii="Times New Roman" w:hAnsi="Times New Roman" w:eastAsiaTheme="minorEastAsia"/>
                      <w:color w:val="auto"/>
                      <w:szCs w:val="21"/>
                      <w:highlight w:val="none"/>
                      <w:lang w:eastAsia="zh-CN"/>
                    </w:rPr>
                  </w:pPr>
                  <w:r>
                    <w:rPr>
                      <w:rFonts w:ascii="Times New Roman" w:hAnsi="Times New Roman" w:eastAsiaTheme="minorEastAsia"/>
                      <w:color w:val="auto"/>
                      <w:szCs w:val="21"/>
                      <w:highlight w:val="none"/>
                    </w:rPr>
                    <w:t>0.</w:t>
                  </w:r>
                  <w:r>
                    <w:rPr>
                      <w:rFonts w:hint="eastAsia" w:ascii="Times New Roman" w:hAnsi="Times New Roman" w:eastAsiaTheme="minorEastAsia"/>
                      <w:color w:val="auto"/>
                      <w:szCs w:val="21"/>
                      <w:highlight w:val="none"/>
                      <w:lang w:val="en-US" w:eastAsia="zh-CN"/>
                    </w:rPr>
                    <w:t>4</w:t>
                  </w:r>
                </w:p>
              </w:tc>
              <w:tc>
                <w:tcPr>
                  <w:tcW w:w="373" w:type="pct"/>
                  <w:vAlign w:val="center"/>
                </w:tcPr>
                <w:p w14:paraId="3505CC8A">
                  <w:pPr>
                    <w:spacing w:line="0" w:lineRule="atLeast"/>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15</w:t>
                  </w:r>
                </w:p>
              </w:tc>
              <w:tc>
                <w:tcPr>
                  <w:tcW w:w="463" w:type="pct"/>
                  <w:vAlign w:val="center"/>
                </w:tcPr>
                <w:p w14:paraId="5E347FCB">
                  <w:pPr>
                    <w:spacing w:line="0" w:lineRule="atLeas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20</w:t>
                  </w:r>
                </w:p>
              </w:tc>
              <w:tc>
                <w:tcPr>
                  <w:tcW w:w="496" w:type="pct"/>
                  <w:vAlign w:val="center"/>
                </w:tcPr>
                <w:p w14:paraId="04B952D3">
                  <w:pPr>
                    <w:adjustRightInd w:val="0"/>
                    <w:snapToGrid w:val="0"/>
                    <w:spacing w:line="0" w:lineRule="atLeast"/>
                    <w:jc w:val="center"/>
                    <w:rPr>
                      <w:rFonts w:hint="eastAsia" w:ascii="Times New Roman" w:hAnsi="Times New Roman" w:eastAsiaTheme="minorEastAsia"/>
                      <w:bCs/>
                      <w:color w:val="auto"/>
                      <w:szCs w:val="21"/>
                      <w:highlight w:val="none"/>
                      <w:lang w:eastAsia="zh-CN"/>
                    </w:rPr>
                  </w:pPr>
                  <w:r>
                    <w:rPr>
                      <w:rFonts w:hint="eastAsia" w:ascii="Times New Roman" w:hAnsi="Times New Roman" w:eastAsiaTheme="minorEastAsia"/>
                      <w:color w:val="auto"/>
                      <w:szCs w:val="21"/>
                      <w:highlight w:val="none"/>
                      <w:lang w:val="en-US" w:eastAsia="zh-CN"/>
                    </w:rPr>
                    <w:t>硫酸雾</w:t>
                  </w:r>
                </w:p>
              </w:tc>
              <w:tc>
                <w:tcPr>
                  <w:tcW w:w="488" w:type="pct"/>
                  <w:vAlign w:val="center"/>
                </w:tcPr>
                <w:p w14:paraId="1297ED82">
                  <w:pPr>
                    <w:spacing w:line="0" w:lineRule="atLeas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一般排放口</w:t>
                  </w:r>
                </w:p>
              </w:tc>
            </w:tr>
          </w:tbl>
          <w:p w14:paraId="680D1782">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w:t>
            </w:r>
            <w:r>
              <w:rPr>
                <w:rFonts w:hint="eastAsia" w:ascii="Times New Roman" w:hAnsi="Times New Roman" w:eastAsiaTheme="minorEastAsia"/>
                <w:color w:val="auto"/>
                <w:sz w:val="24"/>
                <w:szCs w:val="24"/>
                <w:highlight w:val="none"/>
                <w:lang w:val="en-US" w:eastAsia="zh-CN"/>
              </w:rPr>
              <w:t>4</w:t>
            </w:r>
            <w:r>
              <w:rPr>
                <w:rFonts w:ascii="Times New Roman" w:hAnsi="Times New Roman" w:eastAsiaTheme="minorEastAsia"/>
                <w:color w:val="auto"/>
                <w:sz w:val="24"/>
                <w:szCs w:val="24"/>
                <w:highlight w:val="none"/>
              </w:rPr>
              <w:t>）废气自行监测计划</w:t>
            </w:r>
          </w:p>
          <w:p w14:paraId="07279B4B">
            <w:pPr>
              <w:adjustRightInd w:val="0"/>
              <w:snapToGrid w:val="0"/>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 xml:space="preserve">根据《排污单位自行监测技术指南 </w:t>
            </w:r>
            <w:r>
              <w:rPr>
                <w:rFonts w:hint="eastAsia" w:ascii="Times New Roman" w:hAnsi="Times New Roman" w:eastAsiaTheme="minorEastAsia"/>
                <w:color w:val="auto"/>
                <w:sz w:val="24"/>
                <w:szCs w:val="24"/>
                <w:highlight w:val="none"/>
                <w:lang w:val="en-US" w:eastAsia="zh-CN"/>
              </w:rPr>
              <w:t>总则</w:t>
            </w:r>
            <w:r>
              <w:rPr>
                <w:rFonts w:ascii="Times New Roman" w:hAnsi="Times New Roman" w:eastAsiaTheme="minorEastAsia"/>
                <w:color w:val="auto"/>
                <w:sz w:val="24"/>
                <w:szCs w:val="24"/>
                <w:highlight w:val="none"/>
              </w:rPr>
              <w:t>》（HJ</w:t>
            </w:r>
            <w:r>
              <w:rPr>
                <w:rFonts w:hint="eastAsia" w:ascii="Times New Roman" w:hAnsi="Times New Roman" w:eastAsiaTheme="minorEastAsia"/>
                <w:color w:val="auto"/>
                <w:sz w:val="24"/>
                <w:szCs w:val="24"/>
                <w:highlight w:val="none"/>
                <w:lang w:val="en-US" w:eastAsia="zh-CN"/>
              </w:rPr>
              <w:t>819</w:t>
            </w:r>
            <w:r>
              <w:rPr>
                <w:rFonts w:ascii="Times New Roman" w:hAnsi="Times New Roman" w:eastAsiaTheme="minorEastAsia"/>
                <w:color w:val="auto"/>
                <w:sz w:val="24"/>
                <w:szCs w:val="24"/>
                <w:highlight w:val="none"/>
              </w:rPr>
              <w:t>-202</w:t>
            </w:r>
            <w:r>
              <w:rPr>
                <w:rFonts w:hint="eastAsia" w:ascii="Times New Roman" w:hAnsi="Times New Roman" w:eastAsiaTheme="minorEastAsia"/>
                <w:color w:val="auto"/>
                <w:sz w:val="24"/>
                <w:szCs w:val="24"/>
                <w:highlight w:val="none"/>
                <w:lang w:val="en-US" w:eastAsia="zh-CN"/>
              </w:rPr>
              <w:t>7</w:t>
            </w:r>
            <w:r>
              <w:rPr>
                <w:rFonts w:ascii="Times New Roman" w:hAnsi="Times New Roman" w:eastAsiaTheme="minorEastAsia"/>
                <w:color w:val="auto"/>
                <w:sz w:val="24"/>
                <w:szCs w:val="24"/>
                <w:highlight w:val="none"/>
              </w:rPr>
              <w:t>）中的有关规定要求，针对本项目产排污特点，制定本项目的监测计划，具体内容见4-</w:t>
            </w:r>
            <w:r>
              <w:rPr>
                <w:rFonts w:hint="eastAsia" w:ascii="Times New Roman" w:hAnsi="Times New Roman" w:eastAsiaTheme="minorEastAsia"/>
                <w:color w:val="auto"/>
                <w:sz w:val="24"/>
                <w:szCs w:val="24"/>
                <w:highlight w:val="none"/>
                <w:lang w:val="en-US" w:eastAsia="zh-CN"/>
              </w:rPr>
              <w:t>5</w:t>
            </w:r>
            <w:r>
              <w:rPr>
                <w:rFonts w:ascii="Times New Roman" w:hAnsi="Times New Roman" w:eastAsiaTheme="minorEastAsia"/>
                <w:color w:val="auto"/>
                <w:sz w:val="24"/>
                <w:szCs w:val="24"/>
                <w:highlight w:val="none"/>
              </w:rPr>
              <w:t>。</w:t>
            </w:r>
          </w:p>
          <w:p w14:paraId="03B2803A">
            <w:pPr>
              <w:tabs>
                <w:tab w:val="left" w:pos="5550"/>
              </w:tabs>
              <w:spacing w:line="480" w:lineRule="exact"/>
              <w:jc w:val="center"/>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表4-</w:t>
            </w:r>
            <w:r>
              <w:rPr>
                <w:rFonts w:hint="eastAsia" w:ascii="Times New Roman" w:hAnsi="Times New Roman" w:eastAsiaTheme="minorEastAsia"/>
                <w:color w:val="auto"/>
                <w:sz w:val="24"/>
                <w:szCs w:val="24"/>
                <w:highlight w:val="none"/>
                <w:lang w:val="en-US" w:eastAsia="zh-CN"/>
              </w:rPr>
              <w:t>5</w:t>
            </w:r>
            <w:r>
              <w:rPr>
                <w:rFonts w:ascii="Times New Roman" w:hAnsi="Times New Roman" w:eastAsiaTheme="minorEastAsia"/>
                <w:color w:val="auto"/>
                <w:sz w:val="24"/>
                <w:szCs w:val="24"/>
                <w:highlight w:val="none"/>
              </w:rPr>
              <w:t xml:space="preserve">    项目大气环境监测计划一览表</w:t>
            </w:r>
          </w:p>
          <w:tbl>
            <w:tblPr>
              <w:tblStyle w:val="3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81"/>
              <w:gridCol w:w="1286"/>
              <w:gridCol w:w="968"/>
              <w:gridCol w:w="1119"/>
              <w:gridCol w:w="927"/>
              <w:gridCol w:w="3534"/>
            </w:tblGrid>
            <w:tr w14:paraId="065066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5" w:type="pct"/>
                  <w:vAlign w:val="center"/>
                </w:tcPr>
                <w:p w14:paraId="4BA568DA">
                  <w:pPr>
                    <w:spacing w:line="0" w:lineRule="atLeas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序号</w:t>
                  </w:r>
                </w:p>
              </w:tc>
              <w:tc>
                <w:tcPr>
                  <w:tcW w:w="764" w:type="pct"/>
                  <w:vAlign w:val="center"/>
                </w:tcPr>
                <w:p w14:paraId="4BADE253">
                  <w:pPr>
                    <w:spacing w:line="0" w:lineRule="atLeas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监测项目</w:t>
                  </w:r>
                </w:p>
              </w:tc>
              <w:tc>
                <w:tcPr>
                  <w:tcW w:w="575" w:type="pct"/>
                  <w:vAlign w:val="center"/>
                </w:tcPr>
                <w:p w14:paraId="7F6BE7C2">
                  <w:pPr>
                    <w:spacing w:line="0" w:lineRule="atLeas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监测因子</w:t>
                  </w:r>
                </w:p>
              </w:tc>
              <w:tc>
                <w:tcPr>
                  <w:tcW w:w="664" w:type="pct"/>
                  <w:vAlign w:val="center"/>
                </w:tcPr>
                <w:p w14:paraId="6DB788E1">
                  <w:pPr>
                    <w:spacing w:line="0" w:lineRule="atLeas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取样位置</w:t>
                  </w:r>
                </w:p>
              </w:tc>
              <w:tc>
                <w:tcPr>
                  <w:tcW w:w="550" w:type="pct"/>
                  <w:vAlign w:val="center"/>
                </w:tcPr>
                <w:p w14:paraId="3B116A45">
                  <w:pPr>
                    <w:spacing w:line="0" w:lineRule="atLeas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监测频率</w:t>
                  </w:r>
                </w:p>
              </w:tc>
              <w:tc>
                <w:tcPr>
                  <w:tcW w:w="2099" w:type="pct"/>
                  <w:vAlign w:val="center"/>
                </w:tcPr>
                <w:p w14:paraId="70D6ED26">
                  <w:pPr>
                    <w:spacing w:line="0" w:lineRule="atLeas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执行标准</w:t>
                  </w:r>
                </w:p>
              </w:tc>
            </w:tr>
            <w:tr w14:paraId="5B1C8A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5" w:type="pct"/>
                  <w:vAlign w:val="center"/>
                </w:tcPr>
                <w:p w14:paraId="45F07AEA">
                  <w:pPr>
                    <w:adjustRightInd w:val="0"/>
                    <w:snapToGrid w:val="0"/>
                    <w:spacing w:line="0" w:lineRule="atLeas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1</w:t>
                  </w:r>
                </w:p>
              </w:tc>
              <w:tc>
                <w:tcPr>
                  <w:tcW w:w="764" w:type="pct"/>
                  <w:vAlign w:val="center"/>
                </w:tcPr>
                <w:p w14:paraId="1F6D3069">
                  <w:pPr>
                    <w:adjustRightInd w:val="0"/>
                    <w:snapToGrid w:val="0"/>
                    <w:spacing w:line="0" w:lineRule="atLeast"/>
                    <w:jc w:val="center"/>
                    <w:rPr>
                      <w:rFonts w:ascii="Times New Roman" w:hAnsi="Times New Roman" w:eastAsiaTheme="minorEastAsia"/>
                      <w:color w:val="auto"/>
                      <w:szCs w:val="21"/>
                      <w:highlight w:val="none"/>
                    </w:rPr>
                  </w:pPr>
                  <w:r>
                    <w:rPr>
                      <w:rFonts w:hint="eastAsia" w:ascii="Times New Roman" w:hAnsi="Times New Roman" w:eastAsiaTheme="minorEastAsia"/>
                      <w:bCs/>
                      <w:color w:val="auto"/>
                      <w:spacing w:val="-10"/>
                      <w:szCs w:val="21"/>
                      <w:highlight w:val="none"/>
                    </w:rPr>
                    <w:t>破损</w:t>
                  </w:r>
                  <w:r>
                    <w:rPr>
                      <w:rFonts w:hint="eastAsia" w:ascii="Times New Roman" w:hAnsi="Times New Roman" w:eastAsiaTheme="minorEastAsia"/>
                      <w:bCs/>
                      <w:color w:val="auto"/>
                      <w:spacing w:val="-10"/>
                      <w:szCs w:val="21"/>
                      <w:highlight w:val="none"/>
                      <w:lang w:eastAsia="zh-CN"/>
                    </w:rPr>
                    <w:t>废旧铅酸蓄电池</w:t>
                  </w:r>
                  <w:r>
                    <w:rPr>
                      <w:rFonts w:hint="eastAsia" w:ascii="Times New Roman" w:hAnsi="Times New Roman" w:eastAsiaTheme="minorEastAsia"/>
                      <w:bCs/>
                      <w:color w:val="auto"/>
                      <w:spacing w:val="-10"/>
                      <w:szCs w:val="21"/>
                      <w:highlight w:val="none"/>
                    </w:rPr>
                    <w:t>贮存</w:t>
                  </w:r>
                  <w:r>
                    <w:rPr>
                      <w:rFonts w:ascii="Times New Roman" w:hAnsi="Times New Roman" w:eastAsiaTheme="minorEastAsia"/>
                      <w:bCs/>
                      <w:color w:val="auto"/>
                      <w:szCs w:val="21"/>
                      <w:highlight w:val="none"/>
                    </w:rPr>
                    <w:t>废气</w:t>
                  </w:r>
                  <w:r>
                    <w:rPr>
                      <w:rFonts w:hint="eastAsia" w:ascii="Times New Roman" w:hAnsi="Times New Roman" w:eastAsiaTheme="minorEastAsia"/>
                      <w:bCs/>
                      <w:color w:val="auto"/>
                      <w:szCs w:val="21"/>
                      <w:highlight w:val="none"/>
                      <w:lang w:val="en-US" w:eastAsia="zh-CN"/>
                    </w:rPr>
                    <w:t>排气筒</w:t>
                  </w:r>
                  <w:r>
                    <w:rPr>
                      <w:rFonts w:ascii="Times New Roman" w:hAnsi="Times New Roman" w:eastAsiaTheme="minorEastAsia"/>
                      <w:bCs/>
                      <w:color w:val="auto"/>
                      <w:szCs w:val="21"/>
                      <w:highlight w:val="none"/>
                    </w:rPr>
                    <w:t>（DA001）</w:t>
                  </w:r>
                </w:p>
              </w:tc>
              <w:tc>
                <w:tcPr>
                  <w:tcW w:w="575" w:type="pct"/>
                  <w:vAlign w:val="center"/>
                </w:tcPr>
                <w:p w14:paraId="7C08ADD5">
                  <w:pPr>
                    <w:adjustRightInd w:val="0"/>
                    <w:snapToGrid w:val="0"/>
                    <w:spacing w:line="0" w:lineRule="atLeast"/>
                    <w:jc w:val="center"/>
                    <w:rPr>
                      <w:rFonts w:hint="eastAsia" w:ascii="Times New Roman" w:hAnsi="Times New Roman" w:eastAsiaTheme="minorEastAsia"/>
                      <w:bCs/>
                      <w:color w:val="auto"/>
                      <w:szCs w:val="21"/>
                      <w:highlight w:val="none"/>
                      <w:lang w:eastAsia="zh-CN"/>
                    </w:rPr>
                  </w:pPr>
                  <w:r>
                    <w:rPr>
                      <w:rFonts w:hint="eastAsia" w:ascii="Times New Roman" w:hAnsi="Times New Roman" w:eastAsiaTheme="minorEastAsia"/>
                      <w:color w:val="auto"/>
                      <w:szCs w:val="21"/>
                      <w:highlight w:val="none"/>
                      <w:lang w:val="en-US" w:eastAsia="zh-CN"/>
                    </w:rPr>
                    <w:t>硫酸雾</w:t>
                  </w:r>
                </w:p>
              </w:tc>
              <w:tc>
                <w:tcPr>
                  <w:tcW w:w="664" w:type="pct"/>
                  <w:vAlign w:val="center"/>
                </w:tcPr>
                <w:p w14:paraId="0A497666">
                  <w:pPr>
                    <w:spacing w:line="0" w:lineRule="atLeas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排气筒采样孔</w:t>
                  </w:r>
                </w:p>
              </w:tc>
              <w:tc>
                <w:tcPr>
                  <w:tcW w:w="550" w:type="pct"/>
                  <w:vAlign w:val="center"/>
                </w:tcPr>
                <w:p w14:paraId="46411C2C">
                  <w:pPr>
                    <w:spacing w:line="0" w:lineRule="atLeast"/>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1次/年</w:t>
                  </w:r>
                </w:p>
              </w:tc>
              <w:tc>
                <w:tcPr>
                  <w:tcW w:w="2099" w:type="pct"/>
                  <w:tcBorders>
                    <w:bottom w:val="single" w:color="auto" w:sz="4" w:space="0"/>
                  </w:tcBorders>
                  <w:vAlign w:val="center"/>
                </w:tcPr>
                <w:p w14:paraId="5F1725B7">
                  <w:pPr>
                    <w:spacing w:line="0" w:lineRule="atLeast"/>
                    <w:jc w:val="center"/>
                    <w:rPr>
                      <w:rFonts w:ascii="Times New Roman" w:hAnsi="Times New Roman" w:eastAsiaTheme="minorEastAsia"/>
                      <w:color w:val="auto"/>
                      <w:szCs w:val="21"/>
                      <w:highlight w:val="none"/>
                    </w:rPr>
                  </w:pPr>
                  <w:r>
                    <w:rPr>
                      <w:rFonts w:hint="eastAsia" w:ascii="Times New Roman" w:hAnsi="Times New Roman"/>
                      <w:color w:val="auto"/>
                      <w:sz w:val="21"/>
                      <w:szCs w:val="21"/>
                      <w:highlight w:val="none"/>
                    </w:rPr>
                    <w:t>《大气污染物综合排放标准》（GB16297-1966）表2中硫酸雾（其他）最高允许排放浓度限值要求</w:t>
                  </w:r>
                </w:p>
              </w:tc>
            </w:tr>
          </w:tbl>
          <w:p w14:paraId="33E8F722">
            <w:pPr>
              <w:tabs>
                <w:tab w:val="left" w:pos="3525"/>
              </w:tabs>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w:t>
            </w:r>
            <w:r>
              <w:rPr>
                <w:rFonts w:hint="eastAsia" w:ascii="Times New Roman" w:hAnsi="Times New Roman" w:eastAsiaTheme="minorEastAsia"/>
                <w:color w:val="auto"/>
                <w:sz w:val="24"/>
                <w:szCs w:val="24"/>
                <w:highlight w:val="none"/>
                <w:lang w:val="en-US" w:eastAsia="zh-CN"/>
              </w:rPr>
              <w:t>5</w:t>
            </w:r>
            <w:r>
              <w:rPr>
                <w:rFonts w:ascii="Times New Roman" w:hAnsi="Times New Roman" w:eastAsiaTheme="minorEastAsia"/>
                <w:color w:val="auto"/>
                <w:sz w:val="24"/>
                <w:szCs w:val="24"/>
                <w:highlight w:val="none"/>
              </w:rPr>
              <w:t>）大气环境影响结论</w:t>
            </w:r>
          </w:p>
          <w:p w14:paraId="4F8102F0">
            <w:pPr>
              <w:pStyle w:val="5"/>
              <w:spacing w:line="480" w:lineRule="exact"/>
              <w:ind w:firstLine="48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bCs/>
                <w:color w:val="auto"/>
                <w:sz w:val="24"/>
                <w:szCs w:val="24"/>
                <w:highlight w:val="none"/>
              </w:rPr>
              <w:t>本项目主要废气污染源为</w:t>
            </w:r>
            <w:r>
              <w:rPr>
                <w:rFonts w:hint="default" w:ascii="Times New Roman" w:hAnsi="Times New Roman" w:cs="Times New Roman" w:eastAsiaTheme="minorEastAsia"/>
                <w:color w:val="auto"/>
                <w:sz w:val="24"/>
                <w:szCs w:val="24"/>
                <w:highlight w:val="none"/>
              </w:rPr>
              <w:t>主要为</w:t>
            </w:r>
            <w:r>
              <w:rPr>
                <w:rFonts w:hint="default" w:ascii="Times New Roman" w:hAnsi="Times New Roman" w:cs="Times New Roman" w:eastAsiaTheme="minorEastAsia"/>
                <w:bCs/>
                <w:color w:val="auto"/>
                <w:sz w:val="24"/>
                <w:szCs w:val="24"/>
                <w:highlight w:val="none"/>
              </w:rPr>
              <w:t>破损</w:t>
            </w:r>
            <w:r>
              <w:rPr>
                <w:rFonts w:hint="eastAsia" w:ascii="Times New Roman" w:hAnsi="Times New Roman" w:cs="Times New Roman" w:eastAsiaTheme="minorEastAsia"/>
                <w:bCs/>
                <w:color w:val="auto"/>
                <w:sz w:val="24"/>
                <w:szCs w:val="24"/>
                <w:highlight w:val="none"/>
                <w:lang w:eastAsia="zh-CN"/>
              </w:rPr>
              <w:t>废旧铅酸蓄电池</w:t>
            </w:r>
            <w:r>
              <w:rPr>
                <w:rFonts w:hint="default" w:ascii="Times New Roman" w:hAnsi="Times New Roman" w:cs="Times New Roman" w:eastAsiaTheme="minorEastAsia"/>
                <w:bCs/>
                <w:color w:val="auto"/>
                <w:sz w:val="24"/>
                <w:szCs w:val="24"/>
                <w:highlight w:val="none"/>
              </w:rPr>
              <w:t>贮存废气，主</w:t>
            </w:r>
            <w:r>
              <w:rPr>
                <w:rFonts w:hint="default" w:ascii="Times New Roman" w:hAnsi="Times New Roman" w:cs="Times New Roman" w:eastAsiaTheme="minorEastAsia"/>
                <w:color w:val="auto"/>
                <w:sz w:val="24"/>
                <w:szCs w:val="24"/>
                <w:highlight w:val="none"/>
              </w:rPr>
              <w:t>要成分为</w:t>
            </w:r>
            <w:r>
              <w:rPr>
                <w:rFonts w:hint="default" w:ascii="Times New Roman" w:hAnsi="Times New Roman" w:cs="Times New Roman" w:eastAsiaTheme="minorEastAsia"/>
                <w:color w:val="auto"/>
                <w:sz w:val="24"/>
                <w:szCs w:val="24"/>
                <w:highlight w:val="none"/>
                <w:lang w:val="en-US" w:eastAsia="zh-CN"/>
              </w:rPr>
              <w:t>硫酸雾</w:t>
            </w:r>
            <w:r>
              <w:rPr>
                <w:rFonts w:hint="default" w:ascii="Times New Roman" w:hAnsi="Times New Roman" w:cs="Times New Roman" w:eastAsiaTheme="minorEastAsia"/>
                <w:color w:val="auto"/>
                <w:sz w:val="24"/>
                <w:szCs w:val="24"/>
                <w:highlight w:val="none"/>
              </w:rPr>
              <w:t>，</w:t>
            </w:r>
            <w:r>
              <w:rPr>
                <w:rFonts w:hint="default" w:ascii="Times New Roman" w:hAnsi="Times New Roman" w:cs="Times New Roman" w:eastAsiaTheme="minorEastAsia"/>
                <w:color w:val="auto"/>
                <w:sz w:val="24"/>
                <w:szCs w:val="24"/>
                <w:highlight w:val="none"/>
                <w:lang w:val="en-US" w:eastAsia="zh-CN"/>
              </w:rPr>
              <w:t>储存间密闭</w:t>
            </w:r>
            <w:r>
              <w:rPr>
                <w:rFonts w:hint="default" w:ascii="Times New Roman" w:hAnsi="Times New Roman" w:cs="Times New Roman" w:eastAsiaTheme="minorEastAsia"/>
                <w:color w:val="auto"/>
                <w:sz w:val="24"/>
                <w:szCs w:val="24"/>
                <w:highlight w:val="none"/>
              </w:rPr>
              <w:t>，废气经收集后引入1套</w:t>
            </w:r>
            <w:r>
              <w:rPr>
                <w:rFonts w:hint="default" w:ascii="Times New Roman" w:hAnsi="Times New Roman" w:cs="Times New Roman" w:eastAsiaTheme="minorEastAsia"/>
                <w:color w:val="auto"/>
                <w:sz w:val="24"/>
                <w:szCs w:val="24"/>
                <w:highlight w:val="none"/>
                <w:lang w:val="en-US" w:eastAsia="zh-CN"/>
              </w:rPr>
              <w:t>脱硫塔</w:t>
            </w:r>
            <w:r>
              <w:rPr>
                <w:rFonts w:hint="default" w:ascii="Times New Roman" w:hAnsi="Times New Roman" w:cs="Times New Roman" w:eastAsiaTheme="minorEastAsia"/>
                <w:color w:val="auto"/>
                <w:sz w:val="24"/>
                <w:szCs w:val="24"/>
                <w:highlight w:val="none"/>
              </w:rPr>
              <w:t>处理后，由1根</w:t>
            </w:r>
            <w:r>
              <w:rPr>
                <w:rFonts w:hint="default" w:ascii="Times New Roman" w:hAnsi="Times New Roman" w:cs="Times New Roman" w:eastAsiaTheme="minorEastAsia"/>
                <w:color w:val="auto"/>
                <w:sz w:val="24"/>
                <w:szCs w:val="24"/>
                <w:highlight w:val="none"/>
                <w:lang w:val="en-US" w:eastAsia="zh-CN"/>
              </w:rPr>
              <w:t>15</w:t>
            </w:r>
            <w:r>
              <w:rPr>
                <w:rFonts w:hint="default" w:ascii="Times New Roman" w:hAnsi="Times New Roman" w:cs="Times New Roman" w:eastAsiaTheme="minorEastAsia"/>
                <w:color w:val="auto"/>
                <w:sz w:val="24"/>
                <w:szCs w:val="24"/>
                <w:highlight w:val="none"/>
              </w:rPr>
              <w:t>m高排气筒（DA005）排放</w:t>
            </w:r>
            <w:r>
              <w:rPr>
                <w:rFonts w:hint="default" w:ascii="Times New Roman" w:hAnsi="Times New Roman" w:cs="Times New Roman" w:eastAsiaTheme="minorEastAsia"/>
                <w:color w:val="auto"/>
                <w:sz w:val="24"/>
                <w:szCs w:val="24"/>
                <w:highlight w:val="none"/>
                <w:lang w:val="zh-CN"/>
              </w:rPr>
              <w:t>，</w:t>
            </w:r>
            <w:r>
              <w:rPr>
                <w:rFonts w:hint="default" w:ascii="Times New Roman" w:hAnsi="Times New Roman" w:cs="Times New Roman" w:eastAsiaTheme="minorEastAsia"/>
                <w:snapToGrid w:val="0"/>
                <w:color w:val="auto"/>
                <w:kern w:val="0"/>
                <w:sz w:val="24"/>
                <w:szCs w:val="24"/>
                <w:highlight w:val="none"/>
                <w:lang w:val="en-US" w:eastAsia="zh-CN"/>
              </w:rPr>
              <w:t>硫酸雾</w:t>
            </w:r>
            <w:r>
              <w:rPr>
                <w:rFonts w:hint="default" w:ascii="Times New Roman" w:hAnsi="Times New Roman" w:cs="Times New Roman" w:eastAsiaTheme="minorEastAsia"/>
                <w:snapToGrid w:val="0"/>
                <w:color w:val="auto"/>
                <w:kern w:val="0"/>
                <w:sz w:val="24"/>
                <w:szCs w:val="24"/>
                <w:highlight w:val="none"/>
              </w:rPr>
              <w:t>排放浓度为</w:t>
            </w:r>
            <w:r>
              <w:rPr>
                <w:rFonts w:hint="eastAsia" w:ascii="Times New Roman" w:hAnsi="Times New Roman" w:cs="Times New Roman" w:eastAsiaTheme="minorEastAsia"/>
                <w:snapToGrid w:val="0"/>
                <w:color w:val="auto"/>
                <w:kern w:val="0"/>
                <w:sz w:val="24"/>
                <w:szCs w:val="24"/>
                <w:highlight w:val="none"/>
                <w:lang w:val="en-US" w:eastAsia="zh-CN"/>
              </w:rPr>
              <w:t>17.78</w:t>
            </w:r>
            <w:r>
              <w:rPr>
                <w:rFonts w:hint="default" w:ascii="Times New Roman" w:hAnsi="Times New Roman" w:cs="Times New Roman" w:eastAsiaTheme="minorEastAsia"/>
                <w:color w:val="auto"/>
                <w:sz w:val="24"/>
                <w:szCs w:val="24"/>
                <w:highlight w:val="none"/>
              </w:rPr>
              <w:t>mg/m</w:t>
            </w:r>
            <w:r>
              <w:rPr>
                <w:rFonts w:hint="default" w:ascii="Times New Roman" w:hAnsi="Times New Roman" w:cs="Times New Roman" w:eastAsiaTheme="minorEastAsia"/>
                <w:color w:val="auto"/>
                <w:sz w:val="24"/>
                <w:szCs w:val="24"/>
                <w:highlight w:val="none"/>
                <w:vertAlign w:val="superscript"/>
              </w:rPr>
              <w:t>3</w:t>
            </w:r>
            <w:r>
              <w:rPr>
                <w:rFonts w:hint="default" w:ascii="Times New Roman" w:hAnsi="Times New Roman" w:cs="Times New Roman" w:eastAsiaTheme="minorEastAsia"/>
                <w:color w:val="auto"/>
                <w:sz w:val="24"/>
                <w:szCs w:val="24"/>
                <w:highlight w:val="none"/>
              </w:rPr>
              <w:t>、排放速率为0.</w:t>
            </w:r>
            <w:r>
              <w:rPr>
                <w:rFonts w:hint="default" w:ascii="Times New Roman" w:hAnsi="Times New Roman" w:cs="Times New Roman" w:eastAsiaTheme="minorEastAsia"/>
                <w:color w:val="auto"/>
                <w:sz w:val="24"/>
                <w:szCs w:val="24"/>
                <w:highlight w:val="none"/>
                <w:lang w:val="en-US" w:eastAsia="zh-CN"/>
              </w:rPr>
              <w:t>05</w:t>
            </w:r>
            <w:r>
              <w:rPr>
                <w:rFonts w:hint="default" w:ascii="Times New Roman" w:hAnsi="Times New Roman" w:cs="Times New Roman" w:eastAsiaTheme="minorEastAsia"/>
                <w:color w:val="auto"/>
                <w:sz w:val="24"/>
                <w:szCs w:val="24"/>
                <w:highlight w:val="none"/>
              </w:rPr>
              <w:t>kg/h，满足《大气污染物综合排放标准》（GB16297-1966）表2中硫酸雾（其他）最高允许排放浓度限值要求，大气环境影响可接受。</w:t>
            </w:r>
          </w:p>
          <w:p w14:paraId="1D13772F">
            <w:pPr>
              <w:numPr>
                <w:ilvl w:val="0"/>
                <w:numId w:val="4"/>
              </w:numPr>
              <w:spacing w:line="480" w:lineRule="exact"/>
              <w:ind w:firstLine="482" w:firstLineChars="200"/>
              <w:rPr>
                <w:rFonts w:ascii="Times New Roman" w:hAnsi="Times New Roman" w:eastAsiaTheme="minorEastAsia"/>
                <w:b/>
                <w:color w:val="auto"/>
                <w:sz w:val="24"/>
                <w:szCs w:val="24"/>
                <w:highlight w:val="none"/>
              </w:rPr>
            </w:pPr>
            <w:r>
              <w:rPr>
                <w:rFonts w:ascii="Times New Roman" w:hAnsi="Times New Roman" w:eastAsiaTheme="minorEastAsia"/>
                <w:b/>
                <w:color w:val="auto"/>
                <w:sz w:val="24"/>
                <w:szCs w:val="24"/>
                <w:highlight w:val="none"/>
              </w:rPr>
              <w:t>废水</w:t>
            </w:r>
          </w:p>
          <w:p w14:paraId="44C555FC">
            <w:pPr>
              <w:numPr>
                <w:ilvl w:val="0"/>
                <w:numId w:val="0"/>
              </w:numPr>
              <w:spacing w:line="480" w:lineRule="exact"/>
              <w:ind w:firstLine="480" w:firstLine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（1）本项目废水排放情况</w:t>
            </w:r>
          </w:p>
          <w:p w14:paraId="2C1C452F">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本项目劳动定员</w:t>
            </w:r>
            <w:r>
              <w:rPr>
                <w:rFonts w:hint="default" w:ascii="Times New Roman" w:hAnsi="Times New Roman" w:eastAsia="宋体" w:cs="Times New Roman"/>
                <w:color w:val="auto"/>
                <w:sz w:val="24"/>
                <w:szCs w:val="24"/>
                <w:highlight w:val="none"/>
                <w:lang w:val="en-US" w:eastAsia="zh-CN"/>
              </w:rPr>
              <w:t>6人</w:t>
            </w:r>
            <w:r>
              <w:rPr>
                <w:rFonts w:hint="default" w:ascii="Times New Roman" w:hAnsi="Times New Roman" w:eastAsia="宋体" w:cs="Times New Roman"/>
                <w:color w:val="auto"/>
                <w:sz w:val="24"/>
                <w:szCs w:val="24"/>
                <w:highlight w:val="none"/>
              </w:rPr>
              <w:t>，生活污水排放量</w:t>
            </w:r>
            <w:r>
              <w:rPr>
                <w:rFonts w:hint="default" w:ascii="Times New Roman" w:hAnsi="Times New Roman" w:eastAsia="宋体" w:cs="Times New Roman"/>
                <w:color w:val="auto"/>
                <w:sz w:val="24"/>
                <w:szCs w:val="24"/>
                <w:highlight w:val="none"/>
                <w:lang w:val="en-US" w:eastAsia="zh-CN"/>
              </w:rPr>
              <w:t>为120m³/a</w:t>
            </w:r>
            <w:r>
              <w:rPr>
                <w:rFonts w:hint="default" w:ascii="Times New Roman" w:hAnsi="Times New Roman" w:eastAsia="宋体" w:cs="Times New Roman"/>
                <w:color w:val="auto"/>
                <w:sz w:val="24"/>
                <w:szCs w:val="24"/>
                <w:highlight w:val="none"/>
              </w:rPr>
              <w:t>，依托现有排水系统排至徐水区大王店污水处理厂进一步处理；本项目生产废水</w:t>
            </w:r>
            <w:r>
              <w:rPr>
                <w:rFonts w:hint="eastAsia" w:ascii="Times New Roman" w:hAnsi="Times New Roman" w:cs="Times New Roman"/>
                <w:color w:val="auto"/>
                <w:sz w:val="24"/>
                <w:szCs w:val="24"/>
                <w:highlight w:val="none"/>
                <w:lang w:val="en-US" w:eastAsia="zh-CN"/>
              </w:rPr>
              <w:t>为脱硫塔定期更换的废水，含碱液，为危险废物，交由有资质单位处置，不外排</w:t>
            </w:r>
            <w:r>
              <w:rPr>
                <w:rFonts w:hint="default" w:ascii="Times New Roman" w:hAnsi="Times New Roman" w:eastAsia="宋体" w:cs="Times New Roman"/>
                <w:color w:val="auto"/>
                <w:sz w:val="24"/>
                <w:szCs w:val="24"/>
                <w:highlight w:val="none"/>
              </w:rPr>
              <w:t>。</w:t>
            </w:r>
          </w:p>
          <w:p w14:paraId="2F4E1984">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本项目生活污水污染物排放浓度满足</w:t>
            </w:r>
            <w:r>
              <w:rPr>
                <w:rFonts w:hint="default" w:ascii="Times New Roman" w:hAnsi="Times New Roman" w:eastAsia="宋体" w:cs="Times New Roman"/>
                <w:color w:val="auto"/>
                <w:sz w:val="24"/>
                <w:szCs w:val="24"/>
                <w:highlight w:val="none"/>
              </w:rPr>
              <w:t>《污水综合排放标准》（GB8978-1996）</w:t>
            </w:r>
            <w:r>
              <w:rPr>
                <w:rFonts w:hint="default" w:ascii="Times New Roman" w:hAnsi="Times New Roman" w:eastAsia="宋体" w:cs="Times New Roman"/>
                <w:color w:val="auto"/>
                <w:sz w:val="24"/>
                <w:szCs w:val="24"/>
                <w:highlight w:val="none"/>
                <w:lang w:val="en-US" w:eastAsia="zh-CN"/>
              </w:rPr>
              <w:t>表4及</w:t>
            </w:r>
            <w:r>
              <w:rPr>
                <w:rFonts w:hint="default" w:ascii="Times New Roman" w:hAnsi="Times New Roman" w:eastAsia="宋体" w:cs="Times New Roman"/>
                <w:color w:val="auto"/>
                <w:sz w:val="24"/>
                <w:szCs w:val="24"/>
                <w:highlight w:val="none"/>
              </w:rPr>
              <w:t>徐水区大王店污水处理厂</w:t>
            </w:r>
            <w:r>
              <w:rPr>
                <w:rFonts w:hint="default" w:ascii="Times New Roman" w:hAnsi="Times New Roman" w:eastAsia="宋体" w:cs="Times New Roman"/>
                <w:color w:val="auto"/>
                <w:sz w:val="24"/>
                <w:szCs w:val="24"/>
                <w:highlight w:val="none"/>
                <w:lang w:val="en-US" w:eastAsia="zh-CN"/>
              </w:rPr>
              <w:t>进水指标，</w:t>
            </w:r>
            <w:r>
              <w:rPr>
                <w:rFonts w:hint="default" w:ascii="Times New Roman" w:hAnsi="Times New Roman" w:eastAsia="宋体" w:cs="Times New Roman"/>
                <w:color w:val="auto"/>
                <w:sz w:val="24"/>
                <w:highlight w:val="none"/>
                <w:lang w:val="en-US" w:eastAsia="zh-CN"/>
              </w:rPr>
              <w:t>本项目生活污水</w:t>
            </w:r>
            <w:r>
              <w:rPr>
                <w:rFonts w:hint="default" w:ascii="Times New Roman" w:hAnsi="Times New Roman" w:eastAsia="宋体" w:cs="Times New Roman"/>
                <w:color w:val="auto"/>
                <w:sz w:val="24"/>
                <w:highlight w:val="none"/>
              </w:rPr>
              <w:t>主要污染物浓度</w:t>
            </w:r>
            <w:r>
              <w:rPr>
                <w:rFonts w:hint="default" w:ascii="Times New Roman" w:hAnsi="Times New Roman" w:eastAsia="宋体" w:cs="Times New Roman"/>
                <w:color w:val="auto"/>
                <w:sz w:val="24"/>
                <w:highlight w:val="none"/>
                <w:lang w:val="en-US" w:eastAsia="zh-CN"/>
              </w:rPr>
              <w:t>取进水指标最大值</w:t>
            </w:r>
            <w:r>
              <w:rPr>
                <w:rFonts w:hint="default" w:ascii="Times New Roman" w:hAnsi="Times New Roman" w:eastAsia="宋体" w:cs="Times New Roman"/>
                <w:color w:val="auto"/>
                <w:sz w:val="24"/>
                <w:highlight w:val="none"/>
              </w:rPr>
              <w:t>COD≤</w:t>
            </w:r>
            <w:r>
              <w:rPr>
                <w:rFonts w:hint="default" w:ascii="Times New Roman" w:hAnsi="Times New Roman" w:eastAsia="宋体" w:cs="Times New Roman"/>
                <w:color w:val="auto"/>
                <w:sz w:val="24"/>
                <w:highlight w:val="none"/>
                <w:lang w:val="en-US" w:eastAsia="zh-CN"/>
              </w:rPr>
              <w:t>50</w:t>
            </w:r>
            <w:r>
              <w:rPr>
                <w:rFonts w:hint="default" w:ascii="Times New Roman" w:hAnsi="Times New Roman" w:eastAsia="宋体" w:cs="Times New Roman"/>
                <w:color w:val="auto"/>
                <w:sz w:val="24"/>
                <w:highlight w:val="none"/>
              </w:rPr>
              <w:t>0mg/L、氨氮≤</w:t>
            </w:r>
            <w:r>
              <w:rPr>
                <w:rFonts w:hint="eastAsia" w:ascii="Times New Roman" w:hAnsi="Times New Roman" w:cs="Times New Roman"/>
                <w:color w:val="auto"/>
                <w:sz w:val="24"/>
                <w:highlight w:val="none"/>
                <w:lang w:val="en-US" w:eastAsia="zh-CN"/>
              </w:rPr>
              <w:t>30</w:t>
            </w:r>
            <w:r>
              <w:rPr>
                <w:rFonts w:hint="default" w:ascii="Times New Roman" w:hAnsi="Times New Roman" w:eastAsia="宋体" w:cs="Times New Roman"/>
                <w:color w:val="auto"/>
                <w:sz w:val="24"/>
                <w:highlight w:val="none"/>
              </w:rPr>
              <w:t>mg/L、总磷≤</w:t>
            </w:r>
            <w:r>
              <w:rPr>
                <w:rFonts w:hint="eastAsia"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rPr>
              <w:t>mg/L、总氮≤</w:t>
            </w:r>
            <w:r>
              <w:rPr>
                <w:rFonts w:hint="eastAsia" w:ascii="Times New Roman" w:hAnsi="Times New Roman" w:cs="Times New Roman"/>
                <w:color w:val="auto"/>
                <w:sz w:val="24"/>
                <w:highlight w:val="none"/>
                <w:lang w:val="en-US" w:eastAsia="zh-CN"/>
              </w:rPr>
              <w:t>40</w:t>
            </w:r>
            <w:r>
              <w:rPr>
                <w:rFonts w:hint="default" w:ascii="Times New Roman" w:hAnsi="Times New Roman" w:eastAsia="宋体" w:cs="Times New Roman"/>
                <w:color w:val="auto"/>
                <w:sz w:val="24"/>
                <w:highlight w:val="none"/>
              </w:rPr>
              <w:t>mg/L，</w:t>
            </w:r>
            <w:r>
              <w:rPr>
                <w:rFonts w:hint="default" w:ascii="Times New Roman" w:hAnsi="Times New Roman" w:eastAsia="宋体" w:cs="Times New Roman"/>
                <w:color w:val="auto"/>
                <w:sz w:val="24"/>
                <w:highlight w:val="none"/>
                <w:lang w:val="en-US" w:eastAsia="zh-CN"/>
              </w:rPr>
              <w:t>按最大值计算</w:t>
            </w:r>
            <w:r>
              <w:rPr>
                <w:rFonts w:hint="default" w:ascii="Times New Roman" w:hAnsi="Times New Roman" w:eastAsia="宋体" w:cs="Times New Roman"/>
                <w:color w:val="auto"/>
                <w:sz w:val="24"/>
                <w:highlight w:val="none"/>
              </w:rPr>
              <w:t>生活污水</w:t>
            </w:r>
            <w:r>
              <w:rPr>
                <w:rFonts w:hint="eastAsia" w:ascii="Times New Roman" w:hAnsi="Times New Roman" w:eastAsia="宋体" w:cs="Times New Roman"/>
                <w:color w:val="auto"/>
                <w:sz w:val="24"/>
                <w:highlight w:val="none"/>
                <w:lang w:val="en-US" w:eastAsia="zh-CN"/>
              </w:rPr>
              <w:t>排放量为120</w:t>
            </w:r>
            <w:r>
              <w:rPr>
                <w:rFonts w:hint="default" w:ascii="Times New Roman" w:hAnsi="Times New Roman" w:eastAsia="宋体" w:cs="Times New Roman"/>
                <w:color w:val="auto"/>
                <w:sz w:val="24"/>
                <w:szCs w:val="24"/>
                <w:highlight w:val="none"/>
                <w:lang w:val="en-US" w:eastAsia="zh-CN"/>
              </w:rPr>
              <w:t>m³/a</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highlight w:val="none"/>
              </w:rPr>
              <w:t>主要污染物</w:t>
            </w:r>
            <w:r>
              <w:rPr>
                <w:rFonts w:hint="default" w:ascii="Times New Roman" w:hAnsi="Times New Roman" w:eastAsia="宋体" w:cs="Times New Roman"/>
                <w:color w:val="auto"/>
                <w:sz w:val="24"/>
                <w:highlight w:val="none"/>
                <w:lang w:val="en-US" w:eastAsia="zh-CN"/>
              </w:rPr>
              <w:t>排放量</w:t>
            </w:r>
            <w:r>
              <w:rPr>
                <w:rFonts w:hint="default" w:ascii="Times New Roman" w:hAnsi="Times New Roman" w:eastAsia="宋体" w:cs="Times New Roman"/>
                <w:color w:val="auto"/>
                <w:sz w:val="24"/>
                <w:highlight w:val="none"/>
              </w:rPr>
              <w:t>为COD0.</w:t>
            </w:r>
            <w:r>
              <w:rPr>
                <w:rFonts w:hint="default" w:ascii="Times New Roman" w:hAnsi="Times New Roman" w:eastAsia="宋体" w:cs="Times New Roman"/>
                <w:color w:val="auto"/>
                <w:sz w:val="24"/>
                <w:highlight w:val="none"/>
                <w:lang w:val="en-US" w:eastAsia="zh-CN"/>
              </w:rPr>
              <w:t>060</w:t>
            </w:r>
            <w:r>
              <w:rPr>
                <w:rFonts w:hint="default" w:ascii="Times New Roman" w:hAnsi="Times New Roman" w:eastAsia="宋体" w:cs="Times New Roman"/>
                <w:color w:val="auto"/>
                <w:sz w:val="24"/>
                <w:highlight w:val="none"/>
              </w:rPr>
              <w:t>t/a、氨氮0.0</w:t>
            </w:r>
            <w:r>
              <w:rPr>
                <w:rFonts w:hint="default" w:ascii="Times New Roman" w:hAnsi="Times New Roman" w:eastAsia="宋体" w:cs="Times New Roman"/>
                <w:color w:val="auto"/>
                <w:sz w:val="24"/>
                <w:highlight w:val="none"/>
                <w:lang w:val="en-US" w:eastAsia="zh-CN"/>
              </w:rPr>
              <w:t>0</w:t>
            </w:r>
            <w:r>
              <w:rPr>
                <w:rFonts w:hint="eastAsia"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rPr>
              <w:t>t/a、总磷0.00</w:t>
            </w:r>
            <w:r>
              <w:rPr>
                <w:rFonts w:hint="default" w:ascii="Times New Roman" w:hAnsi="Times New Roman" w:eastAsia="宋体" w:cs="Times New Roman"/>
                <w:color w:val="auto"/>
                <w:sz w:val="24"/>
                <w:highlight w:val="none"/>
                <w:lang w:val="en-US" w:eastAsia="zh-CN"/>
              </w:rPr>
              <w:t>0</w:t>
            </w:r>
            <w:r>
              <w:rPr>
                <w:rFonts w:hint="eastAsia"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rPr>
              <w:t>t/a、总氮0.0</w:t>
            </w:r>
            <w:r>
              <w:rPr>
                <w:rFonts w:hint="eastAsia" w:ascii="Times New Roman" w:hAnsi="Times New Roman" w:eastAsia="宋体" w:cs="Times New Roman"/>
                <w:color w:val="auto"/>
                <w:sz w:val="24"/>
                <w:highlight w:val="none"/>
                <w:lang w:val="en-US" w:eastAsia="zh-CN"/>
              </w:rPr>
              <w:t>0</w:t>
            </w:r>
            <w:r>
              <w:rPr>
                <w:rFonts w:hint="eastAsia" w:ascii="Times New Roman" w:hAnsi="Times New Roman" w:cs="Times New Roman"/>
                <w:color w:val="auto"/>
                <w:sz w:val="24"/>
                <w:highlight w:val="none"/>
                <w:lang w:val="en-US" w:eastAsia="zh-CN"/>
              </w:rPr>
              <w:t>5</w:t>
            </w:r>
            <w:r>
              <w:rPr>
                <w:rFonts w:hint="default" w:ascii="Times New Roman" w:hAnsi="Times New Roman" w:eastAsia="宋体" w:cs="Times New Roman"/>
                <w:color w:val="auto"/>
                <w:sz w:val="24"/>
                <w:highlight w:val="none"/>
              </w:rPr>
              <w:t>t/a。</w:t>
            </w:r>
          </w:p>
          <w:p w14:paraId="5292BE37">
            <w:pPr>
              <w:spacing w:line="480" w:lineRule="exact"/>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废水处理依托可行性分析</w:t>
            </w:r>
          </w:p>
          <w:p w14:paraId="046FEEB6">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徐水区大王店污水处理厂位于徐水区大王店镇东南崔官营村北，总占地4.779 公顷，其中近期污水处理工程占地2.124公顷，预留远期用地2.655公顷，近期污水处理厂设计处理能力为1.5万m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/d，远期扩建污水处理规模至5万m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p>
          <w:p w14:paraId="52C66969">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目前，已建成2条污水处理生产线，总处理能力达1.5万m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/d，建设配套管网总长19.8km，主要接纳河北徐水经济开发区排水，现有工程已于2017年4月通过竣工环境保护验收。</w:t>
            </w:r>
          </w:p>
          <w:p w14:paraId="371A5FAE">
            <w:pPr>
              <w:spacing w:line="480" w:lineRule="exact"/>
              <w:ind w:firstLine="480" w:firstLineChars="200"/>
              <w:rPr>
                <w:rFonts w:hint="eastAsia" w:ascii="Times New Roman" w:hAnsi="Times New Roman" w:cs="Times New Roman"/>
                <w:color w:val="auto"/>
                <w:sz w:val="24"/>
                <w:highlight w:val="none"/>
                <w:lang w:eastAsia="zh-CN"/>
              </w:rPr>
            </w:pPr>
            <w:r>
              <w:rPr>
                <w:rFonts w:hint="default" w:ascii="Times New Roman" w:hAnsi="Times New Roman" w:eastAsia="宋体" w:cs="Times New Roman"/>
                <w:color w:val="auto"/>
                <w:sz w:val="24"/>
                <w:highlight w:val="none"/>
              </w:rPr>
              <w:t>污水处理厂采用“奥贝尔氧化沟+微絮凝+过滤+二氧化氯消毒工艺”。设计进水水质：PH≤6-9、CODcr≤500mg/l、BOD</w:t>
            </w:r>
            <w:r>
              <w:rPr>
                <w:rFonts w:hint="default" w:ascii="Times New Roman" w:hAnsi="Times New Roman" w:eastAsia="宋体" w:cs="Times New Roman"/>
                <w:color w:val="auto"/>
                <w:sz w:val="24"/>
                <w:highlight w:val="none"/>
                <w:vertAlign w:val="subscript"/>
              </w:rPr>
              <w:t>5</w:t>
            </w:r>
            <w:r>
              <w:rPr>
                <w:rFonts w:hint="default" w:ascii="Times New Roman" w:hAnsi="Times New Roman" w:eastAsia="宋体" w:cs="Times New Roman"/>
                <w:color w:val="auto"/>
                <w:sz w:val="24"/>
                <w:highlight w:val="none"/>
              </w:rPr>
              <w:t>≤220mg/l、SS≤250mg/l、TN≤40mg/l、TP≤3mg/l、NH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-N≤30mg/l。出水水质执行《城镇污水处理厂污染物排放标准》（GB18918-2002）表1一级A类标准，并符合《城镇污水再生利用 城市杂用水水质》（GB18920-2002）表 1 标准。尾水就近排入东侧泥河沟（排沥明渠）后向南进漕河，最终汇入白洋淀</w:t>
            </w:r>
            <w:r>
              <w:rPr>
                <w:rFonts w:hint="eastAsia" w:ascii="Times New Roman" w:hAnsi="Times New Roman" w:cs="Times New Roman"/>
                <w:color w:val="auto"/>
                <w:sz w:val="24"/>
                <w:highlight w:val="none"/>
                <w:lang w:eastAsia="zh-CN"/>
              </w:rPr>
              <w:t>。</w:t>
            </w:r>
          </w:p>
          <w:p w14:paraId="4EE5C70A">
            <w:pPr>
              <w:spacing w:line="480" w:lineRule="exact"/>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highlight w:val="none"/>
                <w:lang w:val="en-US" w:eastAsia="zh-CN"/>
              </w:rPr>
              <w:t>本项目排水为生活污水，污水排放量较少，进水满足收水指标要求，且在大王店污水处理厂收水范围内，</w:t>
            </w:r>
            <w:r>
              <w:rPr>
                <w:rFonts w:hint="default" w:ascii="Times New Roman" w:hAnsi="Times New Roman" w:eastAsia="宋体" w:cs="Times New Roman"/>
                <w:color w:val="auto"/>
                <w:sz w:val="24"/>
                <w:szCs w:val="24"/>
                <w:highlight w:val="none"/>
                <w:lang w:val="en-US" w:eastAsia="zh-CN"/>
              </w:rPr>
              <w:t>综上</w:t>
            </w:r>
            <w:r>
              <w:rPr>
                <w:rFonts w:hint="default" w:ascii="Times New Roman" w:hAnsi="Times New Roman" w:eastAsia="宋体" w:cs="Times New Roman"/>
                <w:color w:val="auto"/>
                <w:sz w:val="24"/>
                <w:szCs w:val="24"/>
                <w:highlight w:val="none"/>
              </w:rPr>
              <w:t>，本项目不会对地表水环境产生影响。</w:t>
            </w:r>
          </w:p>
          <w:p w14:paraId="4BA8733A">
            <w:pPr>
              <w:tabs>
                <w:tab w:val="left" w:pos="3045"/>
              </w:tabs>
              <w:spacing w:line="480" w:lineRule="exact"/>
              <w:ind w:firstLine="420" w:firstLineChars="200"/>
              <w:rPr>
                <w:rFonts w:ascii="Times New Roman" w:hAnsi="Times New Roman" w:eastAsiaTheme="minorEastAsia"/>
                <w:color w:val="auto"/>
                <w:szCs w:val="24"/>
                <w:highlight w:val="none"/>
              </w:rPr>
            </w:pPr>
          </w:p>
        </w:tc>
      </w:tr>
    </w:tbl>
    <w:p w14:paraId="1B771D8A">
      <w:pPr>
        <w:jc w:val="center"/>
        <w:rPr>
          <w:rFonts w:ascii="Times New Roman" w:hAnsi="Times New Roman" w:eastAsiaTheme="minorEastAsia"/>
          <w:snapToGrid w:val="0"/>
          <w:color w:val="auto"/>
          <w:sz w:val="36"/>
          <w:szCs w:val="36"/>
          <w:highlight w:val="none"/>
        </w:rPr>
        <w:sectPr>
          <w:pgSz w:w="11907" w:h="16840"/>
          <w:pgMar w:top="1440" w:right="1531" w:bottom="1440" w:left="1531" w:header="851" w:footer="851" w:gutter="0"/>
          <w:pgBorders>
            <w:top w:val="none" w:sz="0" w:space="0"/>
            <w:left w:val="none" w:sz="0" w:space="0"/>
            <w:bottom w:val="none" w:sz="0" w:space="0"/>
            <w:right w:val="none" w:sz="0" w:space="0"/>
          </w:pgBorders>
          <w:cols w:space="720" w:num="1"/>
          <w:docGrid w:linePitch="312" w:charSpace="0"/>
        </w:sectPr>
      </w:pPr>
    </w:p>
    <w:tbl>
      <w:tblPr>
        <w:tblStyle w:val="31"/>
        <w:tblW w:w="141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3785"/>
      </w:tblGrid>
      <w:tr w14:paraId="6F9BC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dxa"/>
            <w:shd w:val="clear" w:color="auto" w:fill="auto"/>
            <w:vAlign w:val="center"/>
          </w:tcPr>
          <w:p w14:paraId="3BF36D91">
            <w:pPr>
              <w:spacing w:line="360" w:lineRule="exact"/>
              <w:jc w:val="center"/>
              <w:rPr>
                <w:rFonts w:ascii="Times New Roman" w:hAnsi="Times New Roman" w:eastAsiaTheme="minorEastAsia"/>
                <w:color w:val="auto"/>
                <w:sz w:val="18"/>
                <w:szCs w:val="18"/>
                <w:highlight w:val="none"/>
              </w:rPr>
            </w:pPr>
          </w:p>
        </w:tc>
        <w:tc>
          <w:tcPr>
            <w:tcW w:w="13785" w:type="dxa"/>
            <w:shd w:val="clear" w:color="auto" w:fill="auto"/>
          </w:tcPr>
          <w:p w14:paraId="32249ACF">
            <w:pPr>
              <w:spacing w:line="480" w:lineRule="exact"/>
              <w:ind w:firstLine="482" w:firstLineChars="200"/>
              <w:rPr>
                <w:rFonts w:ascii="Times New Roman" w:hAnsi="Times New Roman" w:eastAsiaTheme="minorEastAsia"/>
                <w:b/>
                <w:color w:val="auto"/>
                <w:sz w:val="24"/>
                <w:szCs w:val="24"/>
                <w:highlight w:val="none"/>
              </w:rPr>
            </w:pPr>
            <w:r>
              <w:rPr>
                <w:rFonts w:ascii="Times New Roman" w:hAnsi="Times New Roman" w:eastAsiaTheme="minorEastAsia"/>
                <w:b/>
                <w:color w:val="auto"/>
                <w:sz w:val="24"/>
                <w:szCs w:val="24"/>
                <w:highlight w:val="none"/>
              </w:rPr>
              <w:t>3、噪声</w:t>
            </w:r>
          </w:p>
          <w:p w14:paraId="1A1ECEE4">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（1）预测模式的确定</w:t>
            </w:r>
          </w:p>
          <w:p w14:paraId="0A2AE06E">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采用《环境影响评价技术导则  声环境》(HJ 2.4-2021)中附录B-工业噪声预测计算模型。</w:t>
            </w:r>
          </w:p>
          <w:p w14:paraId="2E3409EC">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（2）噪声源参数的确定</w:t>
            </w:r>
          </w:p>
          <w:p w14:paraId="20283012">
            <w:pPr>
              <w:spacing w:line="480" w:lineRule="exact"/>
              <w:ind w:firstLine="480" w:firstLineChars="200"/>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本项目生产运营过程中产生的噪声主要为铅酸蓄电池运输车辆进出厂</w:t>
            </w:r>
            <w:r>
              <w:rPr>
                <w:rFonts w:hint="eastAsia" w:ascii="Times New Roman" w:hAnsi="Times New Roman" w:eastAsiaTheme="minorEastAsia"/>
                <w:color w:val="auto"/>
                <w:sz w:val="24"/>
                <w:szCs w:val="24"/>
                <w:highlight w:val="none"/>
                <w:lang w:eastAsia="zh-CN"/>
              </w:rPr>
              <w:t>、</w:t>
            </w:r>
            <w:r>
              <w:rPr>
                <w:rFonts w:hint="eastAsia" w:ascii="Times New Roman" w:hAnsi="Times New Roman" w:eastAsiaTheme="minorEastAsia"/>
                <w:color w:val="auto"/>
                <w:sz w:val="24"/>
                <w:szCs w:val="24"/>
                <w:highlight w:val="none"/>
              </w:rPr>
              <w:t>装卸作业过程机械</w:t>
            </w:r>
            <w:r>
              <w:rPr>
                <w:rFonts w:hint="eastAsia" w:ascii="Times New Roman" w:hAnsi="Times New Roman" w:eastAsiaTheme="minorEastAsia"/>
                <w:color w:val="auto"/>
                <w:sz w:val="24"/>
                <w:szCs w:val="24"/>
                <w:highlight w:val="none"/>
                <w:lang w:val="en-US" w:eastAsia="zh-CN"/>
              </w:rPr>
              <w:t>操作噪声</w:t>
            </w:r>
            <w:r>
              <w:rPr>
                <w:rFonts w:hint="eastAsia" w:ascii="Times New Roman" w:hAnsi="Times New Roman" w:eastAsiaTheme="minorEastAsia"/>
                <w:color w:val="auto"/>
                <w:sz w:val="24"/>
                <w:szCs w:val="24"/>
                <w:highlight w:val="none"/>
              </w:rPr>
              <w:t>及风机运行时产生的噪声。</w:t>
            </w:r>
            <w:r>
              <w:rPr>
                <w:rFonts w:hint="eastAsia" w:ascii="Times New Roman" w:hAnsi="Times New Roman" w:eastAsiaTheme="minorEastAsia"/>
                <w:color w:val="auto"/>
                <w:sz w:val="24"/>
                <w:szCs w:val="24"/>
                <w:highlight w:val="none"/>
                <w:lang w:val="en-US" w:eastAsia="zh-CN"/>
              </w:rPr>
              <w:t>室外声源</w:t>
            </w:r>
            <w:r>
              <w:rPr>
                <w:rFonts w:hint="eastAsia" w:ascii="Times New Roman" w:hAnsi="Times New Roman" w:eastAsiaTheme="minorEastAsia"/>
                <w:color w:val="auto"/>
                <w:sz w:val="24"/>
                <w:szCs w:val="24"/>
                <w:highlight w:val="none"/>
              </w:rPr>
              <w:t>通过选用低噪声设备、进行基础减振隔声后噪声可降低</w:t>
            </w:r>
            <w:r>
              <w:rPr>
                <w:rFonts w:hint="eastAsia" w:ascii="Times New Roman" w:hAnsi="Times New Roman" w:eastAsiaTheme="minorEastAsia"/>
                <w:color w:val="auto"/>
                <w:sz w:val="24"/>
                <w:szCs w:val="24"/>
                <w:highlight w:val="none"/>
                <w:lang w:val="en-US" w:eastAsia="zh-CN"/>
              </w:rPr>
              <w:t>10</w:t>
            </w:r>
            <w:r>
              <w:rPr>
                <w:rFonts w:hint="eastAsia" w:ascii="Times New Roman" w:hAnsi="Times New Roman" w:eastAsiaTheme="minorEastAsia"/>
                <w:color w:val="auto"/>
                <w:sz w:val="24"/>
                <w:szCs w:val="24"/>
                <w:highlight w:val="none"/>
              </w:rPr>
              <w:t>～20dB(A)，本项目噪声声级约为</w:t>
            </w:r>
            <w:r>
              <w:rPr>
                <w:rFonts w:hint="eastAsia" w:ascii="Times New Roman" w:hAnsi="Times New Roman" w:eastAsiaTheme="minorEastAsia"/>
                <w:color w:val="auto"/>
                <w:sz w:val="24"/>
                <w:szCs w:val="24"/>
                <w:highlight w:val="none"/>
                <w:lang w:val="en-US" w:eastAsia="zh-CN"/>
              </w:rPr>
              <w:t>70</w:t>
            </w:r>
            <w:r>
              <w:rPr>
                <w:rFonts w:hint="eastAsia" w:ascii="Times New Roman" w:hAnsi="Times New Roman" w:eastAsiaTheme="minorEastAsia"/>
                <w:color w:val="auto"/>
                <w:sz w:val="24"/>
                <w:szCs w:val="24"/>
                <w:highlight w:val="none"/>
              </w:rPr>
              <w:t>～85dB（A）。</w:t>
            </w:r>
            <w:r>
              <w:rPr>
                <w:rFonts w:hint="eastAsia" w:ascii="Times New Roman" w:hAnsi="Times New Roman" w:eastAsiaTheme="minorEastAsia"/>
                <w:color w:val="auto"/>
                <w:sz w:val="24"/>
                <w:szCs w:val="24"/>
                <w:highlight w:val="none"/>
                <w:lang w:val="en-US" w:eastAsia="zh-CN"/>
              </w:rPr>
              <w:t>各类</w:t>
            </w:r>
            <w:r>
              <w:rPr>
                <w:rFonts w:hint="eastAsia" w:ascii="Times New Roman" w:hAnsi="Times New Roman" w:eastAsiaTheme="minorEastAsia"/>
                <w:color w:val="auto"/>
                <w:sz w:val="24"/>
                <w:szCs w:val="24"/>
                <w:highlight w:val="none"/>
              </w:rPr>
              <w:t>噪声源及治理措施详见下表。</w:t>
            </w:r>
          </w:p>
          <w:p w14:paraId="248BF326">
            <w:pPr>
              <w:pStyle w:val="60"/>
              <w:numPr>
                <w:ilvl w:val="0"/>
                <w:numId w:val="0"/>
              </w:numPr>
              <w:adjustRightInd w:val="0"/>
              <w:snapToGrid w:val="0"/>
              <w:spacing w:beforeLines="0" w:line="500" w:lineRule="exact"/>
              <w:rPr>
                <w:rFonts w:hint="eastAsia" w:eastAsiaTheme="minorEastAsia"/>
                <w:snapToGrid/>
                <w:color w:val="auto"/>
                <w:kern w:val="2"/>
                <w:szCs w:val="24"/>
                <w:highlight w:val="none"/>
                <w:lang w:eastAsia="zh-CN"/>
              </w:rPr>
            </w:pPr>
            <w:r>
              <w:rPr>
                <w:rFonts w:eastAsiaTheme="minorEastAsia"/>
                <w:snapToGrid/>
                <w:color w:val="auto"/>
                <w:kern w:val="2"/>
                <w:szCs w:val="24"/>
                <w:highlight w:val="none"/>
              </w:rPr>
              <w:t>表4-</w:t>
            </w:r>
            <w:r>
              <w:rPr>
                <w:rFonts w:hint="eastAsia" w:eastAsiaTheme="minorEastAsia"/>
                <w:snapToGrid/>
                <w:color w:val="auto"/>
                <w:kern w:val="2"/>
                <w:szCs w:val="24"/>
                <w:highlight w:val="none"/>
                <w:lang w:val="en-US" w:eastAsia="zh-CN"/>
              </w:rPr>
              <w:t>6.1</w:t>
            </w:r>
            <w:r>
              <w:rPr>
                <w:rFonts w:eastAsiaTheme="minorEastAsia"/>
                <w:snapToGrid/>
                <w:color w:val="auto"/>
                <w:kern w:val="2"/>
                <w:szCs w:val="24"/>
                <w:highlight w:val="none"/>
              </w:rPr>
              <w:t xml:space="preserve">  项目主要室内噪声源及治理措施一览表</w:t>
            </w:r>
            <w:r>
              <w:rPr>
                <w:rFonts w:hint="eastAsia" w:eastAsiaTheme="minorEastAsia"/>
                <w:snapToGrid/>
                <w:color w:val="auto"/>
                <w:kern w:val="2"/>
                <w:szCs w:val="24"/>
                <w:highlight w:val="none"/>
                <w:lang w:eastAsia="zh-CN"/>
              </w:rPr>
              <w:t>（</w:t>
            </w:r>
            <w:r>
              <w:rPr>
                <w:rFonts w:hint="eastAsia" w:eastAsiaTheme="minorEastAsia"/>
                <w:snapToGrid/>
                <w:color w:val="auto"/>
                <w:kern w:val="2"/>
                <w:szCs w:val="24"/>
                <w:highlight w:val="none"/>
                <w:lang w:val="en-US" w:eastAsia="zh-CN"/>
              </w:rPr>
              <w:t>室内声源</w:t>
            </w:r>
            <w:r>
              <w:rPr>
                <w:rFonts w:hint="eastAsia" w:eastAsiaTheme="minorEastAsia"/>
                <w:snapToGrid/>
                <w:color w:val="auto"/>
                <w:kern w:val="2"/>
                <w:szCs w:val="24"/>
                <w:highlight w:val="none"/>
                <w:lang w:eastAsia="zh-CN"/>
              </w:rPr>
              <w:t>）</w:t>
            </w:r>
          </w:p>
          <w:tbl>
            <w:tblPr>
              <w:tblStyle w:val="31"/>
              <w:tblW w:w="13553"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1"/>
              <w:gridCol w:w="505"/>
              <w:gridCol w:w="657"/>
              <w:gridCol w:w="881"/>
              <w:gridCol w:w="450"/>
              <w:gridCol w:w="656"/>
              <w:gridCol w:w="469"/>
              <w:gridCol w:w="656"/>
              <w:gridCol w:w="638"/>
              <w:gridCol w:w="656"/>
              <w:gridCol w:w="675"/>
              <w:gridCol w:w="675"/>
              <w:gridCol w:w="694"/>
              <w:gridCol w:w="656"/>
              <w:gridCol w:w="712"/>
              <w:gridCol w:w="563"/>
              <w:gridCol w:w="787"/>
              <w:gridCol w:w="638"/>
              <w:gridCol w:w="544"/>
              <w:gridCol w:w="487"/>
              <w:gridCol w:w="525"/>
              <w:gridCol w:w="638"/>
            </w:tblGrid>
            <w:tr w14:paraId="7D6EB7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8" w:hRule="exact"/>
              </w:trPr>
              <w:tc>
                <w:tcPr>
                  <w:tcW w:w="391" w:type="dxa"/>
                  <w:vMerge w:val="restart"/>
                  <w:vAlign w:val="center"/>
                </w:tcPr>
                <w:p w14:paraId="1CA2188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序号</w:t>
                  </w:r>
                </w:p>
              </w:tc>
              <w:tc>
                <w:tcPr>
                  <w:tcW w:w="505" w:type="dxa"/>
                  <w:vMerge w:val="restart"/>
                  <w:vAlign w:val="center"/>
                </w:tcPr>
                <w:p w14:paraId="03536F9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声源名称</w:t>
                  </w:r>
                </w:p>
              </w:tc>
              <w:tc>
                <w:tcPr>
                  <w:tcW w:w="657" w:type="dxa"/>
                  <w:vAlign w:val="center"/>
                </w:tcPr>
                <w:p w14:paraId="7F764DD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声源源强</w:t>
                  </w:r>
                </w:p>
              </w:tc>
              <w:tc>
                <w:tcPr>
                  <w:tcW w:w="881" w:type="dxa"/>
                  <w:vMerge w:val="restart"/>
                  <w:vAlign w:val="center"/>
                </w:tcPr>
                <w:p w14:paraId="5FAEA31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声源控制措施</w:t>
                  </w:r>
                </w:p>
              </w:tc>
              <w:tc>
                <w:tcPr>
                  <w:tcW w:w="1575" w:type="dxa"/>
                  <w:gridSpan w:val="3"/>
                  <w:vAlign w:val="center"/>
                </w:tcPr>
                <w:p w14:paraId="610BA9A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空间相对位置/m</w:t>
                  </w:r>
                </w:p>
              </w:tc>
              <w:tc>
                <w:tcPr>
                  <w:tcW w:w="2625" w:type="dxa"/>
                  <w:gridSpan w:val="4"/>
                  <w:vAlign w:val="center"/>
                </w:tcPr>
                <w:p w14:paraId="4FE8207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距室内边界距离/m</w:t>
                  </w:r>
                </w:p>
              </w:tc>
              <w:tc>
                <w:tcPr>
                  <w:tcW w:w="2737" w:type="dxa"/>
                  <w:gridSpan w:val="4"/>
                  <w:vAlign w:val="center"/>
                </w:tcPr>
                <w:p w14:paraId="064322D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室内边界声级/dB(A)</w:t>
                  </w:r>
                </w:p>
              </w:tc>
              <w:tc>
                <w:tcPr>
                  <w:tcW w:w="563" w:type="dxa"/>
                  <w:vMerge w:val="restart"/>
                  <w:vAlign w:val="center"/>
                </w:tcPr>
                <w:p w14:paraId="0F80424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运行时段</w:t>
                  </w:r>
                </w:p>
              </w:tc>
              <w:tc>
                <w:tcPr>
                  <w:tcW w:w="787" w:type="dxa"/>
                  <w:vMerge w:val="restart"/>
                  <w:vAlign w:val="center"/>
                </w:tcPr>
                <w:p w14:paraId="1DADF18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建筑物插入损失 / dB(A)</w:t>
                  </w:r>
                </w:p>
              </w:tc>
              <w:tc>
                <w:tcPr>
                  <w:tcW w:w="2832" w:type="dxa"/>
                  <w:gridSpan w:val="5"/>
                  <w:vAlign w:val="center"/>
                </w:tcPr>
                <w:p w14:paraId="5319C99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建筑物外噪声声压级/dB(A)</w:t>
                  </w:r>
                </w:p>
              </w:tc>
            </w:tr>
            <w:tr w14:paraId="4ED1DE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57" w:hRule="atLeast"/>
              </w:trPr>
              <w:tc>
                <w:tcPr>
                  <w:tcW w:w="391" w:type="dxa"/>
                  <w:vMerge w:val="continue"/>
                  <w:shd w:val="clear" w:color="auto" w:fill="FFFFFF"/>
                  <w:tcMar>
                    <w:top w:w="0" w:type="dxa"/>
                    <w:left w:w="0" w:type="dxa"/>
                    <w:bottom w:w="0" w:type="dxa"/>
                    <w:right w:w="0" w:type="dxa"/>
                  </w:tcMar>
                  <w:vAlign w:val="center"/>
                </w:tcPr>
                <w:p w14:paraId="74A55E6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505" w:type="dxa"/>
                  <w:vMerge w:val="continue"/>
                  <w:shd w:val="clear" w:color="auto" w:fill="FFFFFF"/>
                  <w:tcMar>
                    <w:top w:w="0" w:type="dxa"/>
                    <w:left w:w="0" w:type="dxa"/>
                    <w:bottom w:w="0" w:type="dxa"/>
                    <w:right w:w="0" w:type="dxa"/>
                  </w:tcMar>
                  <w:vAlign w:val="center"/>
                </w:tcPr>
                <w:p w14:paraId="00C1380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p>
              </w:tc>
              <w:tc>
                <w:tcPr>
                  <w:tcW w:w="657" w:type="dxa"/>
                  <w:shd w:val="clear" w:color="auto" w:fill="FFFFFF"/>
                  <w:tcMar>
                    <w:top w:w="0" w:type="dxa"/>
                    <w:left w:w="0" w:type="dxa"/>
                    <w:bottom w:w="0" w:type="dxa"/>
                    <w:right w:w="0" w:type="dxa"/>
                  </w:tcMar>
                  <w:vAlign w:val="center"/>
                </w:tcPr>
                <w:p w14:paraId="61486EC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声功率级/dB(A)</w:t>
                  </w:r>
                </w:p>
              </w:tc>
              <w:tc>
                <w:tcPr>
                  <w:tcW w:w="881" w:type="dxa"/>
                  <w:vMerge w:val="continue"/>
                  <w:shd w:val="clear" w:color="auto" w:fill="FFFFFF"/>
                  <w:tcMar>
                    <w:top w:w="0" w:type="dxa"/>
                    <w:left w:w="0" w:type="dxa"/>
                    <w:bottom w:w="0" w:type="dxa"/>
                    <w:right w:w="0" w:type="dxa"/>
                  </w:tcMar>
                  <w:vAlign w:val="center"/>
                </w:tcPr>
                <w:p w14:paraId="68342A8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p>
              </w:tc>
              <w:tc>
                <w:tcPr>
                  <w:tcW w:w="450" w:type="dxa"/>
                  <w:shd w:val="clear" w:color="auto" w:fill="FFFFFF"/>
                  <w:tcMar>
                    <w:top w:w="0" w:type="dxa"/>
                    <w:left w:w="0" w:type="dxa"/>
                    <w:bottom w:w="0" w:type="dxa"/>
                    <w:right w:w="0" w:type="dxa"/>
                  </w:tcMar>
                  <w:vAlign w:val="center"/>
                </w:tcPr>
                <w:p w14:paraId="66144D1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X</w:t>
                  </w:r>
                </w:p>
              </w:tc>
              <w:tc>
                <w:tcPr>
                  <w:tcW w:w="656" w:type="dxa"/>
                  <w:shd w:val="clear" w:color="auto" w:fill="FFFFFF"/>
                  <w:tcMar>
                    <w:top w:w="0" w:type="dxa"/>
                    <w:left w:w="0" w:type="dxa"/>
                    <w:bottom w:w="0" w:type="dxa"/>
                    <w:right w:w="0" w:type="dxa"/>
                  </w:tcMar>
                  <w:vAlign w:val="center"/>
                </w:tcPr>
                <w:p w14:paraId="75BC273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Y</w:t>
                  </w:r>
                </w:p>
              </w:tc>
              <w:tc>
                <w:tcPr>
                  <w:tcW w:w="469" w:type="dxa"/>
                  <w:shd w:val="clear" w:color="auto" w:fill="FFFFFF"/>
                  <w:tcMar>
                    <w:top w:w="0" w:type="dxa"/>
                    <w:left w:w="0" w:type="dxa"/>
                    <w:bottom w:w="0" w:type="dxa"/>
                    <w:right w:w="0" w:type="dxa"/>
                  </w:tcMar>
                  <w:vAlign w:val="center"/>
                </w:tcPr>
                <w:p w14:paraId="0302E4B1">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Z</w:t>
                  </w:r>
                </w:p>
              </w:tc>
              <w:tc>
                <w:tcPr>
                  <w:tcW w:w="656" w:type="dxa"/>
                  <w:shd w:val="clear" w:color="auto" w:fill="FFFFFF"/>
                  <w:tcMar>
                    <w:top w:w="0" w:type="dxa"/>
                    <w:left w:w="0" w:type="dxa"/>
                    <w:bottom w:w="0" w:type="dxa"/>
                    <w:right w:w="0" w:type="dxa"/>
                  </w:tcMar>
                  <w:vAlign w:val="center"/>
                </w:tcPr>
                <w:p w14:paraId="203B43F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东</w:t>
                  </w:r>
                </w:p>
              </w:tc>
              <w:tc>
                <w:tcPr>
                  <w:tcW w:w="638" w:type="dxa"/>
                  <w:shd w:val="clear" w:color="auto" w:fill="FFFFFF"/>
                  <w:tcMar>
                    <w:top w:w="0" w:type="dxa"/>
                    <w:left w:w="0" w:type="dxa"/>
                    <w:bottom w:w="0" w:type="dxa"/>
                    <w:right w:w="0" w:type="dxa"/>
                  </w:tcMar>
                  <w:vAlign w:val="center"/>
                </w:tcPr>
                <w:p w14:paraId="7D9F33E1">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南</w:t>
                  </w:r>
                </w:p>
              </w:tc>
              <w:tc>
                <w:tcPr>
                  <w:tcW w:w="656" w:type="dxa"/>
                  <w:shd w:val="clear" w:color="auto" w:fill="FFFFFF"/>
                  <w:tcMar>
                    <w:top w:w="0" w:type="dxa"/>
                    <w:left w:w="0" w:type="dxa"/>
                    <w:bottom w:w="0" w:type="dxa"/>
                    <w:right w:w="0" w:type="dxa"/>
                  </w:tcMar>
                  <w:vAlign w:val="center"/>
                </w:tcPr>
                <w:p w14:paraId="158C02F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西</w:t>
                  </w:r>
                </w:p>
              </w:tc>
              <w:tc>
                <w:tcPr>
                  <w:tcW w:w="675" w:type="dxa"/>
                  <w:shd w:val="clear" w:color="auto" w:fill="FFFFFF"/>
                  <w:tcMar>
                    <w:top w:w="0" w:type="dxa"/>
                    <w:left w:w="0" w:type="dxa"/>
                    <w:bottom w:w="0" w:type="dxa"/>
                    <w:right w:w="0" w:type="dxa"/>
                  </w:tcMar>
                  <w:vAlign w:val="center"/>
                </w:tcPr>
                <w:p w14:paraId="38BD11A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北</w:t>
                  </w:r>
                </w:p>
              </w:tc>
              <w:tc>
                <w:tcPr>
                  <w:tcW w:w="675" w:type="dxa"/>
                  <w:shd w:val="clear" w:color="auto" w:fill="FFFFFF"/>
                  <w:tcMar>
                    <w:top w:w="0" w:type="dxa"/>
                    <w:left w:w="0" w:type="dxa"/>
                    <w:bottom w:w="0" w:type="dxa"/>
                    <w:right w:w="0" w:type="dxa"/>
                  </w:tcMar>
                  <w:vAlign w:val="center"/>
                </w:tcPr>
                <w:p w14:paraId="431D8E1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东</w:t>
                  </w:r>
                </w:p>
              </w:tc>
              <w:tc>
                <w:tcPr>
                  <w:tcW w:w="694" w:type="dxa"/>
                  <w:shd w:val="clear" w:color="auto" w:fill="FFFFFF"/>
                  <w:tcMar>
                    <w:top w:w="0" w:type="dxa"/>
                    <w:left w:w="0" w:type="dxa"/>
                    <w:bottom w:w="0" w:type="dxa"/>
                    <w:right w:w="0" w:type="dxa"/>
                  </w:tcMar>
                  <w:vAlign w:val="center"/>
                </w:tcPr>
                <w:p w14:paraId="142AC1E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南</w:t>
                  </w:r>
                </w:p>
              </w:tc>
              <w:tc>
                <w:tcPr>
                  <w:tcW w:w="656" w:type="dxa"/>
                  <w:shd w:val="clear" w:color="auto" w:fill="FFFFFF"/>
                  <w:tcMar>
                    <w:top w:w="0" w:type="dxa"/>
                    <w:left w:w="0" w:type="dxa"/>
                    <w:bottom w:w="0" w:type="dxa"/>
                    <w:right w:w="0" w:type="dxa"/>
                  </w:tcMar>
                  <w:vAlign w:val="center"/>
                </w:tcPr>
                <w:p w14:paraId="6814B8A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西</w:t>
                  </w:r>
                </w:p>
              </w:tc>
              <w:tc>
                <w:tcPr>
                  <w:tcW w:w="712" w:type="dxa"/>
                  <w:shd w:val="clear" w:color="auto" w:fill="FFFFFF"/>
                  <w:tcMar>
                    <w:top w:w="0" w:type="dxa"/>
                    <w:left w:w="0" w:type="dxa"/>
                    <w:bottom w:w="0" w:type="dxa"/>
                    <w:right w:w="0" w:type="dxa"/>
                  </w:tcMar>
                  <w:vAlign w:val="center"/>
                </w:tcPr>
                <w:p w14:paraId="7D3FCEA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北</w:t>
                  </w:r>
                </w:p>
              </w:tc>
              <w:tc>
                <w:tcPr>
                  <w:tcW w:w="563" w:type="dxa"/>
                  <w:vMerge w:val="continue"/>
                  <w:shd w:val="clear" w:color="auto" w:fill="FFFFFF"/>
                  <w:tcMar>
                    <w:top w:w="0" w:type="dxa"/>
                    <w:left w:w="0" w:type="dxa"/>
                    <w:bottom w:w="0" w:type="dxa"/>
                    <w:right w:w="0" w:type="dxa"/>
                  </w:tcMar>
                  <w:vAlign w:val="center"/>
                </w:tcPr>
                <w:p w14:paraId="759D30F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p>
              </w:tc>
              <w:tc>
                <w:tcPr>
                  <w:tcW w:w="787" w:type="dxa"/>
                  <w:vMerge w:val="continue"/>
                  <w:shd w:val="clear" w:color="auto" w:fill="FFFFFF"/>
                  <w:tcMar>
                    <w:top w:w="0" w:type="dxa"/>
                    <w:left w:w="0" w:type="dxa"/>
                    <w:bottom w:w="0" w:type="dxa"/>
                    <w:right w:w="0" w:type="dxa"/>
                  </w:tcMar>
                  <w:vAlign w:val="center"/>
                </w:tcPr>
                <w:p w14:paraId="064124A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p>
              </w:tc>
              <w:tc>
                <w:tcPr>
                  <w:tcW w:w="638" w:type="dxa"/>
                  <w:shd w:val="clear" w:color="auto" w:fill="FFFFFF"/>
                  <w:tcMar>
                    <w:top w:w="0" w:type="dxa"/>
                    <w:left w:w="0" w:type="dxa"/>
                    <w:bottom w:w="0" w:type="dxa"/>
                    <w:right w:w="0" w:type="dxa"/>
                  </w:tcMar>
                  <w:vAlign w:val="center"/>
                </w:tcPr>
                <w:p w14:paraId="18F033D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东</w:t>
                  </w:r>
                </w:p>
              </w:tc>
              <w:tc>
                <w:tcPr>
                  <w:tcW w:w="544" w:type="dxa"/>
                  <w:shd w:val="clear" w:color="auto" w:fill="FFFFFF"/>
                  <w:tcMar>
                    <w:top w:w="0" w:type="dxa"/>
                    <w:left w:w="0" w:type="dxa"/>
                    <w:bottom w:w="0" w:type="dxa"/>
                    <w:right w:w="0" w:type="dxa"/>
                  </w:tcMar>
                  <w:vAlign w:val="center"/>
                </w:tcPr>
                <w:p w14:paraId="558AFFF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南</w:t>
                  </w:r>
                </w:p>
              </w:tc>
              <w:tc>
                <w:tcPr>
                  <w:tcW w:w="487" w:type="dxa"/>
                  <w:shd w:val="clear" w:color="auto" w:fill="FFFFFF"/>
                  <w:tcMar>
                    <w:top w:w="0" w:type="dxa"/>
                    <w:left w:w="0" w:type="dxa"/>
                    <w:bottom w:w="0" w:type="dxa"/>
                    <w:right w:w="0" w:type="dxa"/>
                  </w:tcMar>
                  <w:vAlign w:val="center"/>
                </w:tcPr>
                <w:p w14:paraId="5720DBA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西</w:t>
                  </w:r>
                </w:p>
              </w:tc>
              <w:tc>
                <w:tcPr>
                  <w:tcW w:w="525" w:type="dxa"/>
                  <w:shd w:val="clear" w:color="auto" w:fill="FFFFFF"/>
                  <w:tcMar>
                    <w:top w:w="0" w:type="dxa"/>
                    <w:left w:w="0" w:type="dxa"/>
                    <w:bottom w:w="0" w:type="dxa"/>
                    <w:right w:w="0" w:type="dxa"/>
                  </w:tcMar>
                  <w:vAlign w:val="center"/>
                </w:tcPr>
                <w:p w14:paraId="08FD60C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北</w:t>
                  </w:r>
                </w:p>
              </w:tc>
              <w:tc>
                <w:tcPr>
                  <w:tcW w:w="638" w:type="dxa"/>
                  <w:shd w:val="clear" w:color="auto" w:fill="FFFFFF"/>
                  <w:tcMar>
                    <w:top w:w="0" w:type="dxa"/>
                    <w:left w:w="0" w:type="dxa"/>
                    <w:bottom w:w="0" w:type="dxa"/>
                    <w:right w:w="0" w:type="dxa"/>
                  </w:tcMar>
                  <w:vAlign w:val="center"/>
                </w:tcPr>
                <w:p w14:paraId="68198C2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建筑物外距离</w:t>
                  </w:r>
                </w:p>
              </w:tc>
            </w:tr>
            <w:tr w14:paraId="729100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70" w:hRule="atLeast"/>
              </w:trPr>
              <w:tc>
                <w:tcPr>
                  <w:tcW w:w="391" w:type="dxa"/>
                  <w:shd w:val="clear" w:color="auto" w:fill="FFFFFF"/>
                  <w:tcMar>
                    <w:top w:w="0" w:type="dxa"/>
                    <w:left w:w="0" w:type="dxa"/>
                    <w:bottom w:w="0" w:type="dxa"/>
                    <w:right w:w="0" w:type="dxa"/>
                  </w:tcMar>
                  <w:vAlign w:val="center"/>
                </w:tcPr>
                <w:p w14:paraId="779EB301">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w:t>
                  </w:r>
                </w:p>
              </w:tc>
              <w:tc>
                <w:tcPr>
                  <w:tcW w:w="505" w:type="dxa"/>
                  <w:shd w:val="clear" w:color="auto" w:fill="FFFFFF"/>
                  <w:tcMar>
                    <w:top w:w="0" w:type="dxa"/>
                    <w:left w:w="0" w:type="dxa"/>
                    <w:bottom w:w="0" w:type="dxa"/>
                    <w:right w:w="0" w:type="dxa"/>
                  </w:tcMar>
                  <w:vAlign w:val="center"/>
                </w:tcPr>
                <w:p w14:paraId="444C113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b w:val="0"/>
                      <w:bCs/>
                      <w:color w:val="auto"/>
                      <w:sz w:val="21"/>
                      <w:szCs w:val="21"/>
                      <w:highlight w:val="none"/>
                      <w:lang w:val="en-US" w:eastAsia="zh-CN"/>
                    </w:rPr>
                    <w:t>喷淋塔</w:t>
                  </w:r>
                  <w:r>
                    <w:rPr>
                      <w:rFonts w:hint="default" w:ascii="Times New Roman" w:hAnsi="Times New Roman" w:eastAsia="宋体" w:cs="Times New Roman"/>
                      <w:b w:val="0"/>
                      <w:bCs/>
                      <w:color w:val="auto"/>
                      <w:sz w:val="21"/>
                      <w:szCs w:val="21"/>
                      <w:highlight w:val="none"/>
                    </w:rPr>
                    <w:t>风机</w:t>
                  </w:r>
                </w:p>
              </w:tc>
              <w:tc>
                <w:tcPr>
                  <w:tcW w:w="657" w:type="dxa"/>
                  <w:shd w:val="clear" w:color="auto" w:fill="FFFFFF"/>
                  <w:tcMar>
                    <w:top w:w="0" w:type="dxa"/>
                    <w:left w:w="0" w:type="dxa"/>
                    <w:bottom w:w="0" w:type="dxa"/>
                    <w:right w:w="0" w:type="dxa"/>
                  </w:tcMar>
                  <w:vAlign w:val="center"/>
                </w:tcPr>
                <w:p w14:paraId="1F98B79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85</w:t>
                  </w:r>
                </w:p>
              </w:tc>
              <w:tc>
                <w:tcPr>
                  <w:tcW w:w="881" w:type="dxa"/>
                  <w:shd w:val="clear" w:color="auto" w:fill="FFFFFF"/>
                  <w:tcMar>
                    <w:top w:w="0" w:type="dxa"/>
                    <w:left w:w="0" w:type="dxa"/>
                    <w:bottom w:w="0" w:type="dxa"/>
                    <w:right w:w="0" w:type="dxa"/>
                  </w:tcMar>
                  <w:vAlign w:val="center"/>
                </w:tcPr>
                <w:p w14:paraId="46A975D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进出口软连接、厂房隔声</w:t>
                  </w:r>
                </w:p>
              </w:tc>
              <w:tc>
                <w:tcPr>
                  <w:tcW w:w="450" w:type="dxa"/>
                  <w:shd w:val="clear" w:color="auto" w:fill="FFFFFF"/>
                  <w:tcMar>
                    <w:top w:w="0" w:type="dxa"/>
                    <w:left w:w="0" w:type="dxa"/>
                    <w:bottom w:w="0" w:type="dxa"/>
                    <w:right w:w="0" w:type="dxa"/>
                  </w:tcMar>
                  <w:vAlign w:val="center"/>
                </w:tcPr>
                <w:p w14:paraId="1556E69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5.4</w:t>
                  </w:r>
                </w:p>
              </w:tc>
              <w:tc>
                <w:tcPr>
                  <w:tcW w:w="656" w:type="dxa"/>
                  <w:shd w:val="clear" w:color="auto" w:fill="FFFFFF"/>
                  <w:tcMar>
                    <w:top w:w="0" w:type="dxa"/>
                    <w:left w:w="0" w:type="dxa"/>
                    <w:bottom w:w="0" w:type="dxa"/>
                    <w:right w:w="0" w:type="dxa"/>
                  </w:tcMar>
                  <w:vAlign w:val="center"/>
                </w:tcPr>
                <w:p w14:paraId="553FD99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-25.7</w:t>
                  </w:r>
                </w:p>
              </w:tc>
              <w:tc>
                <w:tcPr>
                  <w:tcW w:w="469" w:type="dxa"/>
                  <w:shd w:val="clear" w:color="auto" w:fill="FFFFFF"/>
                  <w:tcMar>
                    <w:top w:w="0" w:type="dxa"/>
                    <w:left w:w="0" w:type="dxa"/>
                    <w:bottom w:w="0" w:type="dxa"/>
                    <w:right w:w="0" w:type="dxa"/>
                  </w:tcMar>
                  <w:vAlign w:val="center"/>
                </w:tcPr>
                <w:p w14:paraId="252DAD4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1.2</w:t>
                  </w:r>
                </w:p>
              </w:tc>
              <w:tc>
                <w:tcPr>
                  <w:tcW w:w="656" w:type="dxa"/>
                  <w:shd w:val="clear" w:color="auto" w:fill="FFFFFF"/>
                  <w:tcMar>
                    <w:top w:w="0" w:type="dxa"/>
                    <w:left w:w="0" w:type="dxa"/>
                    <w:bottom w:w="0" w:type="dxa"/>
                    <w:right w:w="0" w:type="dxa"/>
                  </w:tcMar>
                  <w:vAlign w:val="center"/>
                </w:tcPr>
                <w:p w14:paraId="366C508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3.4</w:t>
                  </w:r>
                </w:p>
              </w:tc>
              <w:tc>
                <w:tcPr>
                  <w:tcW w:w="638" w:type="dxa"/>
                  <w:shd w:val="clear" w:color="auto" w:fill="FFFFFF"/>
                  <w:tcMar>
                    <w:top w:w="0" w:type="dxa"/>
                    <w:left w:w="0" w:type="dxa"/>
                    <w:bottom w:w="0" w:type="dxa"/>
                    <w:right w:w="0" w:type="dxa"/>
                  </w:tcMar>
                  <w:vAlign w:val="center"/>
                </w:tcPr>
                <w:p w14:paraId="3D1D4CE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1.4</w:t>
                  </w:r>
                </w:p>
              </w:tc>
              <w:tc>
                <w:tcPr>
                  <w:tcW w:w="656" w:type="dxa"/>
                  <w:shd w:val="clear" w:color="auto" w:fill="FFFFFF"/>
                  <w:tcMar>
                    <w:top w:w="0" w:type="dxa"/>
                    <w:left w:w="0" w:type="dxa"/>
                    <w:bottom w:w="0" w:type="dxa"/>
                    <w:right w:w="0" w:type="dxa"/>
                  </w:tcMar>
                  <w:vAlign w:val="center"/>
                </w:tcPr>
                <w:p w14:paraId="0B52F24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15.4</w:t>
                  </w:r>
                </w:p>
              </w:tc>
              <w:tc>
                <w:tcPr>
                  <w:tcW w:w="675" w:type="dxa"/>
                  <w:shd w:val="clear" w:color="auto" w:fill="FFFFFF"/>
                  <w:tcMar>
                    <w:top w:w="0" w:type="dxa"/>
                    <w:left w:w="0" w:type="dxa"/>
                    <w:bottom w:w="0" w:type="dxa"/>
                    <w:right w:w="0" w:type="dxa"/>
                  </w:tcMar>
                  <w:vAlign w:val="center"/>
                </w:tcPr>
                <w:p w14:paraId="565EADC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49.8</w:t>
                  </w:r>
                </w:p>
              </w:tc>
              <w:tc>
                <w:tcPr>
                  <w:tcW w:w="675" w:type="dxa"/>
                  <w:shd w:val="clear" w:color="auto" w:fill="FFFFFF"/>
                  <w:tcMar>
                    <w:top w:w="0" w:type="dxa"/>
                    <w:left w:w="0" w:type="dxa"/>
                    <w:bottom w:w="0" w:type="dxa"/>
                    <w:right w:w="0" w:type="dxa"/>
                  </w:tcMar>
                  <w:vAlign w:val="center"/>
                </w:tcPr>
                <w:p w14:paraId="41A6AF80">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75.7</w:t>
                  </w:r>
                </w:p>
              </w:tc>
              <w:tc>
                <w:tcPr>
                  <w:tcW w:w="694" w:type="dxa"/>
                  <w:shd w:val="clear" w:color="auto" w:fill="FFFFFF"/>
                  <w:tcMar>
                    <w:top w:w="0" w:type="dxa"/>
                    <w:left w:w="0" w:type="dxa"/>
                    <w:bottom w:w="0" w:type="dxa"/>
                    <w:right w:w="0" w:type="dxa"/>
                  </w:tcMar>
                  <w:vAlign w:val="center"/>
                </w:tcPr>
                <w:p w14:paraId="36430B1B">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76.8</w:t>
                  </w:r>
                </w:p>
              </w:tc>
              <w:tc>
                <w:tcPr>
                  <w:tcW w:w="656" w:type="dxa"/>
                  <w:shd w:val="clear" w:color="auto" w:fill="FFFFFF"/>
                  <w:tcMar>
                    <w:top w:w="0" w:type="dxa"/>
                    <w:left w:w="0" w:type="dxa"/>
                    <w:bottom w:w="0" w:type="dxa"/>
                    <w:right w:w="0" w:type="dxa"/>
                  </w:tcMar>
                  <w:vAlign w:val="center"/>
                </w:tcPr>
                <w:p w14:paraId="28A68D9F">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75.5</w:t>
                  </w:r>
                </w:p>
              </w:tc>
              <w:tc>
                <w:tcPr>
                  <w:tcW w:w="712" w:type="dxa"/>
                  <w:shd w:val="clear" w:color="auto" w:fill="FFFFFF"/>
                  <w:tcMar>
                    <w:top w:w="0" w:type="dxa"/>
                    <w:left w:w="0" w:type="dxa"/>
                    <w:bottom w:w="0" w:type="dxa"/>
                    <w:right w:w="0" w:type="dxa"/>
                  </w:tcMar>
                  <w:vAlign w:val="center"/>
                </w:tcPr>
                <w:p w14:paraId="37893184">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75.5</w:t>
                  </w:r>
                </w:p>
              </w:tc>
              <w:tc>
                <w:tcPr>
                  <w:tcW w:w="563" w:type="dxa"/>
                  <w:vMerge w:val="restart"/>
                  <w:shd w:val="clear" w:color="auto" w:fill="FFFFFF"/>
                  <w:tcMar>
                    <w:top w:w="0" w:type="dxa"/>
                    <w:left w:w="0" w:type="dxa"/>
                    <w:bottom w:w="0" w:type="dxa"/>
                    <w:right w:w="0" w:type="dxa"/>
                  </w:tcMar>
                  <w:vAlign w:val="center"/>
                </w:tcPr>
                <w:p w14:paraId="1A94CFE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昼间</w:t>
                  </w:r>
                </w:p>
              </w:tc>
              <w:tc>
                <w:tcPr>
                  <w:tcW w:w="787" w:type="dxa"/>
                  <w:shd w:val="clear" w:color="auto" w:fill="FFFFFF"/>
                  <w:tcMar>
                    <w:top w:w="0" w:type="dxa"/>
                    <w:left w:w="0" w:type="dxa"/>
                    <w:bottom w:w="0" w:type="dxa"/>
                    <w:right w:w="0" w:type="dxa"/>
                  </w:tcMar>
                  <w:vAlign w:val="center"/>
                </w:tcPr>
                <w:p w14:paraId="4AAD5C3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15.0</w:t>
                  </w:r>
                </w:p>
              </w:tc>
              <w:tc>
                <w:tcPr>
                  <w:tcW w:w="638" w:type="dxa"/>
                  <w:shd w:val="clear" w:color="auto" w:fill="FFFFFF"/>
                  <w:tcMar>
                    <w:top w:w="0" w:type="dxa"/>
                    <w:left w:w="0" w:type="dxa"/>
                    <w:bottom w:w="0" w:type="dxa"/>
                    <w:right w:w="0" w:type="dxa"/>
                  </w:tcMar>
                  <w:vAlign w:val="center"/>
                </w:tcPr>
                <w:p w14:paraId="3AEB5E59">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60.7</w:t>
                  </w:r>
                </w:p>
              </w:tc>
              <w:tc>
                <w:tcPr>
                  <w:tcW w:w="544" w:type="dxa"/>
                  <w:shd w:val="clear" w:color="auto" w:fill="FFFFFF"/>
                  <w:tcMar>
                    <w:top w:w="0" w:type="dxa"/>
                    <w:left w:w="0" w:type="dxa"/>
                    <w:bottom w:w="0" w:type="dxa"/>
                    <w:right w:w="0" w:type="dxa"/>
                  </w:tcMar>
                  <w:vAlign w:val="center"/>
                </w:tcPr>
                <w:p w14:paraId="6EDB59C4">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61.8</w:t>
                  </w:r>
                </w:p>
              </w:tc>
              <w:tc>
                <w:tcPr>
                  <w:tcW w:w="487" w:type="dxa"/>
                  <w:shd w:val="clear" w:color="auto" w:fill="FFFFFF"/>
                  <w:tcMar>
                    <w:top w:w="0" w:type="dxa"/>
                    <w:left w:w="0" w:type="dxa"/>
                    <w:bottom w:w="0" w:type="dxa"/>
                    <w:right w:w="0" w:type="dxa"/>
                  </w:tcMar>
                  <w:vAlign w:val="center"/>
                </w:tcPr>
                <w:p w14:paraId="6593F708">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60.5</w:t>
                  </w:r>
                </w:p>
              </w:tc>
              <w:tc>
                <w:tcPr>
                  <w:tcW w:w="525" w:type="dxa"/>
                  <w:shd w:val="clear" w:color="auto" w:fill="FFFFFF"/>
                  <w:tcMar>
                    <w:top w:w="0" w:type="dxa"/>
                    <w:left w:w="0" w:type="dxa"/>
                    <w:bottom w:w="0" w:type="dxa"/>
                    <w:right w:w="0" w:type="dxa"/>
                  </w:tcMar>
                  <w:vAlign w:val="center"/>
                </w:tcPr>
                <w:p w14:paraId="285AE2EE">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60.5</w:t>
                  </w:r>
                </w:p>
              </w:tc>
              <w:tc>
                <w:tcPr>
                  <w:tcW w:w="638" w:type="dxa"/>
                  <w:shd w:val="clear" w:color="auto" w:fill="FFFFFF"/>
                  <w:tcMar>
                    <w:top w:w="0" w:type="dxa"/>
                    <w:left w:w="0" w:type="dxa"/>
                    <w:bottom w:w="0" w:type="dxa"/>
                    <w:right w:w="0" w:type="dxa"/>
                  </w:tcMar>
                  <w:vAlign w:val="center"/>
                </w:tcPr>
                <w:p w14:paraId="4D76104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w:t>
                  </w:r>
                </w:p>
              </w:tc>
            </w:tr>
            <w:tr w14:paraId="087C48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52" w:hRule="atLeast"/>
              </w:trPr>
              <w:tc>
                <w:tcPr>
                  <w:tcW w:w="391" w:type="dxa"/>
                  <w:shd w:val="clear" w:color="auto" w:fill="FFFFFF"/>
                  <w:tcMar>
                    <w:top w:w="0" w:type="dxa"/>
                    <w:left w:w="0" w:type="dxa"/>
                    <w:bottom w:w="0" w:type="dxa"/>
                    <w:right w:w="0" w:type="dxa"/>
                  </w:tcMar>
                  <w:vAlign w:val="center"/>
                </w:tcPr>
                <w:p w14:paraId="672C96F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2</w:t>
                  </w:r>
                </w:p>
              </w:tc>
              <w:tc>
                <w:tcPr>
                  <w:tcW w:w="505" w:type="dxa"/>
                  <w:shd w:val="clear" w:color="auto" w:fill="FFFFFF"/>
                  <w:tcMar>
                    <w:top w:w="0" w:type="dxa"/>
                    <w:left w:w="0" w:type="dxa"/>
                    <w:bottom w:w="0" w:type="dxa"/>
                    <w:right w:w="0" w:type="dxa"/>
                  </w:tcMar>
                  <w:vAlign w:val="center"/>
                </w:tcPr>
                <w:p w14:paraId="4C7811B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叉车</w:t>
                  </w:r>
                  <w:r>
                    <w:rPr>
                      <w:rFonts w:hint="default" w:ascii="Times New Roman" w:hAnsi="Times New Roman" w:eastAsia="宋体" w:cs="Times New Roman"/>
                      <w:b w:val="0"/>
                      <w:bCs/>
                      <w:color w:val="auto"/>
                      <w:sz w:val="21"/>
                      <w:szCs w:val="21"/>
                      <w:highlight w:val="none"/>
                      <w:lang w:val="en-US" w:eastAsia="zh-CN"/>
                    </w:rPr>
                    <w:t>1</w:t>
                  </w:r>
                </w:p>
              </w:tc>
              <w:tc>
                <w:tcPr>
                  <w:tcW w:w="657" w:type="dxa"/>
                  <w:shd w:val="clear" w:color="auto" w:fill="FFFFFF"/>
                  <w:tcMar>
                    <w:top w:w="0" w:type="dxa"/>
                    <w:left w:w="0" w:type="dxa"/>
                    <w:bottom w:w="0" w:type="dxa"/>
                    <w:right w:w="0" w:type="dxa"/>
                  </w:tcMar>
                  <w:vAlign w:val="center"/>
                </w:tcPr>
                <w:p w14:paraId="787A461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70</w:t>
                  </w:r>
                </w:p>
              </w:tc>
              <w:tc>
                <w:tcPr>
                  <w:tcW w:w="881" w:type="dxa"/>
                  <w:vMerge w:val="restart"/>
                  <w:shd w:val="clear" w:color="auto" w:fill="FFFFFF"/>
                  <w:tcMar>
                    <w:top w:w="0" w:type="dxa"/>
                    <w:left w:w="0" w:type="dxa"/>
                    <w:bottom w:w="0" w:type="dxa"/>
                    <w:right w:w="0" w:type="dxa"/>
                  </w:tcMar>
                  <w:vAlign w:val="center"/>
                </w:tcPr>
                <w:p w14:paraId="6528DB0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基础减振、厂房隔声</w:t>
                  </w:r>
                </w:p>
              </w:tc>
              <w:tc>
                <w:tcPr>
                  <w:tcW w:w="450" w:type="dxa"/>
                  <w:shd w:val="clear" w:color="auto" w:fill="FFFFFF"/>
                  <w:tcMar>
                    <w:top w:w="0" w:type="dxa"/>
                    <w:left w:w="0" w:type="dxa"/>
                    <w:bottom w:w="0" w:type="dxa"/>
                    <w:right w:w="0" w:type="dxa"/>
                  </w:tcMar>
                  <w:vAlign w:val="center"/>
                </w:tcPr>
                <w:p w14:paraId="089789C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-0.9</w:t>
                  </w:r>
                </w:p>
              </w:tc>
              <w:tc>
                <w:tcPr>
                  <w:tcW w:w="656" w:type="dxa"/>
                  <w:shd w:val="clear" w:color="auto" w:fill="FFFFFF"/>
                  <w:tcMar>
                    <w:top w:w="0" w:type="dxa"/>
                    <w:left w:w="0" w:type="dxa"/>
                    <w:bottom w:w="0" w:type="dxa"/>
                    <w:right w:w="0" w:type="dxa"/>
                  </w:tcMar>
                  <w:vAlign w:val="center"/>
                </w:tcPr>
                <w:p w14:paraId="23E461C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2.8</w:t>
                  </w:r>
                </w:p>
              </w:tc>
              <w:tc>
                <w:tcPr>
                  <w:tcW w:w="469" w:type="dxa"/>
                  <w:shd w:val="clear" w:color="auto" w:fill="FFFFFF"/>
                  <w:tcMar>
                    <w:top w:w="0" w:type="dxa"/>
                    <w:left w:w="0" w:type="dxa"/>
                    <w:bottom w:w="0" w:type="dxa"/>
                    <w:right w:w="0" w:type="dxa"/>
                  </w:tcMar>
                  <w:vAlign w:val="center"/>
                </w:tcPr>
                <w:p w14:paraId="7EE594E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1.2</w:t>
                  </w:r>
                </w:p>
              </w:tc>
              <w:tc>
                <w:tcPr>
                  <w:tcW w:w="656" w:type="dxa"/>
                  <w:shd w:val="clear" w:color="auto" w:fill="FFFFFF"/>
                  <w:tcMar>
                    <w:top w:w="0" w:type="dxa"/>
                    <w:left w:w="0" w:type="dxa"/>
                    <w:bottom w:w="0" w:type="dxa"/>
                    <w:right w:w="0" w:type="dxa"/>
                  </w:tcMar>
                  <w:vAlign w:val="center"/>
                </w:tcPr>
                <w:p w14:paraId="04AE88C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9.7</w:t>
                  </w:r>
                </w:p>
              </w:tc>
              <w:tc>
                <w:tcPr>
                  <w:tcW w:w="638" w:type="dxa"/>
                  <w:shd w:val="clear" w:color="auto" w:fill="FFFFFF"/>
                  <w:tcMar>
                    <w:top w:w="0" w:type="dxa"/>
                    <w:left w:w="0" w:type="dxa"/>
                    <w:bottom w:w="0" w:type="dxa"/>
                    <w:right w:w="0" w:type="dxa"/>
                  </w:tcMar>
                  <w:vAlign w:val="center"/>
                </w:tcPr>
                <w:p w14:paraId="5FA9434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29.9</w:t>
                  </w:r>
                </w:p>
              </w:tc>
              <w:tc>
                <w:tcPr>
                  <w:tcW w:w="656" w:type="dxa"/>
                  <w:shd w:val="clear" w:color="auto" w:fill="FFFFFF"/>
                  <w:tcMar>
                    <w:top w:w="0" w:type="dxa"/>
                    <w:left w:w="0" w:type="dxa"/>
                    <w:bottom w:w="0" w:type="dxa"/>
                    <w:right w:w="0" w:type="dxa"/>
                  </w:tcMar>
                  <w:vAlign w:val="center"/>
                </w:tcPr>
                <w:p w14:paraId="0B9D795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9.1</w:t>
                  </w:r>
                </w:p>
              </w:tc>
              <w:tc>
                <w:tcPr>
                  <w:tcW w:w="675" w:type="dxa"/>
                  <w:shd w:val="clear" w:color="auto" w:fill="FFFFFF"/>
                  <w:tcMar>
                    <w:top w:w="0" w:type="dxa"/>
                    <w:left w:w="0" w:type="dxa"/>
                    <w:bottom w:w="0" w:type="dxa"/>
                    <w:right w:w="0" w:type="dxa"/>
                  </w:tcMar>
                  <w:vAlign w:val="center"/>
                </w:tcPr>
                <w:p w14:paraId="3205BE5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21.3</w:t>
                  </w:r>
                </w:p>
              </w:tc>
              <w:tc>
                <w:tcPr>
                  <w:tcW w:w="675" w:type="dxa"/>
                  <w:shd w:val="clear" w:color="auto" w:fill="FFFFFF"/>
                  <w:tcMar>
                    <w:top w:w="0" w:type="dxa"/>
                    <w:left w:w="0" w:type="dxa"/>
                    <w:bottom w:w="0" w:type="dxa"/>
                    <w:right w:w="0" w:type="dxa"/>
                  </w:tcMar>
                  <w:vAlign w:val="center"/>
                </w:tcPr>
                <w:p w14:paraId="7B3277B0">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60.5</w:t>
                  </w:r>
                </w:p>
              </w:tc>
              <w:tc>
                <w:tcPr>
                  <w:tcW w:w="694" w:type="dxa"/>
                  <w:shd w:val="clear" w:color="auto" w:fill="FFFFFF"/>
                  <w:tcMar>
                    <w:top w:w="0" w:type="dxa"/>
                    <w:left w:w="0" w:type="dxa"/>
                    <w:bottom w:w="0" w:type="dxa"/>
                    <w:right w:w="0" w:type="dxa"/>
                  </w:tcMar>
                  <w:vAlign w:val="center"/>
                </w:tcPr>
                <w:p w14:paraId="0900371E">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60.5</w:t>
                  </w:r>
                </w:p>
              </w:tc>
              <w:tc>
                <w:tcPr>
                  <w:tcW w:w="656" w:type="dxa"/>
                  <w:shd w:val="clear" w:color="auto" w:fill="FFFFFF"/>
                  <w:tcMar>
                    <w:top w:w="0" w:type="dxa"/>
                    <w:left w:w="0" w:type="dxa"/>
                    <w:bottom w:w="0" w:type="dxa"/>
                    <w:right w:w="0" w:type="dxa"/>
                  </w:tcMar>
                  <w:vAlign w:val="center"/>
                </w:tcPr>
                <w:p w14:paraId="052BD9FA">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60.5</w:t>
                  </w:r>
                </w:p>
              </w:tc>
              <w:tc>
                <w:tcPr>
                  <w:tcW w:w="712" w:type="dxa"/>
                  <w:shd w:val="clear" w:color="auto" w:fill="FFFFFF"/>
                  <w:tcMar>
                    <w:top w:w="0" w:type="dxa"/>
                    <w:left w:w="0" w:type="dxa"/>
                    <w:bottom w:w="0" w:type="dxa"/>
                    <w:right w:w="0" w:type="dxa"/>
                  </w:tcMar>
                  <w:vAlign w:val="center"/>
                </w:tcPr>
                <w:p w14:paraId="3A6D5C7C">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60.5</w:t>
                  </w:r>
                </w:p>
              </w:tc>
              <w:tc>
                <w:tcPr>
                  <w:tcW w:w="563" w:type="dxa"/>
                  <w:vMerge w:val="continue"/>
                  <w:shd w:val="clear" w:color="auto" w:fill="FFFFFF"/>
                  <w:tcMar>
                    <w:top w:w="0" w:type="dxa"/>
                    <w:left w:w="0" w:type="dxa"/>
                    <w:bottom w:w="0" w:type="dxa"/>
                    <w:right w:w="0" w:type="dxa"/>
                  </w:tcMar>
                  <w:vAlign w:val="center"/>
                </w:tcPr>
                <w:p w14:paraId="76B68ED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p>
              </w:tc>
              <w:tc>
                <w:tcPr>
                  <w:tcW w:w="787" w:type="dxa"/>
                  <w:shd w:val="clear" w:color="auto" w:fill="FFFFFF"/>
                  <w:tcMar>
                    <w:top w:w="0" w:type="dxa"/>
                    <w:left w:w="0" w:type="dxa"/>
                    <w:bottom w:w="0" w:type="dxa"/>
                    <w:right w:w="0" w:type="dxa"/>
                  </w:tcMar>
                  <w:vAlign w:val="center"/>
                </w:tcPr>
                <w:p w14:paraId="757EC86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15.0</w:t>
                  </w:r>
                </w:p>
              </w:tc>
              <w:tc>
                <w:tcPr>
                  <w:tcW w:w="638" w:type="dxa"/>
                  <w:shd w:val="clear" w:color="auto" w:fill="FFFFFF"/>
                  <w:tcMar>
                    <w:top w:w="0" w:type="dxa"/>
                    <w:left w:w="0" w:type="dxa"/>
                    <w:bottom w:w="0" w:type="dxa"/>
                    <w:right w:w="0" w:type="dxa"/>
                  </w:tcMar>
                  <w:vAlign w:val="center"/>
                </w:tcPr>
                <w:p w14:paraId="0EB15896">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45.5</w:t>
                  </w:r>
                </w:p>
              </w:tc>
              <w:tc>
                <w:tcPr>
                  <w:tcW w:w="544" w:type="dxa"/>
                  <w:shd w:val="clear" w:color="auto" w:fill="FFFFFF"/>
                  <w:tcMar>
                    <w:top w:w="0" w:type="dxa"/>
                    <w:left w:w="0" w:type="dxa"/>
                    <w:bottom w:w="0" w:type="dxa"/>
                    <w:right w:w="0" w:type="dxa"/>
                  </w:tcMar>
                  <w:vAlign w:val="center"/>
                </w:tcPr>
                <w:p w14:paraId="5727040B">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45.5</w:t>
                  </w:r>
                </w:p>
              </w:tc>
              <w:tc>
                <w:tcPr>
                  <w:tcW w:w="487" w:type="dxa"/>
                  <w:shd w:val="clear" w:color="auto" w:fill="FFFFFF"/>
                  <w:tcMar>
                    <w:top w:w="0" w:type="dxa"/>
                    <w:left w:w="0" w:type="dxa"/>
                    <w:bottom w:w="0" w:type="dxa"/>
                    <w:right w:w="0" w:type="dxa"/>
                  </w:tcMar>
                  <w:vAlign w:val="center"/>
                </w:tcPr>
                <w:p w14:paraId="14E58D13">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45.5</w:t>
                  </w:r>
                </w:p>
              </w:tc>
              <w:tc>
                <w:tcPr>
                  <w:tcW w:w="525" w:type="dxa"/>
                  <w:shd w:val="clear" w:color="auto" w:fill="FFFFFF"/>
                  <w:tcMar>
                    <w:top w:w="0" w:type="dxa"/>
                    <w:left w:w="0" w:type="dxa"/>
                    <w:bottom w:w="0" w:type="dxa"/>
                    <w:right w:w="0" w:type="dxa"/>
                  </w:tcMar>
                  <w:vAlign w:val="center"/>
                </w:tcPr>
                <w:p w14:paraId="4E9A4C1F">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45.5</w:t>
                  </w:r>
                </w:p>
              </w:tc>
              <w:tc>
                <w:tcPr>
                  <w:tcW w:w="638" w:type="dxa"/>
                  <w:shd w:val="clear" w:color="auto" w:fill="FFFFFF"/>
                  <w:tcMar>
                    <w:top w:w="0" w:type="dxa"/>
                    <w:left w:w="0" w:type="dxa"/>
                    <w:bottom w:w="0" w:type="dxa"/>
                    <w:right w:w="0" w:type="dxa"/>
                  </w:tcMar>
                  <w:vAlign w:val="center"/>
                </w:tcPr>
                <w:p w14:paraId="6FD19C1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w:t>
                  </w:r>
                </w:p>
              </w:tc>
            </w:tr>
            <w:tr w14:paraId="7D29AF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77" w:hRule="atLeast"/>
              </w:trPr>
              <w:tc>
                <w:tcPr>
                  <w:tcW w:w="391" w:type="dxa"/>
                  <w:shd w:val="clear" w:color="auto" w:fill="FFFFFF"/>
                  <w:tcMar>
                    <w:top w:w="0" w:type="dxa"/>
                    <w:left w:w="0" w:type="dxa"/>
                    <w:bottom w:w="0" w:type="dxa"/>
                    <w:right w:w="0" w:type="dxa"/>
                  </w:tcMar>
                  <w:vAlign w:val="center"/>
                </w:tcPr>
                <w:p w14:paraId="7642ADC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w:t>
                  </w:r>
                </w:p>
              </w:tc>
              <w:tc>
                <w:tcPr>
                  <w:tcW w:w="505" w:type="dxa"/>
                  <w:shd w:val="clear" w:color="auto" w:fill="FFFFFF"/>
                  <w:tcMar>
                    <w:top w:w="0" w:type="dxa"/>
                    <w:left w:w="0" w:type="dxa"/>
                    <w:bottom w:w="0" w:type="dxa"/>
                    <w:right w:w="0" w:type="dxa"/>
                  </w:tcMar>
                  <w:vAlign w:val="center"/>
                </w:tcPr>
                <w:p w14:paraId="04A55AD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叉车</w:t>
                  </w:r>
                  <w:r>
                    <w:rPr>
                      <w:rFonts w:hint="default" w:ascii="Times New Roman" w:hAnsi="Times New Roman" w:eastAsia="宋体" w:cs="Times New Roman"/>
                      <w:b w:val="0"/>
                      <w:bCs/>
                      <w:color w:val="auto"/>
                      <w:sz w:val="21"/>
                      <w:szCs w:val="21"/>
                      <w:highlight w:val="none"/>
                      <w:lang w:val="en-US" w:eastAsia="zh-CN"/>
                    </w:rPr>
                    <w:t>2</w:t>
                  </w:r>
                </w:p>
              </w:tc>
              <w:tc>
                <w:tcPr>
                  <w:tcW w:w="657" w:type="dxa"/>
                  <w:shd w:val="clear" w:color="auto" w:fill="FFFFFF"/>
                  <w:tcMar>
                    <w:top w:w="0" w:type="dxa"/>
                    <w:left w:w="0" w:type="dxa"/>
                    <w:bottom w:w="0" w:type="dxa"/>
                    <w:right w:w="0" w:type="dxa"/>
                  </w:tcMar>
                  <w:vAlign w:val="center"/>
                </w:tcPr>
                <w:p w14:paraId="5B48FC7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70</w:t>
                  </w:r>
                </w:p>
              </w:tc>
              <w:tc>
                <w:tcPr>
                  <w:tcW w:w="881" w:type="dxa"/>
                  <w:vMerge w:val="continue"/>
                  <w:shd w:val="clear" w:color="auto" w:fill="FFFFFF"/>
                  <w:tcMar>
                    <w:top w:w="0" w:type="dxa"/>
                    <w:left w:w="0" w:type="dxa"/>
                    <w:bottom w:w="0" w:type="dxa"/>
                    <w:right w:w="0" w:type="dxa"/>
                  </w:tcMar>
                  <w:vAlign w:val="center"/>
                </w:tcPr>
                <w:p w14:paraId="6BAE87B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p>
              </w:tc>
              <w:tc>
                <w:tcPr>
                  <w:tcW w:w="450" w:type="dxa"/>
                  <w:shd w:val="clear" w:color="auto" w:fill="FFFFFF"/>
                  <w:tcMar>
                    <w:top w:w="0" w:type="dxa"/>
                    <w:left w:w="0" w:type="dxa"/>
                    <w:bottom w:w="0" w:type="dxa"/>
                    <w:right w:w="0" w:type="dxa"/>
                  </w:tcMar>
                  <w:vAlign w:val="center"/>
                </w:tcPr>
                <w:p w14:paraId="0158D16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-1.4</w:t>
                  </w:r>
                </w:p>
              </w:tc>
              <w:tc>
                <w:tcPr>
                  <w:tcW w:w="656" w:type="dxa"/>
                  <w:shd w:val="clear" w:color="auto" w:fill="FFFFFF"/>
                  <w:tcMar>
                    <w:top w:w="0" w:type="dxa"/>
                    <w:left w:w="0" w:type="dxa"/>
                    <w:bottom w:w="0" w:type="dxa"/>
                    <w:right w:w="0" w:type="dxa"/>
                  </w:tcMar>
                  <w:vAlign w:val="center"/>
                </w:tcPr>
                <w:p w14:paraId="73EAFCF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8.3</w:t>
                  </w:r>
                </w:p>
              </w:tc>
              <w:tc>
                <w:tcPr>
                  <w:tcW w:w="469" w:type="dxa"/>
                  <w:shd w:val="clear" w:color="auto" w:fill="FFFFFF"/>
                  <w:tcMar>
                    <w:top w:w="0" w:type="dxa"/>
                    <w:left w:w="0" w:type="dxa"/>
                    <w:bottom w:w="0" w:type="dxa"/>
                    <w:right w:w="0" w:type="dxa"/>
                  </w:tcMar>
                  <w:vAlign w:val="center"/>
                </w:tcPr>
                <w:p w14:paraId="6D7B82F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1.2</w:t>
                  </w:r>
                </w:p>
              </w:tc>
              <w:tc>
                <w:tcPr>
                  <w:tcW w:w="656" w:type="dxa"/>
                  <w:shd w:val="clear" w:color="auto" w:fill="FFFFFF"/>
                  <w:tcMar>
                    <w:top w:w="0" w:type="dxa"/>
                    <w:left w:w="0" w:type="dxa"/>
                    <w:bottom w:w="0" w:type="dxa"/>
                    <w:right w:w="0" w:type="dxa"/>
                  </w:tcMar>
                  <w:vAlign w:val="center"/>
                </w:tcPr>
                <w:p w14:paraId="19F6E16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10.2</w:t>
                  </w:r>
                </w:p>
              </w:tc>
              <w:tc>
                <w:tcPr>
                  <w:tcW w:w="638" w:type="dxa"/>
                  <w:shd w:val="clear" w:color="auto" w:fill="FFFFFF"/>
                  <w:tcMar>
                    <w:top w:w="0" w:type="dxa"/>
                    <w:left w:w="0" w:type="dxa"/>
                    <w:bottom w:w="0" w:type="dxa"/>
                    <w:right w:w="0" w:type="dxa"/>
                  </w:tcMar>
                  <w:vAlign w:val="center"/>
                </w:tcPr>
                <w:p w14:paraId="7A6EB26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35.4</w:t>
                  </w:r>
                </w:p>
              </w:tc>
              <w:tc>
                <w:tcPr>
                  <w:tcW w:w="656" w:type="dxa"/>
                  <w:shd w:val="clear" w:color="auto" w:fill="FFFFFF"/>
                  <w:tcMar>
                    <w:top w:w="0" w:type="dxa"/>
                    <w:left w:w="0" w:type="dxa"/>
                    <w:bottom w:w="0" w:type="dxa"/>
                    <w:right w:w="0" w:type="dxa"/>
                  </w:tcMar>
                  <w:vAlign w:val="center"/>
                </w:tcPr>
                <w:p w14:paraId="58E3CB1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8.6</w:t>
                  </w:r>
                </w:p>
              </w:tc>
              <w:tc>
                <w:tcPr>
                  <w:tcW w:w="675" w:type="dxa"/>
                  <w:shd w:val="clear" w:color="auto" w:fill="FFFFFF"/>
                  <w:tcMar>
                    <w:top w:w="0" w:type="dxa"/>
                    <w:left w:w="0" w:type="dxa"/>
                    <w:bottom w:w="0" w:type="dxa"/>
                    <w:right w:w="0" w:type="dxa"/>
                  </w:tcMar>
                  <w:vAlign w:val="center"/>
                </w:tcPr>
                <w:p w14:paraId="0B13040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15.8</w:t>
                  </w:r>
                </w:p>
              </w:tc>
              <w:tc>
                <w:tcPr>
                  <w:tcW w:w="675" w:type="dxa"/>
                  <w:shd w:val="clear" w:color="auto" w:fill="FFFFFF"/>
                  <w:tcMar>
                    <w:top w:w="0" w:type="dxa"/>
                    <w:left w:w="0" w:type="dxa"/>
                    <w:bottom w:w="0" w:type="dxa"/>
                    <w:right w:w="0" w:type="dxa"/>
                  </w:tcMar>
                  <w:vAlign w:val="center"/>
                </w:tcPr>
                <w:p w14:paraId="7DB58099">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60.5</w:t>
                  </w:r>
                </w:p>
              </w:tc>
              <w:tc>
                <w:tcPr>
                  <w:tcW w:w="694" w:type="dxa"/>
                  <w:shd w:val="clear" w:color="auto" w:fill="FFFFFF"/>
                  <w:tcMar>
                    <w:top w:w="0" w:type="dxa"/>
                    <w:left w:w="0" w:type="dxa"/>
                    <w:bottom w:w="0" w:type="dxa"/>
                    <w:right w:w="0" w:type="dxa"/>
                  </w:tcMar>
                  <w:vAlign w:val="center"/>
                </w:tcPr>
                <w:p w14:paraId="38249766">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60.5</w:t>
                  </w:r>
                </w:p>
              </w:tc>
              <w:tc>
                <w:tcPr>
                  <w:tcW w:w="656" w:type="dxa"/>
                  <w:shd w:val="clear" w:color="auto" w:fill="FFFFFF"/>
                  <w:tcMar>
                    <w:top w:w="0" w:type="dxa"/>
                    <w:left w:w="0" w:type="dxa"/>
                    <w:bottom w:w="0" w:type="dxa"/>
                    <w:right w:w="0" w:type="dxa"/>
                  </w:tcMar>
                  <w:vAlign w:val="center"/>
                </w:tcPr>
                <w:p w14:paraId="3FB98CC5">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60.5</w:t>
                  </w:r>
                </w:p>
              </w:tc>
              <w:tc>
                <w:tcPr>
                  <w:tcW w:w="712" w:type="dxa"/>
                  <w:shd w:val="clear" w:color="auto" w:fill="FFFFFF"/>
                  <w:tcMar>
                    <w:top w:w="0" w:type="dxa"/>
                    <w:left w:w="0" w:type="dxa"/>
                    <w:bottom w:w="0" w:type="dxa"/>
                    <w:right w:w="0" w:type="dxa"/>
                  </w:tcMar>
                  <w:vAlign w:val="center"/>
                </w:tcPr>
                <w:p w14:paraId="1D8BC347">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60.5</w:t>
                  </w:r>
                </w:p>
              </w:tc>
              <w:tc>
                <w:tcPr>
                  <w:tcW w:w="563" w:type="dxa"/>
                  <w:vMerge w:val="continue"/>
                  <w:shd w:val="clear" w:color="auto" w:fill="FFFFFF"/>
                  <w:tcMar>
                    <w:top w:w="0" w:type="dxa"/>
                    <w:left w:w="0" w:type="dxa"/>
                    <w:bottom w:w="0" w:type="dxa"/>
                    <w:right w:w="0" w:type="dxa"/>
                  </w:tcMar>
                  <w:vAlign w:val="center"/>
                </w:tcPr>
                <w:p w14:paraId="3E9FFE6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p>
              </w:tc>
              <w:tc>
                <w:tcPr>
                  <w:tcW w:w="787" w:type="dxa"/>
                  <w:shd w:val="clear" w:color="auto" w:fill="FFFFFF"/>
                  <w:tcMar>
                    <w:top w:w="0" w:type="dxa"/>
                    <w:left w:w="0" w:type="dxa"/>
                    <w:bottom w:w="0" w:type="dxa"/>
                    <w:right w:w="0" w:type="dxa"/>
                  </w:tcMar>
                  <w:vAlign w:val="center"/>
                </w:tcPr>
                <w:p w14:paraId="2BAF821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15.0</w:t>
                  </w:r>
                </w:p>
              </w:tc>
              <w:tc>
                <w:tcPr>
                  <w:tcW w:w="638" w:type="dxa"/>
                  <w:shd w:val="clear" w:color="auto" w:fill="FFFFFF"/>
                  <w:tcMar>
                    <w:top w:w="0" w:type="dxa"/>
                    <w:left w:w="0" w:type="dxa"/>
                    <w:bottom w:w="0" w:type="dxa"/>
                    <w:right w:w="0" w:type="dxa"/>
                  </w:tcMar>
                  <w:vAlign w:val="center"/>
                </w:tcPr>
                <w:p w14:paraId="2799C058">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45.5</w:t>
                  </w:r>
                </w:p>
              </w:tc>
              <w:tc>
                <w:tcPr>
                  <w:tcW w:w="544" w:type="dxa"/>
                  <w:shd w:val="clear" w:color="auto" w:fill="FFFFFF"/>
                  <w:tcMar>
                    <w:top w:w="0" w:type="dxa"/>
                    <w:left w:w="0" w:type="dxa"/>
                    <w:bottom w:w="0" w:type="dxa"/>
                    <w:right w:w="0" w:type="dxa"/>
                  </w:tcMar>
                  <w:vAlign w:val="center"/>
                </w:tcPr>
                <w:p w14:paraId="3B614793">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45.5</w:t>
                  </w:r>
                </w:p>
              </w:tc>
              <w:tc>
                <w:tcPr>
                  <w:tcW w:w="487" w:type="dxa"/>
                  <w:shd w:val="clear" w:color="auto" w:fill="FFFFFF"/>
                  <w:tcMar>
                    <w:top w:w="0" w:type="dxa"/>
                    <w:left w:w="0" w:type="dxa"/>
                    <w:bottom w:w="0" w:type="dxa"/>
                    <w:right w:w="0" w:type="dxa"/>
                  </w:tcMar>
                  <w:vAlign w:val="center"/>
                </w:tcPr>
                <w:p w14:paraId="0A0361F1">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45.5</w:t>
                  </w:r>
                </w:p>
              </w:tc>
              <w:tc>
                <w:tcPr>
                  <w:tcW w:w="525" w:type="dxa"/>
                  <w:shd w:val="clear" w:color="auto" w:fill="FFFFFF"/>
                  <w:tcMar>
                    <w:top w:w="0" w:type="dxa"/>
                    <w:left w:w="0" w:type="dxa"/>
                    <w:bottom w:w="0" w:type="dxa"/>
                    <w:right w:w="0" w:type="dxa"/>
                  </w:tcMar>
                  <w:vAlign w:val="center"/>
                </w:tcPr>
                <w:p w14:paraId="6970F093">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45.5</w:t>
                  </w:r>
                </w:p>
              </w:tc>
              <w:tc>
                <w:tcPr>
                  <w:tcW w:w="638" w:type="dxa"/>
                  <w:shd w:val="clear" w:color="auto" w:fill="FFFFFF"/>
                  <w:tcMar>
                    <w:top w:w="0" w:type="dxa"/>
                    <w:left w:w="0" w:type="dxa"/>
                    <w:bottom w:w="0" w:type="dxa"/>
                    <w:right w:w="0" w:type="dxa"/>
                  </w:tcMar>
                  <w:vAlign w:val="center"/>
                </w:tcPr>
                <w:p w14:paraId="259707A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w:t>
                  </w:r>
                </w:p>
              </w:tc>
            </w:tr>
            <w:tr w14:paraId="574ACD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391" w:type="dxa"/>
                  <w:shd w:val="clear" w:color="auto" w:fill="FFFFFF"/>
                  <w:tcMar>
                    <w:top w:w="0" w:type="dxa"/>
                    <w:left w:w="0" w:type="dxa"/>
                    <w:bottom w:w="0" w:type="dxa"/>
                    <w:right w:w="0" w:type="dxa"/>
                  </w:tcMar>
                  <w:vAlign w:val="center"/>
                </w:tcPr>
                <w:p w14:paraId="40A6DF4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w:t>
                  </w:r>
                </w:p>
              </w:tc>
              <w:tc>
                <w:tcPr>
                  <w:tcW w:w="505" w:type="dxa"/>
                  <w:shd w:val="clear" w:color="auto" w:fill="FFFFFF"/>
                  <w:tcMar>
                    <w:top w:w="0" w:type="dxa"/>
                    <w:left w:w="0" w:type="dxa"/>
                    <w:bottom w:w="0" w:type="dxa"/>
                    <w:right w:w="0" w:type="dxa"/>
                  </w:tcMar>
                  <w:vAlign w:val="center"/>
                </w:tcPr>
                <w:p w14:paraId="7FC1D31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运输车辆</w:t>
                  </w:r>
                </w:p>
              </w:tc>
              <w:tc>
                <w:tcPr>
                  <w:tcW w:w="657" w:type="dxa"/>
                  <w:shd w:val="clear" w:color="auto" w:fill="FFFFFF"/>
                  <w:tcMar>
                    <w:top w:w="0" w:type="dxa"/>
                    <w:left w:w="0" w:type="dxa"/>
                    <w:bottom w:w="0" w:type="dxa"/>
                    <w:right w:w="0" w:type="dxa"/>
                  </w:tcMar>
                  <w:vAlign w:val="center"/>
                </w:tcPr>
                <w:p w14:paraId="2EFFC57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70</w:t>
                  </w:r>
                </w:p>
              </w:tc>
              <w:tc>
                <w:tcPr>
                  <w:tcW w:w="881" w:type="dxa"/>
                  <w:vMerge w:val="continue"/>
                  <w:shd w:val="clear" w:color="auto" w:fill="FFFFFF"/>
                  <w:tcMar>
                    <w:top w:w="0" w:type="dxa"/>
                    <w:left w:w="0" w:type="dxa"/>
                    <w:bottom w:w="0" w:type="dxa"/>
                    <w:right w:w="0" w:type="dxa"/>
                  </w:tcMar>
                  <w:vAlign w:val="center"/>
                </w:tcPr>
                <w:p w14:paraId="2E8F078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p>
              </w:tc>
              <w:tc>
                <w:tcPr>
                  <w:tcW w:w="450" w:type="dxa"/>
                  <w:shd w:val="clear" w:color="auto" w:fill="FFFFFF"/>
                  <w:tcMar>
                    <w:top w:w="0" w:type="dxa"/>
                    <w:left w:w="0" w:type="dxa"/>
                    <w:bottom w:w="0" w:type="dxa"/>
                    <w:right w:w="0" w:type="dxa"/>
                  </w:tcMar>
                  <w:vAlign w:val="center"/>
                </w:tcPr>
                <w:p w14:paraId="59DC2B0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-6</w:t>
                  </w:r>
                </w:p>
              </w:tc>
              <w:tc>
                <w:tcPr>
                  <w:tcW w:w="656" w:type="dxa"/>
                  <w:shd w:val="clear" w:color="auto" w:fill="FFFFFF"/>
                  <w:tcMar>
                    <w:top w:w="0" w:type="dxa"/>
                    <w:left w:w="0" w:type="dxa"/>
                    <w:bottom w:w="0" w:type="dxa"/>
                    <w:right w:w="0" w:type="dxa"/>
                  </w:tcMar>
                  <w:vAlign w:val="center"/>
                </w:tcPr>
                <w:p w14:paraId="2DDA7B7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13.4</w:t>
                  </w:r>
                </w:p>
              </w:tc>
              <w:tc>
                <w:tcPr>
                  <w:tcW w:w="469" w:type="dxa"/>
                  <w:shd w:val="clear" w:color="auto" w:fill="FFFFFF"/>
                  <w:tcMar>
                    <w:top w:w="0" w:type="dxa"/>
                    <w:left w:w="0" w:type="dxa"/>
                    <w:bottom w:w="0" w:type="dxa"/>
                    <w:right w:w="0" w:type="dxa"/>
                  </w:tcMar>
                  <w:vAlign w:val="center"/>
                </w:tcPr>
                <w:p w14:paraId="61D0006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1.2</w:t>
                  </w:r>
                </w:p>
              </w:tc>
              <w:tc>
                <w:tcPr>
                  <w:tcW w:w="656" w:type="dxa"/>
                  <w:shd w:val="clear" w:color="auto" w:fill="FFFFFF"/>
                  <w:tcMar>
                    <w:top w:w="0" w:type="dxa"/>
                    <w:left w:w="0" w:type="dxa"/>
                    <w:bottom w:w="0" w:type="dxa"/>
                    <w:right w:w="0" w:type="dxa"/>
                  </w:tcMar>
                  <w:vAlign w:val="center"/>
                </w:tcPr>
                <w:p w14:paraId="6014F4A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14.8</w:t>
                  </w:r>
                </w:p>
              </w:tc>
              <w:tc>
                <w:tcPr>
                  <w:tcW w:w="638" w:type="dxa"/>
                  <w:shd w:val="clear" w:color="auto" w:fill="FFFFFF"/>
                  <w:tcMar>
                    <w:top w:w="0" w:type="dxa"/>
                    <w:left w:w="0" w:type="dxa"/>
                    <w:bottom w:w="0" w:type="dxa"/>
                    <w:right w:w="0" w:type="dxa"/>
                  </w:tcMar>
                  <w:vAlign w:val="center"/>
                </w:tcPr>
                <w:p w14:paraId="711D096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40.5</w:t>
                  </w:r>
                </w:p>
              </w:tc>
              <w:tc>
                <w:tcPr>
                  <w:tcW w:w="656" w:type="dxa"/>
                  <w:shd w:val="clear" w:color="auto" w:fill="FFFFFF"/>
                  <w:tcMar>
                    <w:top w:w="0" w:type="dxa"/>
                    <w:left w:w="0" w:type="dxa"/>
                    <w:bottom w:w="0" w:type="dxa"/>
                    <w:right w:w="0" w:type="dxa"/>
                  </w:tcMar>
                  <w:vAlign w:val="center"/>
                </w:tcPr>
                <w:p w14:paraId="563BB05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4.0</w:t>
                  </w:r>
                </w:p>
              </w:tc>
              <w:tc>
                <w:tcPr>
                  <w:tcW w:w="675" w:type="dxa"/>
                  <w:shd w:val="clear" w:color="auto" w:fill="FFFFFF"/>
                  <w:tcMar>
                    <w:top w:w="0" w:type="dxa"/>
                    <w:left w:w="0" w:type="dxa"/>
                    <w:bottom w:w="0" w:type="dxa"/>
                    <w:right w:w="0" w:type="dxa"/>
                  </w:tcMar>
                  <w:vAlign w:val="center"/>
                </w:tcPr>
                <w:p w14:paraId="3373029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10.7</w:t>
                  </w:r>
                </w:p>
              </w:tc>
              <w:tc>
                <w:tcPr>
                  <w:tcW w:w="675" w:type="dxa"/>
                  <w:shd w:val="clear" w:color="auto" w:fill="FFFFFF"/>
                  <w:tcMar>
                    <w:top w:w="0" w:type="dxa"/>
                    <w:left w:w="0" w:type="dxa"/>
                    <w:bottom w:w="0" w:type="dxa"/>
                    <w:right w:w="0" w:type="dxa"/>
                  </w:tcMar>
                  <w:vAlign w:val="center"/>
                </w:tcPr>
                <w:p w14:paraId="0567C947">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60.5</w:t>
                  </w:r>
                </w:p>
              </w:tc>
              <w:tc>
                <w:tcPr>
                  <w:tcW w:w="694" w:type="dxa"/>
                  <w:shd w:val="clear" w:color="auto" w:fill="FFFFFF"/>
                  <w:tcMar>
                    <w:top w:w="0" w:type="dxa"/>
                    <w:left w:w="0" w:type="dxa"/>
                    <w:bottom w:w="0" w:type="dxa"/>
                    <w:right w:w="0" w:type="dxa"/>
                  </w:tcMar>
                  <w:vAlign w:val="center"/>
                </w:tcPr>
                <w:p w14:paraId="09C54BDF">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60.5</w:t>
                  </w:r>
                </w:p>
              </w:tc>
              <w:tc>
                <w:tcPr>
                  <w:tcW w:w="656" w:type="dxa"/>
                  <w:shd w:val="clear" w:color="auto" w:fill="FFFFFF"/>
                  <w:tcMar>
                    <w:top w:w="0" w:type="dxa"/>
                    <w:left w:w="0" w:type="dxa"/>
                    <w:bottom w:w="0" w:type="dxa"/>
                    <w:right w:w="0" w:type="dxa"/>
                  </w:tcMar>
                  <w:vAlign w:val="center"/>
                </w:tcPr>
                <w:p w14:paraId="508F954C">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60.7</w:t>
                  </w:r>
                </w:p>
              </w:tc>
              <w:tc>
                <w:tcPr>
                  <w:tcW w:w="712" w:type="dxa"/>
                  <w:shd w:val="clear" w:color="auto" w:fill="FFFFFF"/>
                  <w:tcMar>
                    <w:top w:w="0" w:type="dxa"/>
                    <w:left w:w="0" w:type="dxa"/>
                    <w:bottom w:w="0" w:type="dxa"/>
                    <w:right w:w="0" w:type="dxa"/>
                  </w:tcMar>
                  <w:vAlign w:val="center"/>
                </w:tcPr>
                <w:p w14:paraId="149D0184">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60.5</w:t>
                  </w:r>
                </w:p>
              </w:tc>
              <w:tc>
                <w:tcPr>
                  <w:tcW w:w="563" w:type="dxa"/>
                  <w:vMerge w:val="continue"/>
                  <w:shd w:val="clear" w:color="auto" w:fill="FFFFFF"/>
                  <w:tcMar>
                    <w:top w:w="0" w:type="dxa"/>
                    <w:left w:w="0" w:type="dxa"/>
                    <w:bottom w:w="0" w:type="dxa"/>
                    <w:right w:w="0" w:type="dxa"/>
                  </w:tcMar>
                  <w:vAlign w:val="center"/>
                </w:tcPr>
                <w:p w14:paraId="01FB230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p>
              </w:tc>
              <w:tc>
                <w:tcPr>
                  <w:tcW w:w="787" w:type="dxa"/>
                  <w:shd w:val="clear" w:color="auto" w:fill="FFFFFF"/>
                  <w:tcMar>
                    <w:top w:w="0" w:type="dxa"/>
                    <w:left w:w="0" w:type="dxa"/>
                    <w:bottom w:w="0" w:type="dxa"/>
                    <w:right w:w="0" w:type="dxa"/>
                  </w:tcMar>
                  <w:vAlign w:val="center"/>
                </w:tcPr>
                <w:p w14:paraId="125C66B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15.0</w:t>
                  </w:r>
                </w:p>
              </w:tc>
              <w:tc>
                <w:tcPr>
                  <w:tcW w:w="638" w:type="dxa"/>
                  <w:shd w:val="clear" w:color="auto" w:fill="FFFFFF"/>
                  <w:tcMar>
                    <w:top w:w="0" w:type="dxa"/>
                    <w:left w:w="0" w:type="dxa"/>
                    <w:bottom w:w="0" w:type="dxa"/>
                    <w:right w:w="0" w:type="dxa"/>
                  </w:tcMar>
                  <w:vAlign w:val="center"/>
                </w:tcPr>
                <w:p w14:paraId="5D25E3A6">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45.5</w:t>
                  </w:r>
                </w:p>
              </w:tc>
              <w:tc>
                <w:tcPr>
                  <w:tcW w:w="544" w:type="dxa"/>
                  <w:shd w:val="clear" w:color="auto" w:fill="FFFFFF"/>
                  <w:tcMar>
                    <w:top w:w="0" w:type="dxa"/>
                    <w:left w:w="0" w:type="dxa"/>
                    <w:bottom w:w="0" w:type="dxa"/>
                    <w:right w:w="0" w:type="dxa"/>
                  </w:tcMar>
                  <w:vAlign w:val="center"/>
                </w:tcPr>
                <w:p w14:paraId="26E8E681">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45.5</w:t>
                  </w:r>
                </w:p>
              </w:tc>
              <w:tc>
                <w:tcPr>
                  <w:tcW w:w="487" w:type="dxa"/>
                  <w:shd w:val="clear" w:color="auto" w:fill="FFFFFF"/>
                  <w:tcMar>
                    <w:top w:w="0" w:type="dxa"/>
                    <w:left w:w="0" w:type="dxa"/>
                    <w:bottom w:w="0" w:type="dxa"/>
                    <w:right w:w="0" w:type="dxa"/>
                  </w:tcMar>
                  <w:vAlign w:val="center"/>
                </w:tcPr>
                <w:p w14:paraId="4E1E4847">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45.7</w:t>
                  </w:r>
                </w:p>
              </w:tc>
              <w:tc>
                <w:tcPr>
                  <w:tcW w:w="525" w:type="dxa"/>
                  <w:shd w:val="clear" w:color="auto" w:fill="FFFFFF"/>
                  <w:tcMar>
                    <w:top w:w="0" w:type="dxa"/>
                    <w:left w:w="0" w:type="dxa"/>
                    <w:bottom w:w="0" w:type="dxa"/>
                    <w:right w:w="0" w:type="dxa"/>
                  </w:tcMar>
                  <w:vAlign w:val="center"/>
                </w:tcPr>
                <w:p w14:paraId="7ABF3472">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45.5</w:t>
                  </w:r>
                </w:p>
              </w:tc>
              <w:tc>
                <w:tcPr>
                  <w:tcW w:w="638" w:type="dxa"/>
                  <w:shd w:val="clear" w:color="auto" w:fill="FFFFFF"/>
                  <w:tcMar>
                    <w:top w:w="0" w:type="dxa"/>
                    <w:left w:w="0" w:type="dxa"/>
                    <w:bottom w:w="0" w:type="dxa"/>
                    <w:right w:w="0" w:type="dxa"/>
                  </w:tcMar>
                  <w:vAlign w:val="center"/>
                </w:tcPr>
                <w:p w14:paraId="28E3406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w:t>
                  </w:r>
                </w:p>
              </w:tc>
            </w:tr>
            <w:tr w14:paraId="15A4E4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391" w:type="dxa"/>
                  <w:shd w:val="clear" w:color="auto" w:fill="FFFFFF"/>
                  <w:tcMar>
                    <w:top w:w="0" w:type="dxa"/>
                    <w:left w:w="0" w:type="dxa"/>
                    <w:bottom w:w="0" w:type="dxa"/>
                    <w:right w:w="0" w:type="dxa"/>
                  </w:tcMar>
                  <w:vAlign w:val="center"/>
                </w:tcPr>
                <w:p w14:paraId="5F1DC2A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5</w:t>
                  </w:r>
                </w:p>
              </w:tc>
              <w:tc>
                <w:tcPr>
                  <w:tcW w:w="505" w:type="dxa"/>
                  <w:shd w:val="clear" w:color="auto" w:fill="FFFFFF"/>
                  <w:tcMar>
                    <w:top w:w="0" w:type="dxa"/>
                    <w:left w:w="0" w:type="dxa"/>
                    <w:bottom w:w="0" w:type="dxa"/>
                    <w:right w:w="0" w:type="dxa"/>
                  </w:tcMar>
                  <w:vAlign w:val="center"/>
                </w:tcPr>
                <w:p w14:paraId="36CE00D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喷淋塔</w:t>
                  </w:r>
                </w:p>
              </w:tc>
              <w:tc>
                <w:tcPr>
                  <w:tcW w:w="657" w:type="dxa"/>
                  <w:shd w:val="clear" w:color="auto" w:fill="FFFFFF"/>
                  <w:tcMar>
                    <w:top w:w="0" w:type="dxa"/>
                    <w:left w:w="0" w:type="dxa"/>
                    <w:bottom w:w="0" w:type="dxa"/>
                    <w:right w:w="0" w:type="dxa"/>
                  </w:tcMar>
                  <w:vAlign w:val="center"/>
                </w:tcPr>
                <w:p w14:paraId="017B5DB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70</w:t>
                  </w:r>
                </w:p>
              </w:tc>
              <w:tc>
                <w:tcPr>
                  <w:tcW w:w="881" w:type="dxa"/>
                  <w:vMerge w:val="continue"/>
                  <w:shd w:val="clear" w:color="auto" w:fill="FFFFFF"/>
                  <w:tcMar>
                    <w:top w:w="0" w:type="dxa"/>
                    <w:left w:w="0" w:type="dxa"/>
                    <w:bottom w:w="0" w:type="dxa"/>
                    <w:right w:w="0" w:type="dxa"/>
                  </w:tcMar>
                  <w:vAlign w:val="center"/>
                </w:tcPr>
                <w:p w14:paraId="3F90DA3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p>
              </w:tc>
              <w:tc>
                <w:tcPr>
                  <w:tcW w:w="450" w:type="dxa"/>
                  <w:shd w:val="clear" w:color="auto" w:fill="FFFFFF"/>
                  <w:tcMar>
                    <w:top w:w="0" w:type="dxa"/>
                    <w:left w:w="0" w:type="dxa"/>
                    <w:bottom w:w="0" w:type="dxa"/>
                    <w:right w:w="0" w:type="dxa"/>
                  </w:tcMar>
                  <w:vAlign w:val="center"/>
                </w:tcPr>
                <w:p w14:paraId="61B16B6D">
                  <w:pP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4.3</w:t>
                  </w:r>
                </w:p>
              </w:tc>
              <w:tc>
                <w:tcPr>
                  <w:tcW w:w="656" w:type="dxa"/>
                  <w:shd w:val="clear" w:color="auto" w:fill="FFFFFF"/>
                  <w:tcMar>
                    <w:top w:w="0" w:type="dxa"/>
                    <w:left w:w="0" w:type="dxa"/>
                    <w:bottom w:w="0" w:type="dxa"/>
                    <w:right w:w="0" w:type="dxa"/>
                  </w:tcMar>
                  <w:vAlign w:val="center"/>
                </w:tcPr>
                <w:p w14:paraId="253A5202">
                  <w:pP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-25.7</w:t>
                  </w:r>
                </w:p>
              </w:tc>
              <w:tc>
                <w:tcPr>
                  <w:tcW w:w="469" w:type="dxa"/>
                  <w:shd w:val="clear" w:color="auto" w:fill="FFFFFF"/>
                  <w:tcMar>
                    <w:top w:w="0" w:type="dxa"/>
                    <w:left w:w="0" w:type="dxa"/>
                    <w:bottom w:w="0" w:type="dxa"/>
                    <w:right w:w="0" w:type="dxa"/>
                  </w:tcMar>
                  <w:vAlign w:val="center"/>
                </w:tcPr>
                <w:p w14:paraId="2C4976B4">
                  <w:pP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1.2</w:t>
                  </w:r>
                </w:p>
              </w:tc>
              <w:tc>
                <w:tcPr>
                  <w:tcW w:w="656" w:type="dxa"/>
                  <w:shd w:val="clear" w:color="auto" w:fill="FFFFFF"/>
                  <w:tcMar>
                    <w:top w:w="0" w:type="dxa"/>
                    <w:left w:w="0" w:type="dxa"/>
                    <w:bottom w:w="0" w:type="dxa"/>
                    <w:right w:w="0" w:type="dxa"/>
                  </w:tcMar>
                  <w:vAlign w:val="center"/>
                </w:tcPr>
                <w:p w14:paraId="012C116E">
                  <w:pP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4.5</w:t>
                  </w:r>
                </w:p>
              </w:tc>
              <w:tc>
                <w:tcPr>
                  <w:tcW w:w="638" w:type="dxa"/>
                  <w:shd w:val="clear" w:color="auto" w:fill="FFFFFF"/>
                  <w:tcMar>
                    <w:top w:w="0" w:type="dxa"/>
                    <w:left w:w="0" w:type="dxa"/>
                    <w:bottom w:w="0" w:type="dxa"/>
                    <w:right w:w="0" w:type="dxa"/>
                  </w:tcMar>
                  <w:vAlign w:val="center"/>
                </w:tcPr>
                <w:p w14:paraId="72094916">
                  <w:pP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1.4</w:t>
                  </w:r>
                </w:p>
              </w:tc>
              <w:tc>
                <w:tcPr>
                  <w:tcW w:w="656" w:type="dxa"/>
                  <w:shd w:val="clear" w:color="auto" w:fill="FFFFFF"/>
                  <w:tcMar>
                    <w:top w:w="0" w:type="dxa"/>
                    <w:left w:w="0" w:type="dxa"/>
                    <w:bottom w:w="0" w:type="dxa"/>
                    <w:right w:w="0" w:type="dxa"/>
                  </w:tcMar>
                  <w:vAlign w:val="center"/>
                </w:tcPr>
                <w:p w14:paraId="3DE76C6D">
                  <w:pP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14.3</w:t>
                  </w:r>
                </w:p>
              </w:tc>
              <w:tc>
                <w:tcPr>
                  <w:tcW w:w="675" w:type="dxa"/>
                  <w:shd w:val="clear" w:color="auto" w:fill="FFFFFF"/>
                  <w:tcMar>
                    <w:top w:w="0" w:type="dxa"/>
                    <w:left w:w="0" w:type="dxa"/>
                    <w:bottom w:w="0" w:type="dxa"/>
                    <w:right w:w="0" w:type="dxa"/>
                  </w:tcMar>
                  <w:vAlign w:val="center"/>
                </w:tcPr>
                <w:p w14:paraId="1DAE9D39">
                  <w:pP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49.8</w:t>
                  </w:r>
                </w:p>
              </w:tc>
              <w:tc>
                <w:tcPr>
                  <w:tcW w:w="675" w:type="dxa"/>
                  <w:shd w:val="clear" w:color="auto" w:fill="FFFFFF"/>
                  <w:tcMar>
                    <w:top w:w="0" w:type="dxa"/>
                    <w:left w:w="0" w:type="dxa"/>
                    <w:bottom w:w="0" w:type="dxa"/>
                    <w:right w:w="0" w:type="dxa"/>
                  </w:tcMar>
                  <w:vAlign w:val="center"/>
                </w:tcPr>
                <w:p w14:paraId="2D1356DE">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60.6</w:t>
                  </w:r>
                </w:p>
              </w:tc>
              <w:tc>
                <w:tcPr>
                  <w:tcW w:w="694" w:type="dxa"/>
                  <w:shd w:val="clear" w:color="auto" w:fill="FFFFFF"/>
                  <w:tcMar>
                    <w:top w:w="0" w:type="dxa"/>
                    <w:left w:w="0" w:type="dxa"/>
                    <w:bottom w:w="0" w:type="dxa"/>
                    <w:right w:w="0" w:type="dxa"/>
                  </w:tcMar>
                  <w:vAlign w:val="center"/>
                </w:tcPr>
                <w:p w14:paraId="2BD7D8EA">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61.8</w:t>
                  </w:r>
                </w:p>
              </w:tc>
              <w:tc>
                <w:tcPr>
                  <w:tcW w:w="656" w:type="dxa"/>
                  <w:shd w:val="clear" w:color="auto" w:fill="FFFFFF"/>
                  <w:tcMar>
                    <w:top w:w="0" w:type="dxa"/>
                    <w:left w:w="0" w:type="dxa"/>
                    <w:bottom w:w="0" w:type="dxa"/>
                    <w:right w:w="0" w:type="dxa"/>
                  </w:tcMar>
                  <w:vAlign w:val="center"/>
                </w:tcPr>
                <w:p w14:paraId="759368BC">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60.5</w:t>
                  </w:r>
                </w:p>
              </w:tc>
              <w:tc>
                <w:tcPr>
                  <w:tcW w:w="712" w:type="dxa"/>
                  <w:shd w:val="clear" w:color="auto" w:fill="FFFFFF"/>
                  <w:tcMar>
                    <w:top w:w="0" w:type="dxa"/>
                    <w:left w:w="0" w:type="dxa"/>
                    <w:bottom w:w="0" w:type="dxa"/>
                    <w:right w:w="0" w:type="dxa"/>
                  </w:tcMar>
                  <w:vAlign w:val="center"/>
                </w:tcPr>
                <w:p w14:paraId="2C5E4352">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60.5</w:t>
                  </w:r>
                </w:p>
              </w:tc>
              <w:tc>
                <w:tcPr>
                  <w:tcW w:w="563" w:type="dxa"/>
                  <w:vMerge w:val="continue"/>
                  <w:shd w:val="clear" w:color="auto" w:fill="FFFFFF"/>
                  <w:tcMar>
                    <w:top w:w="0" w:type="dxa"/>
                    <w:left w:w="0" w:type="dxa"/>
                    <w:bottom w:w="0" w:type="dxa"/>
                    <w:right w:w="0" w:type="dxa"/>
                  </w:tcMar>
                  <w:vAlign w:val="center"/>
                </w:tcPr>
                <w:p w14:paraId="5322F8C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p>
              </w:tc>
              <w:tc>
                <w:tcPr>
                  <w:tcW w:w="787" w:type="dxa"/>
                  <w:shd w:val="clear" w:color="auto" w:fill="FFFFFF"/>
                  <w:tcMar>
                    <w:top w:w="0" w:type="dxa"/>
                    <w:left w:w="0" w:type="dxa"/>
                    <w:bottom w:w="0" w:type="dxa"/>
                    <w:right w:w="0" w:type="dxa"/>
                  </w:tcMar>
                  <w:vAlign w:val="center"/>
                </w:tcPr>
                <w:p w14:paraId="20E764E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15.0</w:t>
                  </w:r>
                </w:p>
              </w:tc>
              <w:tc>
                <w:tcPr>
                  <w:tcW w:w="638" w:type="dxa"/>
                  <w:shd w:val="clear" w:color="auto" w:fill="FFFFFF"/>
                  <w:tcMar>
                    <w:top w:w="0" w:type="dxa"/>
                    <w:left w:w="0" w:type="dxa"/>
                    <w:bottom w:w="0" w:type="dxa"/>
                    <w:right w:w="0" w:type="dxa"/>
                  </w:tcMar>
                  <w:vAlign w:val="center"/>
                </w:tcPr>
                <w:p w14:paraId="78BEF874">
                  <w:pPr>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color w:val="auto"/>
                      <w:sz w:val="21"/>
                      <w:szCs w:val="21"/>
                      <w:highlight w:val="none"/>
                    </w:rPr>
                    <w:t>45.6</w:t>
                  </w:r>
                </w:p>
              </w:tc>
              <w:tc>
                <w:tcPr>
                  <w:tcW w:w="544" w:type="dxa"/>
                  <w:shd w:val="clear" w:color="auto" w:fill="FFFFFF"/>
                  <w:tcMar>
                    <w:top w:w="0" w:type="dxa"/>
                    <w:left w:w="0" w:type="dxa"/>
                    <w:bottom w:w="0" w:type="dxa"/>
                    <w:right w:w="0" w:type="dxa"/>
                  </w:tcMar>
                  <w:vAlign w:val="center"/>
                </w:tcPr>
                <w:p w14:paraId="5F29BBF9">
                  <w:pPr>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color w:val="auto"/>
                      <w:sz w:val="21"/>
                      <w:szCs w:val="21"/>
                      <w:highlight w:val="none"/>
                    </w:rPr>
                    <w:t>46.8</w:t>
                  </w:r>
                </w:p>
              </w:tc>
              <w:tc>
                <w:tcPr>
                  <w:tcW w:w="487" w:type="dxa"/>
                  <w:shd w:val="clear" w:color="auto" w:fill="FFFFFF"/>
                  <w:tcMar>
                    <w:top w:w="0" w:type="dxa"/>
                    <w:left w:w="0" w:type="dxa"/>
                    <w:bottom w:w="0" w:type="dxa"/>
                    <w:right w:w="0" w:type="dxa"/>
                  </w:tcMar>
                  <w:vAlign w:val="center"/>
                </w:tcPr>
                <w:p w14:paraId="2B4A4551">
                  <w:pPr>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color w:val="auto"/>
                      <w:sz w:val="21"/>
                      <w:szCs w:val="21"/>
                      <w:highlight w:val="none"/>
                    </w:rPr>
                    <w:t>45.5</w:t>
                  </w:r>
                </w:p>
              </w:tc>
              <w:tc>
                <w:tcPr>
                  <w:tcW w:w="525" w:type="dxa"/>
                  <w:shd w:val="clear" w:color="auto" w:fill="FFFFFF"/>
                  <w:tcMar>
                    <w:top w:w="0" w:type="dxa"/>
                    <w:left w:w="0" w:type="dxa"/>
                    <w:bottom w:w="0" w:type="dxa"/>
                    <w:right w:w="0" w:type="dxa"/>
                  </w:tcMar>
                  <w:vAlign w:val="center"/>
                </w:tcPr>
                <w:p w14:paraId="198BFE16">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45.5</w:t>
                  </w:r>
                </w:p>
              </w:tc>
              <w:tc>
                <w:tcPr>
                  <w:tcW w:w="638" w:type="dxa"/>
                  <w:shd w:val="clear" w:color="auto" w:fill="FFFFFF"/>
                  <w:tcMar>
                    <w:top w:w="0" w:type="dxa"/>
                    <w:left w:w="0" w:type="dxa"/>
                    <w:bottom w:w="0" w:type="dxa"/>
                    <w:right w:w="0" w:type="dxa"/>
                  </w:tcMar>
                  <w:vAlign w:val="center"/>
                </w:tcPr>
                <w:p w14:paraId="6ACEFB7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w:t>
                  </w:r>
                </w:p>
              </w:tc>
            </w:tr>
          </w:tbl>
          <w:p w14:paraId="765887E4">
            <w:pPr>
              <w:rPr>
                <w:rFonts w:ascii="Times New Roman" w:hAnsi="Times New Roman" w:cs="Times New Roman"/>
                <w:color w:val="auto"/>
                <w:highlight w:val="none"/>
              </w:rPr>
            </w:pPr>
            <w:r>
              <w:rPr>
                <w:rFonts w:hint="eastAsia" w:ascii="Times New Roman" w:hAnsi="Times New Roman" w:cs="Times New Roman" w:eastAsiaTheme="minorEastAsia"/>
                <w:b w:val="0"/>
                <w:bCs/>
                <w:color w:val="auto"/>
                <w:sz w:val="21"/>
                <w:szCs w:val="21"/>
                <w:highlight w:val="none"/>
                <w:lang w:val="en-US" w:eastAsia="zh-CN"/>
              </w:rPr>
              <w:t>注：</w:t>
            </w:r>
            <w:r>
              <w:rPr>
                <w:rFonts w:hint="default" w:ascii="Times New Roman" w:hAnsi="Times New Roman" w:cs="Times New Roman" w:eastAsiaTheme="minorEastAsia"/>
                <w:b w:val="0"/>
                <w:bCs/>
                <w:color w:val="auto"/>
                <w:sz w:val="21"/>
                <w:szCs w:val="21"/>
                <w:highlight w:val="none"/>
                <w:lang w:val="en-US" w:eastAsia="zh-CN"/>
              </w:rPr>
              <w:t>表中坐标以厂</w:t>
            </w:r>
            <w:r>
              <w:rPr>
                <w:rFonts w:hint="eastAsia" w:ascii="Times New Roman" w:hAnsi="Times New Roman" w:cs="Times New Roman" w:eastAsiaTheme="minorEastAsia"/>
                <w:b w:val="0"/>
                <w:bCs/>
                <w:color w:val="auto"/>
                <w:sz w:val="21"/>
                <w:szCs w:val="21"/>
                <w:highlight w:val="none"/>
                <w:lang w:val="en-US" w:eastAsia="zh-CN"/>
              </w:rPr>
              <w:t>区</w:t>
            </w:r>
            <w:r>
              <w:rPr>
                <w:rFonts w:hint="default" w:ascii="Times New Roman" w:hAnsi="Times New Roman" w:cs="Times New Roman" w:eastAsiaTheme="minorEastAsia"/>
                <w:b w:val="0"/>
                <w:bCs/>
                <w:color w:val="auto"/>
                <w:sz w:val="21"/>
                <w:szCs w:val="21"/>
                <w:highlight w:val="none"/>
                <w:lang w:val="en-US" w:eastAsia="zh-CN"/>
              </w:rPr>
              <w:t>中心（115.466369,39.050941）为坐标原点，正东向为X轴正方向，正北向为Y轴正方向</w:t>
            </w:r>
          </w:p>
          <w:p w14:paraId="2F7F6002">
            <w:pPr>
              <w:pStyle w:val="60"/>
              <w:numPr>
                <w:ilvl w:val="0"/>
                <w:numId w:val="0"/>
              </w:numPr>
              <w:adjustRightInd w:val="0"/>
              <w:snapToGrid w:val="0"/>
              <w:spacing w:beforeLines="0" w:line="500" w:lineRule="exact"/>
              <w:rPr>
                <w:rFonts w:eastAsiaTheme="minorEastAsia"/>
                <w:snapToGrid/>
                <w:color w:val="auto"/>
                <w:kern w:val="2"/>
                <w:szCs w:val="24"/>
                <w:highlight w:val="none"/>
              </w:rPr>
            </w:pPr>
            <w:r>
              <w:rPr>
                <w:rFonts w:eastAsiaTheme="minorEastAsia"/>
                <w:snapToGrid/>
                <w:color w:val="auto"/>
                <w:kern w:val="2"/>
                <w:szCs w:val="24"/>
                <w:highlight w:val="none"/>
              </w:rPr>
              <w:t>表4-</w:t>
            </w:r>
            <w:r>
              <w:rPr>
                <w:rFonts w:hint="eastAsia" w:eastAsiaTheme="minorEastAsia"/>
                <w:snapToGrid/>
                <w:color w:val="auto"/>
                <w:kern w:val="2"/>
                <w:szCs w:val="24"/>
                <w:highlight w:val="none"/>
                <w:lang w:val="en-US" w:eastAsia="zh-CN"/>
              </w:rPr>
              <w:t>6.2</w:t>
            </w:r>
            <w:r>
              <w:rPr>
                <w:rFonts w:eastAsiaTheme="minorEastAsia"/>
                <w:snapToGrid/>
                <w:color w:val="auto"/>
                <w:kern w:val="2"/>
                <w:szCs w:val="24"/>
                <w:highlight w:val="none"/>
              </w:rPr>
              <w:t xml:space="preserve">  项目主要室内噪声源及治理措施一览表</w:t>
            </w:r>
            <w:r>
              <w:rPr>
                <w:rFonts w:hint="eastAsia" w:eastAsiaTheme="minorEastAsia"/>
                <w:snapToGrid/>
                <w:color w:val="auto"/>
                <w:kern w:val="2"/>
                <w:szCs w:val="24"/>
                <w:highlight w:val="none"/>
                <w:lang w:eastAsia="zh-CN"/>
              </w:rPr>
              <w:t>（</w:t>
            </w:r>
            <w:r>
              <w:rPr>
                <w:rFonts w:hint="eastAsia" w:eastAsiaTheme="minorEastAsia"/>
                <w:snapToGrid/>
                <w:color w:val="auto"/>
                <w:kern w:val="2"/>
                <w:szCs w:val="24"/>
                <w:highlight w:val="none"/>
                <w:lang w:val="en-US" w:eastAsia="zh-CN"/>
              </w:rPr>
              <w:t>室外声源</w:t>
            </w:r>
            <w:r>
              <w:rPr>
                <w:rFonts w:hint="eastAsia" w:eastAsiaTheme="minorEastAsia"/>
                <w:snapToGrid/>
                <w:color w:val="auto"/>
                <w:kern w:val="2"/>
                <w:szCs w:val="24"/>
                <w:highlight w:val="none"/>
                <w:lang w:eastAsia="zh-CN"/>
              </w:rPr>
              <w:t>）</w:t>
            </w:r>
          </w:p>
          <w:tbl>
            <w:tblPr>
              <w:tblStyle w:val="31"/>
              <w:tblW w:w="13669" w:type="dxa"/>
              <w:tblInd w:w="-5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856"/>
              <w:gridCol w:w="1500"/>
              <w:gridCol w:w="1650"/>
              <w:gridCol w:w="1425"/>
              <w:gridCol w:w="1894"/>
              <w:gridCol w:w="3544"/>
              <w:gridCol w:w="1125"/>
            </w:tblGrid>
            <w:tr w14:paraId="01703F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675" w:type="dxa"/>
                  <w:vMerge w:val="restart"/>
                  <w:vAlign w:val="center"/>
                </w:tcPr>
                <w:p w14:paraId="1002FA96">
                  <w:pPr>
                    <w:jc w:val="center"/>
                    <w:rPr>
                      <w:rFonts w:ascii="Times New Roman" w:hAnsi="Times New Roman" w:cs="Times New Roman" w:eastAsiaTheme="minorEastAsia"/>
                      <w:b w:val="0"/>
                      <w:bCs/>
                      <w:color w:val="auto"/>
                      <w:sz w:val="21"/>
                      <w:szCs w:val="21"/>
                      <w:highlight w:val="none"/>
                    </w:rPr>
                  </w:pPr>
                  <w:r>
                    <w:rPr>
                      <w:rFonts w:ascii="Times New Roman" w:hAnsi="Times New Roman" w:cs="Times New Roman" w:eastAsiaTheme="minorEastAsia"/>
                      <w:b w:val="0"/>
                      <w:bCs/>
                      <w:color w:val="auto"/>
                      <w:sz w:val="21"/>
                      <w:szCs w:val="21"/>
                      <w:highlight w:val="none"/>
                    </w:rPr>
                    <w:t>序号</w:t>
                  </w:r>
                </w:p>
              </w:tc>
              <w:tc>
                <w:tcPr>
                  <w:tcW w:w="1856" w:type="dxa"/>
                  <w:vMerge w:val="restart"/>
                  <w:vAlign w:val="center"/>
                </w:tcPr>
                <w:p w14:paraId="24726B26">
                  <w:pPr>
                    <w:jc w:val="center"/>
                    <w:rPr>
                      <w:rFonts w:ascii="Times New Roman" w:hAnsi="Times New Roman" w:cs="Times New Roman" w:eastAsiaTheme="minorEastAsia"/>
                      <w:b w:val="0"/>
                      <w:bCs/>
                      <w:color w:val="auto"/>
                      <w:sz w:val="21"/>
                      <w:szCs w:val="21"/>
                      <w:highlight w:val="none"/>
                    </w:rPr>
                  </w:pPr>
                  <w:r>
                    <w:rPr>
                      <w:rFonts w:ascii="Times New Roman" w:hAnsi="Times New Roman" w:cs="Times New Roman" w:eastAsiaTheme="minorEastAsia"/>
                      <w:b w:val="0"/>
                      <w:bCs/>
                      <w:color w:val="auto"/>
                      <w:sz w:val="21"/>
                      <w:szCs w:val="21"/>
                      <w:highlight w:val="none"/>
                    </w:rPr>
                    <w:t>声源名称</w:t>
                  </w:r>
                </w:p>
              </w:tc>
              <w:tc>
                <w:tcPr>
                  <w:tcW w:w="4575" w:type="dxa"/>
                  <w:gridSpan w:val="3"/>
                  <w:vAlign w:val="center"/>
                </w:tcPr>
                <w:p w14:paraId="39BA3B76">
                  <w:pPr>
                    <w:jc w:val="center"/>
                    <w:rPr>
                      <w:rFonts w:ascii="Times New Roman" w:hAnsi="Times New Roman" w:cs="Times New Roman" w:eastAsiaTheme="minorEastAsia"/>
                      <w:b w:val="0"/>
                      <w:bCs/>
                      <w:color w:val="auto"/>
                      <w:sz w:val="21"/>
                      <w:szCs w:val="21"/>
                      <w:highlight w:val="none"/>
                    </w:rPr>
                  </w:pPr>
                  <w:r>
                    <w:rPr>
                      <w:rFonts w:ascii="Times New Roman" w:hAnsi="Times New Roman" w:cs="Times New Roman" w:eastAsiaTheme="minorEastAsia"/>
                      <w:b w:val="0"/>
                      <w:bCs/>
                      <w:color w:val="auto"/>
                      <w:sz w:val="21"/>
                      <w:szCs w:val="21"/>
                      <w:highlight w:val="none"/>
                    </w:rPr>
                    <w:t>空间相对位置/m</w:t>
                  </w:r>
                </w:p>
              </w:tc>
              <w:tc>
                <w:tcPr>
                  <w:tcW w:w="1894" w:type="dxa"/>
                  <w:vAlign w:val="center"/>
                </w:tcPr>
                <w:p w14:paraId="539B37F0">
                  <w:pPr>
                    <w:jc w:val="center"/>
                    <w:rPr>
                      <w:rFonts w:ascii="Times New Roman" w:hAnsi="Times New Roman" w:cs="Times New Roman" w:eastAsiaTheme="minorEastAsia"/>
                      <w:b w:val="0"/>
                      <w:bCs/>
                      <w:color w:val="auto"/>
                      <w:sz w:val="21"/>
                      <w:szCs w:val="21"/>
                      <w:highlight w:val="none"/>
                      <w:lang w:eastAsia="zh-CN"/>
                    </w:rPr>
                  </w:pPr>
                  <w:r>
                    <w:rPr>
                      <w:rFonts w:ascii="Times New Roman" w:hAnsi="Times New Roman" w:cs="Times New Roman" w:eastAsiaTheme="minorEastAsia"/>
                      <w:b w:val="0"/>
                      <w:bCs/>
                      <w:color w:val="auto"/>
                      <w:sz w:val="21"/>
                      <w:szCs w:val="21"/>
                      <w:highlight w:val="none"/>
                      <w:lang w:eastAsia="zh-CN"/>
                    </w:rPr>
                    <w:t>声源源强</w:t>
                  </w:r>
                </w:p>
              </w:tc>
              <w:tc>
                <w:tcPr>
                  <w:tcW w:w="3544" w:type="dxa"/>
                  <w:vMerge w:val="restart"/>
                  <w:vAlign w:val="center"/>
                </w:tcPr>
                <w:p w14:paraId="1639D9A5">
                  <w:pPr>
                    <w:jc w:val="center"/>
                    <w:rPr>
                      <w:rFonts w:ascii="Times New Roman" w:hAnsi="Times New Roman" w:cs="Times New Roman" w:eastAsiaTheme="minorEastAsia"/>
                      <w:b w:val="0"/>
                      <w:bCs/>
                      <w:color w:val="auto"/>
                      <w:sz w:val="21"/>
                      <w:szCs w:val="21"/>
                      <w:highlight w:val="none"/>
                    </w:rPr>
                  </w:pPr>
                  <w:r>
                    <w:rPr>
                      <w:rFonts w:ascii="Times New Roman" w:hAnsi="Times New Roman" w:cs="Times New Roman" w:eastAsiaTheme="minorEastAsia"/>
                      <w:b w:val="0"/>
                      <w:bCs/>
                      <w:color w:val="auto"/>
                      <w:sz w:val="21"/>
                      <w:szCs w:val="21"/>
                      <w:highlight w:val="none"/>
                    </w:rPr>
                    <w:t>声源控制措施</w:t>
                  </w:r>
                </w:p>
              </w:tc>
              <w:tc>
                <w:tcPr>
                  <w:tcW w:w="1125" w:type="dxa"/>
                  <w:vMerge w:val="restart"/>
                  <w:vAlign w:val="center"/>
                </w:tcPr>
                <w:p w14:paraId="257D4D79">
                  <w:pPr>
                    <w:jc w:val="center"/>
                    <w:rPr>
                      <w:rFonts w:ascii="Times New Roman" w:hAnsi="Times New Roman" w:cs="Times New Roman" w:eastAsiaTheme="minorEastAsia"/>
                      <w:b w:val="0"/>
                      <w:bCs/>
                      <w:color w:val="auto"/>
                      <w:sz w:val="21"/>
                      <w:szCs w:val="21"/>
                      <w:highlight w:val="none"/>
                    </w:rPr>
                  </w:pPr>
                  <w:r>
                    <w:rPr>
                      <w:rFonts w:ascii="Times New Roman" w:hAnsi="Times New Roman" w:cs="Times New Roman" w:eastAsiaTheme="minorEastAsia"/>
                      <w:b w:val="0"/>
                      <w:bCs/>
                      <w:color w:val="auto"/>
                      <w:sz w:val="21"/>
                      <w:szCs w:val="21"/>
                      <w:highlight w:val="none"/>
                    </w:rPr>
                    <w:t>运行时段</w:t>
                  </w:r>
                </w:p>
              </w:tc>
            </w:tr>
            <w:tr w14:paraId="776B5D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75" w:type="dxa"/>
                  <w:vMerge w:val="continue"/>
                  <w:shd w:val="clear" w:color="auto" w:fill="FFFFFF"/>
                  <w:vAlign w:val="center"/>
                </w:tcPr>
                <w:p w14:paraId="67BEF484">
                  <w:pPr>
                    <w:jc w:val="center"/>
                    <w:rPr>
                      <w:rFonts w:ascii="Times New Roman" w:hAnsi="Times New Roman" w:cs="Times New Roman" w:eastAsiaTheme="minorEastAsia"/>
                      <w:b w:val="0"/>
                      <w:bCs/>
                      <w:color w:val="auto"/>
                      <w:sz w:val="21"/>
                      <w:szCs w:val="21"/>
                      <w:highlight w:val="none"/>
                    </w:rPr>
                  </w:pPr>
                </w:p>
              </w:tc>
              <w:tc>
                <w:tcPr>
                  <w:tcW w:w="1856" w:type="dxa"/>
                  <w:vMerge w:val="continue"/>
                  <w:shd w:val="clear" w:color="auto" w:fill="FFFFFF"/>
                  <w:vAlign w:val="center"/>
                </w:tcPr>
                <w:p w14:paraId="1D9907C9">
                  <w:pPr>
                    <w:jc w:val="center"/>
                    <w:rPr>
                      <w:rFonts w:ascii="Times New Roman" w:hAnsi="Times New Roman" w:cs="Times New Roman" w:eastAsiaTheme="minorEastAsia"/>
                      <w:b w:val="0"/>
                      <w:bCs/>
                      <w:color w:val="auto"/>
                      <w:sz w:val="21"/>
                      <w:szCs w:val="21"/>
                      <w:highlight w:val="none"/>
                    </w:rPr>
                  </w:pPr>
                </w:p>
              </w:tc>
              <w:tc>
                <w:tcPr>
                  <w:tcW w:w="1500" w:type="dxa"/>
                  <w:shd w:val="clear" w:color="auto" w:fill="FFFFFF"/>
                  <w:vAlign w:val="center"/>
                </w:tcPr>
                <w:p w14:paraId="38BFD9B6">
                  <w:pPr>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X</w:t>
                  </w:r>
                </w:p>
              </w:tc>
              <w:tc>
                <w:tcPr>
                  <w:tcW w:w="1650" w:type="dxa"/>
                  <w:shd w:val="clear" w:color="auto" w:fill="FFFFFF"/>
                  <w:vAlign w:val="center"/>
                </w:tcPr>
                <w:p w14:paraId="30409526">
                  <w:pPr>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Y</w:t>
                  </w:r>
                </w:p>
              </w:tc>
              <w:tc>
                <w:tcPr>
                  <w:tcW w:w="1425" w:type="dxa"/>
                  <w:shd w:val="clear" w:color="auto" w:fill="FFFFFF"/>
                  <w:vAlign w:val="center"/>
                </w:tcPr>
                <w:p w14:paraId="02775AC0">
                  <w:pPr>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Z</w:t>
                  </w:r>
                </w:p>
              </w:tc>
              <w:tc>
                <w:tcPr>
                  <w:tcW w:w="1894" w:type="dxa"/>
                  <w:shd w:val="clear" w:color="auto" w:fill="FFFFFF"/>
                  <w:vAlign w:val="center"/>
                </w:tcPr>
                <w:p w14:paraId="55898BD2">
                  <w:pPr>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声功率级/dB(A)</w:t>
                  </w:r>
                </w:p>
              </w:tc>
              <w:tc>
                <w:tcPr>
                  <w:tcW w:w="3544" w:type="dxa"/>
                  <w:vMerge w:val="continue"/>
                  <w:shd w:val="clear" w:color="auto" w:fill="FFFFFF"/>
                  <w:vAlign w:val="center"/>
                </w:tcPr>
                <w:p w14:paraId="57BCF614">
                  <w:pPr>
                    <w:jc w:val="center"/>
                    <w:rPr>
                      <w:rFonts w:ascii="Times New Roman" w:hAnsi="Times New Roman" w:cs="Times New Roman" w:eastAsiaTheme="minorEastAsia"/>
                      <w:b w:val="0"/>
                      <w:bCs/>
                      <w:color w:val="auto"/>
                      <w:sz w:val="21"/>
                      <w:szCs w:val="21"/>
                      <w:highlight w:val="none"/>
                    </w:rPr>
                  </w:pPr>
                </w:p>
              </w:tc>
              <w:tc>
                <w:tcPr>
                  <w:tcW w:w="1125" w:type="dxa"/>
                  <w:vMerge w:val="continue"/>
                  <w:shd w:val="clear" w:color="auto" w:fill="FFFFFF"/>
                  <w:vAlign w:val="center"/>
                </w:tcPr>
                <w:p w14:paraId="7E3F4A94">
                  <w:pPr>
                    <w:jc w:val="center"/>
                    <w:rPr>
                      <w:rFonts w:ascii="Times New Roman" w:hAnsi="Times New Roman" w:cs="Times New Roman" w:eastAsiaTheme="minorEastAsia"/>
                      <w:b w:val="0"/>
                      <w:bCs/>
                      <w:color w:val="auto"/>
                      <w:sz w:val="21"/>
                      <w:szCs w:val="21"/>
                      <w:highlight w:val="none"/>
                    </w:rPr>
                  </w:pPr>
                </w:p>
              </w:tc>
            </w:tr>
            <w:tr w14:paraId="567A32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85" w:hRule="exact"/>
              </w:trPr>
              <w:tc>
                <w:tcPr>
                  <w:tcW w:w="675" w:type="dxa"/>
                  <w:shd w:val="clear" w:color="auto" w:fill="FFFFFF"/>
                  <w:vAlign w:val="center"/>
                </w:tcPr>
                <w:p w14:paraId="4BFB1F38">
                  <w:pPr>
                    <w:jc w:val="center"/>
                    <w:rPr>
                      <w:b w:val="0"/>
                      <w:bCs/>
                      <w:color w:val="auto"/>
                      <w:highlight w:val="none"/>
                    </w:rPr>
                  </w:pPr>
                  <w:r>
                    <w:rPr>
                      <w:rFonts w:ascii="Arial" w:hAnsi="Arial" w:eastAsia="Arial" w:cs="Arial"/>
                      <w:b w:val="0"/>
                      <w:bCs/>
                      <w:color w:val="auto"/>
                      <w:sz w:val="20"/>
                      <w:highlight w:val="none"/>
                    </w:rPr>
                    <w:t>1</w:t>
                  </w:r>
                </w:p>
              </w:tc>
              <w:tc>
                <w:tcPr>
                  <w:tcW w:w="1856" w:type="dxa"/>
                  <w:shd w:val="clear" w:color="auto" w:fill="FFFFFF"/>
                  <w:vAlign w:val="center"/>
                </w:tcPr>
                <w:p w14:paraId="302DA48E">
                  <w:pPr>
                    <w:jc w:val="center"/>
                    <w:rPr>
                      <w:b w:val="0"/>
                      <w:bCs/>
                      <w:color w:val="auto"/>
                      <w:highlight w:val="none"/>
                    </w:rPr>
                  </w:pPr>
                  <w:r>
                    <w:rPr>
                      <w:rFonts w:ascii="Arial" w:hAnsi="Arial" w:eastAsia="Arial" w:cs="Arial"/>
                      <w:b w:val="0"/>
                      <w:bCs/>
                      <w:color w:val="auto"/>
                      <w:sz w:val="20"/>
                      <w:highlight w:val="none"/>
                    </w:rPr>
                    <w:t>运输车辆</w:t>
                  </w:r>
                </w:p>
              </w:tc>
              <w:tc>
                <w:tcPr>
                  <w:tcW w:w="1500" w:type="dxa"/>
                  <w:shd w:val="clear" w:color="auto" w:fill="FFFFFF"/>
                  <w:vAlign w:val="center"/>
                </w:tcPr>
                <w:p w14:paraId="2E263FAC">
                  <w:pPr>
                    <w:jc w:val="center"/>
                    <w:rPr>
                      <w:rFonts w:hint="default" w:ascii="Times New Roman" w:hAnsi="Times New Roman" w:cs="Times New Roman"/>
                      <w:b w:val="0"/>
                      <w:bCs/>
                      <w:color w:val="auto"/>
                      <w:highlight w:val="none"/>
                    </w:rPr>
                  </w:pPr>
                  <w:r>
                    <w:rPr>
                      <w:rFonts w:hint="default" w:ascii="Times New Roman" w:hAnsi="Times New Roman" w:eastAsia="Arial" w:cs="Times New Roman"/>
                      <w:b w:val="0"/>
                      <w:bCs/>
                      <w:color w:val="auto"/>
                      <w:sz w:val="20"/>
                      <w:highlight w:val="none"/>
                    </w:rPr>
                    <w:t>-1.9</w:t>
                  </w:r>
                </w:p>
              </w:tc>
              <w:tc>
                <w:tcPr>
                  <w:tcW w:w="1650" w:type="dxa"/>
                  <w:shd w:val="clear" w:color="auto" w:fill="FFFFFF"/>
                  <w:vAlign w:val="center"/>
                </w:tcPr>
                <w:p w14:paraId="1A492323">
                  <w:pPr>
                    <w:jc w:val="center"/>
                    <w:rPr>
                      <w:rFonts w:hint="default" w:ascii="Times New Roman" w:hAnsi="Times New Roman" w:cs="Times New Roman"/>
                      <w:b w:val="0"/>
                      <w:bCs/>
                      <w:color w:val="auto"/>
                      <w:highlight w:val="none"/>
                    </w:rPr>
                  </w:pPr>
                  <w:r>
                    <w:rPr>
                      <w:rFonts w:hint="default" w:ascii="Times New Roman" w:hAnsi="Times New Roman" w:eastAsia="Arial" w:cs="Times New Roman"/>
                      <w:b w:val="0"/>
                      <w:bCs/>
                      <w:color w:val="auto"/>
                      <w:sz w:val="20"/>
                      <w:highlight w:val="none"/>
                    </w:rPr>
                    <w:t>26</w:t>
                  </w:r>
                </w:p>
              </w:tc>
              <w:tc>
                <w:tcPr>
                  <w:tcW w:w="1425" w:type="dxa"/>
                  <w:shd w:val="clear" w:color="auto" w:fill="FFFFFF"/>
                  <w:vAlign w:val="center"/>
                </w:tcPr>
                <w:p w14:paraId="342BE3B4">
                  <w:pPr>
                    <w:jc w:val="center"/>
                    <w:rPr>
                      <w:rFonts w:hint="default" w:ascii="Times New Roman" w:hAnsi="Times New Roman" w:cs="Times New Roman"/>
                      <w:b w:val="0"/>
                      <w:bCs/>
                      <w:color w:val="auto"/>
                      <w:highlight w:val="none"/>
                    </w:rPr>
                  </w:pPr>
                  <w:r>
                    <w:rPr>
                      <w:rFonts w:hint="default" w:ascii="Times New Roman" w:hAnsi="Times New Roman" w:eastAsia="Arial" w:cs="Times New Roman"/>
                      <w:b w:val="0"/>
                      <w:bCs/>
                      <w:color w:val="auto"/>
                      <w:sz w:val="20"/>
                      <w:highlight w:val="none"/>
                    </w:rPr>
                    <w:t>1.2</w:t>
                  </w:r>
                </w:p>
              </w:tc>
              <w:tc>
                <w:tcPr>
                  <w:tcW w:w="1894" w:type="dxa"/>
                  <w:shd w:val="clear" w:color="auto" w:fill="FFFFFF"/>
                  <w:vAlign w:val="center"/>
                </w:tcPr>
                <w:p w14:paraId="14CF0F72">
                  <w:pPr>
                    <w:jc w:val="center"/>
                    <w:rPr>
                      <w:rFonts w:hint="default" w:ascii="Times New Roman" w:hAnsi="Times New Roman" w:cs="Times New Roman"/>
                      <w:b w:val="0"/>
                      <w:bCs/>
                      <w:color w:val="auto"/>
                      <w:highlight w:val="none"/>
                    </w:rPr>
                  </w:pPr>
                  <w:r>
                    <w:rPr>
                      <w:rFonts w:hint="default" w:ascii="Times New Roman" w:hAnsi="Times New Roman" w:eastAsia="Arial" w:cs="Times New Roman"/>
                      <w:b w:val="0"/>
                      <w:bCs/>
                      <w:color w:val="auto"/>
                      <w:sz w:val="20"/>
                      <w:highlight w:val="none"/>
                    </w:rPr>
                    <w:t>70</w:t>
                  </w:r>
                </w:p>
              </w:tc>
              <w:tc>
                <w:tcPr>
                  <w:tcW w:w="3544" w:type="dxa"/>
                  <w:vMerge w:val="restart"/>
                  <w:shd w:val="clear" w:color="auto" w:fill="FFFFFF"/>
                  <w:vAlign w:val="center"/>
                </w:tcPr>
                <w:p w14:paraId="52CD4EE1">
                  <w:pPr>
                    <w:jc w:val="center"/>
                    <w:rPr>
                      <w:rFonts w:hint="default" w:eastAsia="宋体"/>
                      <w:b w:val="0"/>
                      <w:bCs/>
                      <w:color w:val="auto"/>
                      <w:highlight w:val="none"/>
                      <w:lang w:val="en-US" w:eastAsia="zh-CN"/>
                    </w:rPr>
                  </w:pPr>
                  <w:r>
                    <w:rPr>
                      <w:rFonts w:hint="eastAsia"/>
                      <w:b w:val="0"/>
                      <w:bCs/>
                      <w:color w:val="auto"/>
                      <w:highlight w:val="none"/>
                      <w:lang w:val="en-US" w:eastAsia="zh-CN"/>
                    </w:rPr>
                    <w:t>选低噪声设备，基础减震，风机进出口软连接</w:t>
                  </w:r>
                </w:p>
              </w:tc>
              <w:tc>
                <w:tcPr>
                  <w:tcW w:w="1125" w:type="dxa"/>
                  <w:vMerge w:val="restart"/>
                  <w:shd w:val="clear" w:color="auto" w:fill="FFFFFF"/>
                  <w:vAlign w:val="center"/>
                </w:tcPr>
                <w:p w14:paraId="554CA3BA">
                  <w:pPr>
                    <w:jc w:val="center"/>
                    <w:rPr>
                      <w:rFonts w:hint="eastAsia" w:eastAsia="宋体"/>
                      <w:b w:val="0"/>
                      <w:bCs/>
                      <w:color w:val="auto"/>
                      <w:highlight w:val="none"/>
                      <w:lang w:eastAsia="zh-CN"/>
                    </w:rPr>
                  </w:pPr>
                  <w:r>
                    <w:rPr>
                      <w:rFonts w:hint="eastAsia" w:ascii="Arial" w:hAnsi="Arial" w:eastAsia="宋体" w:cs="Arial"/>
                      <w:b w:val="0"/>
                      <w:bCs/>
                      <w:color w:val="auto"/>
                      <w:sz w:val="20"/>
                      <w:highlight w:val="none"/>
                      <w:lang w:val="en-US" w:eastAsia="zh-CN"/>
                    </w:rPr>
                    <w:t>昼间</w:t>
                  </w:r>
                </w:p>
              </w:tc>
            </w:tr>
            <w:tr w14:paraId="7D4CC9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5" w:hRule="exact"/>
              </w:trPr>
              <w:tc>
                <w:tcPr>
                  <w:tcW w:w="675" w:type="dxa"/>
                  <w:shd w:val="clear" w:color="auto" w:fill="FFFFFF"/>
                  <w:vAlign w:val="center"/>
                </w:tcPr>
                <w:p w14:paraId="198FFD84">
                  <w:pPr>
                    <w:jc w:val="center"/>
                    <w:rPr>
                      <w:b w:val="0"/>
                      <w:bCs/>
                      <w:color w:val="auto"/>
                      <w:highlight w:val="none"/>
                    </w:rPr>
                  </w:pPr>
                  <w:r>
                    <w:rPr>
                      <w:rFonts w:ascii="Arial" w:hAnsi="Arial" w:eastAsia="Arial" w:cs="Arial"/>
                      <w:b w:val="0"/>
                      <w:bCs/>
                      <w:color w:val="auto"/>
                      <w:sz w:val="20"/>
                      <w:highlight w:val="none"/>
                    </w:rPr>
                    <w:t>2</w:t>
                  </w:r>
                </w:p>
              </w:tc>
              <w:tc>
                <w:tcPr>
                  <w:tcW w:w="1856" w:type="dxa"/>
                  <w:shd w:val="clear" w:color="auto" w:fill="FFFFFF"/>
                  <w:vAlign w:val="center"/>
                </w:tcPr>
                <w:p w14:paraId="7EA863A0">
                  <w:pPr>
                    <w:jc w:val="center"/>
                    <w:rPr>
                      <w:b w:val="0"/>
                      <w:bCs/>
                      <w:color w:val="auto"/>
                      <w:highlight w:val="none"/>
                    </w:rPr>
                  </w:pPr>
                  <w:r>
                    <w:rPr>
                      <w:rFonts w:hint="eastAsia" w:ascii="Arial" w:hAnsi="Arial" w:eastAsia="宋体" w:cs="Arial"/>
                      <w:b w:val="0"/>
                      <w:bCs/>
                      <w:color w:val="auto"/>
                      <w:sz w:val="20"/>
                      <w:highlight w:val="none"/>
                      <w:lang w:val="en-US" w:eastAsia="zh-CN"/>
                    </w:rPr>
                    <w:t>空调系统</w:t>
                  </w:r>
                  <w:r>
                    <w:rPr>
                      <w:rFonts w:ascii="Arial" w:hAnsi="Arial" w:eastAsia="Arial" w:cs="Arial"/>
                      <w:b w:val="0"/>
                      <w:bCs/>
                      <w:color w:val="auto"/>
                      <w:sz w:val="20"/>
                      <w:highlight w:val="none"/>
                    </w:rPr>
                    <w:t>风机</w:t>
                  </w:r>
                </w:p>
              </w:tc>
              <w:tc>
                <w:tcPr>
                  <w:tcW w:w="1500" w:type="dxa"/>
                  <w:shd w:val="clear" w:color="auto" w:fill="FFFFFF"/>
                  <w:vAlign w:val="center"/>
                </w:tcPr>
                <w:p w14:paraId="5685BCBD">
                  <w:pPr>
                    <w:jc w:val="center"/>
                    <w:rPr>
                      <w:rFonts w:hint="default" w:ascii="Times New Roman" w:hAnsi="Times New Roman" w:cs="Times New Roman"/>
                      <w:b w:val="0"/>
                      <w:bCs/>
                      <w:color w:val="auto"/>
                      <w:highlight w:val="none"/>
                    </w:rPr>
                  </w:pPr>
                  <w:r>
                    <w:rPr>
                      <w:rFonts w:hint="default" w:ascii="Times New Roman" w:hAnsi="Times New Roman" w:eastAsia="Arial" w:cs="Times New Roman"/>
                      <w:b w:val="0"/>
                      <w:bCs/>
                      <w:color w:val="auto"/>
                      <w:sz w:val="20"/>
                      <w:highlight w:val="none"/>
                    </w:rPr>
                    <w:t>7.4</w:t>
                  </w:r>
                </w:p>
              </w:tc>
              <w:tc>
                <w:tcPr>
                  <w:tcW w:w="1650" w:type="dxa"/>
                  <w:shd w:val="clear" w:color="auto" w:fill="FFFFFF"/>
                  <w:vAlign w:val="center"/>
                </w:tcPr>
                <w:p w14:paraId="27BAA17E">
                  <w:pPr>
                    <w:jc w:val="center"/>
                    <w:rPr>
                      <w:rFonts w:hint="default" w:ascii="Times New Roman" w:hAnsi="Times New Roman" w:cs="Times New Roman"/>
                      <w:b w:val="0"/>
                      <w:bCs/>
                      <w:color w:val="auto"/>
                      <w:highlight w:val="none"/>
                    </w:rPr>
                  </w:pPr>
                  <w:r>
                    <w:rPr>
                      <w:rFonts w:hint="default" w:ascii="Times New Roman" w:hAnsi="Times New Roman" w:eastAsia="Arial" w:cs="Times New Roman"/>
                      <w:b w:val="0"/>
                      <w:bCs/>
                      <w:color w:val="auto"/>
                      <w:sz w:val="20"/>
                      <w:highlight w:val="none"/>
                    </w:rPr>
                    <w:t>25.5</w:t>
                  </w:r>
                </w:p>
              </w:tc>
              <w:tc>
                <w:tcPr>
                  <w:tcW w:w="1425" w:type="dxa"/>
                  <w:shd w:val="clear" w:color="auto" w:fill="FFFFFF"/>
                  <w:vAlign w:val="center"/>
                </w:tcPr>
                <w:p w14:paraId="7FE25484">
                  <w:pPr>
                    <w:jc w:val="center"/>
                    <w:rPr>
                      <w:rFonts w:hint="default" w:ascii="Times New Roman" w:hAnsi="Times New Roman" w:cs="Times New Roman"/>
                      <w:b w:val="0"/>
                      <w:bCs/>
                      <w:color w:val="auto"/>
                      <w:highlight w:val="none"/>
                    </w:rPr>
                  </w:pPr>
                  <w:r>
                    <w:rPr>
                      <w:rFonts w:hint="default" w:ascii="Times New Roman" w:hAnsi="Times New Roman" w:eastAsia="Arial" w:cs="Times New Roman"/>
                      <w:b w:val="0"/>
                      <w:bCs/>
                      <w:color w:val="auto"/>
                      <w:sz w:val="20"/>
                      <w:highlight w:val="none"/>
                    </w:rPr>
                    <w:t>1.2</w:t>
                  </w:r>
                </w:p>
              </w:tc>
              <w:tc>
                <w:tcPr>
                  <w:tcW w:w="1894" w:type="dxa"/>
                  <w:shd w:val="clear" w:color="auto" w:fill="FFFFFF"/>
                  <w:vAlign w:val="center"/>
                </w:tcPr>
                <w:p w14:paraId="4D92BB70">
                  <w:pPr>
                    <w:jc w:val="center"/>
                    <w:rPr>
                      <w:rFonts w:hint="default" w:ascii="Times New Roman" w:hAnsi="Times New Roman" w:cs="Times New Roman"/>
                      <w:b w:val="0"/>
                      <w:bCs/>
                      <w:color w:val="auto"/>
                      <w:highlight w:val="none"/>
                    </w:rPr>
                  </w:pPr>
                  <w:r>
                    <w:rPr>
                      <w:rFonts w:hint="default" w:ascii="Times New Roman" w:hAnsi="Times New Roman" w:eastAsia="Arial" w:cs="Times New Roman"/>
                      <w:b w:val="0"/>
                      <w:bCs/>
                      <w:color w:val="auto"/>
                      <w:sz w:val="20"/>
                      <w:highlight w:val="none"/>
                    </w:rPr>
                    <w:t>85</w:t>
                  </w:r>
                </w:p>
              </w:tc>
              <w:tc>
                <w:tcPr>
                  <w:tcW w:w="3544" w:type="dxa"/>
                  <w:vMerge w:val="continue"/>
                  <w:shd w:val="clear" w:color="auto" w:fill="FFFFFF"/>
                  <w:vAlign w:val="center"/>
                </w:tcPr>
                <w:p w14:paraId="28D12ABC">
                  <w:pPr>
                    <w:jc w:val="center"/>
                    <w:rPr>
                      <w:rFonts w:hint="default" w:eastAsia="宋体"/>
                      <w:b w:val="0"/>
                      <w:bCs/>
                      <w:color w:val="auto"/>
                      <w:highlight w:val="none"/>
                      <w:lang w:val="en-US" w:eastAsia="zh-CN"/>
                    </w:rPr>
                  </w:pPr>
                </w:p>
              </w:tc>
              <w:tc>
                <w:tcPr>
                  <w:tcW w:w="1125" w:type="dxa"/>
                  <w:vMerge w:val="continue"/>
                  <w:shd w:val="clear" w:color="auto" w:fill="FFFFFF"/>
                  <w:vAlign w:val="center"/>
                </w:tcPr>
                <w:p w14:paraId="422D74AB">
                  <w:pPr>
                    <w:jc w:val="center"/>
                    <w:rPr>
                      <w:b w:val="0"/>
                      <w:bCs/>
                      <w:color w:val="auto"/>
                      <w:highlight w:val="none"/>
                    </w:rPr>
                  </w:pPr>
                </w:p>
              </w:tc>
            </w:tr>
          </w:tbl>
          <w:p w14:paraId="6566BB2B">
            <w:pPr>
              <w:rPr>
                <w:rFonts w:ascii="Times New Roman" w:hAnsi="Times New Roman" w:cs="Times New Roman"/>
                <w:color w:val="auto"/>
                <w:highlight w:val="none"/>
              </w:rPr>
            </w:pPr>
            <w:r>
              <w:rPr>
                <w:rFonts w:hint="eastAsia" w:ascii="Times New Roman" w:hAnsi="Times New Roman" w:cs="Times New Roman" w:eastAsiaTheme="minorEastAsia"/>
                <w:b w:val="0"/>
                <w:bCs/>
                <w:color w:val="auto"/>
                <w:sz w:val="21"/>
                <w:szCs w:val="21"/>
                <w:highlight w:val="none"/>
                <w:lang w:val="en-US" w:eastAsia="zh-CN"/>
              </w:rPr>
              <w:t>注：</w:t>
            </w:r>
            <w:r>
              <w:rPr>
                <w:rFonts w:hint="default" w:ascii="Times New Roman" w:hAnsi="Times New Roman" w:cs="Times New Roman" w:eastAsiaTheme="minorEastAsia"/>
                <w:b w:val="0"/>
                <w:bCs/>
                <w:color w:val="auto"/>
                <w:sz w:val="21"/>
                <w:szCs w:val="21"/>
                <w:highlight w:val="none"/>
                <w:lang w:val="en-US" w:eastAsia="zh-CN"/>
              </w:rPr>
              <w:t>表中坐标以厂</w:t>
            </w:r>
            <w:r>
              <w:rPr>
                <w:rFonts w:hint="eastAsia" w:ascii="Times New Roman" w:hAnsi="Times New Roman" w:cs="Times New Roman" w:eastAsiaTheme="minorEastAsia"/>
                <w:b w:val="0"/>
                <w:bCs/>
                <w:color w:val="auto"/>
                <w:sz w:val="21"/>
                <w:szCs w:val="21"/>
                <w:highlight w:val="none"/>
                <w:lang w:val="en-US" w:eastAsia="zh-CN"/>
              </w:rPr>
              <w:t>区</w:t>
            </w:r>
            <w:r>
              <w:rPr>
                <w:rFonts w:hint="default" w:ascii="Times New Roman" w:hAnsi="Times New Roman" w:cs="Times New Roman" w:eastAsiaTheme="minorEastAsia"/>
                <w:b w:val="0"/>
                <w:bCs/>
                <w:color w:val="auto"/>
                <w:sz w:val="21"/>
                <w:szCs w:val="21"/>
                <w:highlight w:val="none"/>
                <w:lang w:val="en-US" w:eastAsia="zh-CN"/>
              </w:rPr>
              <w:t>中心（</w:t>
            </w:r>
            <w:bookmarkStart w:id="21" w:name="PO_8"/>
            <w:r>
              <w:rPr>
                <w:rFonts w:hint="default" w:ascii="Times New Roman" w:hAnsi="Times New Roman" w:cs="Times New Roman" w:eastAsiaTheme="minorEastAsia"/>
                <w:b w:val="0"/>
                <w:bCs/>
                <w:color w:val="auto"/>
                <w:sz w:val="21"/>
                <w:szCs w:val="21"/>
                <w:highlight w:val="none"/>
                <w:lang w:val="en-US" w:eastAsia="zh-CN"/>
              </w:rPr>
              <w:t>115.466369,39.050941</w:t>
            </w:r>
            <w:bookmarkEnd w:id="21"/>
            <w:r>
              <w:rPr>
                <w:rFonts w:hint="default" w:ascii="Times New Roman" w:hAnsi="Times New Roman" w:cs="Times New Roman" w:eastAsiaTheme="minorEastAsia"/>
                <w:b w:val="0"/>
                <w:bCs/>
                <w:color w:val="auto"/>
                <w:sz w:val="21"/>
                <w:szCs w:val="21"/>
                <w:highlight w:val="none"/>
                <w:lang w:val="en-US" w:eastAsia="zh-CN"/>
              </w:rPr>
              <w:t>）为坐标原点，正东向为X轴正方向，正北向为Y轴正方向</w:t>
            </w:r>
          </w:p>
          <w:p w14:paraId="2FC6C309">
            <w:pPr>
              <w:pStyle w:val="21"/>
              <w:rPr>
                <w:rFonts w:ascii="Times New Roman" w:hAnsi="Times New Roman" w:eastAsiaTheme="minorEastAsia"/>
                <w:color w:val="auto"/>
                <w:sz w:val="24"/>
                <w:szCs w:val="24"/>
                <w:highlight w:val="none"/>
              </w:rPr>
            </w:pPr>
          </w:p>
          <w:p w14:paraId="0D1B17C6">
            <w:pPr>
              <w:rPr>
                <w:rFonts w:ascii="Times New Roman" w:hAnsi="Times New Roman" w:eastAsiaTheme="minorEastAsia"/>
                <w:color w:val="auto"/>
                <w:sz w:val="24"/>
                <w:szCs w:val="24"/>
                <w:highlight w:val="none"/>
              </w:rPr>
            </w:pPr>
          </w:p>
          <w:p w14:paraId="5AA97202">
            <w:pPr>
              <w:pStyle w:val="21"/>
              <w:rPr>
                <w:rFonts w:ascii="Times New Roman" w:hAnsi="Times New Roman" w:eastAsiaTheme="minorEastAsia"/>
                <w:color w:val="auto"/>
                <w:sz w:val="24"/>
                <w:szCs w:val="24"/>
                <w:highlight w:val="none"/>
              </w:rPr>
            </w:pPr>
          </w:p>
          <w:p w14:paraId="7C1E3680">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ascii="Times New Roman" w:hAnsi="Times New Roman" w:eastAsiaTheme="minorEastAsia"/>
                <w:color w:val="auto"/>
                <w:sz w:val="18"/>
                <w:szCs w:val="18"/>
                <w:highlight w:val="none"/>
              </w:rPr>
            </w:pPr>
          </w:p>
          <w:p w14:paraId="51E160C6">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ascii="Times New Roman" w:hAnsi="Times New Roman" w:eastAsiaTheme="minorEastAsia"/>
                <w:color w:val="auto"/>
                <w:sz w:val="18"/>
                <w:szCs w:val="18"/>
                <w:highlight w:val="none"/>
              </w:rPr>
            </w:pPr>
          </w:p>
          <w:p w14:paraId="21AF0E66">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ascii="Times New Roman" w:hAnsi="Times New Roman" w:eastAsiaTheme="minorEastAsia"/>
                <w:color w:val="auto"/>
                <w:sz w:val="18"/>
                <w:szCs w:val="18"/>
                <w:highlight w:val="none"/>
              </w:rPr>
            </w:pPr>
          </w:p>
          <w:p w14:paraId="69779292">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ascii="Times New Roman" w:hAnsi="Times New Roman" w:eastAsiaTheme="minorEastAsia"/>
                <w:color w:val="auto"/>
                <w:sz w:val="18"/>
                <w:szCs w:val="18"/>
                <w:highlight w:val="none"/>
              </w:rPr>
            </w:pPr>
          </w:p>
          <w:p w14:paraId="2F34C657">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ascii="Times New Roman" w:hAnsi="Times New Roman" w:eastAsiaTheme="minorEastAsia"/>
                <w:color w:val="auto"/>
                <w:sz w:val="18"/>
                <w:szCs w:val="18"/>
                <w:highlight w:val="none"/>
              </w:rPr>
            </w:pPr>
          </w:p>
          <w:p w14:paraId="53EDEB03">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ascii="Times New Roman" w:hAnsi="Times New Roman" w:eastAsiaTheme="minorEastAsia"/>
                <w:color w:val="auto"/>
                <w:sz w:val="18"/>
                <w:szCs w:val="18"/>
                <w:highlight w:val="none"/>
              </w:rPr>
            </w:pPr>
          </w:p>
          <w:p w14:paraId="40B89B1F">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ascii="Times New Roman" w:hAnsi="Times New Roman" w:eastAsiaTheme="minorEastAsia"/>
                <w:color w:val="auto"/>
                <w:sz w:val="18"/>
                <w:szCs w:val="18"/>
                <w:highlight w:val="none"/>
              </w:rPr>
            </w:pPr>
          </w:p>
          <w:p w14:paraId="22D92EDF">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ascii="Times New Roman" w:hAnsi="Times New Roman" w:eastAsiaTheme="minorEastAsia"/>
                <w:color w:val="auto"/>
                <w:sz w:val="18"/>
                <w:szCs w:val="18"/>
                <w:highlight w:val="none"/>
              </w:rPr>
            </w:pPr>
          </w:p>
          <w:p w14:paraId="33EB98D0">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ascii="Times New Roman" w:hAnsi="Times New Roman" w:eastAsiaTheme="minorEastAsia"/>
                <w:color w:val="auto"/>
                <w:sz w:val="18"/>
                <w:szCs w:val="18"/>
                <w:highlight w:val="none"/>
              </w:rPr>
            </w:pPr>
          </w:p>
          <w:p w14:paraId="0AAC3AFA">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ascii="Times New Roman" w:hAnsi="Times New Roman" w:eastAsiaTheme="minorEastAsia"/>
                <w:color w:val="auto"/>
                <w:sz w:val="18"/>
                <w:szCs w:val="18"/>
                <w:highlight w:val="none"/>
              </w:rPr>
            </w:pPr>
          </w:p>
          <w:p w14:paraId="4AC45446">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ascii="Times New Roman" w:hAnsi="Times New Roman" w:eastAsiaTheme="minorEastAsia"/>
                <w:color w:val="auto"/>
                <w:sz w:val="18"/>
                <w:szCs w:val="18"/>
                <w:highlight w:val="none"/>
              </w:rPr>
            </w:pPr>
          </w:p>
          <w:p w14:paraId="3179EC75">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ascii="Times New Roman" w:hAnsi="Times New Roman" w:eastAsiaTheme="minorEastAsia"/>
                <w:color w:val="auto"/>
                <w:sz w:val="18"/>
                <w:szCs w:val="18"/>
                <w:highlight w:val="none"/>
              </w:rPr>
            </w:pPr>
          </w:p>
          <w:p w14:paraId="5EF63D36">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ascii="Times New Roman" w:hAnsi="Times New Roman" w:eastAsiaTheme="minorEastAsia"/>
                <w:color w:val="auto"/>
                <w:sz w:val="18"/>
                <w:szCs w:val="18"/>
                <w:highlight w:val="none"/>
              </w:rPr>
            </w:pPr>
          </w:p>
        </w:tc>
      </w:tr>
    </w:tbl>
    <w:p w14:paraId="32E289E0">
      <w:pPr>
        <w:jc w:val="center"/>
        <w:rPr>
          <w:rFonts w:ascii="Times New Roman" w:hAnsi="Times New Roman" w:eastAsiaTheme="minorEastAsia"/>
          <w:snapToGrid w:val="0"/>
          <w:color w:val="auto"/>
          <w:sz w:val="36"/>
          <w:szCs w:val="36"/>
          <w:highlight w:val="none"/>
        </w:rPr>
        <w:sectPr>
          <w:pgSz w:w="16840" w:h="11907" w:orient="landscape"/>
          <w:pgMar w:top="1531" w:right="1440" w:bottom="1531" w:left="1440" w:header="851" w:footer="851" w:gutter="0"/>
          <w:pgBorders>
            <w:top w:val="none" w:sz="0" w:space="0"/>
            <w:left w:val="none" w:sz="0" w:space="0"/>
            <w:bottom w:val="none" w:sz="0" w:space="0"/>
            <w:right w:val="none" w:sz="0" w:space="0"/>
          </w:pgBorders>
          <w:cols w:space="720" w:num="1"/>
          <w:docGrid w:linePitch="312" w:charSpace="0"/>
        </w:sectPr>
      </w:pPr>
    </w:p>
    <w:tbl>
      <w:tblPr>
        <w:tblStyle w:val="31"/>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8631"/>
      </w:tblGrid>
      <w:tr w14:paraId="5388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1" w:hRule="atLeast"/>
        </w:trPr>
        <w:tc>
          <w:tcPr>
            <w:tcW w:w="408" w:type="dxa"/>
            <w:shd w:val="clear" w:color="auto" w:fill="auto"/>
            <w:vAlign w:val="center"/>
          </w:tcPr>
          <w:p w14:paraId="74652DF7">
            <w:pPr>
              <w:widowControl/>
              <w:numPr>
                <w:ilvl w:val="0"/>
                <w:numId w:val="0"/>
              </w:numPr>
              <w:jc w:val="center"/>
              <w:outlineLvl w:val="0"/>
              <w:rPr>
                <w:rFonts w:ascii="Times New Roman" w:hAnsi="Times New Roman" w:eastAsiaTheme="minorEastAsia"/>
                <w:b/>
                <w:color w:val="auto"/>
                <w:sz w:val="24"/>
                <w:szCs w:val="24"/>
                <w:highlight w:val="none"/>
              </w:rPr>
            </w:pPr>
            <w:bookmarkStart w:id="22" w:name="_Toc13033"/>
            <w:bookmarkStart w:id="23" w:name="_Toc24222"/>
            <w:r>
              <w:rPr>
                <w:rFonts w:ascii="Times New Roman" w:hAnsi="Times New Roman" w:eastAsiaTheme="minorEastAsia"/>
                <w:b/>
                <w:color w:val="auto"/>
                <w:sz w:val="24"/>
                <w:szCs w:val="24"/>
                <w:highlight w:val="none"/>
              </w:rPr>
              <w:t>运营期环境影</w:t>
            </w:r>
            <w:bookmarkEnd w:id="22"/>
          </w:p>
          <w:p w14:paraId="6AA619B6">
            <w:pPr>
              <w:adjustRightInd w:val="0"/>
              <w:snapToGrid w:val="0"/>
              <w:jc w:val="center"/>
              <w:rPr>
                <w:rFonts w:ascii="Times New Roman" w:hAnsi="Times New Roman" w:eastAsiaTheme="minorEastAsia"/>
                <w:b/>
                <w:color w:val="auto"/>
                <w:sz w:val="24"/>
                <w:szCs w:val="24"/>
                <w:highlight w:val="none"/>
              </w:rPr>
            </w:pPr>
            <w:r>
              <w:rPr>
                <w:rFonts w:ascii="Times New Roman" w:hAnsi="Times New Roman" w:eastAsiaTheme="minorEastAsia"/>
                <w:b/>
                <w:color w:val="auto"/>
                <w:sz w:val="24"/>
                <w:szCs w:val="24"/>
                <w:highlight w:val="none"/>
              </w:rPr>
              <w:t>响和保护措施</w:t>
            </w:r>
          </w:p>
          <w:p w14:paraId="251F9FD4">
            <w:pPr>
              <w:pStyle w:val="5"/>
              <w:rPr>
                <w:rFonts w:ascii="Times New Roman" w:hAnsi="Times New Roman"/>
                <w:color w:val="auto"/>
                <w:highlight w:val="none"/>
              </w:rPr>
            </w:pPr>
          </w:p>
          <w:p w14:paraId="23D18F53">
            <w:pPr>
              <w:ind w:left="1470"/>
              <w:jc w:val="center"/>
              <w:rPr>
                <w:rFonts w:ascii="Times New Roman" w:hAnsi="Times New Roman" w:eastAsiaTheme="minorEastAsia"/>
                <w:color w:val="auto"/>
                <w:sz w:val="18"/>
                <w:szCs w:val="18"/>
                <w:highlight w:val="none"/>
              </w:rPr>
            </w:pPr>
          </w:p>
        </w:tc>
        <w:tc>
          <w:tcPr>
            <w:tcW w:w="8631" w:type="dxa"/>
            <w:shd w:val="clear" w:color="auto" w:fill="auto"/>
          </w:tcPr>
          <w:p w14:paraId="57D99655">
            <w:pPr>
              <w:spacing w:line="480" w:lineRule="exact"/>
              <w:ind w:firstLine="480" w:firstLineChars="200"/>
              <w:outlineLvl w:val="2"/>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（3）预测模式</w:t>
            </w:r>
          </w:p>
          <w:p w14:paraId="4AA428EB">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室内点声源对厂界噪声预测点贡献值预测模式</w:t>
            </w:r>
          </w:p>
          <w:p w14:paraId="48E5C6BF">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室内声源首先换算为等效室外声源，再按各类声源模式计算。</w:t>
            </w:r>
          </w:p>
          <w:p w14:paraId="66079761">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①首先计算出某个室内声源靠近围护结构处的倍频带声压级：</w:t>
            </w:r>
          </w:p>
          <w:p w14:paraId="1FA2F7CC">
            <w:pPr>
              <w:spacing w:line="800" w:lineRule="exact"/>
              <w:ind w:firstLine="1080" w:firstLineChars="45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pict>
                <v:shape id="_x0000_i1025" o:spt="75" type="#_x0000_t75" style="height:31.8pt;width:133.7pt;" filled="f" o:preferrelative="t" stroked="f" coordsize="21600,21600">
                  <v:path/>
                  <v:fill on="f" focussize="0,0"/>
                  <v:stroke on="f" joinstyle="miter"/>
                  <v:imagedata r:id="rId17" o:title=""/>
                  <o:lock v:ext="edit" aspectratio="t"/>
                  <w10:wrap type="none"/>
                  <w10:anchorlock/>
                </v:shape>
              </w:pict>
            </w:r>
          </w:p>
          <w:p w14:paraId="573D1530">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式中：</w:t>
            </w:r>
            <w:r>
              <w:rPr>
                <w:rFonts w:ascii="Times New Roman" w:hAnsi="Times New Roman" w:eastAsiaTheme="minorEastAsia"/>
                <w:color w:val="auto"/>
                <w:sz w:val="24"/>
                <w:szCs w:val="24"/>
                <w:highlight w:val="none"/>
              </w:rPr>
              <w:pict>
                <v:shape id="_x0000_i1026" o:spt="75" type="#_x0000_t75" style="height:18.7pt;width:17.75pt;" filled="f" o:preferrelative="t" stroked="f" coordsize="21600,21600">
                  <v:path/>
                  <v:fill on="f" focussize="0,0"/>
                  <v:stroke on="f" joinstyle="miter"/>
                  <v:imagedata r:id="rId18" o:title=""/>
                  <o:lock v:ext="edit" aspectratio="t"/>
                  <w10:wrap type="none"/>
                  <w10:anchorlock/>
                </v:shape>
              </w:pict>
            </w:r>
            <w:r>
              <w:rPr>
                <w:rFonts w:ascii="Times New Roman" w:hAnsi="Times New Roman" w:eastAsiaTheme="minorEastAsia"/>
                <w:color w:val="auto"/>
                <w:sz w:val="24"/>
                <w:szCs w:val="24"/>
                <w:highlight w:val="none"/>
              </w:rPr>
              <w:t>——室内声源在靠近围护结构处产生的倍频带声压级，dB；</w:t>
            </w:r>
          </w:p>
          <w:p w14:paraId="00973643">
            <w:pPr>
              <w:spacing w:line="480" w:lineRule="exact"/>
              <w:ind w:firstLine="1200" w:firstLineChars="5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pict>
                <v:shape id="_x0000_i1027" o:spt="75" type="#_x0000_t75" style="height:17.75pt;width:15.9pt;" filled="f" o:preferrelative="t" stroked="f" coordsize="21600,21600">
                  <v:path/>
                  <v:fill on="f" focussize="0,0"/>
                  <v:stroke on="f" joinstyle="miter"/>
                  <v:imagedata r:id="rId19" o:title=""/>
                  <o:lock v:ext="edit" aspectratio="t"/>
                  <w10:wrap type="none"/>
                  <w10:anchorlock/>
                </v:shape>
              </w:pict>
            </w:r>
            <w:r>
              <w:rPr>
                <w:rFonts w:ascii="Times New Roman" w:hAnsi="Times New Roman" w:eastAsiaTheme="minorEastAsia"/>
                <w:color w:val="auto"/>
                <w:sz w:val="24"/>
                <w:szCs w:val="24"/>
                <w:highlight w:val="none"/>
              </w:rPr>
              <w:t>——声源的倍频带声功率级，dB；</w:t>
            </w:r>
          </w:p>
          <w:p w14:paraId="6E0D9B4C">
            <w:pPr>
              <w:spacing w:line="480" w:lineRule="exact"/>
              <w:ind w:firstLine="1200" w:firstLineChars="5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pict>
                <v:shape id="_x0000_i1028" o:spt="75" type="#_x0000_t75" style="height:6.55pt;width:6.55pt;" filled="f" o:preferrelative="t" stroked="f" coordsize="21600,21600">
                  <v:path/>
                  <v:fill on="f" focussize="0,0"/>
                  <v:stroke on="f" joinstyle="miter"/>
                  <v:imagedata r:id="rId20" o:title=""/>
                  <o:lock v:ext="edit" aspectratio="t"/>
                  <w10:wrap type="none"/>
                  <w10:anchorlock/>
                </v:shape>
              </w:pict>
            </w:r>
            <w:r>
              <w:rPr>
                <w:rFonts w:ascii="Times New Roman" w:hAnsi="Times New Roman" w:eastAsiaTheme="minorEastAsia"/>
                <w:color w:val="auto"/>
                <w:sz w:val="24"/>
                <w:szCs w:val="24"/>
                <w:highlight w:val="none"/>
              </w:rPr>
              <w:t>——声源到靠近围护结构某点处的距离，m；</w:t>
            </w:r>
          </w:p>
          <w:p w14:paraId="5EC720D2">
            <w:pPr>
              <w:spacing w:line="480" w:lineRule="exact"/>
              <w:ind w:firstLine="1200" w:firstLineChars="5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pict>
                <v:shape id="_x0000_i1029" o:spt="75" type="#_x0000_t75" style="height:15.9pt;width:13.1pt;" filled="f" o:preferrelative="t" stroked="f" coordsize="21600,21600">
                  <v:path/>
                  <v:fill on="f" focussize="0,0"/>
                  <v:stroke on="f" joinstyle="miter"/>
                  <v:imagedata r:id="rId21" o:title=""/>
                  <o:lock v:ext="edit" aspectratio="t"/>
                  <w10:wrap type="none"/>
                  <w10:anchorlock/>
                </v:shape>
              </w:pict>
            </w:r>
            <w:r>
              <w:rPr>
                <w:rFonts w:ascii="Times New Roman" w:hAnsi="Times New Roman" w:eastAsiaTheme="minorEastAsia"/>
                <w:color w:val="auto"/>
                <w:sz w:val="24"/>
                <w:szCs w:val="24"/>
                <w:highlight w:val="none"/>
              </w:rPr>
              <w:t>——指向性因子；</w:t>
            </w:r>
          </w:p>
          <w:p w14:paraId="64FF4E32">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 xml:space="preserve">     </w:t>
            </w:r>
            <w:r>
              <w:rPr>
                <w:rFonts w:ascii="Times New Roman" w:hAnsi="Times New Roman" w:eastAsiaTheme="minorEastAsia"/>
                <w:color w:val="auto"/>
                <w:sz w:val="24"/>
                <w:szCs w:val="24"/>
                <w:highlight w:val="none"/>
              </w:rPr>
              <w:pict>
                <v:shape id="_x0000_i1030" o:spt="75" type="#_x0000_t75" style="height:13.1pt;width:13.1pt;" filled="f" o:preferrelative="t" stroked="f" coordsize="21600,21600">
                  <v:path/>
                  <v:fill on="f" focussize="0,0"/>
                  <v:stroke on="f" joinstyle="miter"/>
                  <v:imagedata r:id="rId22" o:title=""/>
                  <o:lock v:ext="edit" aspectratio="t"/>
                  <w10:wrap type="none"/>
                  <w10:anchorlock/>
                </v:shape>
              </w:pict>
            </w:r>
            <w:r>
              <w:rPr>
                <w:rFonts w:ascii="Times New Roman" w:hAnsi="Times New Roman" w:eastAsiaTheme="minorEastAsia"/>
                <w:color w:val="auto"/>
                <w:sz w:val="24"/>
                <w:szCs w:val="24"/>
                <w:highlight w:val="none"/>
              </w:rPr>
              <w:t>——房间常数，R=Sɑ/(1-ɑ)，S为房间内表面面积，m2；ɑ为平均吸声系数。</w:t>
            </w:r>
          </w:p>
          <w:p w14:paraId="706ED5CB">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②计算出所有室内声源在靠近围护结构处产生的</w:t>
            </w:r>
            <w:r>
              <w:rPr>
                <w:rFonts w:ascii="Times New Roman" w:hAnsi="Times New Roman" w:eastAsiaTheme="minorEastAsia"/>
                <w:color w:val="auto"/>
                <w:sz w:val="24"/>
                <w:szCs w:val="24"/>
                <w:highlight w:val="none"/>
              </w:rPr>
              <w:pict>
                <v:shape id="_x0000_i1031" o:spt="75" type="#_x0000_t75" style="height:13.1pt;width:5.6pt;" filled="f" o:preferrelative="t" stroked="f" coordsize="21600,21600">
                  <v:path/>
                  <v:fill on="f" focussize="0,0"/>
                  <v:stroke on="f" joinstyle="miter"/>
                  <v:imagedata r:id="rId23" o:title=""/>
                  <o:lock v:ext="edit" aspectratio="t"/>
                  <w10:wrap type="none"/>
                  <w10:anchorlock/>
                </v:shape>
              </w:pict>
            </w:r>
            <w:r>
              <w:rPr>
                <w:rFonts w:ascii="Times New Roman" w:hAnsi="Times New Roman" w:eastAsiaTheme="minorEastAsia"/>
                <w:color w:val="auto"/>
                <w:sz w:val="24"/>
                <w:szCs w:val="24"/>
                <w:highlight w:val="none"/>
              </w:rPr>
              <w:t>倍频带叠加声压级：</w:t>
            </w:r>
          </w:p>
          <w:p w14:paraId="7C587AB6">
            <w:pPr>
              <w:spacing w:line="800" w:lineRule="exact"/>
              <w:ind w:firstLine="1080" w:firstLineChars="45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pict>
                <v:shape id="_x0000_i1032" o:spt="75" type="#_x0000_t75" style="height:33.65pt;width:131.85pt;" filled="f" o:preferrelative="t" stroked="f" coordsize="21600,21600">
                  <v:path/>
                  <v:fill on="f" focussize="0,0"/>
                  <v:stroke on="f" joinstyle="miter"/>
                  <v:imagedata r:id="rId24" o:title=""/>
                  <o:lock v:ext="edit" aspectratio="t"/>
                  <w10:wrap type="none"/>
                  <w10:anchorlock/>
                </v:shape>
              </w:pict>
            </w:r>
          </w:p>
          <w:p w14:paraId="58886806">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式中：</w:t>
            </w:r>
            <w:r>
              <w:rPr>
                <w:rFonts w:ascii="Times New Roman" w:hAnsi="Times New Roman" w:eastAsiaTheme="minorEastAsia"/>
                <w:color w:val="auto"/>
                <w:sz w:val="24"/>
                <w:szCs w:val="24"/>
                <w:highlight w:val="none"/>
              </w:rPr>
              <w:pict>
                <v:shape id="_x0000_i1033" o:spt="75" type="#_x0000_t75" style="height:18.7pt;width:37.4pt;" filled="f" o:preferrelative="t" stroked="f" coordsize="21600,21600">
                  <v:path/>
                  <v:fill on="f" focussize="0,0"/>
                  <v:stroke on="f" joinstyle="miter"/>
                  <v:imagedata r:id="rId25" o:title=""/>
                  <o:lock v:ext="edit" aspectratio="t"/>
                  <w10:wrap type="none"/>
                  <w10:anchorlock/>
                </v:shape>
              </w:pict>
            </w:r>
            <w:r>
              <w:rPr>
                <w:rFonts w:ascii="Times New Roman" w:hAnsi="Times New Roman" w:eastAsiaTheme="minorEastAsia"/>
                <w:color w:val="auto"/>
                <w:sz w:val="24"/>
                <w:szCs w:val="24"/>
                <w:highlight w:val="none"/>
              </w:rPr>
              <w:t>——靠近围护结构处室内N个声源</w:t>
            </w:r>
            <w:r>
              <w:rPr>
                <w:rFonts w:ascii="Times New Roman" w:hAnsi="Times New Roman" w:eastAsiaTheme="minorEastAsia"/>
                <w:color w:val="auto"/>
                <w:sz w:val="24"/>
                <w:szCs w:val="24"/>
                <w:highlight w:val="none"/>
              </w:rPr>
              <w:pict>
                <v:shape id="_x0000_i1034" o:spt="75" type="#_x0000_t75" style="height:13.1pt;width:5.6pt;" filled="f" o:preferrelative="t" stroked="f" coordsize="21600,21600">
                  <v:path/>
                  <v:fill on="f" focussize="0,0"/>
                  <v:stroke on="f" joinstyle="miter"/>
                  <v:imagedata r:id="rId26" o:title=""/>
                  <o:lock v:ext="edit" aspectratio="t"/>
                  <w10:wrap type="none"/>
                  <w10:anchorlock/>
                </v:shape>
              </w:pict>
            </w:r>
            <w:r>
              <w:rPr>
                <w:rFonts w:ascii="Times New Roman" w:hAnsi="Times New Roman" w:eastAsiaTheme="minorEastAsia"/>
                <w:color w:val="auto"/>
                <w:sz w:val="24"/>
                <w:szCs w:val="24"/>
                <w:highlight w:val="none"/>
              </w:rPr>
              <w:t>倍频带的叠加声压级，dB；</w:t>
            </w:r>
          </w:p>
          <w:p w14:paraId="06DB87CD">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 xml:space="preserve">     </w:t>
            </w:r>
            <w:r>
              <w:rPr>
                <w:rFonts w:ascii="Times New Roman" w:hAnsi="Times New Roman" w:eastAsiaTheme="minorEastAsia"/>
                <w:color w:val="auto"/>
                <w:sz w:val="24"/>
                <w:szCs w:val="24"/>
                <w:highlight w:val="none"/>
              </w:rPr>
              <w:pict>
                <v:shape id="_x0000_i1035" o:spt="75" type="#_x0000_t75" style="height:18.7pt;width:22.45pt;" filled="f" o:preferrelative="t" stroked="f" coordsize="21600,21600">
                  <v:path/>
                  <v:fill on="f" focussize="0,0"/>
                  <v:stroke on="f" joinstyle="miter"/>
                  <v:imagedata r:id="rId27" o:title=""/>
                  <o:lock v:ext="edit" aspectratio="t"/>
                  <w10:wrap type="none"/>
                  <w10:anchorlock/>
                </v:shape>
              </w:pict>
            </w:r>
            <w:r>
              <w:rPr>
                <w:rFonts w:ascii="Times New Roman" w:hAnsi="Times New Roman" w:eastAsiaTheme="minorEastAsia"/>
                <w:color w:val="auto"/>
                <w:sz w:val="24"/>
                <w:szCs w:val="24"/>
                <w:highlight w:val="none"/>
              </w:rPr>
              <w:t>——室内</w:t>
            </w:r>
            <w:r>
              <w:rPr>
                <w:rFonts w:ascii="Times New Roman" w:hAnsi="Times New Roman" w:eastAsiaTheme="minorEastAsia"/>
                <w:color w:val="auto"/>
                <w:sz w:val="24"/>
                <w:szCs w:val="24"/>
                <w:highlight w:val="none"/>
              </w:rPr>
              <w:pict>
                <v:shape id="_x0000_i1036" o:spt="75" type="#_x0000_t75" style="height:13.1pt;width:6.55pt;" filled="f" o:preferrelative="t" stroked="f" coordsize="21600,21600">
                  <v:path/>
                  <v:fill on="f" focussize="0,0"/>
                  <v:stroke on="f" joinstyle="miter"/>
                  <v:imagedata r:id="rId28" o:title=""/>
                  <o:lock v:ext="edit" aspectratio="t"/>
                  <w10:wrap type="none"/>
                  <w10:anchorlock/>
                </v:shape>
              </w:pict>
            </w:r>
            <w:r>
              <w:rPr>
                <w:rFonts w:ascii="Times New Roman" w:hAnsi="Times New Roman" w:eastAsiaTheme="minorEastAsia"/>
                <w:color w:val="auto"/>
                <w:sz w:val="24"/>
                <w:szCs w:val="24"/>
                <w:highlight w:val="none"/>
              </w:rPr>
              <w:t>声源</w:t>
            </w:r>
            <w:r>
              <w:rPr>
                <w:rFonts w:ascii="Times New Roman" w:hAnsi="Times New Roman" w:eastAsiaTheme="minorEastAsia"/>
                <w:color w:val="auto"/>
                <w:sz w:val="24"/>
                <w:szCs w:val="24"/>
                <w:highlight w:val="none"/>
              </w:rPr>
              <w:pict>
                <v:shape id="_x0000_i1037" o:spt="75" type="#_x0000_t75" style="height:13.1pt;width:5.6pt;" filled="f" o:preferrelative="t" stroked="f" coordsize="21600,21600">
                  <v:path/>
                  <v:fill on="f" focussize="0,0"/>
                  <v:stroke on="f" joinstyle="miter"/>
                  <v:imagedata r:id="rId26" o:title=""/>
                  <o:lock v:ext="edit" aspectratio="t"/>
                  <w10:wrap type="none"/>
                  <w10:anchorlock/>
                </v:shape>
              </w:pict>
            </w:r>
            <w:r>
              <w:rPr>
                <w:rFonts w:ascii="Times New Roman" w:hAnsi="Times New Roman" w:eastAsiaTheme="minorEastAsia"/>
                <w:color w:val="auto"/>
                <w:sz w:val="24"/>
                <w:szCs w:val="24"/>
                <w:highlight w:val="none"/>
              </w:rPr>
              <w:t>倍频带的声压级，dB；</w:t>
            </w:r>
          </w:p>
          <w:p w14:paraId="203DB694">
            <w:pPr>
              <w:spacing w:line="480" w:lineRule="exact"/>
              <w:ind w:firstLine="1200" w:firstLineChars="5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pict>
                <v:shape id="_x0000_i1038" o:spt="75" type="#_x0000_t75" style="height:13.1pt;width:13.1pt;" filled="f" o:preferrelative="t" stroked="f" coordsize="21600,21600">
                  <v:path/>
                  <v:fill on="f" focussize="0,0"/>
                  <v:stroke on="f" joinstyle="miter"/>
                  <v:imagedata r:id="rId29" o:title=""/>
                  <o:lock v:ext="edit" aspectratio="t"/>
                  <w10:wrap type="none"/>
                  <w10:anchorlock/>
                </v:shape>
              </w:pict>
            </w:r>
            <w:r>
              <w:rPr>
                <w:rFonts w:ascii="Times New Roman" w:hAnsi="Times New Roman" w:eastAsiaTheme="minorEastAsia"/>
                <w:color w:val="auto"/>
                <w:sz w:val="24"/>
                <w:szCs w:val="24"/>
                <w:highlight w:val="none"/>
              </w:rPr>
              <w:t>——室内声源总数。</w:t>
            </w:r>
          </w:p>
          <w:p w14:paraId="33D65528">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③计算出室外靠近围护结构处的声压级：</w:t>
            </w:r>
          </w:p>
          <w:p w14:paraId="44A2CF0E">
            <w:pPr>
              <w:spacing w:line="480" w:lineRule="exact"/>
              <w:ind w:firstLine="1080" w:firstLineChars="45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pict>
                <v:shape id="_x0000_i1039" o:spt="75" type="#_x0000_t75" style="height:18.7pt;width:137.45pt;" filled="f" o:preferrelative="t" stroked="f" coordsize="21600,21600">
                  <v:path/>
                  <v:fill on="f" focussize="0,0"/>
                  <v:stroke on="f" joinstyle="miter"/>
                  <v:imagedata r:id="rId30" o:title=""/>
                  <o:lock v:ext="edit" aspectratio="t"/>
                  <w10:wrap type="none"/>
                  <w10:anchorlock/>
                </v:shape>
              </w:pict>
            </w:r>
          </w:p>
          <w:p w14:paraId="5E1EFD0B">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式中：</w:t>
            </w:r>
            <w:r>
              <w:rPr>
                <w:rFonts w:ascii="Times New Roman" w:hAnsi="Times New Roman" w:eastAsiaTheme="minorEastAsia"/>
                <w:color w:val="auto"/>
                <w:sz w:val="24"/>
                <w:szCs w:val="24"/>
                <w:highlight w:val="none"/>
              </w:rPr>
              <w:pict>
                <v:shape id="_x0000_i1040" o:spt="75" type="#_x0000_t75" style="height:18.7pt;width:37.4pt;" filled="f" o:preferrelative="t" stroked="f" coordsize="21600,21600">
                  <v:path/>
                  <v:fill on="f" focussize="0,0"/>
                  <v:stroke on="f" joinstyle="miter"/>
                  <v:imagedata r:id="rId31" o:title=""/>
                  <o:lock v:ext="edit" aspectratio="t"/>
                  <w10:wrap type="none"/>
                  <w10:anchorlock/>
                </v:shape>
              </w:pict>
            </w:r>
            <w:r>
              <w:rPr>
                <w:rFonts w:ascii="Times New Roman" w:hAnsi="Times New Roman" w:eastAsiaTheme="minorEastAsia"/>
                <w:color w:val="auto"/>
                <w:sz w:val="24"/>
                <w:szCs w:val="24"/>
                <w:highlight w:val="none"/>
              </w:rPr>
              <w:t>——靠近围护结构处室外N个声源</w:t>
            </w:r>
            <w:r>
              <w:rPr>
                <w:rFonts w:ascii="Times New Roman" w:hAnsi="Times New Roman" w:eastAsiaTheme="minorEastAsia"/>
                <w:color w:val="auto"/>
                <w:sz w:val="24"/>
                <w:szCs w:val="24"/>
                <w:highlight w:val="none"/>
              </w:rPr>
              <w:pict>
                <v:shape id="_x0000_i1041" o:spt="75" type="#_x0000_t75" style="height:13.1pt;width:5.6pt;" filled="f" o:preferrelative="t" stroked="f" coordsize="21600,21600">
                  <v:path/>
                  <v:fill on="f" focussize="0,0"/>
                  <v:stroke on="f" joinstyle="miter"/>
                  <v:imagedata r:id="rId26" o:title=""/>
                  <o:lock v:ext="edit" aspectratio="t"/>
                  <w10:wrap type="none"/>
                  <w10:anchorlock/>
                </v:shape>
              </w:pict>
            </w:r>
            <w:r>
              <w:rPr>
                <w:rFonts w:ascii="Times New Roman" w:hAnsi="Times New Roman" w:eastAsiaTheme="minorEastAsia"/>
                <w:color w:val="auto"/>
                <w:sz w:val="24"/>
                <w:szCs w:val="24"/>
                <w:highlight w:val="none"/>
              </w:rPr>
              <w:t>倍频带的叠加声压级，dB；</w:t>
            </w:r>
          </w:p>
          <w:p w14:paraId="2567CB98">
            <w:pPr>
              <w:spacing w:line="480" w:lineRule="exact"/>
              <w:ind w:firstLine="1200" w:firstLineChars="5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pict>
                <v:shape id="_x0000_i1042" o:spt="75" type="#_x0000_t75" style="height:17.75pt;width:18.7pt;" filled="f" o:preferrelative="t" stroked="f" coordsize="21600,21600">
                  <v:path/>
                  <v:fill on="f" focussize="0,0"/>
                  <v:stroke on="f" joinstyle="miter"/>
                  <v:imagedata r:id="rId32" o:title=""/>
                  <o:lock v:ext="edit" aspectratio="t"/>
                  <w10:wrap type="none"/>
                  <w10:anchorlock/>
                </v:shape>
              </w:pict>
            </w:r>
            <w:r>
              <w:rPr>
                <w:rFonts w:ascii="Times New Roman" w:hAnsi="Times New Roman" w:eastAsiaTheme="minorEastAsia"/>
                <w:color w:val="auto"/>
                <w:sz w:val="24"/>
                <w:szCs w:val="24"/>
                <w:highlight w:val="none"/>
              </w:rPr>
              <w:t>——围护结构</w:t>
            </w:r>
            <w:r>
              <w:rPr>
                <w:rFonts w:ascii="Times New Roman" w:hAnsi="Times New Roman" w:eastAsiaTheme="minorEastAsia"/>
                <w:color w:val="auto"/>
                <w:sz w:val="24"/>
                <w:szCs w:val="24"/>
                <w:highlight w:val="none"/>
              </w:rPr>
              <w:pict>
                <v:shape id="_x0000_i1043" o:spt="75" type="#_x0000_t75" style="height:13.1pt;width:5.6pt;" filled="f" o:preferrelative="t" stroked="f" coordsize="21600,21600">
                  <v:path/>
                  <v:fill on="f" focussize="0,0"/>
                  <v:stroke on="f" joinstyle="miter"/>
                  <v:imagedata r:id="rId26" o:title=""/>
                  <o:lock v:ext="edit" aspectratio="t"/>
                  <w10:wrap type="none"/>
                  <w10:anchorlock/>
                </v:shape>
              </w:pict>
            </w:r>
            <w:r>
              <w:rPr>
                <w:rFonts w:ascii="Times New Roman" w:hAnsi="Times New Roman" w:eastAsiaTheme="minorEastAsia"/>
                <w:color w:val="auto"/>
                <w:sz w:val="24"/>
                <w:szCs w:val="24"/>
                <w:highlight w:val="none"/>
              </w:rPr>
              <w:t>倍频带的隔声量，dB；</w:t>
            </w:r>
          </w:p>
          <w:p w14:paraId="43A71AD6">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④将室外声源的声压级和透过面积换算成等效的室外声源，计算出中心位置位于透声面积(S)处的等效声源的倍频带声功率级。</w:t>
            </w:r>
          </w:p>
          <w:p w14:paraId="088545D7">
            <w:pPr>
              <w:spacing w:line="480" w:lineRule="exact"/>
              <w:ind w:firstLine="1080" w:firstLineChars="45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pict>
                <v:shape id="_x0000_i1044" o:spt="75" type="#_x0000_t75" style="height:18.7pt;width:105.65pt;" filled="f" o:preferrelative="t" stroked="f" coordsize="21600,21600">
                  <v:path/>
                  <v:fill on="f" focussize="0,0"/>
                  <v:stroke on="f" joinstyle="miter"/>
                  <v:imagedata r:id="rId33" o:title=""/>
                  <o:lock v:ext="edit" aspectratio="t"/>
                  <w10:wrap type="none"/>
                  <w10:anchorlock/>
                </v:shape>
              </w:pict>
            </w:r>
          </w:p>
          <w:p w14:paraId="25CF9A59">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3)计算总声压级</w:t>
            </w:r>
          </w:p>
          <w:p w14:paraId="4CC15B78">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计算本项目噪声源对各预测点噪声贡献值</w:t>
            </w:r>
          </w:p>
          <w:p w14:paraId="1313001C">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设第</w:t>
            </w:r>
            <w:r>
              <w:rPr>
                <w:rFonts w:ascii="Times New Roman" w:hAnsi="Times New Roman" w:eastAsiaTheme="minorEastAsia"/>
                <w:color w:val="auto"/>
                <w:position w:val="-6"/>
                <w:sz w:val="24"/>
                <w:szCs w:val="24"/>
                <w:highlight w:val="none"/>
              </w:rPr>
              <w:pict>
                <v:shape id="_x0000_i1045" o:spt="75" type="#_x0000_t75" style="height:13.1pt;width:5.6pt;" filled="f" o:preferrelative="t" stroked="f" coordsize="21600,21600">
                  <v:path/>
                  <v:fill on="f" focussize="0,0"/>
                  <v:stroke on="f" joinstyle="miter"/>
                  <v:imagedata r:id="rId34" o:title=""/>
                  <o:lock v:ext="edit" aspectratio="t"/>
                  <w10:wrap type="none"/>
                  <w10:anchorlock/>
                </v:shape>
              </w:pict>
            </w:r>
            <w:r>
              <w:rPr>
                <w:rFonts w:ascii="Times New Roman" w:hAnsi="Times New Roman" w:eastAsiaTheme="minorEastAsia"/>
                <w:color w:val="auto"/>
                <w:sz w:val="24"/>
                <w:szCs w:val="24"/>
                <w:highlight w:val="none"/>
              </w:rPr>
              <w:t>个室外声源在预测点产生的A声级为</w:t>
            </w:r>
            <w:r>
              <w:rPr>
                <w:rFonts w:ascii="Times New Roman" w:hAnsi="Times New Roman" w:eastAsiaTheme="minorEastAsia"/>
                <w:color w:val="auto"/>
                <w:position w:val="-12"/>
                <w:sz w:val="24"/>
                <w:szCs w:val="24"/>
                <w:highlight w:val="none"/>
              </w:rPr>
              <w:pict>
                <v:shape id="_x0000_i1046" o:spt="75" type="#_x0000_t75" style="height:17.75pt;width:17.75pt;" filled="f" o:preferrelative="t" stroked="f" coordsize="21600,21600">
                  <v:path/>
                  <v:fill on="f" focussize="0,0"/>
                  <v:stroke on="f" joinstyle="miter"/>
                  <v:imagedata r:id="rId35" o:title=""/>
                  <o:lock v:ext="edit" aspectratio="t"/>
                  <w10:wrap type="none"/>
                  <w10:anchorlock/>
                </v:shape>
              </w:pict>
            </w:r>
            <w:r>
              <w:rPr>
                <w:rFonts w:ascii="Times New Roman" w:hAnsi="Times New Roman" w:eastAsiaTheme="minorEastAsia"/>
                <w:color w:val="auto"/>
                <w:sz w:val="24"/>
                <w:szCs w:val="24"/>
                <w:highlight w:val="none"/>
              </w:rPr>
              <w:t>，在T时间内该声源工作时间为</w:t>
            </w:r>
            <w:r>
              <w:rPr>
                <w:rFonts w:ascii="Times New Roman" w:hAnsi="Times New Roman" w:eastAsiaTheme="minorEastAsia"/>
                <w:color w:val="auto"/>
                <w:position w:val="-12"/>
                <w:sz w:val="24"/>
                <w:szCs w:val="24"/>
                <w:highlight w:val="none"/>
              </w:rPr>
              <w:pict>
                <v:shape id="_x0000_i1047" o:spt="75" type="#_x0000_t75" style="height:18.7pt;width:6.55pt;" filled="f" o:preferrelative="t" stroked="f" coordsize="21600,21600">
                  <v:path/>
                  <v:fill on="f" focussize="0,0"/>
                  <v:stroke on="f" joinstyle="miter"/>
                  <v:imagedata r:id="rId36" o:title=""/>
                  <o:lock v:ext="edit" aspectratio="t"/>
                  <w10:wrap type="none"/>
                  <w10:anchorlock/>
                </v:shape>
              </w:pict>
            </w:r>
            <w:r>
              <w:rPr>
                <w:rFonts w:ascii="Times New Roman" w:hAnsi="Times New Roman" w:eastAsiaTheme="minorEastAsia"/>
                <w:color w:val="auto"/>
                <w:sz w:val="24"/>
                <w:szCs w:val="24"/>
                <w:highlight w:val="none"/>
              </w:rPr>
              <w:t>；第</w:t>
            </w:r>
            <w:r>
              <w:rPr>
                <w:rFonts w:ascii="Times New Roman" w:hAnsi="Times New Roman" w:eastAsiaTheme="minorEastAsia"/>
                <w:color w:val="auto"/>
                <w:position w:val="-10"/>
                <w:sz w:val="24"/>
                <w:szCs w:val="24"/>
                <w:highlight w:val="none"/>
              </w:rPr>
              <w:pict>
                <v:shape id="_x0000_i1048" o:spt="75" type="#_x0000_t75" style="height:13.1pt;width:6.55pt;" filled="f" o:preferrelative="t" stroked="f" coordsize="21600,21600">
                  <v:path/>
                  <v:fill on="f" focussize="0,0"/>
                  <v:stroke on="f" joinstyle="miter"/>
                  <v:imagedata r:id="rId37" o:title=""/>
                  <o:lock v:ext="edit" aspectratio="t"/>
                  <w10:wrap type="none"/>
                  <w10:anchorlock/>
                </v:shape>
              </w:pict>
            </w:r>
            <w:r>
              <w:rPr>
                <w:rFonts w:ascii="Times New Roman" w:hAnsi="Times New Roman" w:eastAsiaTheme="minorEastAsia"/>
                <w:color w:val="auto"/>
                <w:sz w:val="24"/>
                <w:szCs w:val="24"/>
                <w:highlight w:val="none"/>
              </w:rPr>
              <w:t>个等效室外声源在预测点产生的A声级为</w:t>
            </w:r>
            <w:r>
              <w:rPr>
                <w:rFonts w:ascii="Times New Roman" w:hAnsi="Times New Roman" w:eastAsiaTheme="minorEastAsia"/>
                <w:color w:val="auto"/>
                <w:position w:val="-14"/>
                <w:sz w:val="24"/>
                <w:szCs w:val="24"/>
                <w:highlight w:val="none"/>
              </w:rPr>
              <w:pict>
                <v:shape id="_x0000_i1049" o:spt="75" type="#_x0000_t75" style="height:18.7pt;width:17.75pt;" filled="f" o:preferrelative="t" stroked="f" coordsize="21600,21600">
                  <v:path/>
                  <v:fill on="f" focussize="0,0"/>
                  <v:stroke on="f" joinstyle="miter"/>
                  <v:imagedata r:id="rId38" o:title=""/>
                  <o:lock v:ext="edit" aspectratio="t"/>
                  <w10:wrap type="none"/>
                  <w10:anchorlock/>
                </v:shape>
              </w:pict>
            </w:r>
            <w:r>
              <w:rPr>
                <w:rFonts w:ascii="Times New Roman" w:hAnsi="Times New Roman" w:eastAsiaTheme="minorEastAsia"/>
                <w:color w:val="auto"/>
                <w:sz w:val="24"/>
                <w:szCs w:val="24"/>
                <w:highlight w:val="none"/>
              </w:rPr>
              <w:t>，在T时间内该声源工作时间为</w:t>
            </w:r>
            <w:r>
              <w:rPr>
                <w:rFonts w:ascii="Times New Roman" w:hAnsi="Times New Roman" w:eastAsiaTheme="minorEastAsia"/>
                <w:color w:val="auto"/>
                <w:position w:val="-14"/>
                <w:sz w:val="24"/>
                <w:szCs w:val="24"/>
                <w:highlight w:val="none"/>
              </w:rPr>
              <w:pict>
                <v:shape id="_x0000_i1050" o:spt="75" type="#_x0000_t75" style="height:18.7pt;width:10.3pt;" filled="f" o:preferrelative="t" stroked="f" coordsize="21600,21600">
                  <v:path/>
                  <v:fill on="f" focussize="0,0"/>
                  <v:stroke on="f" joinstyle="miter"/>
                  <v:imagedata r:id="rId39" o:title=""/>
                  <o:lock v:ext="edit" aspectratio="t"/>
                  <w10:wrap type="none"/>
                  <w10:anchorlock/>
                </v:shape>
              </w:pict>
            </w:r>
            <w:r>
              <w:rPr>
                <w:rFonts w:ascii="Times New Roman" w:hAnsi="Times New Roman" w:eastAsiaTheme="minorEastAsia"/>
                <w:color w:val="auto"/>
                <w:sz w:val="24"/>
                <w:szCs w:val="24"/>
                <w:highlight w:val="none"/>
              </w:rPr>
              <w:t>，则本项目声源对预测点产生的贡献值(</w:t>
            </w:r>
            <w:r>
              <w:rPr>
                <w:rFonts w:ascii="Times New Roman" w:hAnsi="Times New Roman" w:eastAsiaTheme="minorEastAsia"/>
                <w:color w:val="auto"/>
                <w:position w:val="-14"/>
                <w:sz w:val="24"/>
                <w:szCs w:val="24"/>
                <w:highlight w:val="none"/>
              </w:rPr>
              <w:pict>
                <v:shape id="_x0000_i1051" o:spt="75" type="#_x0000_t75" style="height:18.7pt;width:20.55pt;" filled="f" o:preferrelative="t" stroked="f" coordsize="21600,21600">
                  <v:path/>
                  <v:fill on="f" focussize="0,0"/>
                  <v:stroke on="f" joinstyle="miter"/>
                  <v:imagedata r:id="rId40" o:title=""/>
                  <o:lock v:ext="edit" aspectratio="t"/>
                  <w10:wrap type="none"/>
                  <w10:anchorlock/>
                </v:shape>
              </w:pict>
            </w:r>
            <w:r>
              <w:rPr>
                <w:rFonts w:ascii="Times New Roman" w:hAnsi="Times New Roman" w:eastAsiaTheme="minorEastAsia"/>
                <w:color w:val="auto"/>
                <w:sz w:val="24"/>
                <w:szCs w:val="24"/>
                <w:highlight w:val="none"/>
              </w:rPr>
              <w:t>)为:</w:t>
            </w:r>
          </w:p>
          <w:p w14:paraId="41C8A009">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position w:val="-30"/>
                <w:sz w:val="24"/>
                <w:szCs w:val="24"/>
                <w:highlight w:val="none"/>
              </w:rPr>
              <w:pict>
                <v:shape id="_x0000_i1052" o:spt="75" type="#_x0000_t75" style="height:33.65pt;width:198.25pt;" filled="f" o:preferrelative="t" stroked="f" coordsize="21600,21600">
                  <v:path/>
                  <v:fill on="f" focussize="0,0"/>
                  <v:stroke on="f" joinstyle="miter"/>
                  <v:imagedata r:id="rId41" o:title=""/>
                  <o:lock v:ext="edit" aspectratio="t"/>
                  <w10:wrap type="none"/>
                  <w10:anchorlock/>
                </v:shape>
              </w:pict>
            </w:r>
          </w:p>
          <w:p w14:paraId="78B4E648">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4)噪声预测点位</w:t>
            </w:r>
          </w:p>
          <w:p w14:paraId="06A05617">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预测本项目噪声源对厂界的噪声贡献值。</w:t>
            </w:r>
          </w:p>
          <w:p w14:paraId="2A6E552D">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（4）预测结果分析</w:t>
            </w:r>
          </w:p>
          <w:p w14:paraId="078428FB">
            <w:pPr>
              <w:spacing w:line="480" w:lineRule="exact"/>
              <w:ind w:firstLine="480" w:firstLineChars="200"/>
              <w:jc w:val="center"/>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表4-</w:t>
            </w:r>
            <w:r>
              <w:rPr>
                <w:rFonts w:hint="eastAsia" w:ascii="Times New Roman" w:hAnsi="Times New Roman" w:eastAsiaTheme="minorEastAsia"/>
                <w:color w:val="auto"/>
                <w:sz w:val="24"/>
                <w:szCs w:val="24"/>
                <w:highlight w:val="none"/>
                <w:lang w:val="en-US" w:eastAsia="zh-CN"/>
              </w:rPr>
              <w:t>7</w:t>
            </w:r>
            <w:r>
              <w:rPr>
                <w:rFonts w:ascii="Times New Roman" w:hAnsi="Times New Roman" w:eastAsiaTheme="minorEastAsia"/>
                <w:color w:val="auto"/>
                <w:sz w:val="24"/>
                <w:szCs w:val="24"/>
                <w:highlight w:val="none"/>
              </w:rPr>
              <w:t xml:space="preserve">   厂界噪声预测结果    单位：dB（A）</w:t>
            </w:r>
          </w:p>
          <w:tbl>
            <w:tblPr>
              <w:tblStyle w:val="31"/>
              <w:tblW w:w="4877" w:type="pct"/>
              <w:jc w:val="center"/>
              <w:tblBorders>
                <w:top w:val="single" w:color="auto" w:sz="2" w:space="0"/>
                <w:left w:val="none" w:color="auto" w:sz="0" w:space="0"/>
                <w:bottom w:val="single" w:color="auto" w:sz="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
            <w:tblGrid>
              <w:gridCol w:w="1353"/>
              <w:gridCol w:w="1669"/>
              <w:gridCol w:w="1500"/>
              <w:gridCol w:w="1800"/>
              <w:gridCol w:w="1887"/>
            </w:tblGrid>
            <w:tr w14:paraId="13CFDAFF">
              <w:tblPrEx>
                <w:tblBorders>
                  <w:top w:val="single" w:color="auto" w:sz="2" w:space="0"/>
                  <w:left w:val="none" w:color="auto" w:sz="0" w:space="0"/>
                  <w:bottom w:val="single" w:color="auto" w:sz="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495" w:hRule="atLeast"/>
                <w:jc w:val="center"/>
              </w:trPr>
              <w:tc>
                <w:tcPr>
                  <w:tcW w:w="824" w:type="pct"/>
                  <w:vAlign w:val="center"/>
                </w:tcPr>
                <w:p w14:paraId="391250D9">
                  <w:pPr>
                    <w:widowControl/>
                    <w:adjustRightInd w:val="0"/>
                    <w:snapToGrid w:val="0"/>
                    <w:spacing w:line="240" w:lineRule="exact"/>
                    <w:jc w:val="center"/>
                    <w:rPr>
                      <w:rFonts w:ascii="Times New Roman" w:hAnsi="Times New Roman" w:eastAsiaTheme="minorEastAsia"/>
                      <w:bCs/>
                      <w:snapToGrid w:val="0"/>
                      <w:color w:val="auto"/>
                      <w:szCs w:val="21"/>
                      <w:highlight w:val="none"/>
                    </w:rPr>
                  </w:pPr>
                  <w:r>
                    <w:rPr>
                      <w:rFonts w:ascii="Times New Roman" w:hAnsi="Times New Roman" w:eastAsiaTheme="minorEastAsia"/>
                      <w:bCs/>
                      <w:snapToGrid w:val="0"/>
                      <w:color w:val="auto"/>
                      <w:szCs w:val="21"/>
                      <w:highlight w:val="none"/>
                    </w:rPr>
                    <w:t>预测点位</w:t>
                  </w:r>
                </w:p>
              </w:tc>
              <w:tc>
                <w:tcPr>
                  <w:tcW w:w="1016" w:type="pct"/>
                  <w:vAlign w:val="center"/>
                </w:tcPr>
                <w:p w14:paraId="6F054EF5">
                  <w:pPr>
                    <w:widowControl/>
                    <w:adjustRightInd w:val="0"/>
                    <w:snapToGrid w:val="0"/>
                    <w:spacing w:line="240" w:lineRule="exact"/>
                    <w:jc w:val="center"/>
                    <w:rPr>
                      <w:rFonts w:ascii="Times New Roman" w:hAnsi="Times New Roman" w:eastAsiaTheme="minorEastAsia"/>
                      <w:bCs/>
                      <w:snapToGrid w:val="0"/>
                      <w:color w:val="auto"/>
                      <w:szCs w:val="21"/>
                      <w:highlight w:val="none"/>
                    </w:rPr>
                  </w:pPr>
                  <w:r>
                    <w:rPr>
                      <w:rFonts w:ascii="Times New Roman" w:hAnsi="Times New Roman" w:eastAsiaTheme="minorEastAsia"/>
                      <w:bCs/>
                      <w:snapToGrid w:val="0"/>
                      <w:color w:val="auto"/>
                      <w:szCs w:val="21"/>
                      <w:highlight w:val="none"/>
                    </w:rPr>
                    <w:t>时间</w:t>
                  </w:r>
                </w:p>
              </w:tc>
              <w:tc>
                <w:tcPr>
                  <w:tcW w:w="913" w:type="pct"/>
                  <w:vAlign w:val="center"/>
                </w:tcPr>
                <w:p w14:paraId="51798DEA">
                  <w:pPr>
                    <w:widowControl/>
                    <w:adjustRightInd w:val="0"/>
                    <w:snapToGrid w:val="0"/>
                    <w:spacing w:line="240" w:lineRule="exact"/>
                    <w:jc w:val="center"/>
                    <w:rPr>
                      <w:rFonts w:ascii="Times New Roman" w:hAnsi="Times New Roman" w:eastAsiaTheme="minorEastAsia"/>
                      <w:bCs/>
                      <w:snapToGrid w:val="0"/>
                      <w:color w:val="auto"/>
                      <w:szCs w:val="21"/>
                      <w:highlight w:val="none"/>
                    </w:rPr>
                  </w:pPr>
                  <w:r>
                    <w:rPr>
                      <w:rFonts w:ascii="Times New Roman" w:hAnsi="Times New Roman" w:eastAsiaTheme="minorEastAsia"/>
                      <w:bCs/>
                      <w:snapToGrid w:val="0"/>
                      <w:color w:val="auto"/>
                      <w:szCs w:val="21"/>
                      <w:highlight w:val="none"/>
                    </w:rPr>
                    <w:t>贡献值</w:t>
                  </w:r>
                </w:p>
              </w:tc>
              <w:tc>
                <w:tcPr>
                  <w:tcW w:w="1096" w:type="pct"/>
                  <w:vAlign w:val="center"/>
                </w:tcPr>
                <w:p w14:paraId="3FFE3822">
                  <w:pPr>
                    <w:widowControl/>
                    <w:adjustRightInd w:val="0"/>
                    <w:snapToGrid w:val="0"/>
                    <w:spacing w:line="240" w:lineRule="exact"/>
                    <w:jc w:val="center"/>
                    <w:rPr>
                      <w:rFonts w:ascii="Times New Roman" w:hAnsi="Times New Roman" w:eastAsiaTheme="minorEastAsia"/>
                      <w:bCs/>
                      <w:color w:val="auto"/>
                      <w:szCs w:val="21"/>
                      <w:highlight w:val="none"/>
                    </w:rPr>
                  </w:pPr>
                  <w:r>
                    <w:rPr>
                      <w:rFonts w:ascii="Times New Roman" w:hAnsi="Times New Roman" w:eastAsiaTheme="minorEastAsia"/>
                      <w:bCs/>
                      <w:snapToGrid w:val="0"/>
                      <w:color w:val="auto"/>
                      <w:szCs w:val="21"/>
                      <w:highlight w:val="none"/>
                    </w:rPr>
                    <w:t>标准值</w:t>
                  </w:r>
                </w:p>
              </w:tc>
              <w:tc>
                <w:tcPr>
                  <w:tcW w:w="1149" w:type="pct"/>
                  <w:vAlign w:val="center"/>
                </w:tcPr>
                <w:p w14:paraId="4640E928">
                  <w:pPr>
                    <w:widowControl/>
                    <w:adjustRightInd w:val="0"/>
                    <w:snapToGrid w:val="0"/>
                    <w:spacing w:line="240" w:lineRule="exact"/>
                    <w:jc w:val="center"/>
                    <w:rPr>
                      <w:rFonts w:ascii="Times New Roman" w:hAnsi="Times New Roman" w:eastAsiaTheme="minorEastAsia"/>
                      <w:bCs/>
                      <w:snapToGrid w:val="0"/>
                      <w:color w:val="auto"/>
                      <w:szCs w:val="21"/>
                      <w:highlight w:val="none"/>
                    </w:rPr>
                  </w:pPr>
                  <w:r>
                    <w:rPr>
                      <w:rFonts w:ascii="Times New Roman" w:hAnsi="Times New Roman" w:eastAsiaTheme="minorEastAsia"/>
                      <w:bCs/>
                      <w:snapToGrid w:val="0"/>
                      <w:color w:val="auto"/>
                      <w:szCs w:val="21"/>
                      <w:highlight w:val="none"/>
                    </w:rPr>
                    <w:t>预测结果</w:t>
                  </w:r>
                </w:p>
              </w:tc>
            </w:tr>
            <w:tr w14:paraId="74F5067E">
              <w:tblPrEx>
                <w:tblBorders>
                  <w:top w:val="single" w:color="auto" w:sz="2" w:space="0"/>
                  <w:left w:val="none" w:color="auto" w:sz="0" w:space="0"/>
                  <w:bottom w:val="single" w:color="auto" w:sz="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340" w:hRule="atLeast"/>
                <w:jc w:val="center"/>
              </w:trPr>
              <w:tc>
                <w:tcPr>
                  <w:tcW w:w="824" w:type="pct"/>
                  <w:vAlign w:val="center"/>
                </w:tcPr>
                <w:p w14:paraId="2299D03D">
                  <w:pPr>
                    <w:widowControl/>
                    <w:adjustRightInd w:val="0"/>
                    <w:snapToGrid w:val="0"/>
                    <w:spacing w:line="240" w:lineRule="exact"/>
                    <w:jc w:val="center"/>
                    <w:rPr>
                      <w:rFonts w:ascii="Times New Roman" w:hAnsi="Times New Roman" w:eastAsiaTheme="minorEastAsia"/>
                      <w:snapToGrid w:val="0"/>
                      <w:color w:val="auto"/>
                      <w:szCs w:val="21"/>
                      <w:highlight w:val="none"/>
                    </w:rPr>
                  </w:pPr>
                  <w:r>
                    <w:rPr>
                      <w:rFonts w:ascii="Times New Roman" w:hAnsi="Times New Roman" w:eastAsiaTheme="minorEastAsia"/>
                      <w:snapToGrid w:val="0"/>
                      <w:color w:val="auto"/>
                      <w:szCs w:val="21"/>
                      <w:highlight w:val="none"/>
                    </w:rPr>
                    <w:t>东厂界</w:t>
                  </w:r>
                </w:p>
              </w:tc>
              <w:tc>
                <w:tcPr>
                  <w:tcW w:w="1016" w:type="pct"/>
                  <w:vAlign w:val="center"/>
                </w:tcPr>
                <w:p w14:paraId="7BE5111F">
                  <w:pPr>
                    <w:widowControl/>
                    <w:adjustRightInd w:val="0"/>
                    <w:snapToGrid w:val="0"/>
                    <w:spacing w:line="240" w:lineRule="exact"/>
                    <w:jc w:val="center"/>
                    <w:rPr>
                      <w:rFonts w:ascii="Times New Roman" w:hAnsi="Times New Roman" w:eastAsiaTheme="minorEastAsia"/>
                      <w:snapToGrid w:val="0"/>
                      <w:color w:val="auto"/>
                      <w:szCs w:val="21"/>
                      <w:highlight w:val="none"/>
                    </w:rPr>
                  </w:pPr>
                  <w:r>
                    <w:rPr>
                      <w:rFonts w:ascii="Times New Roman" w:hAnsi="Times New Roman" w:eastAsiaTheme="minorEastAsia"/>
                      <w:snapToGrid w:val="0"/>
                      <w:color w:val="auto"/>
                      <w:szCs w:val="21"/>
                      <w:highlight w:val="none"/>
                    </w:rPr>
                    <w:t>昼间</w:t>
                  </w:r>
                </w:p>
              </w:tc>
              <w:tc>
                <w:tcPr>
                  <w:tcW w:w="1500" w:type="dxa"/>
                  <w:vAlign w:val="center"/>
                </w:tcPr>
                <w:p w14:paraId="7AEFE0F0">
                  <w:pPr>
                    <w:widowControl/>
                    <w:adjustRightInd w:val="0"/>
                    <w:snapToGrid w:val="0"/>
                    <w:spacing w:line="240" w:lineRule="exact"/>
                    <w:jc w:val="center"/>
                    <w:rPr>
                      <w:rFonts w:hint="default" w:ascii="Times New Roman" w:hAnsi="Times New Roman" w:eastAsiaTheme="minorEastAsia"/>
                      <w:snapToGrid w:val="0"/>
                      <w:color w:val="auto"/>
                      <w:szCs w:val="21"/>
                      <w:highlight w:val="none"/>
                      <w:lang w:val="en-US" w:eastAsia="zh-CN"/>
                    </w:rPr>
                  </w:pPr>
                  <w:r>
                    <w:rPr>
                      <w:rFonts w:hint="eastAsia" w:ascii="Times New Roman" w:hAnsi="Times New Roman" w:eastAsiaTheme="minorEastAsia"/>
                      <w:snapToGrid w:val="0"/>
                      <w:color w:val="auto"/>
                      <w:szCs w:val="21"/>
                      <w:highlight w:val="none"/>
                      <w:lang w:val="en-US" w:eastAsia="zh-CN"/>
                    </w:rPr>
                    <w:t>52.7</w:t>
                  </w:r>
                </w:p>
              </w:tc>
              <w:tc>
                <w:tcPr>
                  <w:tcW w:w="1096" w:type="pct"/>
                  <w:vAlign w:val="center"/>
                </w:tcPr>
                <w:p w14:paraId="0506F234">
                  <w:pPr>
                    <w:widowControl/>
                    <w:adjustRightInd w:val="0"/>
                    <w:snapToGrid w:val="0"/>
                    <w:spacing w:line="240" w:lineRule="exact"/>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snapToGrid w:val="0"/>
                      <w:color w:val="auto"/>
                      <w:szCs w:val="21"/>
                      <w:highlight w:val="none"/>
                      <w:lang w:val="en-US" w:eastAsia="zh-CN"/>
                    </w:rPr>
                    <w:t>65</w:t>
                  </w:r>
                </w:p>
              </w:tc>
              <w:tc>
                <w:tcPr>
                  <w:tcW w:w="1149" w:type="pct"/>
                  <w:vAlign w:val="center"/>
                </w:tcPr>
                <w:p w14:paraId="7C7D3ADC">
                  <w:pPr>
                    <w:widowControl/>
                    <w:adjustRightInd w:val="0"/>
                    <w:snapToGrid w:val="0"/>
                    <w:spacing w:line="240" w:lineRule="exact"/>
                    <w:jc w:val="center"/>
                    <w:rPr>
                      <w:rFonts w:ascii="Times New Roman" w:hAnsi="Times New Roman" w:eastAsiaTheme="minorEastAsia"/>
                      <w:snapToGrid w:val="0"/>
                      <w:color w:val="auto"/>
                      <w:szCs w:val="21"/>
                      <w:highlight w:val="none"/>
                    </w:rPr>
                  </w:pPr>
                  <w:r>
                    <w:rPr>
                      <w:rFonts w:ascii="Times New Roman" w:hAnsi="Times New Roman" w:eastAsiaTheme="minorEastAsia"/>
                      <w:snapToGrid w:val="0"/>
                      <w:color w:val="auto"/>
                      <w:szCs w:val="21"/>
                      <w:highlight w:val="none"/>
                    </w:rPr>
                    <w:t>达标</w:t>
                  </w:r>
                </w:p>
              </w:tc>
            </w:tr>
            <w:tr w14:paraId="56D61D3B">
              <w:tblPrEx>
                <w:tblBorders>
                  <w:top w:val="single" w:color="auto" w:sz="2" w:space="0"/>
                  <w:left w:val="none" w:color="auto" w:sz="0" w:space="0"/>
                  <w:bottom w:val="single" w:color="auto" w:sz="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340" w:hRule="atLeast"/>
                <w:jc w:val="center"/>
              </w:trPr>
              <w:tc>
                <w:tcPr>
                  <w:tcW w:w="824" w:type="pct"/>
                  <w:vAlign w:val="center"/>
                </w:tcPr>
                <w:p w14:paraId="1021C862">
                  <w:pPr>
                    <w:widowControl/>
                    <w:adjustRightInd w:val="0"/>
                    <w:snapToGrid w:val="0"/>
                    <w:spacing w:line="240" w:lineRule="exact"/>
                    <w:jc w:val="center"/>
                    <w:rPr>
                      <w:rFonts w:ascii="Times New Roman" w:hAnsi="Times New Roman" w:eastAsiaTheme="minorEastAsia"/>
                      <w:snapToGrid w:val="0"/>
                      <w:color w:val="auto"/>
                      <w:szCs w:val="21"/>
                      <w:highlight w:val="none"/>
                    </w:rPr>
                  </w:pPr>
                  <w:r>
                    <w:rPr>
                      <w:rFonts w:ascii="Times New Roman" w:hAnsi="Times New Roman" w:eastAsiaTheme="minorEastAsia"/>
                      <w:snapToGrid w:val="0"/>
                      <w:color w:val="auto"/>
                      <w:szCs w:val="21"/>
                      <w:highlight w:val="none"/>
                    </w:rPr>
                    <w:t>南厂界</w:t>
                  </w:r>
                </w:p>
              </w:tc>
              <w:tc>
                <w:tcPr>
                  <w:tcW w:w="1016" w:type="pct"/>
                  <w:vAlign w:val="center"/>
                </w:tcPr>
                <w:p w14:paraId="502F881C">
                  <w:pPr>
                    <w:widowControl/>
                    <w:adjustRightInd w:val="0"/>
                    <w:snapToGrid w:val="0"/>
                    <w:spacing w:line="240" w:lineRule="exact"/>
                    <w:jc w:val="center"/>
                    <w:rPr>
                      <w:rFonts w:ascii="Times New Roman" w:hAnsi="Times New Roman" w:eastAsiaTheme="minorEastAsia"/>
                      <w:snapToGrid w:val="0"/>
                      <w:color w:val="auto"/>
                      <w:szCs w:val="21"/>
                      <w:highlight w:val="none"/>
                    </w:rPr>
                  </w:pPr>
                  <w:r>
                    <w:rPr>
                      <w:rFonts w:ascii="Times New Roman" w:hAnsi="Times New Roman" w:eastAsiaTheme="minorEastAsia"/>
                      <w:snapToGrid w:val="0"/>
                      <w:color w:val="auto"/>
                      <w:szCs w:val="21"/>
                      <w:highlight w:val="none"/>
                    </w:rPr>
                    <w:t>昼间</w:t>
                  </w:r>
                </w:p>
              </w:tc>
              <w:tc>
                <w:tcPr>
                  <w:tcW w:w="1500" w:type="dxa"/>
                  <w:vAlign w:val="center"/>
                </w:tcPr>
                <w:p w14:paraId="42ACE258">
                  <w:pPr>
                    <w:widowControl/>
                    <w:adjustRightInd w:val="0"/>
                    <w:snapToGrid w:val="0"/>
                    <w:spacing w:line="240" w:lineRule="exact"/>
                    <w:jc w:val="center"/>
                    <w:rPr>
                      <w:rFonts w:hint="default" w:ascii="Times New Roman" w:hAnsi="Times New Roman" w:eastAsiaTheme="minorEastAsia"/>
                      <w:snapToGrid w:val="0"/>
                      <w:color w:val="auto"/>
                      <w:szCs w:val="21"/>
                      <w:highlight w:val="none"/>
                      <w:lang w:val="en-US" w:eastAsia="zh-CN"/>
                    </w:rPr>
                  </w:pPr>
                  <w:r>
                    <w:rPr>
                      <w:rFonts w:hint="eastAsia" w:ascii="Times New Roman" w:hAnsi="Times New Roman" w:eastAsiaTheme="minorEastAsia"/>
                      <w:snapToGrid w:val="0"/>
                      <w:color w:val="auto"/>
                      <w:szCs w:val="21"/>
                      <w:highlight w:val="none"/>
                      <w:lang w:val="en-US" w:eastAsia="zh-CN"/>
                    </w:rPr>
                    <w:t>43.7</w:t>
                  </w:r>
                </w:p>
              </w:tc>
              <w:tc>
                <w:tcPr>
                  <w:tcW w:w="1096" w:type="pct"/>
                  <w:vAlign w:val="center"/>
                </w:tcPr>
                <w:p w14:paraId="482E9717">
                  <w:pPr>
                    <w:widowControl/>
                    <w:adjustRightInd w:val="0"/>
                    <w:snapToGrid w:val="0"/>
                    <w:spacing w:line="240" w:lineRule="exact"/>
                    <w:jc w:val="center"/>
                    <w:rPr>
                      <w:rFonts w:ascii="Times New Roman" w:hAnsi="Times New Roman" w:eastAsiaTheme="minorEastAsia"/>
                      <w:color w:val="auto"/>
                      <w:szCs w:val="21"/>
                      <w:highlight w:val="none"/>
                    </w:rPr>
                  </w:pPr>
                  <w:r>
                    <w:rPr>
                      <w:rFonts w:ascii="Times New Roman" w:hAnsi="Times New Roman" w:eastAsiaTheme="minorEastAsia"/>
                      <w:snapToGrid w:val="0"/>
                      <w:color w:val="auto"/>
                      <w:szCs w:val="21"/>
                      <w:highlight w:val="none"/>
                    </w:rPr>
                    <w:t>65</w:t>
                  </w:r>
                </w:p>
              </w:tc>
              <w:tc>
                <w:tcPr>
                  <w:tcW w:w="1149" w:type="pct"/>
                  <w:vAlign w:val="center"/>
                </w:tcPr>
                <w:p w14:paraId="4377F4B6">
                  <w:pPr>
                    <w:widowControl/>
                    <w:adjustRightInd w:val="0"/>
                    <w:snapToGrid w:val="0"/>
                    <w:spacing w:line="240" w:lineRule="exact"/>
                    <w:jc w:val="center"/>
                    <w:rPr>
                      <w:rFonts w:ascii="Times New Roman" w:hAnsi="Times New Roman" w:eastAsiaTheme="minorEastAsia"/>
                      <w:snapToGrid w:val="0"/>
                      <w:color w:val="auto"/>
                      <w:szCs w:val="21"/>
                      <w:highlight w:val="none"/>
                    </w:rPr>
                  </w:pPr>
                  <w:r>
                    <w:rPr>
                      <w:rFonts w:ascii="Times New Roman" w:hAnsi="Times New Roman" w:eastAsiaTheme="minorEastAsia"/>
                      <w:snapToGrid w:val="0"/>
                      <w:color w:val="auto"/>
                      <w:szCs w:val="21"/>
                      <w:highlight w:val="none"/>
                    </w:rPr>
                    <w:t>达标</w:t>
                  </w:r>
                </w:p>
              </w:tc>
            </w:tr>
            <w:tr w14:paraId="009DDE4E">
              <w:tblPrEx>
                <w:tblBorders>
                  <w:top w:val="single" w:color="auto" w:sz="2" w:space="0"/>
                  <w:left w:val="none" w:color="auto" w:sz="0" w:space="0"/>
                  <w:bottom w:val="single" w:color="auto" w:sz="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340" w:hRule="atLeast"/>
                <w:jc w:val="center"/>
              </w:trPr>
              <w:tc>
                <w:tcPr>
                  <w:tcW w:w="824" w:type="pct"/>
                  <w:vAlign w:val="center"/>
                </w:tcPr>
                <w:p w14:paraId="7AEDDC1C">
                  <w:pPr>
                    <w:widowControl/>
                    <w:adjustRightInd w:val="0"/>
                    <w:snapToGrid w:val="0"/>
                    <w:spacing w:line="240" w:lineRule="exact"/>
                    <w:jc w:val="center"/>
                    <w:rPr>
                      <w:rFonts w:ascii="Times New Roman" w:hAnsi="Times New Roman" w:eastAsiaTheme="minorEastAsia"/>
                      <w:snapToGrid w:val="0"/>
                      <w:color w:val="auto"/>
                      <w:szCs w:val="21"/>
                      <w:highlight w:val="none"/>
                    </w:rPr>
                  </w:pPr>
                  <w:r>
                    <w:rPr>
                      <w:rFonts w:ascii="Times New Roman" w:hAnsi="Times New Roman" w:eastAsiaTheme="minorEastAsia"/>
                      <w:snapToGrid w:val="0"/>
                      <w:color w:val="auto"/>
                      <w:szCs w:val="21"/>
                      <w:highlight w:val="none"/>
                    </w:rPr>
                    <w:t>西厂界</w:t>
                  </w:r>
                </w:p>
              </w:tc>
              <w:tc>
                <w:tcPr>
                  <w:tcW w:w="1016" w:type="pct"/>
                  <w:vAlign w:val="center"/>
                </w:tcPr>
                <w:p w14:paraId="7BE77634">
                  <w:pPr>
                    <w:widowControl/>
                    <w:adjustRightInd w:val="0"/>
                    <w:snapToGrid w:val="0"/>
                    <w:spacing w:line="240" w:lineRule="exact"/>
                    <w:jc w:val="center"/>
                    <w:rPr>
                      <w:rFonts w:ascii="Times New Roman" w:hAnsi="Times New Roman" w:eastAsiaTheme="minorEastAsia"/>
                      <w:snapToGrid w:val="0"/>
                      <w:color w:val="auto"/>
                      <w:szCs w:val="21"/>
                      <w:highlight w:val="none"/>
                    </w:rPr>
                  </w:pPr>
                  <w:r>
                    <w:rPr>
                      <w:rFonts w:ascii="Times New Roman" w:hAnsi="Times New Roman" w:eastAsiaTheme="minorEastAsia"/>
                      <w:snapToGrid w:val="0"/>
                      <w:color w:val="auto"/>
                      <w:szCs w:val="21"/>
                      <w:highlight w:val="none"/>
                    </w:rPr>
                    <w:t>昼间</w:t>
                  </w:r>
                </w:p>
              </w:tc>
              <w:tc>
                <w:tcPr>
                  <w:tcW w:w="1500" w:type="dxa"/>
                  <w:vAlign w:val="center"/>
                </w:tcPr>
                <w:p w14:paraId="3C94D880">
                  <w:pPr>
                    <w:widowControl/>
                    <w:adjustRightInd w:val="0"/>
                    <w:snapToGrid w:val="0"/>
                    <w:spacing w:line="240" w:lineRule="exact"/>
                    <w:jc w:val="center"/>
                    <w:rPr>
                      <w:rFonts w:hint="default" w:ascii="Times New Roman" w:hAnsi="Times New Roman" w:eastAsiaTheme="minorEastAsia"/>
                      <w:snapToGrid w:val="0"/>
                      <w:color w:val="auto"/>
                      <w:szCs w:val="21"/>
                      <w:highlight w:val="none"/>
                      <w:lang w:val="en-US" w:eastAsia="zh-CN"/>
                    </w:rPr>
                  </w:pPr>
                  <w:r>
                    <w:rPr>
                      <w:rFonts w:hint="eastAsia" w:ascii="Times New Roman" w:hAnsi="Times New Roman" w:eastAsiaTheme="minorEastAsia"/>
                      <w:snapToGrid w:val="0"/>
                      <w:color w:val="auto"/>
                      <w:szCs w:val="21"/>
                      <w:highlight w:val="none"/>
                      <w:lang w:val="en-US" w:eastAsia="zh-CN"/>
                    </w:rPr>
                    <w:t>40.1</w:t>
                  </w:r>
                </w:p>
              </w:tc>
              <w:tc>
                <w:tcPr>
                  <w:tcW w:w="1096" w:type="pct"/>
                  <w:vAlign w:val="center"/>
                </w:tcPr>
                <w:p w14:paraId="73CF4198">
                  <w:pPr>
                    <w:widowControl/>
                    <w:adjustRightInd w:val="0"/>
                    <w:snapToGrid w:val="0"/>
                    <w:spacing w:line="240" w:lineRule="exact"/>
                    <w:jc w:val="center"/>
                    <w:rPr>
                      <w:rFonts w:ascii="Times New Roman" w:hAnsi="Times New Roman" w:eastAsiaTheme="minorEastAsia"/>
                      <w:color w:val="auto"/>
                      <w:szCs w:val="21"/>
                      <w:highlight w:val="none"/>
                    </w:rPr>
                  </w:pPr>
                  <w:r>
                    <w:rPr>
                      <w:rFonts w:ascii="Times New Roman" w:hAnsi="Times New Roman" w:eastAsiaTheme="minorEastAsia"/>
                      <w:snapToGrid w:val="0"/>
                      <w:color w:val="auto"/>
                      <w:szCs w:val="21"/>
                      <w:highlight w:val="none"/>
                    </w:rPr>
                    <w:t>65</w:t>
                  </w:r>
                </w:p>
              </w:tc>
              <w:tc>
                <w:tcPr>
                  <w:tcW w:w="1149" w:type="pct"/>
                  <w:vAlign w:val="center"/>
                </w:tcPr>
                <w:p w14:paraId="1807DFD2">
                  <w:pPr>
                    <w:widowControl/>
                    <w:adjustRightInd w:val="0"/>
                    <w:snapToGrid w:val="0"/>
                    <w:spacing w:line="240" w:lineRule="exact"/>
                    <w:jc w:val="center"/>
                    <w:rPr>
                      <w:rFonts w:ascii="Times New Roman" w:hAnsi="Times New Roman" w:eastAsiaTheme="minorEastAsia"/>
                      <w:snapToGrid w:val="0"/>
                      <w:color w:val="auto"/>
                      <w:szCs w:val="21"/>
                      <w:highlight w:val="none"/>
                    </w:rPr>
                  </w:pPr>
                  <w:r>
                    <w:rPr>
                      <w:rFonts w:ascii="Times New Roman" w:hAnsi="Times New Roman" w:eastAsiaTheme="minorEastAsia"/>
                      <w:snapToGrid w:val="0"/>
                      <w:color w:val="auto"/>
                      <w:szCs w:val="21"/>
                      <w:highlight w:val="none"/>
                    </w:rPr>
                    <w:t>达标</w:t>
                  </w:r>
                </w:p>
              </w:tc>
            </w:tr>
            <w:tr w14:paraId="592AEC93">
              <w:tblPrEx>
                <w:tblBorders>
                  <w:top w:val="single" w:color="auto" w:sz="2" w:space="0"/>
                  <w:left w:val="none" w:color="auto" w:sz="0" w:space="0"/>
                  <w:bottom w:val="single" w:color="auto" w:sz="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340" w:hRule="atLeast"/>
                <w:jc w:val="center"/>
              </w:trPr>
              <w:tc>
                <w:tcPr>
                  <w:tcW w:w="824" w:type="pct"/>
                  <w:vAlign w:val="center"/>
                </w:tcPr>
                <w:p w14:paraId="6029F3F6">
                  <w:pPr>
                    <w:widowControl/>
                    <w:adjustRightInd w:val="0"/>
                    <w:snapToGrid w:val="0"/>
                    <w:spacing w:line="240" w:lineRule="exact"/>
                    <w:jc w:val="center"/>
                    <w:rPr>
                      <w:rFonts w:ascii="Times New Roman" w:hAnsi="Times New Roman" w:eastAsiaTheme="minorEastAsia"/>
                      <w:snapToGrid w:val="0"/>
                      <w:color w:val="auto"/>
                      <w:szCs w:val="21"/>
                      <w:highlight w:val="none"/>
                    </w:rPr>
                  </w:pPr>
                  <w:r>
                    <w:rPr>
                      <w:rFonts w:ascii="Times New Roman" w:hAnsi="Times New Roman" w:eastAsiaTheme="minorEastAsia"/>
                      <w:snapToGrid w:val="0"/>
                      <w:color w:val="auto"/>
                      <w:szCs w:val="21"/>
                      <w:highlight w:val="none"/>
                    </w:rPr>
                    <w:t>北厂界</w:t>
                  </w:r>
                </w:p>
              </w:tc>
              <w:tc>
                <w:tcPr>
                  <w:tcW w:w="1016" w:type="pct"/>
                  <w:vAlign w:val="center"/>
                </w:tcPr>
                <w:p w14:paraId="700FEEF6">
                  <w:pPr>
                    <w:widowControl/>
                    <w:adjustRightInd w:val="0"/>
                    <w:snapToGrid w:val="0"/>
                    <w:spacing w:line="240" w:lineRule="exact"/>
                    <w:jc w:val="center"/>
                    <w:rPr>
                      <w:rFonts w:ascii="Times New Roman" w:hAnsi="Times New Roman" w:eastAsiaTheme="minorEastAsia"/>
                      <w:snapToGrid w:val="0"/>
                      <w:color w:val="auto"/>
                      <w:szCs w:val="21"/>
                      <w:highlight w:val="none"/>
                    </w:rPr>
                  </w:pPr>
                  <w:r>
                    <w:rPr>
                      <w:rFonts w:ascii="Times New Roman" w:hAnsi="Times New Roman" w:eastAsiaTheme="minorEastAsia"/>
                      <w:snapToGrid w:val="0"/>
                      <w:color w:val="auto"/>
                      <w:szCs w:val="21"/>
                      <w:highlight w:val="none"/>
                    </w:rPr>
                    <w:t>昼间</w:t>
                  </w:r>
                </w:p>
              </w:tc>
              <w:tc>
                <w:tcPr>
                  <w:tcW w:w="1500" w:type="dxa"/>
                  <w:vAlign w:val="center"/>
                </w:tcPr>
                <w:p w14:paraId="4755D4C5">
                  <w:pPr>
                    <w:widowControl/>
                    <w:adjustRightInd w:val="0"/>
                    <w:snapToGrid w:val="0"/>
                    <w:spacing w:line="240" w:lineRule="exact"/>
                    <w:jc w:val="center"/>
                    <w:rPr>
                      <w:rFonts w:hint="default" w:ascii="Times New Roman" w:hAnsi="Times New Roman" w:eastAsiaTheme="minorEastAsia"/>
                      <w:snapToGrid w:val="0"/>
                      <w:color w:val="auto"/>
                      <w:szCs w:val="21"/>
                      <w:highlight w:val="none"/>
                      <w:lang w:val="en-US" w:eastAsia="zh-CN"/>
                    </w:rPr>
                  </w:pPr>
                  <w:r>
                    <w:rPr>
                      <w:rFonts w:hint="eastAsia" w:ascii="Times New Roman" w:hAnsi="Times New Roman" w:eastAsiaTheme="minorEastAsia"/>
                      <w:snapToGrid w:val="0"/>
                      <w:color w:val="auto"/>
                      <w:szCs w:val="21"/>
                      <w:highlight w:val="none"/>
                      <w:lang w:val="en-US" w:eastAsia="zh-CN"/>
                    </w:rPr>
                    <w:t>52.5</w:t>
                  </w:r>
                </w:p>
              </w:tc>
              <w:tc>
                <w:tcPr>
                  <w:tcW w:w="1096" w:type="pct"/>
                  <w:vAlign w:val="center"/>
                </w:tcPr>
                <w:p w14:paraId="02677369">
                  <w:pPr>
                    <w:widowControl/>
                    <w:adjustRightInd w:val="0"/>
                    <w:snapToGrid w:val="0"/>
                    <w:spacing w:line="240" w:lineRule="exact"/>
                    <w:jc w:val="center"/>
                    <w:rPr>
                      <w:rFonts w:ascii="Times New Roman" w:hAnsi="Times New Roman" w:eastAsiaTheme="minorEastAsia"/>
                      <w:color w:val="auto"/>
                      <w:szCs w:val="21"/>
                      <w:highlight w:val="none"/>
                    </w:rPr>
                  </w:pPr>
                  <w:r>
                    <w:rPr>
                      <w:rFonts w:ascii="Times New Roman" w:hAnsi="Times New Roman" w:eastAsiaTheme="minorEastAsia"/>
                      <w:snapToGrid w:val="0"/>
                      <w:color w:val="auto"/>
                      <w:szCs w:val="21"/>
                      <w:highlight w:val="none"/>
                    </w:rPr>
                    <w:t>65</w:t>
                  </w:r>
                </w:p>
              </w:tc>
              <w:tc>
                <w:tcPr>
                  <w:tcW w:w="1149" w:type="pct"/>
                  <w:vAlign w:val="center"/>
                </w:tcPr>
                <w:p w14:paraId="2CBAAF01">
                  <w:pPr>
                    <w:widowControl/>
                    <w:adjustRightInd w:val="0"/>
                    <w:snapToGrid w:val="0"/>
                    <w:spacing w:line="240" w:lineRule="exact"/>
                    <w:jc w:val="center"/>
                    <w:rPr>
                      <w:rFonts w:ascii="Times New Roman" w:hAnsi="Times New Roman" w:eastAsiaTheme="minorEastAsia"/>
                      <w:snapToGrid w:val="0"/>
                      <w:color w:val="auto"/>
                      <w:szCs w:val="21"/>
                      <w:highlight w:val="none"/>
                    </w:rPr>
                  </w:pPr>
                  <w:r>
                    <w:rPr>
                      <w:rFonts w:ascii="Times New Roman" w:hAnsi="Times New Roman" w:eastAsiaTheme="minorEastAsia"/>
                      <w:snapToGrid w:val="0"/>
                      <w:color w:val="auto"/>
                      <w:szCs w:val="21"/>
                      <w:highlight w:val="none"/>
                    </w:rPr>
                    <w:t>达标</w:t>
                  </w:r>
                </w:p>
              </w:tc>
            </w:tr>
          </w:tbl>
          <w:p w14:paraId="51EFA4E5">
            <w:pPr>
              <w:spacing w:line="480" w:lineRule="exact"/>
              <w:ind w:firstLine="480" w:firstLineChars="200"/>
              <w:rPr>
                <w:rFonts w:hint="eastAsia" w:ascii="Times New Roman" w:hAnsi="Times New Roman" w:eastAsiaTheme="minorEastAsia"/>
                <w:color w:val="auto"/>
                <w:sz w:val="24"/>
                <w:szCs w:val="24"/>
                <w:highlight w:val="none"/>
                <w:lang w:val="en-US" w:eastAsia="zh-CN"/>
              </w:rPr>
            </w:pPr>
            <w:r>
              <w:rPr>
                <w:rFonts w:hint="eastAsia" w:ascii="Times New Roman" w:hAnsi="Times New Roman" w:eastAsiaTheme="minorEastAsia"/>
                <w:color w:val="auto"/>
                <w:sz w:val="24"/>
                <w:szCs w:val="24"/>
                <w:highlight w:val="none"/>
              </w:rPr>
              <w:t>厂界噪声预测结果表明，项目建成投产后，北、西、南厂界昼间噪声预测值在</w:t>
            </w:r>
            <w:r>
              <w:rPr>
                <w:rFonts w:hint="eastAsia" w:ascii="Times New Roman" w:hAnsi="Times New Roman" w:eastAsiaTheme="minorEastAsia"/>
                <w:color w:val="auto"/>
                <w:sz w:val="24"/>
                <w:szCs w:val="24"/>
                <w:highlight w:val="none"/>
                <w:lang w:val="en-US" w:eastAsia="zh-CN"/>
              </w:rPr>
              <w:t>40.1</w:t>
            </w:r>
            <w:r>
              <w:rPr>
                <w:rFonts w:hint="eastAsia" w:ascii="Times New Roman" w:hAnsi="Times New Roman" w:eastAsiaTheme="minorEastAsia"/>
                <w:color w:val="auto"/>
                <w:sz w:val="24"/>
                <w:szCs w:val="24"/>
                <w:highlight w:val="none"/>
              </w:rPr>
              <w:t>～</w:t>
            </w:r>
            <w:r>
              <w:rPr>
                <w:rFonts w:hint="eastAsia" w:ascii="Times New Roman" w:hAnsi="Times New Roman" w:eastAsiaTheme="minorEastAsia"/>
                <w:color w:val="auto"/>
                <w:sz w:val="24"/>
                <w:szCs w:val="24"/>
                <w:highlight w:val="none"/>
                <w:lang w:val="en-US" w:eastAsia="zh-CN"/>
              </w:rPr>
              <w:t>52.7</w:t>
            </w:r>
            <w:r>
              <w:rPr>
                <w:rFonts w:hint="eastAsia" w:ascii="Times New Roman" w:hAnsi="Times New Roman" w:eastAsiaTheme="minorEastAsia"/>
                <w:color w:val="auto"/>
                <w:sz w:val="24"/>
                <w:szCs w:val="24"/>
                <w:highlight w:val="none"/>
              </w:rPr>
              <w:t>dB(A)之间，可以达到《工业企业厂界环境噪声排放标准》(GB12348-2008)表1中3类标准，不会对周边声环境产生不利影响</w:t>
            </w:r>
            <w:r>
              <w:rPr>
                <w:rFonts w:hint="eastAsia" w:ascii="Times New Roman" w:hAnsi="Times New Roman" w:eastAsiaTheme="minorEastAsia"/>
                <w:color w:val="auto"/>
                <w:sz w:val="24"/>
                <w:szCs w:val="24"/>
                <w:highlight w:val="none"/>
                <w:lang w:eastAsia="zh-CN"/>
              </w:rPr>
              <w:t>。</w:t>
            </w:r>
          </w:p>
          <w:p w14:paraId="72302467">
            <w:pPr>
              <w:spacing w:line="480" w:lineRule="exact"/>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（5）声环境监测计划</w:t>
            </w:r>
          </w:p>
          <w:p w14:paraId="050A2DB4">
            <w:pPr>
              <w:spacing w:line="480" w:lineRule="exact"/>
              <w:ind w:firstLine="480" w:firstLineChars="200"/>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lang w:val="en-US" w:eastAsia="zh-CN"/>
              </w:rPr>
              <w:t>根据</w:t>
            </w:r>
            <w:r>
              <w:rPr>
                <w:rFonts w:ascii="Times New Roman" w:hAnsi="Times New Roman" w:eastAsiaTheme="minorEastAsia"/>
                <w:color w:val="auto"/>
                <w:sz w:val="24"/>
                <w:szCs w:val="24"/>
                <w:highlight w:val="none"/>
              </w:rPr>
              <w:t xml:space="preserve">《排污单位自行监测技术指南 </w:t>
            </w:r>
            <w:r>
              <w:rPr>
                <w:rFonts w:hint="eastAsia" w:ascii="Times New Roman" w:hAnsi="Times New Roman" w:eastAsiaTheme="minorEastAsia"/>
                <w:color w:val="auto"/>
                <w:sz w:val="24"/>
                <w:szCs w:val="24"/>
                <w:highlight w:val="none"/>
                <w:lang w:val="en-US" w:eastAsia="zh-CN"/>
              </w:rPr>
              <w:t>总则</w:t>
            </w:r>
            <w:r>
              <w:rPr>
                <w:rFonts w:ascii="Times New Roman" w:hAnsi="Times New Roman" w:eastAsiaTheme="minorEastAsia"/>
                <w:color w:val="auto"/>
                <w:sz w:val="24"/>
                <w:szCs w:val="24"/>
                <w:highlight w:val="none"/>
              </w:rPr>
              <w:t>》（HJ</w:t>
            </w:r>
            <w:r>
              <w:rPr>
                <w:rFonts w:hint="eastAsia" w:ascii="Times New Roman" w:hAnsi="Times New Roman" w:eastAsiaTheme="minorEastAsia"/>
                <w:color w:val="auto"/>
                <w:sz w:val="24"/>
                <w:szCs w:val="24"/>
                <w:highlight w:val="none"/>
                <w:lang w:val="en-US" w:eastAsia="zh-CN"/>
              </w:rPr>
              <w:t>819</w:t>
            </w:r>
            <w:r>
              <w:rPr>
                <w:rFonts w:ascii="Times New Roman" w:hAnsi="Times New Roman" w:eastAsiaTheme="minorEastAsia"/>
                <w:color w:val="auto"/>
                <w:sz w:val="24"/>
                <w:szCs w:val="24"/>
                <w:highlight w:val="none"/>
              </w:rPr>
              <w:t>-202</w:t>
            </w:r>
            <w:r>
              <w:rPr>
                <w:rFonts w:hint="eastAsia" w:ascii="Times New Roman" w:hAnsi="Times New Roman" w:eastAsiaTheme="minorEastAsia"/>
                <w:color w:val="auto"/>
                <w:sz w:val="24"/>
                <w:szCs w:val="24"/>
                <w:highlight w:val="none"/>
                <w:lang w:val="en-US" w:eastAsia="zh-CN"/>
              </w:rPr>
              <w:t>7</w:t>
            </w:r>
            <w:r>
              <w:rPr>
                <w:rFonts w:ascii="Times New Roman" w:hAnsi="Times New Roman" w:eastAsiaTheme="minorEastAsia"/>
                <w:color w:val="auto"/>
                <w:sz w:val="24"/>
                <w:szCs w:val="24"/>
                <w:highlight w:val="none"/>
              </w:rPr>
              <w:t>）中的有关规定要求，制定监测计划，</w:t>
            </w:r>
            <w:r>
              <w:rPr>
                <w:rFonts w:hint="eastAsia" w:ascii="Times New Roman" w:hAnsi="Times New Roman" w:eastAsiaTheme="minorEastAsia"/>
                <w:color w:val="auto"/>
                <w:sz w:val="24"/>
                <w:szCs w:val="24"/>
                <w:highlight w:val="none"/>
                <w:lang w:val="en-US" w:eastAsia="zh-CN"/>
              </w:rPr>
              <w:t>本项目</w:t>
            </w:r>
            <w:r>
              <w:rPr>
                <w:rFonts w:ascii="Times New Roman" w:hAnsi="Times New Roman" w:eastAsiaTheme="minorEastAsia"/>
                <w:color w:val="auto"/>
                <w:sz w:val="24"/>
                <w:szCs w:val="24"/>
                <w:highlight w:val="none"/>
              </w:rPr>
              <w:t>厂区噪声监测计划具体内容见</w:t>
            </w:r>
            <w:r>
              <w:rPr>
                <w:rFonts w:hint="eastAsia" w:ascii="Times New Roman" w:hAnsi="Times New Roman" w:eastAsiaTheme="minorEastAsia"/>
                <w:color w:val="auto"/>
                <w:sz w:val="24"/>
                <w:szCs w:val="24"/>
                <w:highlight w:val="none"/>
                <w:lang w:val="en-US" w:eastAsia="zh-CN"/>
              </w:rPr>
              <w:t>下表</w:t>
            </w:r>
            <w:r>
              <w:rPr>
                <w:rFonts w:ascii="Times New Roman" w:hAnsi="Times New Roman" w:eastAsiaTheme="minorEastAsia"/>
                <w:color w:val="auto"/>
                <w:sz w:val="24"/>
                <w:szCs w:val="24"/>
                <w:highlight w:val="none"/>
              </w:rPr>
              <w:t>。</w:t>
            </w:r>
          </w:p>
          <w:p w14:paraId="01DA4371">
            <w:pPr>
              <w:spacing w:line="480" w:lineRule="exact"/>
              <w:ind w:firstLine="480" w:firstLineChars="200"/>
              <w:jc w:val="center"/>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表4-</w:t>
            </w:r>
            <w:r>
              <w:rPr>
                <w:rFonts w:hint="eastAsia" w:ascii="Times New Roman" w:hAnsi="Times New Roman" w:eastAsiaTheme="minorEastAsia"/>
                <w:color w:val="auto"/>
                <w:sz w:val="24"/>
                <w:szCs w:val="24"/>
                <w:highlight w:val="none"/>
                <w:lang w:val="en-US" w:eastAsia="zh-CN"/>
              </w:rPr>
              <w:t>8</w:t>
            </w:r>
            <w:r>
              <w:rPr>
                <w:rFonts w:ascii="Times New Roman" w:hAnsi="Times New Roman" w:eastAsiaTheme="minorEastAsia"/>
                <w:color w:val="auto"/>
                <w:sz w:val="24"/>
                <w:szCs w:val="24"/>
                <w:highlight w:val="none"/>
              </w:rPr>
              <w:t xml:space="preserve">   厂区噪声监测计划一览表</w:t>
            </w:r>
          </w:p>
          <w:tbl>
            <w:tblPr>
              <w:tblStyle w:val="3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2107"/>
              <w:gridCol w:w="1479"/>
              <w:gridCol w:w="1436"/>
              <w:gridCol w:w="3393"/>
            </w:tblGrid>
            <w:tr w14:paraId="65E6DFD0">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jc w:val="center"/>
              </w:trPr>
              <w:tc>
                <w:tcPr>
                  <w:tcW w:w="1251" w:type="pct"/>
                  <w:vAlign w:val="center"/>
                </w:tcPr>
                <w:p w14:paraId="3064737A">
                  <w:pPr>
                    <w:pStyle w:val="61"/>
                    <w:keepNext/>
                    <w:rPr>
                      <w:rFonts w:eastAsiaTheme="minorEastAsia"/>
                      <w:color w:val="auto"/>
                      <w:highlight w:val="none"/>
                    </w:rPr>
                  </w:pPr>
                  <w:r>
                    <w:rPr>
                      <w:rFonts w:eastAsiaTheme="minorEastAsia"/>
                      <w:color w:val="auto"/>
                      <w:highlight w:val="none"/>
                    </w:rPr>
                    <w:t>监测点位</w:t>
                  </w:r>
                </w:p>
              </w:tc>
              <w:tc>
                <w:tcPr>
                  <w:tcW w:w="878" w:type="pct"/>
                  <w:vAlign w:val="center"/>
                </w:tcPr>
                <w:p w14:paraId="0CFF85F9">
                  <w:pPr>
                    <w:pStyle w:val="61"/>
                    <w:keepNext/>
                    <w:rPr>
                      <w:rFonts w:eastAsiaTheme="minorEastAsia"/>
                      <w:color w:val="auto"/>
                      <w:highlight w:val="none"/>
                    </w:rPr>
                  </w:pPr>
                  <w:r>
                    <w:rPr>
                      <w:rFonts w:eastAsiaTheme="minorEastAsia"/>
                      <w:color w:val="auto"/>
                      <w:highlight w:val="none"/>
                    </w:rPr>
                    <w:t>监测因子</w:t>
                  </w:r>
                </w:p>
              </w:tc>
              <w:tc>
                <w:tcPr>
                  <w:tcW w:w="853" w:type="pct"/>
                  <w:vAlign w:val="center"/>
                </w:tcPr>
                <w:p w14:paraId="53925F58">
                  <w:pPr>
                    <w:pStyle w:val="61"/>
                    <w:keepNext/>
                    <w:rPr>
                      <w:rFonts w:eastAsiaTheme="minorEastAsia"/>
                      <w:color w:val="auto"/>
                      <w:highlight w:val="none"/>
                    </w:rPr>
                  </w:pPr>
                  <w:r>
                    <w:rPr>
                      <w:rFonts w:eastAsiaTheme="minorEastAsia"/>
                      <w:color w:val="auto"/>
                      <w:highlight w:val="none"/>
                    </w:rPr>
                    <w:t>监测频次</w:t>
                  </w:r>
                </w:p>
              </w:tc>
              <w:tc>
                <w:tcPr>
                  <w:tcW w:w="2016" w:type="pct"/>
                  <w:vAlign w:val="center"/>
                </w:tcPr>
                <w:p w14:paraId="131A5356">
                  <w:pPr>
                    <w:pStyle w:val="61"/>
                    <w:keepNext/>
                    <w:rPr>
                      <w:rFonts w:eastAsiaTheme="minorEastAsia"/>
                      <w:color w:val="auto"/>
                      <w:highlight w:val="none"/>
                    </w:rPr>
                  </w:pPr>
                  <w:r>
                    <w:rPr>
                      <w:rFonts w:eastAsiaTheme="minorEastAsia"/>
                      <w:color w:val="auto"/>
                      <w:highlight w:val="none"/>
                    </w:rPr>
                    <w:t>执行标准</w:t>
                  </w:r>
                </w:p>
              </w:tc>
            </w:tr>
            <w:tr w14:paraId="6200B7E3">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jc w:val="center"/>
              </w:trPr>
              <w:tc>
                <w:tcPr>
                  <w:tcW w:w="1251" w:type="pct"/>
                  <w:vAlign w:val="center"/>
                </w:tcPr>
                <w:p w14:paraId="1A7C7690">
                  <w:pPr>
                    <w:pStyle w:val="61"/>
                    <w:rPr>
                      <w:rFonts w:eastAsiaTheme="minorEastAsia"/>
                      <w:color w:val="auto"/>
                      <w:highlight w:val="none"/>
                    </w:rPr>
                  </w:pPr>
                  <w:r>
                    <w:rPr>
                      <w:rFonts w:eastAsiaTheme="minorEastAsia"/>
                      <w:color w:val="auto"/>
                      <w:highlight w:val="none"/>
                    </w:rPr>
                    <w:t>厂界外1 m处</w:t>
                  </w:r>
                </w:p>
              </w:tc>
              <w:tc>
                <w:tcPr>
                  <w:tcW w:w="878" w:type="pct"/>
                  <w:vAlign w:val="center"/>
                </w:tcPr>
                <w:p w14:paraId="7B8C62C8">
                  <w:pPr>
                    <w:pStyle w:val="61"/>
                    <w:rPr>
                      <w:rFonts w:eastAsiaTheme="minorEastAsia"/>
                      <w:color w:val="auto"/>
                      <w:highlight w:val="none"/>
                    </w:rPr>
                  </w:pPr>
                  <w:r>
                    <w:rPr>
                      <w:rFonts w:eastAsiaTheme="minorEastAsia"/>
                      <w:color w:val="auto"/>
                      <w:highlight w:val="none"/>
                    </w:rPr>
                    <w:t>等效连续A声级</w:t>
                  </w:r>
                </w:p>
              </w:tc>
              <w:tc>
                <w:tcPr>
                  <w:tcW w:w="853" w:type="pct"/>
                  <w:vAlign w:val="center"/>
                </w:tcPr>
                <w:p w14:paraId="48AB0EC4">
                  <w:pPr>
                    <w:pStyle w:val="61"/>
                    <w:rPr>
                      <w:rFonts w:eastAsiaTheme="minorEastAsia"/>
                      <w:color w:val="auto"/>
                      <w:highlight w:val="none"/>
                    </w:rPr>
                  </w:pPr>
                  <w:r>
                    <w:rPr>
                      <w:rFonts w:eastAsiaTheme="minorEastAsia"/>
                      <w:color w:val="auto"/>
                      <w:highlight w:val="none"/>
                    </w:rPr>
                    <w:t>1次/季度</w:t>
                  </w:r>
                </w:p>
              </w:tc>
              <w:tc>
                <w:tcPr>
                  <w:tcW w:w="2016" w:type="pct"/>
                  <w:vAlign w:val="center"/>
                </w:tcPr>
                <w:p w14:paraId="13471642">
                  <w:pPr>
                    <w:pStyle w:val="61"/>
                    <w:rPr>
                      <w:rFonts w:eastAsiaTheme="minorEastAsia"/>
                      <w:color w:val="auto"/>
                      <w:highlight w:val="none"/>
                    </w:rPr>
                  </w:pPr>
                  <w:r>
                    <w:rPr>
                      <w:rFonts w:eastAsiaTheme="minorEastAsia"/>
                      <w:color w:val="auto"/>
                      <w:highlight w:val="none"/>
                    </w:rPr>
                    <w:t>《工业企业厂界环境噪声排放标准》（GB12348-2008）3类标准</w:t>
                  </w:r>
                </w:p>
              </w:tc>
            </w:tr>
          </w:tbl>
          <w:p w14:paraId="76E01A54">
            <w:pPr>
              <w:spacing w:line="480" w:lineRule="exact"/>
              <w:ind w:firstLine="482" w:firstLineChars="200"/>
              <w:rPr>
                <w:rFonts w:ascii="Times New Roman" w:hAnsi="Times New Roman" w:eastAsiaTheme="minorEastAsia"/>
                <w:b/>
                <w:color w:val="auto"/>
                <w:sz w:val="24"/>
                <w:szCs w:val="24"/>
                <w:highlight w:val="none"/>
              </w:rPr>
            </w:pPr>
            <w:r>
              <w:rPr>
                <w:rFonts w:ascii="Times New Roman" w:hAnsi="Times New Roman" w:eastAsiaTheme="minorEastAsia"/>
                <w:b/>
                <w:color w:val="auto"/>
                <w:sz w:val="24"/>
                <w:szCs w:val="24"/>
                <w:highlight w:val="none"/>
              </w:rPr>
              <w:t>4、固体废物</w:t>
            </w:r>
          </w:p>
          <w:p w14:paraId="429F31E2">
            <w:pPr>
              <w:spacing w:line="480" w:lineRule="exact"/>
              <w:ind w:firstLine="480" w:firstLineChars="200"/>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本项目产生的固体废物主要为危险废物和职工生活垃圾。</w:t>
            </w:r>
          </w:p>
          <w:p w14:paraId="56F9FDC2">
            <w:pPr>
              <w:spacing w:line="480" w:lineRule="exact"/>
              <w:ind w:firstLine="480" w:firstLineChars="200"/>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w:t>
            </w:r>
            <w:r>
              <w:rPr>
                <w:rFonts w:hint="eastAsia" w:ascii="Times New Roman" w:hAnsi="Times New Roman" w:eastAsiaTheme="minorEastAsia"/>
                <w:color w:val="auto"/>
                <w:sz w:val="24"/>
                <w:szCs w:val="24"/>
                <w:highlight w:val="none"/>
                <w:lang w:val="en-US" w:eastAsia="zh-CN"/>
              </w:rPr>
              <w:t>1</w:t>
            </w:r>
            <w:r>
              <w:rPr>
                <w:rFonts w:hint="eastAsia" w:ascii="Times New Roman" w:hAnsi="Times New Roman" w:eastAsiaTheme="minorEastAsia"/>
                <w:color w:val="auto"/>
                <w:sz w:val="24"/>
                <w:szCs w:val="24"/>
                <w:highlight w:val="none"/>
              </w:rPr>
              <w:t>）危险废物</w:t>
            </w:r>
          </w:p>
          <w:p w14:paraId="595EF34E">
            <w:pPr>
              <w:spacing w:line="480" w:lineRule="exact"/>
              <w:ind w:firstLine="480" w:firstLineChars="200"/>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本项目固体废物主要包括：废电解液、沾染电解液的废劳保品、废拖把、废抹布、</w:t>
            </w:r>
            <w:r>
              <w:rPr>
                <w:rFonts w:hint="eastAsia" w:ascii="Times New Roman" w:hAnsi="Times New Roman" w:eastAsiaTheme="minorEastAsia"/>
                <w:color w:val="auto"/>
                <w:sz w:val="24"/>
                <w:szCs w:val="24"/>
                <w:highlight w:val="none"/>
                <w:lang w:val="en-US" w:eastAsia="zh-CN"/>
              </w:rPr>
              <w:t>破损的箱子、</w:t>
            </w:r>
            <w:r>
              <w:rPr>
                <w:rFonts w:hint="eastAsia" w:ascii="Times New Roman" w:hAnsi="Times New Roman" w:eastAsiaTheme="minorEastAsia"/>
                <w:color w:val="auto"/>
                <w:sz w:val="24"/>
                <w:szCs w:val="24"/>
                <w:highlight w:val="none"/>
              </w:rPr>
              <w:t>废</w:t>
            </w:r>
            <w:r>
              <w:rPr>
                <w:rFonts w:hint="eastAsia" w:ascii="Times New Roman" w:hAnsi="Times New Roman" w:eastAsiaTheme="minorEastAsia"/>
                <w:color w:val="auto"/>
                <w:sz w:val="24"/>
                <w:szCs w:val="24"/>
                <w:highlight w:val="none"/>
                <w:lang w:val="en-US" w:eastAsia="zh-CN"/>
              </w:rPr>
              <w:t>脱硫</w:t>
            </w:r>
            <w:r>
              <w:rPr>
                <w:rFonts w:hint="eastAsia" w:ascii="Times New Roman" w:hAnsi="Times New Roman" w:eastAsiaTheme="minorEastAsia"/>
                <w:color w:val="auto"/>
                <w:sz w:val="24"/>
                <w:szCs w:val="24"/>
                <w:highlight w:val="none"/>
              </w:rPr>
              <w:t>塔吸收液等危险废物及职工生活垃圾。</w:t>
            </w:r>
          </w:p>
          <w:p w14:paraId="7897222E">
            <w:pPr>
              <w:spacing w:line="480" w:lineRule="exact"/>
              <w:ind w:firstLine="480" w:firstLineChars="200"/>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lang w:val="en-US" w:eastAsia="zh-CN"/>
              </w:rPr>
              <w:t>①</w:t>
            </w:r>
            <w:r>
              <w:rPr>
                <w:rFonts w:hint="eastAsia" w:ascii="Times New Roman" w:hAnsi="Times New Roman" w:eastAsiaTheme="minorEastAsia"/>
                <w:color w:val="auto"/>
                <w:sz w:val="24"/>
                <w:szCs w:val="24"/>
                <w:highlight w:val="none"/>
              </w:rPr>
              <w:t>危险废物产生情况</w:t>
            </w:r>
          </w:p>
          <w:p w14:paraId="4243AB6E">
            <w:pPr>
              <w:spacing w:line="480" w:lineRule="exact"/>
              <w:ind w:firstLine="480" w:firstLineChars="200"/>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lang w:val="en-US" w:eastAsia="zh-CN"/>
              </w:rPr>
              <w:t>a</w:t>
            </w:r>
            <w:r>
              <w:rPr>
                <w:rFonts w:hint="eastAsia" w:ascii="Times New Roman" w:hAnsi="Times New Roman" w:eastAsiaTheme="minorEastAsia"/>
                <w:color w:val="auto"/>
                <w:sz w:val="24"/>
                <w:szCs w:val="24"/>
                <w:highlight w:val="none"/>
              </w:rPr>
              <w:t>）废电解液</w:t>
            </w:r>
          </w:p>
          <w:p w14:paraId="39F8FE55">
            <w:pPr>
              <w:spacing w:line="480" w:lineRule="exact"/>
              <w:ind w:firstLine="480" w:firstLineChars="200"/>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根据调查，铅蓄电池内电解液的含量为10%～20%（本环评以</w:t>
            </w:r>
            <w:r>
              <w:rPr>
                <w:rFonts w:hint="eastAsia" w:ascii="Times New Roman" w:hAnsi="Times New Roman" w:eastAsiaTheme="minorEastAsia"/>
                <w:color w:val="auto"/>
                <w:sz w:val="24"/>
                <w:szCs w:val="24"/>
                <w:highlight w:val="none"/>
                <w:lang w:val="en-US" w:eastAsia="zh-CN"/>
              </w:rPr>
              <w:t>20</w:t>
            </w:r>
            <w:r>
              <w:rPr>
                <w:rFonts w:hint="eastAsia" w:ascii="Times New Roman" w:hAnsi="Times New Roman" w:eastAsiaTheme="minorEastAsia"/>
                <w:color w:val="auto"/>
                <w:sz w:val="24"/>
                <w:szCs w:val="24"/>
                <w:highlight w:val="none"/>
              </w:rPr>
              <w:t>%计），本项目设计回收贮存</w:t>
            </w:r>
            <w:r>
              <w:rPr>
                <w:rFonts w:hint="eastAsia" w:ascii="Times New Roman" w:hAnsi="Times New Roman" w:eastAsiaTheme="minorEastAsia"/>
                <w:color w:val="auto"/>
                <w:sz w:val="24"/>
                <w:szCs w:val="24"/>
                <w:highlight w:val="none"/>
                <w:lang w:eastAsia="zh-CN"/>
              </w:rPr>
              <w:t>废旧铅酸蓄电池</w:t>
            </w:r>
            <w:r>
              <w:rPr>
                <w:rFonts w:hint="eastAsia" w:ascii="Times New Roman" w:hAnsi="Times New Roman" w:eastAsiaTheme="minorEastAsia"/>
                <w:color w:val="auto"/>
                <w:sz w:val="24"/>
                <w:szCs w:val="24"/>
                <w:highlight w:val="none"/>
                <w:lang w:val="en-US" w:eastAsia="zh-CN"/>
              </w:rPr>
              <w:t>3000</w:t>
            </w:r>
            <w:r>
              <w:rPr>
                <w:rFonts w:hint="eastAsia" w:ascii="Times New Roman" w:hAnsi="Times New Roman" w:eastAsiaTheme="minorEastAsia"/>
                <w:color w:val="auto"/>
                <w:sz w:val="24"/>
                <w:szCs w:val="24"/>
                <w:highlight w:val="none"/>
              </w:rPr>
              <w:t>t/a，则本项目电解液为</w:t>
            </w:r>
            <w:r>
              <w:rPr>
                <w:rFonts w:hint="eastAsia" w:ascii="Times New Roman" w:hAnsi="Times New Roman" w:eastAsiaTheme="minorEastAsia"/>
                <w:color w:val="auto"/>
                <w:sz w:val="24"/>
                <w:szCs w:val="24"/>
                <w:highlight w:val="none"/>
                <w:lang w:val="en-US" w:eastAsia="zh-CN"/>
              </w:rPr>
              <w:t>600</w:t>
            </w:r>
            <w:r>
              <w:rPr>
                <w:rFonts w:hint="eastAsia" w:ascii="Times New Roman" w:hAnsi="Times New Roman" w:eastAsiaTheme="minorEastAsia"/>
                <w:color w:val="auto"/>
                <w:sz w:val="24"/>
                <w:szCs w:val="24"/>
                <w:highlight w:val="none"/>
              </w:rPr>
              <w:t>t/a。本次以</w:t>
            </w:r>
            <w:r>
              <w:rPr>
                <w:rFonts w:hint="eastAsia" w:ascii="Times New Roman" w:hAnsi="Times New Roman" w:eastAsiaTheme="minorEastAsia"/>
                <w:color w:val="auto"/>
                <w:sz w:val="24"/>
                <w:szCs w:val="24"/>
                <w:highlight w:val="none"/>
                <w:lang w:eastAsia="zh-CN"/>
              </w:rPr>
              <w:t>废旧铅酸蓄电池</w:t>
            </w:r>
            <w:r>
              <w:rPr>
                <w:rFonts w:hint="eastAsia" w:ascii="Times New Roman" w:hAnsi="Times New Roman" w:eastAsiaTheme="minorEastAsia"/>
                <w:color w:val="auto"/>
                <w:sz w:val="24"/>
                <w:szCs w:val="24"/>
                <w:highlight w:val="none"/>
              </w:rPr>
              <w:t>破损率5%进行计算，类比其他同规模</w:t>
            </w:r>
            <w:r>
              <w:rPr>
                <w:rFonts w:hint="eastAsia" w:ascii="Times New Roman" w:hAnsi="Times New Roman" w:eastAsiaTheme="minorEastAsia"/>
                <w:color w:val="auto"/>
                <w:sz w:val="24"/>
                <w:szCs w:val="24"/>
                <w:highlight w:val="none"/>
                <w:lang w:eastAsia="zh-CN"/>
              </w:rPr>
              <w:t>废旧铅酸蓄电池</w:t>
            </w:r>
            <w:r>
              <w:rPr>
                <w:rFonts w:hint="eastAsia" w:ascii="Times New Roman" w:hAnsi="Times New Roman" w:eastAsiaTheme="minorEastAsia"/>
                <w:color w:val="auto"/>
                <w:sz w:val="24"/>
                <w:szCs w:val="24"/>
                <w:highlight w:val="none"/>
              </w:rPr>
              <w:t>暂存企业的运行经验，破损情况下电解液溢漏量按0.5%计算，则废电解液的量约为</w:t>
            </w:r>
            <w:r>
              <w:rPr>
                <w:rFonts w:hint="eastAsia" w:ascii="Times New Roman" w:hAnsi="Times New Roman" w:eastAsiaTheme="minorEastAsia"/>
                <w:color w:val="auto"/>
                <w:sz w:val="24"/>
                <w:szCs w:val="24"/>
                <w:highlight w:val="none"/>
                <w:lang w:val="en-US" w:eastAsia="zh-CN"/>
              </w:rPr>
              <w:t>0.15</w:t>
            </w:r>
            <w:r>
              <w:rPr>
                <w:rFonts w:hint="eastAsia" w:ascii="Times New Roman" w:hAnsi="Times New Roman" w:eastAsiaTheme="minorEastAsia"/>
                <w:color w:val="auto"/>
                <w:sz w:val="24"/>
                <w:szCs w:val="24"/>
                <w:highlight w:val="none"/>
              </w:rPr>
              <w:t>t/a。废电解液属于危险废物，危废类别为HW31含铅废物，代码为900-052-31。经</w:t>
            </w:r>
            <w:r>
              <w:rPr>
                <w:rFonts w:hint="eastAsia" w:ascii="Times New Roman" w:hAnsi="Times New Roman" w:eastAsiaTheme="minorEastAsia"/>
                <w:color w:val="auto"/>
                <w:sz w:val="24"/>
                <w:szCs w:val="24"/>
                <w:highlight w:val="none"/>
                <w:lang w:eastAsia="zh-CN"/>
              </w:rPr>
              <w:t>废旧铅酸蓄电池</w:t>
            </w:r>
            <w:r>
              <w:rPr>
                <w:rFonts w:hint="eastAsia" w:ascii="Times New Roman" w:hAnsi="Times New Roman" w:eastAsiaTheme="minorEastAsia"/>
                <w:color w:val="auto"/>
                <w:sz w:val="24"/>
                <w:szCs w:val="24"/>
                <w:highlight w:val="none"/>
              </w:rPr>
              <w:t>存放区内设置的导流沟收集进入应急</w:t>
            </w:r>
            <w:r>
              <w:rPr>
                <w:rFonts w:hint="eastAsia" w:ascii="Times New Roman" w:hAnsi="Times New Roman" w:eastAsiaTheme="minorEastAsia"/>
                <w:color w:val="auto"/>
                <w:sz w:val="24"/>
                <w:szCs w:val="24"/>
                <w:highlight w:val="none"/>
                <w:lang w:val="en-US" w:eastAsia="zh-CN"/>
              </w:rPr>
              <w:t>池</w:t>
            </w:r>
            <w:r>
              <w:rPr>
                <w:rFonts w:hint="eastAsia" w:ascii="Times New Roman" w:hAnsi="Times New Roman" w:eastAsiaTheme="minorEastAsia"/>
                <w:color w:val="auto"/>
                <w:sz w:val="24"/>
                <w:szCs w:val="24"/>
                <w:highlight w:val="none"/>
              </w:rPr>
              <w:t>，容积为2m³，收集后转入耐酸容器，在危废暂存区暂存，定期由有资质单位处置回收处置。</w:t>
            </w:r>
          </w:p>
          <w:p w14:paraId="2A376157">
            <w:pPr>
              <w:spacing w:line="480" w:lineRule="exact"/>
              <w:ind w:firstLine="480" w:firstLineChars="200"/>
              <w:rPr>
                <w:rFonts w:hint="default" w:ascii="Times New Roman" w:hAnsi="Times New Roman" w:eastAsiaTheme="minorEastAsia"/>
                <w:color w:val="auto"/>
                <w:sz w:val="24"/>
                <w:szCs w:val="24"/>
                <w:highlight w:val="none"/>
                <w:lang w:val="en-US" w:eastAsia="zh-CN"/>
              </w:rPr>
            </w:pPr>
            <w:r>
              <w:rPr>
                <w:rFonts w:hint="eastAsia" w:ascii="Times New Roman" w:hAnsi="Times New Roman" w:eastAsiaTheme="minorEastAsia"/>
                <w:color w:val="auto"/>
                <w:sz w:val="24"/>
                <w:szCs w:val="24"/>
                <w:highlight w:val="none"/>
                <w:lang w:val="en-US" w:eastAsia="zh-CN"/>
              </w:rPr>
              <w:t>b</w:t>
            </w:r>
            <w:r>
              <w:rPr>
                <w:rFonts w:hint="eastAsia" w:ascii="Times New Roman" w:hAnsi="Times New Roman" w:eastAsiaTheme="minorEastAsia"/>
                <w:color w:val="auto"/>
                <w:sz w:val="24"/>
                <w:szCs w:val="24"/>
                <w:highlight w:val="none"/>
              </w:rPr>
              <w:t>）沾染废电解液废劳保品、废拖把、废抹布</w:t>
            </w:r>
            <w:r>
              <w:rPr>
                <w:rFonts w:hint="eastAsia" w:ascii="Times New Roman" w:hAnsi="Times New Roman" w:eastAsiaTheme="minorEastAsia"/>
                <w:color w:val="auto"/>
                <w:sz w:val="24"/>
                <w:szCs w:val="24"/>
                <w:highlight w:val="none"/>
                <w:lang w:eastAsia="zh-CN"/>
              </w:rPr>
              <w:t>、</w:t>
            </w:r>
            <w:r>
              <w:rPr>
                <w:rFonts w:hint="eastAsia" w:ascii="Times New Roman" w:hAnsi="Times New Roman" w:eastAsiaTheme="minorEastAsia"/>
                <w:color w:val="auto"/>
                <w:sz w:val="24"/>
                <w:szCs w:val="24"/>
                <w:highlight w:val="none"/>
                <w:lang w:val="en-US" w:eastAsia="zh-CN"/>
              </w:rPr>
              <w:t>破损的箱子</w:t>
            </w:r>
          </w:p>
          <w:p w14:paraId="752DC340">
            <w:pPr>
              <w:spacing w:line="480" w:lineRule="exact"/>
              <w:ind w:firstLine="480" w:firstLineChars="200"/>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本项目运营期不进行地面清洗，为了保持仓库内地面清洁，定期采用拖把和抹布清除地表面残留的电解液，类比同类型项目，沾染电解液废拖把和废抹布产生量约为0.2t/a；职工进行铅蓄电池装卸车时需穿防护品需更换，项目运营期产生沾染电解液的废劳保品产生量约为0.1t/a；沾染电解液的</w:t>
            </w:r>
            <w:r>
              <w:rPr>
                <w:rFonts w:hint="eastAsia" w:ascii="Times New Roman" w:hAnsi="Times New Roman" w:eastAsiaTheme="minorEastAsia"/>
                <w:color w:val="auto"/>
                <w:sz w:val="24"/>
                <w:szCs w:val="24"/>
                <w:highlight w:val="none"/>
                <w:lang w:val="en-US" w:eastAsia="zh-CN"/>
              </w:rPr>
              <w:t>破损箱子</w:t>
            </w:r>
            <w:r>
              <w:rPr>
                <w:rFonts w:hint="eastAsia" w:ascii="Times New Roman" w:hAnsi="Times New Roman" w:eastAsiaTheme="minorEastAsia"/>
                <w:color w:val="auto"/>
                <w:sz w:val="24"/>
                <w:szCs w:val="24"/>
                <w:highlight w:val="none"/>
              </w:rPr>
              <w:t>产生量约为0.1t/a</w:t>
            </w:r>
            <w:r>
              <w:rPr>
                <w:rFonts w:hint="eastAsia" w:ascii="Times New Roman" w:hAnsi="Times New Roman" w:eastAsiaTheme="minorEastAsia"/>
                <w:color w:val="auto"/>
                <w:sz w:val="24"/>
                <w:szCs w:val="24"/>
                <w:highlight w:val="none"/>
                <w:lang w:eastAsia="zh-CN"/>
              </w:rPr>
              <w:t>。</w:t>
            </w:r>
            <w:r>
              <w:rPr>
                <w:rFonts w:hint="eastAsia" w:ascii="Times New Roman" w:hAnsi="Times New Roman" w:eastAsiaTheme="minorEastAsia"/>
                <w:color w:val="auto"/>
                <w:sz w:val="24"/>
                <w:szCs w:val="24"/>
                <w:highlight w:val="none"/>
              </w:rPr>
              <w:t>沾染电解液的废劳保品、废拖把和废抹布为危险废物，其危险类别为HW49其他废物，代码900-042-49</w:t>
            </w:r>
            <w:r>
              <w:rPr>
                <w:rFonts w:hint="eastAsia" w:ascii="Times New Roman" w:hAnsi="Times New Roman" w:eastAsiaTheme="minorEastAsia"/>
                <w:color w:val="auto"/>
                <w:sz w:val="24"/>
                <w:szCs w:val="24"/>
                <w:highlight w:val="none"/>
                <w:lang w:eastAsia="zh-CN"/>
              </w:rPr>
              <w:t>；</w:t>
            </w:r>
            <w:r>
              <w:rPr>
                <w:rFonts w:hint="eastAsia" w:ascii="Times New Roman" w:hAnsi="Times New Roman" w:eastAsiaTheme="minorEastAsia"/>
                <w:color w:val="auto"/>
                <w:sz w:val="24"/>
                <w:szCs w:val="24"/>
                <w:highlight w:val="none"/>
              </w:rPr>
              <w:t>沾染电解液的</w:t>
            </w:r>
            <w:r>
              <w:rPr>
                <w:rFonts w:hint="eastAsia" w:ascii="Times New Roman" w:hAnsi="Times New Roman" w:eastAsiaTheme="minorEastAsia"/>
                <w:color w:val="auto"/>
                <w:sz w:val="24"/>
                <w:szCs w:val="24"/>
                <w:highlight w:val="none"/>
                <w:lang w:val="en-US" w:eastAsia="zh-CN"/>
              </w:rPr>
              <w:t>破损箱子</w:t>
            </w:r>
            <w:r>
              <w:rPr>
                <w:rFonts w:hint="eastAsia" w:ascii="Times New Roman" w:hAnsi="Times New Roman" w:eastAsiaTheme="minorEastAsia"/>
                <w:color w:val="auto"/>
                <w:sz w:val="24"/>
                <w:szCs w:val="24"/>
                <w:highlight w:val="none"/>
              </w:rPr>
              <w:t>为危险废物，其危险类别为HW49其他废物</w:t>
            </w:r>
            <w:r>
              <w:rPr>
                <w:rFonts w:hint="default" w:ascii="Times New Roman" w:hAnsi="Times New Roman" w:cs="Times New Roman"/>
                <w:color w:val="auto"/>
                <w:kern w:val="0"/>
                <w:sz w:val="24"/>
                <w:szCs w:val="24"/>
                <w:highlight w:val="none"/>
              </w:rPr>
              <w:t>900-041-49</w:t>
            </w:r>
            <w:r>
              <w:rPr>
                <w:rFonts w:hint="eastAsia" w:ascii="Times New Roman" w:hAnsi="Times New Roman" w:eastAsiaTheme="minorEastAsia"/>
                <w:color w:val="auto"/>
                <w:sz w:val="24"/>
                <w:szCs w:val="24"/>
                <w:highlight w:val="none"/>
              </w:rPr>
              <w:t>。</w:t>
            </w:r>
            <w:r>
              <w:rPr>
                <w:rFonts w:hint="eastAsia" w:ascii="Times New Roman" w:hAnsi="Times New Roman" w:eastAsiaTheme="minorEastAsia"/>
                <w:color w:val="auto"/>
                <w:sz w:val="24"/>
                <w:szCs w:val="24"/>
                <w:highlight w:val="none"/>
                <w:lang w:val="en-US" w:eastAsia="zh-CN"/>
              </w:rPr>
              <w:t>危险废物</w:t>
            </w:r>
            <w:r>
              <w:rPr>
                <w:rFonts w:hint="eastAsia" w:ascii="Times New Roman" w:hAnsi="Times New Roman" w:eastAsiaTheme="minorEastAsia"/>
                <w:color w:val="auto"/>
                <w:sz w:val="24"/>
                <w:szCs w:val="24"/>
                <w:highlight w:val="none"/>
              </w:rPr>
              <w:t>分类盛放在防漏胶袋中，在危废暂存间暂存，定期由有资质单位处置</w:t>
            </w:r>
          </w:p>
          <w:p w14:paraId="050E5B3B">
            <w:pPr>
              <w:spacing w:line="480" w:lineRule="exact"/>
              <w:ind w:firstLine="480" w:firstLineChars="200"/>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lang w:val="en-US" w:eastAsia="zh-CN"/>
              </w:rPr>
              <w:t>c</w:t>
            </w:r>
            <w:r>
              <w:rPr>
                <w:rFonts w:hint="eastAsia" w:ascii="Times New Roman" w:hAnsi="Times New Roman" w:eastAsiaTheme="minorEastAsia"/>
                <w:color w:val="auto"/>
                <w:sz w:val="24"/>
                <w:szCs w:val="24"/>
                <w:highlight w:val="none"/>
              </w:rPr>
              <w:t>）</w:t>
            </w:r>
            <w:r>
              <w:rPr>
                <w:rFonts w:hint="eastAsia" w:ascii="Times New Roman" w:hAnsi="Times New Roman" w:eastAsiaTheme="minorEastAsia"/>
                <w:color w:val="auto"/>
                <w:sz w:val="24"/>
                <w:szCs w:val="24"/>
                <w:highlight w:val="none"/>
                <w:lang w:val="en-US" w:eastAsia="zh-CN"/>
              </w:rPr>
              <w:t>脱硫</w:t>
            </w:r>
            <w:r>
              <w:rPr>
                <w:rFonts w:hint="eastAsia" w:ascii="Times New Roman" w:hAnsi="Times New Roman" w:eastAsiaTheme="minorEastAsia"/>
                <w:color w:val="auto"/>
                <w:sz w:val="24"/>
                <w:szCs w:val="24"/>
                <w:highlight w:val="none"/>
              </w:rPr>
              <w:t>塔吸收液</w:t>
            </w:r>
          </w:p>
          <w:p w14:paraId="5329ECAC">
            <w:pPr>
              <w:spacing w:line="480" w:lineRule="exact"/>
              <w:ind w:firstLine="480" w:firstLineChars="200"/>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本项目</w:t>
            </w:r>
            <w:r>
              <w:rPr>
                <w:rFonts w:hint="eastAsia" w:ascii="Times New Roman" w:hAnsi="Times New Roman" w:eastAsiaTheme="minorEastAsia"/>
                <w:color w:val="auto"/>
                <w:sz w:val="24"/>
                <w:szCs w:val="24"/>
                <w:highlight w:val="none"/>
                <w:lang w:val="en-US" w:eastAsia="zh-CN"/>
              </w:rPr>
              <w:t>脱硫塔</w:t>
            </w:r>
            <w:r>
              <w:rPr>
                <w:rFonts w:hint="eastAsia" w:ascii="Times New Roman" w:hAnsi="Times New Roman" w:eastAsiaTheme="minorEastAsia"/>
                <w:color w:val="auto"/>
                <w:sz w:val="24"/>
                <w:szCs w:val="24"/>
                <w:highlight w:val="none"/>
              </w:rPr>
              <w:t>用</w:t>
            </w:r>
            <w:r>
              <w:rPr>
                <w:rFonts w:hint="eastAsia" w:ascii="Times New Roman" w:hAnsi="Times New Roman" w:eastAsiaTheme="minorEastAsia"/>
                <w:color w:val="auto"/>
                <w:sz w:val="24"/>
                <w:szCs w:val="24"/>
                <w:highlight w:val="none"/>
                <w:lang w:val="en-US" w:eastAsia="zh-CN"/>
              </w:rPr>
              <w:t>吸收液循环</w:t>
            </w:r>
            <w:r>
              <w:rPr>
                <w:rFonts w:hint="eastAsia" w:ascii="Times New Roman" w:hAnsi="Times New Roman" w:eastAsiaTheme="minorEastAsia"/>
                <w:color w:val="auto"/>
                <w:sz w:val="24"/>
                <w:szCs w:val="24"/>
                <w:highlight w:val="none"/>
              </w:rPr>
              <w:t>使用，定期更换，每</w:t>
            </w:r>
            <w:r>
              <w:rPr>
                <w:rFonts w:hint="eastAsia" w:ascii="Times New Roman" w:hAnsi="Times New Roman" w:eastAsiaTheme="minorEastAsia"/>
                <w:color w:val="auto"/>
                <w:sz w:val="24"/>
                <w:szCs w:val="24"/>
                <w:highlight w:val="none"/>
                <w:lang w:val="en-US" w:eastAsia="zh-CN"/>
              </w:rPr>
              <w:t>半年</w:t>
            </w:r>
            <w:r>
              <w:rPr>
                <w:rFonts w:hint="eastAsia" w:ascii="Times New Roman" w:hAnsi="Times New Roman" w:eastAsiaTheme="minorEastAsia"/>
                <w:color w:val="auto"/>
                <w:sz w:val="24"/>
                <w:szCs w:val="24"/>
                <w:highlight w:val="none"/>
              </w:rPr>
              <w:t>更换一次，每次更换</w:t>
            </w:r>
            <w:r>
              <w:rPr>
                <w:rFonts w:hint="eastAsia" w:ascii="Times New Roman" w:hAnsi="Times New Roman" w:eastAsiaTheme="minorEastAsia"/>
                <w:color w:val="auto"/>
                <w:sz w:val="24"/>
                <w:szCs w:val="24"/>
                <w:highlight w:val="none"/>
                <w:lang w:val="en-US" w:eastAsia="zh-CN"/>
              </w:rPr>
              <w:t>1.764</w:t>
            </w:r>
            <w:r>
              <w:rPr>
                <w:rFonts w:hint="eastAsia" w:ascii="Times New Roman" w:hAnsi="Times New Roman" w:eastAsiaTheme="minorEastAsia"/>
                <w:color w:val="auto"/>
                <w:sz w:val="24"/>
                <w:szCs w:val="24"/>
                <w:highlight w:val="none"/>
              </w:rPr>
              <w:t>t</w:t>
            </w:r>
            <w:r>
              <w:rPr>
                <w:rFonts w:hint="eastAsia" w:ascii="Times New Roman" w:hAnsi="Times New Roman" w:eastAsiaTheme="minorEastAsia"/>
                <w:color w:val="auto"/>
                <w:sz w:val="24"/>
                <w:szCs w:val="24"/>
                <w:highlight w:val="none"/>
                <w:lang w:eastAsia="zh-CN"/>
              </w:rPr>
              <w:t>（</w:t>
            </w:r>
            <w:r>
              <w:rPr>
                <w:rFonts w:hint="eastAsia" w:ascii="Times New Roman" w:hAnsi="Times New Roman" w:eastAsiaTheme="minorEastAsia"/>
                <w:color w:val="auto"/>
                <w:sz w:val="24"/>
                <w:szCs w:val="24"/>
                <w:highlight w:val="none"/>
                <w:lang w:val="en-US" w:eastAsia="zh-CN"/>
              </w:rPr>
              <w:t>含碱液和吸收的硫酸雾</w:t>
            </w:r>
            <w:r>
              <w:rPr>
                <w:rFonts w:hint="eastAsia" w:ascii="Times New Roman" w:hAnsi="Times New Roman" w:eastAsiaTheme="minorEastAsia"/>
                <w:color w:val="auto"/>
                <w:sz w:val="24"/>
                <w:szCs w:val="24"/>
                <w:highlight w:val="none"/>
                <w:lang w:eastAsia="zh-CN"/>
              </w:rPr>
              <w:t>）</w:t>
            </w:r>
            <w:r>
              <w:rPr>
                <w:rFonts w:hint="eastAsia" w:ascii="Times New Roman" w:hAnsi="Times New Roman" w:eastAsiaTheme="minorEastAsia"/>
                <w:color w:val="auto"/>
                <w:sz w:val="24"/>
                <w:szCs w:val="24"/>
                <w:highlight w:val="none"/>
              </w:rPr>
              <w:t>，废吸收液年产生量为</w:t>
            </w:r>
            <w:r>
              <w:rPr>
                <w:rFonts w:hint="eastAsia" w:ascii="Times New Roman" w:hAnsi="Times New Roman" w:eastAsiaTheme="minorEastAsia"/>
                <w:color w:val="auto"/>
                <w:sz w:val="24"/>
                <w:szCs w:val="24"/>
                <w:highlight w:val="none"/>
                <w:lang w:val="en-US" w:eastAsia="zh-CN"/>
              </w:rPr>
              <w:t>3.528</w:t>
            </w:r>
            <w:r>
              <w:rPr>
                <w:rFonts w:hint="eastAsia" w:ascii="Times New Roman" w:hAnsi="Times New Roman" w:eastAsiaTheme="minorEastAsia"/>
                <w:color w:val="auto"/>
                <w:sz w:val="24"/>
                <w:szCs w:val="24"/>
                <w:highlight w:val="none"/>
              </w:rPr>
              <w:t>t，废吸收液的成分主要是碱液，属于危险废物，类别为HW35废碱，代码为900-399-35。废</w:t>
            </w:r>
            <w:r>
              <w:rPr>
                <w:rFonts w:hint="eastAsia" w:ascii="Times New Roman" w:hAnsi="Times New Roman" w:eastAsiaTheme="minorEastAsia"/>
                <w:color w:val="auto"/>
                <w:sz w:val="24"/>
                <w:szCs w:val="24"/>
                <w:highlight w:val="none"/>
                <w:lang w:val="en-US" w:eastAsia="zh-CN"/>
              </w:rPr>
              <w:t>脱硫塔</w:t>
            </w:r>
            <w:r>
              <w:rPr>
                <w:rFonts w:hint="eastAsia" w:ascii="Times New Roman" w:hAnsi="Times New Roman" w:eastAsiaTheme="minorEastAsia"/>
                <w:color w:val="auto"/>
                <w:sz w:val="24"/>
                <w:szCs w:val="24"/>
                <w:highlight w:val="none"/>
              </w:rPr>
              <w:t>吸收液采用密封桶收集后在危废暂存间暂存</w:t>
            </w:r>
            <w:r>
              <w:rPr>
                <w:rFonts w:hint="eastAsia" w:ascii="Times New Roman" w:hAnsi="Times New Roman" w:eastAsiaTheme="minorEastAsia"/>
                <w:color w:val="auto"/>
                <w:sz w:val="24"/>
                <w:szCs w:val="24"/>
                <w:highlight w:val="none"/>
                <w:lang w:eastAsia="zh-CN"/>
              </w:rPr>
              <w:t>，</w:t>
            </w:r>
            <w:r>
              <w:rPr>
                <w:rFonts w:hint="eastAsia" w:ascii="Times New Roman" w:hAnsi="Times New Roman" w:eastAsiaTheme="minorEastAsia"/>
                <w:color w:val="auto"/>
                <w:sz w:val="24"/>
                <w:szCs w:val="24"/>
                <w:highlight w:val="none"/>
                <w:lang w:val="en-US" w:eastAsia="zh-CN"/>
              </w:rPr>
              <w:t>暂存时间不超过一个月</w:t>
            </w:r>
            <w:r>
              <w:rPr>
                <w:rFonts w:hint="eastAsia" w:ascii="Times New Roman" w:hAnsi="Times New Roman" w:eastAsiaTheme="minorEastAsia"/>
                <w:color w:val="auto"/>
                <w:sz w:val="24"/>
                <w:szCs w:val="24"/>
                <w:highlight w:val="none"/>
              </w:rPr>
              <w:t>，定期由有资质单位回收处置。</w:t>
            </w:r>
          </w:p>
          <w:p w14:paraId="40EF3F04">
            <w:pPr>
              <w:spacing w:line="480" w:lineRule="exact"/>
              <w:ind w:firstLine="480" w:firstLineChars="200"/>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根据《建设项目危险废物环境影响评价指南》要求，本评价明确给出危险废物的名称、数量、类别、形态、危险特性和污染防治措施等内容。本项目危险废物基本情况详见下表。</w:t>
            </w:r>
          </w:p>
          <w:p w14:paraId="3F9FE9DA">
            <w:pPr>
              <w:topLinePunct/>
              <w:adjustRightInd w:val="0"/>
              <w:snapToGrid w:val="0"/>
              <w:spacing w:line="480" w:lineRule="exact"/>
              <w:jc w:val="center"/>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表4-</w:t>
            </w:r>
            <w:r>
              <w:rPr>
                <w:rFonts w:hint="eastAsia" w:ascii="Times New Roman" w:hAnsi="Times New Roman" w:eastAsiaTheme="minorEastAsia"/>
                <w:color w:val="auto"/>
                <w:sz w:val="24"/>
                <w:szCs w:val="24"/>
                <w:highlight w:val="none"/>
                <w:lang w:val="en-US" w:eastAsia="zh-CN"/>
              </w:rPr>
              <w:t>9</w:t>
            </w:r>
            <w:r>
              <w:rPr>
                <w:rFonts w:ascii="Times New Roman" w:hAnsi="Times New Roman" w:eastAsiaTheme="minorEastAsia"/>
                <w:color w:val="auto"/>
                <w:sz w:val="24"/>
                <w:szCs w:val="24"/>
                <w:highlight w:val="none"/>
              </w:rPr>
              <w:t xml:space="preserve">  </w:t>
            </w:r>
            <w:r>
              <w:rPr>
                <w:rFonts w:hint="eastAsia" w:ascii="Times New Roman" w:hAnsi="Times New Roman" w:eastAsiaTheme="minorEastAsia"/>
                <w:color w:val="auto"/>
                <w:sz w:val="24"/>
                <w:szCs w:val="24"/>
                <w:highlight w:val="none"/>
                <w:lang w:val="en-US" w:eastAsia="zh-CN"/>
              </w:rPr>
              <w:t>本</w:t>
            </w:r>
            <w:r>
              <w:rPr>
                <w:rFonts w:ascii="Times New Roman" w:hAnsi="Times New Roman" w:eastAsiaTheme="minorEastAsia"/>
                <w:color w:val="auto"/>
                <w:sz w:val="24"/>
                <w:szCs w:val="24"/>
                <w:highlight w:val="none"/>
              </w:rPr>
              <w:t>项目</w:t>
            </w:r>
            <w:r>
              <w:rPr>
                <w:rFonts w:hint="eastAsia" w:ascii="Times New Roman" w:hAnsi="Times New Roman" w:eastAsiaTheme="minorEastAsia"/>
                <w:color w:val="auto"/>
                <w:sz w:val="24"/>
                <w:szCs w:val="24"/>
                <w:highlight w:val="none"/>
                <w:lang w:val="en-US" w:eastAsia="zh-CN"/>
              </w:rPr>
              <w:t>危险废物汇总情况一览</w:t>
            </w:r>
            <w:r>
              <w:rPr>
                <w:rFonts w:ascii="Times New Roman" w:hAnsi="Times New Roman" w:eastAsiaTheme="minorEastAsia"/>
                <w:color w:val="auto"/>
                <w:sz w:val="24"/>
                <w:szCs w:val="24"/>
                <w:highlight w:val="none"/>
              </w:rPr>
              <w:t>表</w:t>
            </w:r>
          </w:p>
          <w:tbl>
            <w:tblPr>
              <w:tblStyle w:val="31"/>
              <w:tblW w:w="5011"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6"/>
              <w:gridCol w:w="750"/>
              <w:gridCol w:w="1306"/>
              <w:gridCol w:w="889"/>
              <w:gridCol w:w="589"/>
              <w:gridCol w:w="590"/>
              <w:gridCol w:w="643"/>
              <w:gridCol w:w="750"/>
              <w:gridCol w:w="577"/>
              <w:gridCol w:w="637"/>
              <w:gridCol w:w="788"/>
              <w:gridCol w:w="650"/>
            </w:tblGrid>
            <w:tr w14:paraId="782336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57" w:type="pct"/>
                  <w:vAlign w:val="center"/>
                </w:tcPr>
                <w:p w14:paraId="6C327287">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序号</w:t>
                  </w:r>
                </w:p>
              </w:tc>
              <w:tc>
                <w:tcPr>
                  <w:tcW w:w="444" w:type="pct"/>
                  <w:vAlign w:val="center"/>
                </w:tcPr>
                <w:p w14:paraId="0710AB9B">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固废名称</w:t>
                  </w:r>
                </w:p>
              </w:tc>
              <w:tc>
                <w:tcPr>
                  <w:tcW w:w="774" w:type="pct"/>
                  <w:vAlign w:val="center"/>
                </w:tcPr>
                <w:p w14:paraId="169DFE3C">
                  <w:pPr>
                    <w:wordWrap w:val="0"/>
                    <w:topLinePunct/>
                    <w:adjustRightInd w:val="0"/>
                    <w:snapToGrid w:val="0"/>
                    <w:ind w:left="-105" w:leftChars="-50" w:right="-105" w:rightChars="-50"/>
                    <w:jc w:val="center"/>
                    <w:rPr>
                      <w:rFonts w:hint="eastAsia" w:ascii="Times New Roman" w:hAnsi="Times New Roman" w:eastAsiaTheme="minorEastAsia"/>
                      <w:color w:val="auto"/>
                      <w:kern w:val="0"/>
                      <w:szCs w:val="21"/>
                      <w:highlight w:val="none"/>
                      <w:lang w:val="en-US" w:eastAsia="zh-CN"/>
                    </w:rPr>
                  </w:pPr>
                  <w:r>
                    <w:rPr>
                      <w:rFonts w:hint="eastAsia" w:ascii="Times New Roman" w:hAnsi="Times New Roman" w:eastAsiaTheme="minorEastAsia"/>
                      <w:color w:val="auto"/>
                      <w:szCs w:val="21"/>
                      <w:highlight w:val="none"/>
                      <w:lang w:val="en-US" w:eastAsia="zh-CN"/>
                    </w:rPr>
                    <w:t>类别及代码</w:t>
                  </w:r>
                </w:p>
              </w:tc>
              <w:tc>
                <w:tcPr>
                  <w:tcW w:w="526" w:type="pct"/>
                  <w:vAlign w:val="center"/>
                </w:tcPr>
                <w:p w14:paraId="140CC8DF">
                  <w:pPr>
                    <w:wordWrap w:val="0"/>
                    <w:topLinePunct/>
                    <w:adjustRightInd w:val="0"/>
                    <w:snapToGrid w:val="0"/>
                    <w:ind w:left="-105" w:leftChars="-50" w:right="-105" w:rightChars="-50"/>
                    <w:jc w:val="center"/>
                    <w:rPr>
                      <w:rFonts w:hint="default" w:ascii="Times New Roman" w:hAnsi="Times New Roman" w:eastAsiaTheme="minorEastAsia"/>
                      <w:color w:val="auto"/>
                      <w:kern w:val="0"/>
                      <w:szCs w:val="21"/>
                      <w:highlight w:val="none"/>
                      <w:lang w:val="en-US" w:eastAsia="zh-CN"/>
                    </w:rPr>
                  </w:pPr>
                  <w:r>
                    <w:rPr>
                      <w:rFonts w:hint="eastAsia" w:ascii="Times New Roman" w:hAnsi="Times New Roman" w:eastAsiaTheme="minorEastAsia"/>
                      <w:color w:val="auto"/>
                      <w:kern w:val="0"/>
                      <w:szCs w:val="21"/>
                      <w:highlight w:val="none"/>
                      <w:lang w:val="en-US" w:eastAsia="zh-CN"/>
                    </w:rPr>
                    <w:t>产生工序</w:t>
                  </w:r>
                </w:p>
              </w:tc>
              <w:tc>
                <w:tcPr>
                  <w:tcW w:w="349" w:type="pct"/>
                  <w:vAlign w:val="center"/>
                </w:tcPr>
                <w:p w14:paraId="0CC0AAAB">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产生量</w:t>
                  </w:r>
                  <w:r>
                    <w:rPr>
                      <w:rFonts w:ascii="Times New Roman" w:hAnsi="Times New Roman" w:eastAsiaTheme="minorEastAsia"/>
                      <w:color w:val="auto"/>
                      <w:kern w:val="0"/>
                      <w:szCs w:val="21"/>
                      <w:highlight w:val="none"/>
                    </w:rPr>
                    <w:t>t/a</w:t>
                  </w:r>
                </w:p>
              </w:tc>
              <w:tc>
                <w:tcPr>
                  <w:tcW w:w="349" w:type="pct"/>
                  <w:vAlign w:val="center"/>
                </w:tcPr>
                <w:p w14:paraId="4D3813F5">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形态</w:t>
                  </w:r>
                </w:p>
              </w:tc>
              <w:tc>
                <w:tcPr>
                  <w:tcW w:w="381" w:type="pct"/>
                  <w:vAlign w:val="center"/>
                </w:tcPr>
                <w:p w14:paraId="762647CA">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主要成分</w:t>
                  </w:r>
                </w:p>
              </w:tc>
              <w:tc>
                <w:tcPr>
                  <w:tcW w:w="444" w:type="pct"/>
                  <w:vAlign w:val="center"/>
                </w:tcPr>
                <w:p w14:paraId="74EABD3D">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有害成分</w:t>
                  </w:r>
                </w:p>
              </w:tc>
              <w:tc>
                <w:tcPr>
                  <w:tcW w:w="342" w:type="pct"/>
                  <w:vAlign w:val="center"/>
                </w:tcPr>
                <w:p w14:paraId="03114A5F">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产废周期</w:t>
                  </w:r>
                </w:p>
              </w:tc>
              <w:tc>
                <w:tcPr>
                  <w:tcW w:w="377" w:type="pct"/>
                  <w:vAlign w:val="center"/>
                </w:tcPr>
                <w:p w14:paraId="453833BA">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危险特性</w:t>
                  </w:r>
                </w:p>
              </w:tc>
              <w:tc>
                <w:tcPr>
                  <w:tcW w:w="852" w:type="pct"/>
                  <w:gridSpan w:val="2"/>
                  <w:vAlign w:val="center"/>
                </w:tcPr>
                <w:p w14:paraId="172746E2">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处置措施及去向</w:t>
                  </w:r>
                </w:p>
              </w:tc>
            </w:tr>
            <w:tr w14:paraId="5B9A54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57" w:type="pct"/>
                  <w:vAlign w:val="center"/>
                </w:tcPr>
                <w:p w14:paraId="3B24A1DE">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lang w:eastAsia="zh-CN"/>
                    </w:rPr>
                  </w:pPr>
                  <w:r>
                    <w:rPr>
                      <w:rFonts w:hint="eastAsia" w:ascii="Times New Roman" w:hAnsi="Times New Roman" w:eastAsiaTheme="minorEastAsia"/>
                      <w:color w:val="auto"/>
                      <w:szCs w:val="21"/>
                      <w:highlight w:val="none"/>
                      <w:lang w:val="en-US" w:eastAsia="zh-CN"/>
                    </w:rPr>
                    <w:t>1</w:t>
                  </w:r>
                </w:p>
              </w:tc>
              <w:tc>
                <w:tcPr>
                  <w:tcW w:w="444" w:type="pct"/>
                  <w:vAlign w:val="center"/>
                </w:tcPr>
                <w:p w14:paraId="6BD07469">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废电解液</w:t>
                  </w:r>
                </w:p>
              </w:tc>
              <w:tc>
                <w:tcPr>
                  <w:tcW w:w="774" w:type="pct"/>
                  <w:vAlign w:val="center"/>
                </w:tcPr>
                <w:p w14:paraId="573A1A9B">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ascii="Times New Roman" w:hAnsi="Times New Roman" w:eastAsiaTheme="minorEastAsia"/>
                      <w:color w:val="auto"/>
                      <w:szCs w:val="21"/>
                      <w:highlight w:val="none"/>
                    </w:rPr>
                    <w:t>HW</w:t>
                  </w:r>
                  <w:r>
                    <w:rPr>
                      <w:rFonts w:hint="eastAsia" w:ascii="Times New Roman" w:hAnsi="Times New Roman" w:eastAsiaTheme="minorEastAsia"/>
                      <w:color w:val="auto"/>
                      <w:szCs w:val="21"/>
                      <w:highlight w:val="none"/>
                      <w:lang w:val="en-US" w:eastAsia="zh-CN"/>
                    </w:rPr>
                    <w:t>31</w:t>
                  </w:r>
                </w:p>
                <w:p w14:paraId="321BDF6B">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rPr>
                  </w:pPr>
                  <w:r>
                    <w:rPr>
                      <w:rFonts w:ascii="Times New Roman" w:hAnsi="Times New Roman" w:eastAsiaTheme="minorEastAsia"/>
                      <w:color w:val="auto"/>
                      <w:szCs w:val="21"/>
                      <w:highlight w:val="none"/>
                    </w:rPr>
                    <w:t>（900-0</w:t>
                  </w:r>
                  <w:r>
                    <w:rPr>
                      <w:rFonts w:hint="eastAsia" w:ascii="Times New Roman" w:hAnsi="Times New Roman" w:eastAsiaTheme="minorEastAsia"/>
                      <w:color w:val="auto"/>
                      <w:szCs w:val="21"/>
                      <w:highlight w:val="none"/>
                      <w:lang w:val="en-US" w:eastAsia="zh-CN"/>
                    </w:rPr>
                    <w:t>52</w:t>
                  </w:r>
                  <w:r>
                    <w:rPr>
                      <w:rFonts w:ascii="Times New Roman" w:hAnsi="Times New Roman" w:eastAsiaTheme="minorEastAsia"/>
                      <w:color w:val="auto"/>
                      <w:szCs w:val="21"/>
                      <w:highlight w:val="none"/>
                    </w:rPr>
                    <w:t>-</w:t>
                  </w:r>
                  <w:r>
                    <w:rPr>
                      <w:rFonts w:hint="eastAsia" w:ascii="Times New Roman" w:hAnsi="Times New Roman" w:eastAsiaTheme="minorEastAsia"/>
                      <w:color w:val="auto"/>
                      <w:szCs w:val="21"/>
                      <w:highlight w:val="none"/>
                      <w:lang w:val="en-US" w:eastAsia="zh-CN"/>
                    </w:rPr>
                    <w:t>31</w:t>
                  </w:r>
                  <w:r>
                    <w:rPr>
                      <w:rFonts w:ascii="Times New Roman" w:hAnsi="Times New Roman" w:eastAsiaTheme="minorEastAsia"/>
                      <w:color w:val="auto"/>
                      <w:szCs w:val="21"/>
                      <w:highlight w:val="none"/>
                    </w:rPr>
                    <w:t>）</w:t>
                  </w:r>
                </w:p>
              </w:tc>
              <w:tc>
                <w:tcPr>
                  <w:tcW w:w="526" w:type="pct"/>
                  <w:vAlign w:val="center"/>
                </w:tcPr>
                <w:p w14:paraId="581F91E6">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rPr>
                    <w:t>铅蓄电池</w:t>
                  </w:r>
                  <w:r>
                    <w:rPr>
                      <w:rFonts w:hint="eastAsia" w:ascii="Times New Roman" w:hAnsi="Times New Roman" w:eastAsiaTheme="minorEastAsia"/>
                      <w:color w:val="auto"/>
                      <w:szCs w:val="21"/>
                      <w:highlight w:val="none"/>
                      <w:lang w:val="en-US" w:eastAsia="zh-CN"/>
                    </w:rPr>
                    <w:t>贮存</w:t>
                  </w:r>
                </w:p>
              </w:tc>
              <w:tc>
                <w:tcPr>
                  <w:tcW w:w="349" w:type="pct"/>
                  <w:vAlign w:val="center"/>
                </w:tcPr>
                <w:p w14:paraId="5ECFE320">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0.15</w:t>
                  </w:r>
                </w:p>
              </w:tc>
              <w:tc>
                <w:tcPr>
                  <w:tcW w:w="349" w:type="pct"/>
                  <w:vAlign w:val="center"/>
                </w:tcPr>
                <w:p w14:paraId="5500262A">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液态</w:t>
                  </w:r>
                </w:p>
              </w:tc>
              <w:tc>
                <w:tcPr>
                  <w:tcW w:w="381" w:type="pct"/>
                  <w:vAlign w:val="center"/>
                </w:tcPr>
                <w:p w14:paraId="6AEFBB9E">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废电解液</w:t>
                  </w:r>
                </w:p>
              </w:tc>
              <w:tc>
                <w:tcPr>
                  <w:tcW w:w="444" w:type="pct"/>
                  <w:vAlign w:val="center"/>
                </w:tcPr>
                <w:p w14:paraId="6091B212">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废电解液</w:t>
                  </w:r>
                </w:p>
              </w:tc>
              <w:tc>
                <w:tcPr>
                  <w:tcW w:w="342" w:type="pct"/>
                  <w:vAlign w:val="center"/>
                </w:tcPr>
                <w:p w14:paraId="62753A68">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180日</w:t>
                  </w:r>
                </w:p>
              </w:tc>
              <w:tc>
                <w:tcPr>
                  <w:tcW w:w="377" w:type="pct"/>
                  <w:vAlign w:val="center"/>
                </w:tcPr>
                <w:p w14:paraId="18F5272E">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lang w:val="en-US" w:eastAsia="zh-CN"/>
                    </w:rPr>
                    <w:t>毒性、腐蚀性</w:t>
                  </w:r>
                </w:p>
              </w:tc>
              <w:tc>
                <w:tcPr>
                  <w:tcW w:w="467" w:type="pct"/>
                  <w:vAlign w:val="center"/>
                </w:tcPr>
                <w:p w14:paraId="50B421E2">
                  <w:pPr>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收集池收集</w:t>
                  </w:r>
                </w:p>
              </w:tc>
              <w:tc>
                <w:tcPr>
                  <w:tcW w:w="385" w:type="pct"/>
                  <w:vMerge w:val="restart"/>
                  <w:vAlign w:val="center"/>
                </w:tcPr>
                <w:p w14:paraId="63B161B4">
                  <w:pPr>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lang w:val="en-US" w:eastAsia="zh-CN"/>
                    </w:rPr>
                    <w:t>定期</w:t>
                  </w:r>
                  <w:r>
                    <w:rPr>
                      <w:rFonts w:ascii="Times New Roman" w:hAnsi="Times New Roman" w:eastAsiaTheme="minorEastAsia"/>
                      <w:color w:val="auto"/>
                      <w:szCs w:val="21"/>
                      <w:highlight w:val="none"/>
                    </w:rPr>
                    <w:t>交由有资质的单位处置</w:t>
                  </w:r>
                </w:p>
              </w:tc>
            </w:tr>
            <w:tr w14:paraId="4E1468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57" w:type="pct"/>
                  <w:vAlign w:val="center"/>
                </w:tcPr>
                <w:p w14:paraId="437F4B9D">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lang w:eastAsia="zh-CN"/>
                    </w:rPr>
                  </w:pPr>
                  <w:r>
                    <w:rPr>
                      <w:rFonts w:hint="eastAsia" w:ascii="Times New Roman" w:hAnsi="Times New Roman" w:eastAsiaTheme="minorEastAsia"/>
                      <w:color w:val="auto"/>
                      <w:szCs w:val="21"/>
                      <w:highlight w:val="none"/>
                      <w:lang w:val="en-US" w:eastAsia="zh-CN"/>
                    </w:rPr>
                    <w:t>2</w:t>
                  </w:r>
                </w:p>
              </w:tc>
              <w:tc>
                <w:tcPr>
                  <w:tcW w:w="444" w:type="pct"/>
                  <w:vAlign w:val="center"/>
                </w:tcPr>
                <w:p w14:paraId="4B55C664">
                  <w:pPr>
                    <w:widowControl/>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废劳保品</w:t>
                  </w:r>
                </w:p>
              </w:tc>
              <w:tc>
                <w:tcPr>
                  <w:tcW w:w="774" w:type="pct"/>
                  <w:vAlign w:val="center"/>
                </w:tcPr>
                <w:p w14:paraId="5AFC0085">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ascii="Times New Roman" w:hAnsi="Times New Roman" w:eastAsiaTheme="minorEastAsia"/>
                      <w:color w:val="auto"/>
                      <w:szCs w:val="21"/>
                      <w:highlight w:val="none"/>
                    </w:rPr>
                    <w:t>HW</w:t>
                  </w:r>
                  <w:r>
                    <w:rPr>
                      <w:rFonts w:hint="eastAsia" w:ascii="Times New Roman" w:hAnsi="Times New Roman" w:eastAsiaTheme="minorEastAsia"/>
                      <w:color w:val="auto"/>
                      <w:szCs w:val="21"/>
                      <w:highlight w:val="none"/>
                      <w:lang w:val="en-US" w:eastAsia="zh-CN"/>
                    </w:rPr>
                    <w:t>49</w:t>
                  </w:r>
                </w:p>
                <w:p w14:paraId="67DFA5B2">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rPr>
                  </w:pPr>
                  <w:r>
                    <w:rPr>
                      <w:rFonts w:ascii="Times New Roman" w:hAnsi="Times New Roman" w:eastAsiaTheme="minorEastAsia"/>
                      <w:color w:val="auto"/>
                      <w:szCs w:val="21"/>
                      <w:highlight w:val="none"/>
                    </w:rPr>
                    <w:t>（900-</w:t>
                  </w:r>
                  <w:r>
                    <w:rPr>
                      <w:rFonts w:hint="eastAsia" w:ascii="Times New Roman" w:hAnsi="Times New Roman" w:eastAsiaTheme="minorEastAsia"/>
                      <w:color w:val="auto"/>
                      <w:szCs w:val="21"/>
                      <w:highlight w:val="none"/>
                      <w:lang w:val="en-US" w:eastAsia="zh-CN"/>
                    </w:rPr>
                    <w:t>042</w:t>
                  </w:r>
                  <w:r>
                    <w:rPr>
                      <w:rFonts w:ascii="Times New Roman" w:hAnsi="Times New Roman" w:eastAsiaTheme="minorEastAsia"/>
                      <w:color w:val="auto"/>
                      <w:szCs w:val="21"/>
                      <w:highlight w:val="none"/>
                    </w:rPr>
                    <w:t>-</w:t>
                  </w:r>
                  <w:r>
                    <w:rPr>
                      <w:rFonts w:hint="eastAsia" w:ascii="Times New Roman" w:hAnsi="Times New Roman" w:eastAsiaTheme="minorEastAsia"/>
                      <w:color w:val="auto"/>
                      <w:szCs w:val="21"/>
                      <w:highlight w:val="none"/>
                      <w:lang w:val="en-US" w:eastAsia="zh-CN"/>
                    </w:rPr>
                    <w:t>49</w:t>
                  </w:r>
                  <w:r>
                    <w:rPr>
                      <w:rFonts w:ascii="Times New Roman" w:hAnsi="Times New Roman" w:eastAsiaTheme="minorEastAsia"/>
                      <w:color w:val="auto"/>
                      <w:szCs w:val="21"/>
                      <w:highlight w:val="none"/>
                    </w:rPr>
                    <w:t>）</w:t>
                  </w:r>
                </w:p>
              </w:tc>
              <w:tc>
                <w:tcPr>
                  <w:tcW w:w="526" w:type="pct"/>
                  <w:vMerge w:val="restart"/>
                  <w:vAlign w:val="center"/>
                </w:tcPr>
                <w:p w14:paraId="2A8470D4">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装卸、贮存、清理</w:t>
                  </w:r>
                </w:p>
              </w:tc>
              <w:tc>
                <w:tcPr>
                  <w:tcW w:w="349" w:type="pct"/>
                  <w:vAlign w:val="center"/>
                </w:tcPr>
                <w:p w14:paraId="5F2DF38D">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lang w:eastAsia="zh-CN"/>
                    </w:rPr>
                  </w:pPr>
                  <w:r>
                    <w:rPr>
                      <w:rFonts w:ascii="Times New Roman" w:hAnsi="Times New Roman" w:eastAsiaTheme="minorEastAsia"/>
                      <w:color w:val="auto"/>
                      <w:szCs w:val="21"/>
                      <w:highlight w:val="none"/>
                    </w:rPr>
                    <w:t>0.</w:t>
                  </w:r>
                  <w:r>
                    <w:rPr>
                      <w:rFonts w:hint="eastAsia" w:ascii="Times New Roman" w:hAnsi="Times New Roman" w:eastAsiaTheme="minorEastAsia"/>
                      <w:color w:val="auto"/>
                      <w:szCs w:val="21"/>
                      <w:highlight w:val="none"/>
                      <w:lang w:val="en-US" w:eastAsia="zh-CN"/>
                    </w:rPr>
                    <w:t>1</w:t>
                  </w:r>
                </w:p>
              </w:tc>
              <w:tc>
                <w:tcPr>
                  <w:tcW w:w="349" w:type="pct"/>
                  <w:vAlign w:val="center"/>
                </w:tcPr>
                <w:p w14:paraId="56107331">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固态</w:t>
                  </w:r>
                </w:p>
              </w:tc>
              <w:tc>
                <w:tcPr>
                  <w:tcW w:w="381" w:type="pct"/>
                  <w:vAlign w:val="center"/>
                </w:tcPr>
                <w:p w14:paraId="26A6A305">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废电解液</w:t>
                  </w:r>
                </w:p>
              </w:tc>
              <w:tc>
                <w:tcPr>
                  <w:tcW w:w="444" w:type="pct"/>
                  <w:vAlign w:val="center"/>
                </w:tcPr>
                <w:p w14:paraId="5D6D8370">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lang w:val="en-US" w:eastAsia="zh-CN"/>
                    </w:rPr>
                    <w:t>废电解液</w:t>
                  </w:r>
                </w:p>
              </w:tc>
              <w:tc>
                <w:tcPr>
                  <w:tcW w:w="342" w:type="pct"/>
                  <w:vAlign w:val="center"/>
                </w:tcPr>
                <w:p w14:paraId="1070B031">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180日</w:t>
                  </w:r>
                </w:p>
              </w:tc>
              <w:tc>
                <w:tcPr>
                  <w:tcW w:w="377" w:type="pct"/>
                  <w:vAlign w:val="center"/>
                </w:tcPr>
                <w:p w14:paraId="088E4B90">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lang w:val="en-US" w:eastAsia="zh-CN"/>
                    </w:rPr>
                    <w:t>毒性</w:t>
                  </w:r>
                </w:p>
              </w:tc>
              <w:tc>
                <w:tcPr>
                  <w:tcW w:w="467" w:type="pct"/>
                  <w:vAlign w:val="center"/>
                </w:tcPr>
                <w:p w14:paraId="0F24FC9B">
                  <w:pPr>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防漏胶袋盛放</w:t>
                  </w:r>
                </w:p>
              </w:tc>
              <w:tc>
                <w:tcPr>
                  <w:tcW w:w="385" w:type="pct"/>
                  <w:vMerge w:val="continue"/>
                  <w:vAlign w:val="center"/>
                </w:tcPr>
                <w:p w14:paraId="54D7B649">
                  <w:pPr>
                    <w:jc w:val="center"/>
                    <w:rPr>
                      <w:rFonts w:ascii="Times New Roman" w:hAnsi="Times New Roman" w:eastAsiaTheme="minorEastAsia"/>
                      <w:color w:val="auto"/>
                      <w:szCs w:val="21"/>
                      <w:highlight w:val="none"/>
                    </w:rPr>
                  </w:pPr>
                </w:p>
              </w:tc>
            </w:tr>
            <w:tr w14:paraId="226DD1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7" w:type="pct"/>
                  <w:vAlign w:val="center"/>
                </w:tcPr>
                <w:p w14:paraId="431BF588">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lang w:eastAsia="zh-CN"/>
                    </w:rPr>
                  </w:pPr>
                  <w:r>
                    <w:rPr>
                      <w:rFonts w:hint="eastAsia" w:ascii="Times New Roman" w:hAnsi="Times New Roman" w:eastAsiaTheme="minorEastAsia"/>
                      <w:color w:val="auto"/>
                      <w:szCs w:val="21"/>
                      <w:highlight w:val="none"/>
                      <w:lang w:val="en-US" w:eastAsia="zh-CN"/>
                    </w:rPr>
                    <w:t>3</w:t>
                  </w:r>
                </w:p>
              </w:tc>
              <w:tc>
                <w:tcPr>
                  <w:tcW w:w="444" w:type="pct"/>
                  <w:vAlign w:val="center"/>
                </w:tcPr>
                <w:p w14:paraId="7C31C3B0">
                  <w:pPr>
                    <w:widowControl/>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废拖把、废抹布</w:t>
                  </w:r>
                </w:p>
              </w:tc>
              <w:tc>
                <w:tcPr>
                  <w:tcW w:w="774" w:type="pct"/>
                  <w:vAlign w:val="center"/>
                </w:tcPr>
                <w:p w14:paraId="03EF0018">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ascii="Times New Roman" w:hAnsi="Times New Roman" w:eastAsiaTheme="minorEastAsia"/>
                      <w:color w:val="auto"/>
                      <w:szCs w:val="21"/>
                      <w:highlight w:val="none"/>
                    </w:rPr>
                    <w:t>HW</w:t>
                  </w:r>
                  <w:r>
                    <w:rPr>
                      <w:rFonts w:hint="eastAsia" w:ascii="Times New Roman" w:hAnsi="Times New Roman" w:eastAsiaTheme="minorEastAsia"/>
                      <w:color w:val="auto"/>
                      <w:szCs w:val="21"/>
                      <w:highlight w:val="none"/>
                      <w:lang w:val="en-US" w:eastAsia="zh-CN"/>
                    </w:rPr>
                    <w:t>49</w:t>
                  </w:r>
                </w:p>
                <w:p w14:paraId="5578B80B">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（900-</w:t>
                  </w:r>
                  <w:r>
                    <w:rPr>
                      <w:rFonts w:hint="eastAsia" w:ascii="Times New Roman" w:hAnsi="Times New Roman" w:eastAsiaTheme="minorEastAsia"/>
                      <w:color w:val="auto"/>
                      <w:szCs w:val="21"/>
                      <w:highlight w:val="none"/>
                      <w:lang w:val="en-US" w:eastAsia="zh-CN"/>
                    </w:rPr>
                    <w:t>042</w:t>
                  </w:r>
                  <w:r>
                    <w:rPr>
                      <w:rFonts w:ascii="Times New Roman" w:hAnsi="Times New Roman" w:eastAsiaTheme="minorEastAsia"/>
                      <w:color w:val="auto"/>
                      <w:szCs w:val="21"/>
                      <w:highlight w:val="none"/>
                    </w:rPr>
                    <w:t>-</w:t>
                  </w:r>
                  <w:r>
                    <w:rPr>
                      <w:rFonts w:hint="eastAsia" w:ascii="Times New Roman" w:hAnsi="Times New Roman" w:eastAsiaTheme="minorEastAsia"/>
                      <w:color w:val="auto"/>
                      <w:szCs w:val="21"/>
                      <w:highlight w:val="none"/>
                      <w:lang w:val="en-US" w:eastAsia="zh-CN"/>
                    </w:rPr>
                    <w:t>49</w:t>
                  </w:r>
                  <w:r>
                    <w:rPr>
                      <w:rFonts w:ascii="Times New Roman" w:hAnsi="Times New Roman" w:eastAsiaTheme="minorEastAsia"/>
                      <w:color w:val="auto"/>
                      <w:szCs w:val="21"/>
                      <w:highlight w:val="none"/>
                    </w:rPr>
                    <w:t>）</w:t>
                  </w:r>
                </w:p>
              </w:tc>
              <w:tc>
                <w:tcPr>
                  <w:tcW w:w="526" w:type="pct"/>
                  <w:vMerge w:val="continue"/>
                  <w:vAlign w:val="center"/>
                </w:tcPr>
                <w:p w14:paraId="45994147">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p>
              </w:tc>
              <w:tc>
                <w:tcPr>
                  <w:tcW w:w="349" w:type="pct"/>
                  <w:vAlign w:val="center"/>
                </w:tcPr>
                <w:p w14:paraId="7B39B7E3">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0.2</w:t>
                  </w:r>
                </w:p>
              </w:tc>
              <w:tc>
                <w:tcPr>
                  <w:tcW w:w="349" w:type="pct"/>
                  <w:vAlign w:val="center"/>
                </w:tcPr>
                <w:p w14:paraId="2A602430">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固态</w:t>
                  </w:r>
                </w:p>
              </w:tc>
              <w:tc>
                <w:tcPr>
                  <w:tcW w:w="381" w:type="pct"/>
                  <w:vAlign w:val="center"/>
                </w:tcPr>
                <w:p w14:paraId="34C8E8B5">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废电解液</w:t>
                  </w:r>
                </w:p>
              </w:tc>
              <w:tc>
                <w:tcPr>
                  <w:tcW w:w="444" w:type="pct"/>
                  <w:vAlign w:val="center"/>
                </w:tcPr>
                <w:p w14:paraId="2B217CB4">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lang w:val="en-US" w:eastAsia="zh-CN"/>
                    </w:rPr>
                    <w:t>废电解液</w:t>
                  </w:r>
                </w:p>
              </w:tc>
              <w:tc>
                <w:tcPr>
                  <w:tcW w:w="342" w:type="pct"/>
                  <w:vAlign w:val="center"/>
                </w:tcPr>
                <w:p w14:paraId="636DBAFF">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180日</w:t>
                  </w:r>
                </w:p>
              </w:tc>
              <w:tc>
                <w:tcPr>
                  <w:tcW w:w="377" w:type="pct"/>
                  <w:vAlign w:val="center"/>
                </w:tcPr>
                <w:p w14:paraId="7740BE64">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lang w:val="en-US" w:eastAsia="zh-CN"/>
                    </w:rPr>
                    <w:t>毒性</w:t>
                  </w:r>
                </w:p>
              </w:tc>
              <w:tc>
                <w:tcPr>
                  <w:tcW w:w="467" w:type="pct"/>
                  <w:vAlign w:val="center"/>
                </w:tcPr>
                <w:p w14:paraId="0CC38EC9">
                  <w:pPr>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防漏胶袋盛放</w:t>
                  </w:r>
                </w:p>
              </w:tc>
              <w:tc>
                <w:tcPr>
                  <w:tcW w:w="385" w:type="pct"/>
                  <w:vMerge w:val="continue"/>
                  <w:vAlign w:val="center"/>
                </w:tcPr>
                <w:p w14:paraId="618CE0FD">
                  <w:pPr>
                    <w:jc w:val="center"/>
                    <w:rPr>
                      <w:rFonts w:ascii="Times New Roman" w:hAnsi="Times New Roman" w:eastAsiaTheme="minorEastAsia"/>
                      <w:color w:val="auto"/>
                      <w:szCs w:val="21"/>
                      <w:highlight w:val="none"/>
                    </w:rPr>
                  </w:pPr>
                </w:p>
              </w:tc>
            </w:tr>
          </w:tbl>
          <w:p w14:paraId="236CA783">
            <w:pPr>
              <w:topLinePunct/>
              <w:adjustRightInd w:val="0"/>
              <w:snapToGrid w:val="0"/>
              <w:spacing w:line="480" w:lineRule="exact"/>
              <w:jc w:val="center"/>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lang w:val="en-US" w:eastAsia="zh-CN"/>
              </w:rPr>
              <w:t>续</w:t>
            </w:r>
            <w:r>
              <w:rPr>
                <w:rFonts w:ascii="Times New Roman" w:hAnsi="Times New Roman" w:eastAsiaTheme="minorEastAsia"/>
                <w:color w:val="auto"/>
                <w:sz w:val="24"/>
                <w:szCs w:val="24"/>
                <w:highlight w:val="none"/>
              </w:rPr>
              <w:t>表4-</w:t>
            </w:r>
            <w:r>
              <w:rPr>
                <w:rFonts w:hint="eastAsia" w:ascii="Times New Roman" w:hAnsi="Times New Roman" w:eastAsiaTheme="minorEastAsia"/>
                <w:color w:val="auto"/>
                <w:sz w:val="24"/>
                <w:szCs w:val="24"/>
                <w:highlight w:val="none"/>
                <w:lang w:val="en-US" w:eastAsia="zh-CN"/>
              </w:rPr>
              <w:t>9</w:t>
            </w:r>
            <w:r>
              <w:rPr>
                <w:rFonts w:ascii="Times New Roman" w:hAnsi="Times New Roman" w:eastAsiaTheme="minorEastAsia"/>
                <w:color w:val="auto"/>
                <w:sz w:val="24"/>
                <w:szCs w:val="24"/>
                <w:highlight w:val="none"/>
              </w:rPr>
              <w:t xml:space="preserve">  </w:t>
            </w:r>
            <w:r>
              <w:rPr>
                <w:rFonts w:hint="eastAsia" w:ascii="Times New Roman" w:hAnsi="Times New Roman" w:eastAsiaTheme="minorEastAsia"/>
                <w:color w:val="auto"/>
                <w:sz w:val="24"/>
                <w:szCs w:val="24"/>
                <w:highlight w:val="none"/>
                <w:lang w:val="en-US" w:eastAsia="zh-CN"/>
              </w:rPr>
              <w:t>本</w:t>
            </w:r>
            <w:r>
              <w:rPr>
                <w:rFonts w:ascii="Times New Roman" w:hAnsi="Times New Roman" w:eastAsiaTheme="minorEastAsia"/>
                <w:color w:val="auto"/>
                <w:sz w:val="24"/>
                <w:szCs w:val="24"/>
                <w:highlight w:val="none"/>
              </w:rPr>
              <w:t>项目</w:t>
            </w:r>
            <w:r>
              <w:rPr>
                <w:rFonts w:hint="eastAsia" w:ascii="Times New Roman" w:hAnsi="Times New Roman" w:eastAsiaTheme="minorEastAsia"/>
                <w:color w:val="auto"/>
                <w:sz w:val="24"/>
                <w:szCs w:val="24"/>
                <w:highlight w:val="none"/>
                <w:lang w:val="en-US" w:eastAsia="zh-CN"/>
              </w:rPr>
              <w:t>危险废物汇总情况一览</w:t>
            </w:r>
            <w:r>
              <w:rPr>
                <w:rFonts w:ascii="Times New Roman" w:hAnsi="Times New Roman" w:eastAsiaTheme="minorEastAsia"/>
                <w:color w:val="auto"/>
                <w:sz w:val="24"/>
                <w:szCs w:val="24"/>
                <w:highlight w:val="none"/>
              </w:rPr>
              <w:t>表</w:t>
            </w:r>
          </w:p>
          <w:tbl>
            <w:tblPr>
              <w:tblStyle w:val="31"/>
              <w:tblW w:w="843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5"/>
              <w:gridCol w:w="919"/>
              <w:gridCol w:w="968"/>
              <w:gridCol w:w="889"/>
              <w:gridCol w:w="589"/>
              <w:gridCol w:w="590"/>
              <w:gridCol w:w="643"/>
              <w:gridCol w:w="750"/>
              <w:gridCol w:w="785"/>
              <w:gridCol w:w="559"/>
              <w:gridCol w:w="563"/>
              <w:gridCol w:w="745"/>
            </w:tblGrid>
            <w:tr w14:paraId="2DBC8D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827" w:hRule="atLeast"/>
                <w:jc w:val="center"/>
              </w:trPr>
              <w:tc>
                <w:tcPr>
                  <w:tcW w:w="257" w:type="pct"/>
                  <w:vAlign w:val="center"/>
                </w:tcPr>
                <w:p w14:paraId="0B23AFA2">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序号</w:t>
                  </w:r>
                </w:p>
              </w:tc>
              <w:tc>
                <w:tcPr>
                  <w:tcW w:w="544" w:type="pct"/>
                  <w:vAlign w:val="center"/>
                </w:tcPr>
                <w:p w14:paraId="2D6019DB">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固废名称</w:t>
                  </w:r>
                </w:p>
              </w:tc>
              <w:tc>
                <w:tcPr>
                  <w:tcW w:w="573" w:type="pct"/>
                  <w:vAlign w:val="center"/>
                </w:tcPr>
                <w:p w14:paraId="50EB32DD">
                  <w:pPr>
                    <w:wordWrap w:val="0"/>
                    <w:topLinePunct/>
                    <w:adjustRightInd w:val="0"/>
                    <w:snapToGrid w:val="0"/>
                    <w:ind w:left="-105" w:leftChars="-50" w:right="-105" w:rightChars="-50"/>
                    <w:jc w:val="center"/>
                    <w:rPr>
                      <w:rFonts w:hint="eastAsia" w:ascii="Times New Roman" w:hAnsi="Times New Roman" w:eastAsiaTheme="minorEastAsia"/>
                      <w:color w:val="auto"/>
                      <w:kern w:val="0"/>
                      <w:szCs w:val="21"/>
                      <w:highlight w:val="none"/>
                      <w:lang w:val="en-US" w:eastAsia="zh-CN"/>
                    </w:rPr>
                  </w:pPr>
                  <w:r>
                    <w:rPr>
                      <w:rFonts w:hint="eastAsia" w:ascii="Times New Roman" w:hAnsi="Times New Roman" w:eastAsiaTheme="minorEastAsia"/>
                      <w:color w:val="auto"/>
                      <w:szCs w:val="21"/>
                      <w:highlight w:val="none"/>
                      <w:lang w:val="en-US" w:eastAsia="zh-CN"/>
                    </w:rPr>
                    <w:t>类别及代码</w:t>
                  </w:r>
                </w:p>
              </w:tc>
              <w:tc>
                <w:tcPr>
                  <w:tcW w:w="526" w:type="pct"/>
                  <w:vAlign w:val="center"/>
                </w:tcPr>
                <w:p w14:paraId="45C2629F">
                  <w:pPr>
                    <w:wordWrap w:val="0"/>
                    <w:topLinePunct/>
                    <w:adjustRightInd w:val="0"/>
                    <w:snapToGrid w:val="0"/>
                    <w:ind w:left="-105" w:leftChars="-50" w:right="-105" w:rightChars="-50"/>
                    <w:jc w:val="center"/>
                    <w:rPr>
                      <w:rFonts w:hint="default" w:ascii="Times New Roman" w:hAnsi="Times New Roman" w:eastAsiaTheme="minorEastAsia"/>
                      <w:color w:val="auto"/>
                      <w:kern w:val="0"/>
                      <w:szCs w:val="21"/>
                      <w:highlight w:val="none"/>
                      <w:lang w:val="en-US" w:eastAsia="zh-CN"/>
                    </w:rPr>
                  </w:pPr>
                  <w:r>
                    <w:rPr>
                      <w:rFonts w:hint="eastAsia" w:ascii="Times New Roman" w:hAnsi="Times New Roman" w:eastAsiaTheme="minorEastAsia"/>
                      <w:color w:val="auto"/>
                      <w:kern w:val="0"/>
                      <w:szCs w:val="21"/>
                      <w:highlight w:val="none"/>
                      <w:lang w:val="en-US" w:eastAsia="zh-CN"/>
                    </w:rPr>
                    <w:t>产生工序</w:t>
                  </w:r>
                </w:p>
              </w:tc>
              <w:tc>
                <w:tcPr>
                  <w:tcW w:w="349" w:type="pct"/>
                  <w:vAlign w:val="center"/>
                </w:tcPr>
                <w:p w14:paraId="009508C0">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产生量</w:t>
                  </w:r>
                  <w:r>
                    <w:rPr>
                      <w:rFonts w:ascii="Times New Roman" w:hAnsi="Times New Roman" w:eastAsiaTheme="minorEastAsia"/>
                      <w:color w:val="auto"/>
                      <w:kern w:val="0"/>
                      <w:szCs w:val="21"/>
                      <w:highlight w:val="none"/>
                    </w:rPr>
                    <w:t>t/a</w:t>
                  </w:r>
                </w:p>
              </w:tc>
              <w:tc>
                <w:tcPr>
                  <w:tcW w:w="349" w:type="pct"/>
                  <w:vAlign w:val="center"/>
                </w:tcPr>
                <w:p w14:paraId="1333B43C">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形态</w:t>
                  </w:r>
                </w:p>
              </w:tc>
              <w:tc>
                <w:tcPr>
                  <w:tcW w:w="381" w:type="pct"/>
                  <w:vAlign w:val="center"/>
                </w:tcPr>
                <w:p w14:paraId="2876BA62">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主要成分</w:t>
                  </w:r>
                </w:p>
              </w:tc>
              <w:tc>
                <w:tcPr>
                  <w:tcW w:w="444" w:type="pct"/>
                  <w:vAlign w:val="center"/>
                </w:tcPr>
                <w:p w14:paraId="27737800">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有害成分</w:t>
                  </w:r>
                </w:p>
              </w:tc>
              <w:tc>
                <w:tcPr>
                  <w:tcW w:w="465" w:type="pct"/>
                  <w:vAlign w:val="center"/>
                </w:tcPr>
                <w:p w14:paraId="4C139E6E">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产废周期</w:t>
                  </w:r>
                </w:p>
              </w:tc>
              <w:tc>
                <w:tcPr>
                  <w:tcW w:w="331" w:type="pct"/>
                  <w:vAlign w:val="center"/>
                </w:tcPr>
                <w:p w14:paraId="5BA448B7">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危险特性</w:t>
                  </w:r>
                </w:p>
              </w:tc>
              <w:tc>
                <w:tcPr>
                  <w:tcW w:w="775" w:type="pct"/>
                  <w:gridSpan w:val="2"/>
                  <w:vAlign w:val="center"/>
                </w:tcPr>
                <w:p w14:paraId="2A9E52E6">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处置措施及去向</w:t>
                  </w:r>
                </w:p>
              </w:tc>
            </w:tr>
            <w:tr w14:paraId="5F897F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257" w:type="pct"/>
                  <w:vAlign w:val="center"/>
                </w:tcPr>
                <w:p w14:paraId="203511EC">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4</w:t>
                  </w:r>
                </w:p>
              </w:tc>
              <w:tc>
                <w:tcPr>
                  <w:tcW w:w="544" w:type="pct"/>
                  <w:vAlign w:val="center"/>
                </w:tcPr>
                <w:p w14:paraId="742A34C8">
                  <w:pPr>
                    <w:widowControl/>
                    <w:jc w:val="center"/>
                    <w:rPr>
                      <w:rFonts w:hint="eastAsia" w:ascii="Times New Roman" w:hAnsi="Times New Roman" w:eastAsiaTheme="minorEastAsia"/>
                      <w:color w:val="auto"/>
                      <w:szCs w:val="21"/>
                      <w:highlight w:val="none"/>
                    </w:rPr>
                  </w:pPr>
                  <w:r>
                    <w:rPr>
                      <w:rFonts w:hint="eastAsia" w:ascii="Times New Roman" w:hAnsi="Times New Roman" w:eastAsiaTheme="minorEastAsia"/>
                      <w:color w:val="auto"/>
                      <w:sz w:val="21"/>
                      <w:szCs w:val="21"/>
                      <w:highlight w:val="none"/>
                    </w:rPr>
                    <w:t>沾染电解液的</w:t>
                  </w:r>
                  <w:r>
                    <w:rPr>
                      <w:rFonts w:hint="eastAsia" w:ascii="Times New Roman" w:hAnsi="Times New Roman" w:eastAsiaTheme="minorEastAsia"/>
                      <w:color w:val="auto"/>
                      <w:sz w:val="21"/>
                      <w:szCs w:val="21"/>
                      <w:highlight w:val="none"/>
                      <w:lang w:val="en-US" w:eastAsia="zh-CN"/>
                    </w:rPr>
                    <w:t>破损箱子</w:t>
                  </w:r>
                </w:p>
              </w:tc>
              <w:tc>
                <w:tcPr>
                  <w:tcW w:w="573" w:type="pct"/>
                  <w:vAlign w:val="center"/>
                </w:tcPr>
                <w:p w14:paraId="0B7660DB">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ascii="Times New Roman" w:hAnsi="Times New Roman" w:eastAsiaTheme="minorEastAsia"/>
                      <w:color w:val="auto"/>
                      <w:szCs w:val="21"/>
                      <w:highlight w:val="none"/>
                    </w:rPr>
                    <w:t>HW</w:t>
                  </w:r>
                  <w:r>
                    <w:rPr>
                      <w:rFonts w:hint="eastAsia" w:ascii="Times New Roman" w:hAnsi="Times New Roman" w:eastAsiaTheme="minorEastAsia"/>
                      <w:color w:val="auto"/>
                      <w:szCs w:val="21"/>
                      <w:highlight w:val="none"/>
                      <w:lang w:val="en-US" w:eastAsia="zh-CN"/>
                    </w:rPr>
                    <w:t>49</w:t>
                  </w:r>
                </w:p>
                <w:p w14:paraId="0EF7B628">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rPr>
                  </w:pPr>
                  <w:r>
                    <w:rPr>
                      <w:rFonts w:ascii="Times New Roman" w:hAnsi="Times New Roman" w:eastAsiaTheme="minorEastAsia"/>
                      <w:color w:val="auto"/>
                      <w:szCs w:val="21"/>
                      <w:highlight w:val="none"/>
                    </w:rPr>
                    <w:t>（900-</w:t>
                  </w:r>
                  <w:r>
                    <w:rPr>
                      <w:rFonts w:hint="eastAsia" w:ascii="Times New Roman" w:hAnsi="Times New Roman" w:eastAsiaTheme="minorEastAsia"/>
                      <w:color w:val="auto"/>
                      <w:szCs w:val="21"/>
                      <w:highlight w:val="none"/>
                      <w:lang w:val="en-US" w:eastAsia="zh-CN"/>
                    </w:rPr>
                    <w:t>041</w:t>
                  </w:r>
                  <w:r>
                    <w:rPr>
                      <w:rFonts w:ascii="Times New Roman" w:hAnsi="Times New Roman" w:eastAsiaTheme="minorEastAsia"/>
                      <w:color w:val="auto"/>
                      <w:szCs w:val="21"/>
                      <w:highlight w:val="none"/>
                    </w:rPr>
                    <w:t>-</w:t>
                  </w:r>
                  <w:r>
                    <w:rPr>
                      <w:rFonts w:hint="eastAsia" w:ascii="Times New Roman" w:hAnsi="Times New Roman" w:eastAsiaTheme="minorEastAsia"/>
                      <w:color w:val="auto"/>
                      <w:szCs w:val="21"/>
                      <w:highlight w:val="none"/>
                      <w:lang w:val="en-US" w:eastAsia="zh-CN"/>
                    </w:rPr>
                    <w:t>49</w:t>
                  </w:r>
                  <w:r>
                    <w:rPr>
                      <w:rFonts w:ascii="Times New Roman" w:hAnsi="Times New Roman" w:eastAsiaTheme="minorEastAsia"/>
                      <w:color w:val="auto"/>
                      <w:szCs w:val="21"/>
                      <w:highlight w:val="none"/>
                    </w:rPr>
                    <w:t>）</w:t>
                  </w:r>
                </w:p>
              </w:tc>
              <w:tc>
                <w:tcPr>
                  <w:tcW w:w="526" w:type="pct"/>
                  <w:vAlign w:val="center"/>
                </w:tcPr>
                <w:p w14:paraId="4BFC7923">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rPr>
                    <w:t>铅蓄电池</w:t>
                  </w:r>
                  <w:r>
                    <w:rPr>
                      <w:rFonts w:hint="eastAsia" w:ascii="Times New Roman" w:hAnsi="Times New Roman" w:eastAsiaTheme="minorEastAsia"/>
                      <w:color w:val="auto"/>
                      <w:szCs w:val="21"/>
                      <w:highlight w:val="none"/>
                      <w:lang w:val="en-US" w:eastAsia="zh-CN"/>
                    </w:rPr>
                    <w:t>贮存</w:t>
                  </w:r>
                </w:p>
              </w:tc>
              <w:tc>
                <w:tcPr>
                  <w:tcW w:w="349" w:type="pct"/>
                  <w:vAlign w:val="center"/>
                </w:tcPr>
                <w:p w14:paraId="41AB1BBB">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0.1</w:t>
                  </w:r>
                </w:p>
              </w:tc>
              <w:tc>
                <w:tcPr>
                  <w:tcW w:w="349" w:type="pct"/>
                  <w:vAlign w:val="center"/>
                </w:tcPr>
                <w:p w14:paraId="0D526ABF">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固态</w:t>
                  </w:r>
                </w:p>
              </w:tc>
              <w:tc>
                <w:tcPr>
                  <w:tcW w:w="381" w:type="pct"/>
                  <w:vAlign w:val="center"/>
                </w:tcPr>
                <w:p w14:paraId="0F381D5B">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废电解液</w:t>
                  </w:r>
                </w:p>
              </w:tc>
              <w:tc>
                <w:tcPr>
                  <w:tcW w:w="444" w:type="pct"/>
                  <w:vAlign w:val="center"/>
                </w:tcPr>
                <w:p w14:paraId="51EDAC09">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rPr>
                  </w:pPr>
                  <w:r>
                    <w:rPr>
                      <w:rFonts w:hint="eastAsia" w:ascii="Times New Roman" w:hAnsi="Times New Roman" w:eastAsiaTheme="minorEastAsia"/>
                      <w:color w:val="auto"/>
                      <w:szCs w:val="21"/>
                      <w:highlight w:val="none"/>
                      <w:lang w:val="en-US" w:eastAsia="zh-CN"/>
                    </w:rPr>
                    <w:t>废电解液</w:t>
                  </w:r>
                </w:p>
              </w:tc>
              <w:tc>
                <w:tcPr>
                  <w:tcW w:w="465" w:type="pct"/>
                  <w:vAlign w:val="center"/>
                </w:tcPr>
                <w:p w14:paraId="7416EB5F">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180日</w:t>
                  </w:r>
                </w:p>
              </w:tc>
              <w:tc>
                <w:tcPr>
                  <w:tcW w:w="331" w:type="pct"/>
                  <w:vAlign w:val="center"/>
                </w:tcPr>
                <w:p w14:paraId="40ECA84E">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lang w:val="en-US" w:eastAsia="zh-CN"/>
                    </w:rPr>
                    <w:t>毒性</w:t>
                  </w:r>
                </w:p>
              </w:tc>
              <w:tc>
                <w:tcPr>
                  <w:tcW w:w="333" w:type="pct"/>
                  <w:vAlign w:val="center"/>
                </w:tcPr>
                <w:p w14:paraId="2AE1BFE2">
                  <w:pPr>
                    <w:topLinePunct/>
                    <w:adjustRightInd w:val="0"/>
                    <w:snapToGrid w:val="0"/>
                    <w:ind w:left="-105" w:leftChars="-50" w:right="-105" w:rightChars="-50"/>
                    <w:jc w:val="center"/>
                    <w:rPr>
                      <w:rFonts w:hint="eastAsia"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防漏胶袋盛放</w:t>
                  </w:r>
                </w:p>
              </w:tc>
              <w:tc>
                <w:tcPr>
                  <w:tcW w:w="441" w:type="pct"/>
                  <w:vMerge w:val="restart"/>
                  <w:vAlign w:val="center"/>
                </w:tcPr>
                <w:p w14:paraId="719676BF">
                  <w:pPr>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lang w:val="en-US" w:eastAsia="zh-CN"/>
                    </w:rPr>
                    <w:t>定期</w:t>
                  </w:r>
                  <w:r>
                    <w:rPr>
                      <w:rFonts w:ascii="Times New Roman" w:hAnsi="Times New Roman" w:eastAsiaTheme="minorEastAsia"/>
                      <w:color w:val="auto"/>
                      <w:szCs w:val="21"/>
                      <w:highlight w:val="none"/>
                    </w:rPr>
                    <w:t>交由有资质的单位处置</w:t>
                  </w:r>
                </w:p>
              </w:tc>
            </w:tr>
            <w:tr w14:paraId="191549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57" w:type="pct"/>
                  <w:vAlign w:val="center"/>
                </w:tcPr>
                <w:p w14:paraId="4BFCFD8C">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lang w:eastAsia="zh-CN"/>
                    </w:rPr>
                  </w:pPr>
                  <w:r>
                    <w:rPr>
                      <w:rFonts w:hint="eastAsia" w:ascii="Times New Roman" w:hAnsi="Times New Roman" w:eastAsiaTheme="minorEastAsia"/>
                      <w:color w:val="auto"/>
                      <w:szCs w:val="21"/>
                      <w:highlight w:val="none"/>
                      <w:lang w:val="en-US" w:eastAsia="zh-CN"/>
                    </w:rPr>
                    <w:t>5</w:t>
                  </w:r>
                </w:p>
              </w:tc>
              <w:tc>
                <w:tcPr>
                  <w:tcW w:w="544" w:type="pct"/>
                  <w:vAlign w:val="center"/>
                </w:tcPr>
                <w:p w14:paraId="370637FF">
                  <w:pPr>
                    <w:widowControl/>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废</w:t>
                  </w:r>
                  <w:r>
                    <w:rPr>
                      <w:rFonts w:hint="eastAsia" w:ascii="Times New Roman" w:hAnsi="Times New Roman" w:eastAsiaTheme="minorEastAsia"/>
                      <w:color w:val="auto"/>
                      <w:szCs w:val="21"/>
                      <w:highlight w:val="none"/>
                      <w:lang w:val="en-US" w:eastAsia="zh-CN"/>
                    </w:rPr>
                    <w:t>脱硫</w:t>
                  </w:r>
                  <w:r>
                    <w:rPr>
                      <w:rFonts w:hint="eastAsia" w:ascii="Times New Roman" w:hAnsi="Times New Roman" w:eastAsiaTheme="minorEastAsia"/>
                      <w:color w:val="auto"/>
                      <w:szCs w:val="21"/>
                      <w:highlight w:val="none"/>
                    </w:rPr>
                    <w:t>塔吸收液</w:t>
                  </w:r>
                </w:p>
              </w:tc>
              <w:tc>
                <w:tcPr>
                  <w:tcW w:w="573" w:type="pct"/>
                  <w:vAlign w:val="center"/>
                </w:tcPr>
                <w:p w14:paraId="64779503">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ascii="Times New Roman" w:hAnsi="Times New Roman" w:eastAsiaTheme="minorEastAsia"/>
                      <w:color w:val="auto"/>
                      <w:szCs w:val="21"/>
                      <w:highlight w:val="none"/>
                    </w:rPr>
                    <w:t>HW</w:t>
                  </w:r>
                  <w:r>
                    <w:rPr>
                      <w:rFonts w:hint="eastAsia" w:ascii="Times New Roman" w:hAnsi="Times New Roman" w:eastAsiaTheme="minorEastAsia"/>
                      <w:color w:val="auto"/>
                      <w:szCs w:val="21"/>
                      <w:highlight w:val="none"/>
                      <w:lang w:val="en-US" w:eastAsia="zh-CN"/>
                    </w:rPr>
                    <w:t>35</w:t>
                  </w:r>
                </w:p>
                <w:p w14:paraId="2E28BE92">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lang w:val="en-US" w:eastAsia="zh-CN"/>
                    </w:rPr>
                  </w:pPr>
                  <w:r>
                    <w:rPr>
                      <w:rFonts w:ascii="Times New Roman" w:hAnsi="Times New Roman" w:eastAsiaTheme="minorEastAsia"/>
                      <w:color w:val="auto"/>
                      <w:szCs w:val="21"/>
                      <w:highlight w:val="none"/>
                    </w:rPr>
                    <w:t>（900-</w:t>
                  </w:r>
                  <w:r>
                    <w:rPr>
                      <w:rFonts w:hint="eastAsia" w:ascii="Times New Roman" w:hAnsi="Times New Roman" w:eastAsiaTheme="minorEastAsia"/>
                      <w:color w:val="auto"/>
                      <w:szCs w:val="21"/>
                      <w:highlight w:val="none"/>
                      <w:lang w:val="en-US" w:eastAsia="zh-CN"/>
                    </w:rPr>
                    <w:t>399</w:t>
                  </w:r>
                  <w:r>
                    <w:rPr>
                      <w:rFonts w:ascii="Times New Roman" w:hAnsi="Times New Roman" w:eastAsiaTheme="minorEastAsia"/>
                      <w:color w:val="auto"/>
                      <w:szCs w:val="21"/>
                      <w:highlight w:val="none"/>
                    </w:rPr>
                    <w:t>-</w:t>
                  </w:r>
                  <w:r>
                    <w:rPr>
                      <w:rFonts w:hint="eastAsia" w:ascii="Times New Roman" w:hAnsi="Times New Roman" w:eastAsiaTheme="minorEastAsia"/>
                      <w:color w:val="auto"/>
                      <w:szCs w:val="21"/>
                      <w:highlight w:val="none"/>
                      <w:lang w:val="en-US" w:eastAsia="zh-CN"/>
                    </w:rPr>
                    <w:t>35</w:t>
                  </w:r>
                  <w:r>
                    <w:rPr>
                      <w:rFonts w:ascii="Times New Roman" w:hAnsi="Times New Roman" w:eastAsiaTheme="minorEastAsia"/>
                      <w:color w:val="auto"/>
                      <w:szCs w:val="21"/>
                      <w:highlight w:val="none"/>
                    </w:rPr>
                    <w:t>）</w:t>
                  </w:r>
                </w:p>
              </w:tc>
              <w:tc>
                <w:tcPr>
                  <w:tcW w:w="526" w:type="pct"/>
                  <w:vAlign w:val="center"/>
                </w:tcPr>
                <w:p w14:paraId="7C5AF44B">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lang w:val="en-US" w:eastAsia="zh-CN"/>
                    </w:rPr>
                    <w:t>脱硫</w:t>
                  </w:r>
                  <w:r>
                    <w:rPr>
                      <w:rFonts w:hint="eastAsia" w:ascii="Times New Roman" w:hAnsi="Times New Roman" w:eastAsiaTheme="minorEastAsia"/>
                      <w:color w:val="auto"/>
                      <w:szCs w:val="21"/>
                      <w:highlight w:val="none"/>
                    </w:rPr>
                    <w:t>塔</w:t>
                  </w:r>
                </w:p>
              </w:tc>
              <w:tc>
                <w:tcPr>
                  <w:tcW w:w="349" w:type="pct"/>
                  <w:vAlign w:val="center"/>
                </w:tcPr>
                <w:p w14:paraId="66DBD494">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3.528</w:t>
                  </w:r>
                </w:p>
              </w:tc>
              <w:tc>
                <w:tcPr>
                  <w:tcW w:w="349" w:type="pct"/>
                  <w:vAlign w:val="center"/>
                </w:tcPr>
                <w:p w14:paraId="7082F95B">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lang w:val="en-US" w:eastAsia="zh-CN"/>
                    </w:rPr>
                    <w:t>液态</w:t>
                  </w:r>
                </w:p>
              </w:tc>
              <w:tc>
                <w:tcPr>
                  <w:tcW w:w="381" w:type="pct"/>
                  <w:vAlign w:val="center"/>
                </w:tcPr>
                <w:p w14:paraId="23C67C79">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碱液</w:t>
                  </w:r>
                </w:p>
              </w:tc>
              <w:tc>
                <w:tcPr>
                  <w:tcW w:w="444" w:type="pct"/>
                  <w:vAlign w:val="center"/>
                </w:tcPr>
                <w:p w14:paraId="18686F43">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碱液</w:t>
                  </w:r>
                </w:p>
              </w:tc>
              <w:tc>
                <w:tcPr>
                  <w:tcW w:w="465" w:type="pct"/>
                  <w:vAlign w:val="center"/>
                </w:tcPr>
                <w:p w14:paraId="4F757BDF">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30日</w:t>
                  </w:r>
                </w:p>
              </w:tc>
              <w:tc>
                <w:tcPr>
                  <w:tcW w:w="331" w:type="pct"/>
                  <w:vAlign w:val="center"/>
                </w:tcPr>
                <w:p w14:paraId="32C2FC83">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lang w:val="en-US" w:eastAsia="zh-CN"/>
                    </w:rPr>
                    <w:t>毒性、腐蚀性</w:t>
                  </w:r>
                </w:p>
              </w:tc>
              <w:tc>
                <w:tcPr>
                  <w:tcW w:w="333" w:type="pct"/>
                  <w:vAlign w:val="center"/>
                </w:tcPr>
                <w:p w14:paraId="759A3898">
                  <w:pPr>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密闭桶装收集</w:t>
                  </w:r>
                </w:p>
              </w:tc>
              <w:tc>
                <w:tcPr>
                  <w:tcW w:w="441" w:type="pct"/>
                  <w:vMerge w:val="continue"/>
                  <w:vAlign w:val="center"/>
                </w:tcPr>
                <w:p w14:paraId="38DD07A3">
                  <w:pPr>
                    <w:jc w:val="center"/>
                    <w:rPr>
                      <w:rFonts w:ascii="Times New Roman" w:hAnsi="Times New Roman" w:eastAsiaTheme="minorEastAsia"/>
                      <w:color w:val="auto"/>
                      <w:szCs w:val="21"/>
                      <w:highlight w:val="none"/>
                    </w:rPr>
                  </w:pPr>
                </w:p>
              </w:tc>
            </w:tr>
          </w:tbl>
          <w:p w14:paraId="393D1801">
            <w:pPr>
              <w:spacing w:line="480" w:lineRule="exact"/>
              <w:ind w:firstLine="480" w:firstLineChars="200"/>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②</w:t>
            </w:r>
            <w:r>
              <w:rPr>
                <w:rFonts w:ascii="Times New Roman" w:hAnsi="Times New Roman"/>
                <w:color w:val="auto"/>
                <w:sz w:val="24"/>
                <w:szCs w:val="24"/>
                <w:highlight w:val="none"/>
              </w:rPr>
              <w:t>危险废物</w:t>
            </w:r>
            <w:r>
              <w:rPr>
                <w:rFonts w:hint="eastAsia" w:ascii="Times New Roman" w:hAnsi="Times New Roman"/>
                <w:color w:val="auto"/>
                <w:sz w:val="24"/>
                <w:szCs w:val="24"/>
                <w:highlight w:val="none"/>
                <w:lang w:val="en-US" w:eastAsia="zh-CN"/>
              </w:rPr>
              <w:t>的存储情况</w:t>
            </w:r>
          </w:p>
          <w:p w14:paraId="6D9720D5">
            <w:pPr>
              <w:snapToGrid w:val="0"/>
              <w:spacing w:line="48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本项目危险固废设立单独的危险废物暂存区内，使用专门容器分区、分类存储，贮存时间不得超过1年。本项目危险废物暂存区按照《危险废物贮存污染控制标准》(GB18597-2023)对危险废物分别储存；危险废物库房地面及墙面裙角要做防渗处理；危险废物盛装容器粘贴符合标准的标签，标明物质种类、贮存时间等；必须保证装载危险废物的容器完好无损，装在危险废物的容器及材质要满足相应的强度要求；危险废物与盛装容器要具备不相容性；装载半固体危险废物的容器内必须留足够的空间，容器顶部与液体表面之间保留100mm以上的空间。</w:t>
            </w:r>
          </w:p>
          <w:p w14:paraId="7174890D">
            <w:pPr>
              <w:snapToGrid w:val="0"/>
              <w:spacing w:line="48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本项目危险废物贮存场所基本情况详见下表。</w:t>
            </w:r>
          </w:p>
          <w:p w14:paraId="0F935ECA">
            <w:pPr>
              <w:snapToGrid w:val="0"/>
              <w:spacing w:line="480" w:lineRule="exact"/>
              <w:jc w:val="center"/>
              <w:rPr>
                <w:rFonts w:ascii="Times New Roman" w:hAnsi="Times New Roman"/>
                <w:color w:val="auto"/>
                <w:sz w:val="24"/>
                <w:szCs w:val="24"/>
                <w:highlight w:val="none"/>
              </w:rPr>
            </w:pPr>
            <w:r>
              <w:rPr>
                <w:rFonts w:hint="default" w:ascii="Times New Roman" w:hAnsi="Times New Roman" w:cs="Times New Roman"/>
                <w:color w:val="auto"/>
                <w:sz w:val="24"/>
                <w:szCs w:val="24"/>
                <w:highlight w:val="none"/>
              </w:rPr>
              <w:t>表4-1</w:t>
            </w:r>
            <w:r>
              <w:rPr>
                <w:rFonts w:hint="default"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 xml:space="preserve">   本项目危险废物贮存场所基本情况一览表</w:t>
            </w:r>
          </w:p>
          <w:tbl>
            <w:tblPr>
              <w:tblStyle w:val="31"/>
              <w:tblW w:w="8275"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51"/>
              <w:gridCol w:w="893"/>
              <w:gridCol w:w="1068"/>
              <w:gridCol w:w="1458"/>
              <w:gridCol w:w="618"/>
              <w:gridCol w:w="768"/>
              <w:gridCol w:w="750"/>
              <w:gridCol w:w="822"/>
              <w:gridCol w:w="824"/>
              <w:gridCol w:w="623"/>
            </w:tblGrid>
            <w:tr w14:paraId="47E0FE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35" w:hRule="atLeast"/>
                <w:jc w:val="center"/>
              </w:trPr>
              <w:tc>
                <w:tcPr>
                  <w:tcW w:w="272" w:type="pct"/>
                  <w:shd w:val="clear" w:color="auto" w:fill="auto"/>
                  <w:vAlign w:val="center"/>
                </w:tcPr>
                <w:p w14:paraId="609414B6">
                  <w:pPr>
                    <w:pStyle w:val="14"/>
                    <w:spacing w:line="0" w:lineRule="atLeast"/>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序号</w:t>
                  </w:r>
                </w:p>
              </w:tc>
              <w:tc>
                <w:tcPr>
                  <w:tcW w:w="539" w:type="pct"/>
                  <w:shd w:val="clear" w:color="auto" w:fill="auto"/>
                  <w:vAlign w:val="center"/>
                </w:tcPr>
                <w:p w14:paraId="5B09BA3C">
                  <w:pPr>
                    <w:pStyle w:val="14"/>
                    <w:spacing w:line="0" w:lineRule="atLeast"/>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贮存场所名称</w:t>
                  </w:r>
                </w:p>
              </w:tc>
              <w:tc>
                <w:tcPr>
                  <w:tcW w:w="645" w:type="pct"/>
                  <w:shd w:val="clear" w:color="auto" w:fill="auto"/>
                  <w:vAlign w:val="center"/>
                </w:tcPr>
                <w:p w14:paraId="5A38E6B1">
                  <w:pPr>
                    <w:pStyle w:val="14"/>
                    <w:spacing w:line="0" w:lineRule="atLeast"/>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危险废物名称</w:t>
                  </w:r>
                </w:p>
              </w:tc>
              <w:tc>
                <w:tcPr>
                  <w:tcW w:w="880" w:type="pct"/>
                  <w:shd w:val="clear" w:color="auto" w:fill="auto"/>
                  <w:vAlign w:val="center"/>
                </w:tcPr>
                <w:p w14:paraId="53C35995">
                  <w:pPr>
                    <w:wordWrap w:val="0"/>
                    <w:topLinePunct/>
                    <w:adjustRightInd w:val="0"/>
                    <w:snapToGrid w:val="0"/>
                    <w:ind w:left="-105" w:leftChars="-50" w:right="-105" w:rightChars="-50"/>
                    <w:jc w:val="center"/>
                    <w:rPr>
                      <w:rFonts w:ascii="Times New Roman" w:hAnsi="Times New Roman" w:cs="Times New Roman" w:eastAsiaTheme="minorEastAsia"/>
                      <w:color w:val="auto"/>
                      <w:highlight w:val="none"/>
                    </w:rPr>
                  </w:pPr>
                  <w:r>
                    <w:rPr>
                      <w:rFonts w:hint="eastAsia" w:ascii="Times New Roman" w:hAnsi="Times New Roman" w:eastAsiaTheme="minorEastAsia"/>
                      <w:color w:val="auto"/>
                      <w:szCs w:val="21"/>
                      <w:highlight w:val="none"/>
                      <w:lang w:val="en-US" w:eastAsia="zh-CN"/>
                    </w:rPr>
                    <w:t>类别及代码</w:t>
                  </w:r>
                </w:p>
              </w:tc>
              <w:tc>
                <w:tcPr>
                  <w:tcW w:w="373" w:type="pct"/>
                  <w:shd w:val="clear" w:color="auto" w:fill="auto"/>
                  <w:vAlign w:val="center"/>
                </w:tcPr>
                <w:p w14:paraId="1BBB32E5">
                  <w:pPr>
                    <w:pStyle w:val="14"/>
                    <w:spacing w:line="0" w:lineRule="atLeast"/>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位置</w:t>
                  </w:r>
                </w:p>
              </w:tc>
              <w:tc>
                <w:tcPr>
                  <w:tcW w:w="464" w:type="pct"/>
                  <w:shd w:val="clear" w:color="auto" w:fill="auto"/>
                  <w:vAlign w:val="center"/>
                </w:tcPr>
                <w:p w14:paraId="5F77FBAD">
                  <w:pPr>
                    <w:pStyle w:val="14"/>
                    <w:spacing w:line="0" w:lineRule="atLeast"/>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占地面积(m</w:t>
                  </w:r>
                  <w:r>
                    <w:rPr>
                      <w:rFonts w:ascii="Times New Roman" w:hAnsi="Times New Roman" w:cs="Times New Roman" w:eastAsiaTheme="minorEastAsia"/>
                      <w:color w:val="auto"/>
                      <w:highlight w:val="none"/>
                      <w:vertAlign w:val="superscript"/>
                    </w:rPr>
                    <w:t>2</w:t>
                  </w:r>
                  <w:r>
                    <w:rPr>
                      <w:rFonts w:ascii="Times New Roman" w:hAnsi="Times New Roman" w:cs="Times New Roman" w:eastAsiaTheme="minorEastAsia"/>
                      <w:color w:val="auto"/>
                      <w:highlight w:val="none"/>
                    </w:rPr>
                    <w:t>)</w:t>
                  </w:r>
                </w:p>
              </w:tc>
              <w:tc>
                <w:tcPr>
                  <w:tcW w:w="453" w:type="pct"/>
                  <w:shd w:val="clear" w:color="auto" w:fill="auto"/>
                  <w:vAlign w:val="center"/>
                </w:tcPr>
                <w:p w14:paraId="2B28F6B1">
                  <w:pPr>
                    <w:pStyle w:val="14"/>
                    <w:spacing w:line="0" w:lineRule="atLeast"/>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贮存方式</w:t>
                  </w:r>
                </w:p>
              </w:tc>
              <w:tc>
                <w:tcPr>
                  <w:tcW w:w="496" w:type="pct"/>
                  <w:shd w:val="clear" w:color="auto" w:fill="auto"/>
                  <w:vAlign w:val="center"/>
                </w:tcPr>
                <w:p w14:paraId="2E2E44EF">
                  <w:pPr>
                    <w:pStyle w:val="14"/>
                    <w:spacing w:line="0" w:lineRule="atLeast"/>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最大储存量</w:t>
                  </w:r>
                </w:p>
              </w:tc>
              <w:tc>
                <w:tcPr>
                  <w:tcW w:w="497" w:type="pct"/>
                  <w:shd w:val="clear" w:color="auto" w:fill="auto"/>
                  <w:vAlign w:val="center"/>
                </w:tcPr>
                <w:p w14:paraId="270818D5">
                  <w:pPr>
                    <w:pStyle w:val="14"/>
                    <w:spacing w:line="0" w:lineRule="atLeast"/>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储存能力</w:t>
                  </w:r>
                </w:p>
              </w:tc>
              <w:tc>
                <w:tcPr>
                  <w:tcW w:w="376" w:type="pct"/>
                  <w:shd w:val="clear" w:color="auto" w:fill="auto"/>
                  <w:vAlign w:val="center"/>
                </w:tcPr>
                <w:p w14:paraId="16B7DAD3">
                  <w:pPr>
                    <w:pStyle w:val="14"/>
                    <w:spacing w:line="0" w:lineRule="atLeast"/>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储存周期</w:t>
                  </w:r>
                </w:p>
              </w:tc>
            </w:tr>
            <w:tr w14:paraId="402569B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41" w:hRule="atLeast"/>
                <w:jc w:val="center"/>
              </w:trPr>
              <w:tc>
                <w:tcPr>
                  <w:tcW w:w="272" w:type="pct"/>
                  <w:shd w:val="clear" w:color="auto" w:fill="auto"/>
                  <w:vAlign w:val="center"/>
                </w:tcPr>
                <w:p w14:paraId="1F596579">
                  <w:pPr>
                    <w:pStyle w:val="14"/>
                    <w:spacing w:line="0" w:lineRule="atLeast"/>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1</w:t>
                  </w:r>
                </w:p>
              </w:tc>
              <w:tc>
                <w:tcPr>
                  <w:tcW w:w="539" w:type="pct"/>
                  <w:vMerge w:val="restart"/>
                  <w:shd w:val="clear" w:color="auto" w:fill="auto"/>
                  <w:vAlign w:val="center"/>
                </w:tcPr>
                <w:p w14:paraId="313A6E76">
                  <w:pPr>
                    <w:pStyle w:val="14"/>
                    <w:spacing w:line="0" w:lineRule="atLeast"/>
                    <w:jc w:val="center"/>
                    <w:rPr>
                      <w:rFonts w:hint="eastAsia" w:ascii="Times New Roman" w:hAnsi="Times New Roman" w:cs="Times New Roman" w:eastAsiaTheme="minorEastAsia"/>
                      <w:color w:val="auto"/>
                      <w:highlight w:val="none"/>
                      <w:lang w:eastAsia="zh-CN"/>
                    </w:rPr>
                  </w:pPr>
                  <w:r>
                    <w:rPr>
                      <w:rFonts w:ascii="Times New Roman" w:hAnsi="Times New Roman" w:cs="Times New Roman" w:eastAsiaTheme="minorEastAsia"/>
                      <w:color w:val="auto"/>
                      <w:highlight w:val="none"/>
                    </w:rPr>
                    <w:t>危废暂存</w:t>
                  </w:r>
                  <w:r>
                    <w:rPr>
                      <w:rFonts w:hint="eastAsia" w:ascii="Times New Roman" w:hAnsi="Times New Roman" w:cs="Times New Roman" w:eastAsiaTheme="minorEastAsia"/>
                      <w:color w:val="auto"/>
                      <w:highlight w:val="none"/>
                      <w:lang w:val="en-US" w:eastAsia="zh-CN"/>
                    </w:rPr>
                    <w:t>区</w:t>
                  </w:r>
                </w:p>
              </w:tc>
              <w:tc>
                <w:tcPr>
                  <w:tcW w:w="645" w:type="pct"/>
                  <w:shd w:val="clear" w:color="auto" w:fill="auto"/>
                  <w:vAlign w:val="center"/>
                </w:tcPr>
                <w:p w14:paraId="3AFA4E9C">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废电解液</w:t>
                  </w:r>
                </w:p>
              </w:tc>
              <w:tc>
                <w:tcPr>
                  <w:tcW w:w="880" w:type="pct"/>
                  <w:shd w:val="clear" w:color="auto" w:fill="auto"/>
                  <w:vAlign w:val="center"/>
                </w:tcPr>
                <w:p w14:paraId="259EFD3F">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ascii="Times New Roman" w:hAnsi="Times New Roman" w:eastAsiaTheme="minorEastAsia"/>
                      <w:color w:val="auto"/>
                      <w:szCs w:val="21"/>
                      <w:highlight w:val="none"/>
                    </w:rPr>
                    <w:t>HW</w:t>
                  </w:r>
                  <w:r>
                    <w:rPr>
                      <w:rFonts w:hint="eastAsia" w:ascii="Times New Roman" w:hAnsi="Times New Roman" w:eastAsiaTheme="minorEastAsia"/>
                      <w:color w:val="auto"/>
                      <w:szCs w:val="21"/>
                      <w:highlight w:val="none"/>
                      <w:lang w:val="en-US" w:eastAsia="zh-CN"/>
                    </w:rPr>
                    <w:t>31</w:t>
                  </w:r>
                </w:p>
                <w:p w14:paraId="6A88B205">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（900-0</w:t>
                  </w:r>
                  <w:r>
                    <w:rPr>
                      <w:rFonts w:hint="eastAsia" w:ascii="Times New Roman" w:hAnsi="Times New Roman" w:eastAsiaTheme="minorEastAsia"/>
                      <w:color w:val="auto"/>
                      <w:szCs w:val="21"/>
                      <w:highlight w:val="none"/>
                      <w:lang w:val="en-US" w:eastAsia="zh-CN"/>
                    </w:rPr>
                    <w:t>52</w:t>
                  </w:r>
                  <w:r>
                    <w:rPr>
                      <w:rFonts w:ascii="Times New Roman" w:hAnsi="Times New Roman" w:eastAsiaTheme="minorEastAsia"/>
                      <w:color w:val="auto"/>
                      <w:szCs w:val="21"/>
                      <w:highlight w:val="none"/>
                    </w:rPr>
                    <w:t>-</w:t>
                  </w:r>
                  <w:r>
                    <w:rPr>
                      <w:rFonts w:hint="eastAsia" w:ascii="Times New Roman" w:hAnsi="Times New Roman" w:eastAsiaTheme="minorEastAsia"/>
                      <w:color w:val="auto"/>
                      <w:szCs w:val="21"/>
                      <w:highlight w:val="none"/>
                      <w:lang w:val="en-US" w:eastAsia="zh-CN"/>
                    </w:rPr>
                    <w:t>31</w:t>
                  </w:r>
                  <w:r>
                    <w:rPr>
                      <w:rFonts w:ascii="Times New Roman" w:hAnsi="Times New Roman" w:eastAsiaTheme="minorEastAsia"/>
                      <w:color w:val="auto"/>
                      <w:szCs w:val="21"/>
                      <w:highlight w:val="none"/>
                    </w:rPr>
                    <w:t>）</w:t>
                  </w:r>
                </w:p>
              </w:tc>
              <w:tc>
                <w:tcPr>
                  <w:tcW w:w="373" w:type="pct"/>
                  <w:vMerge w:val="restart"/>
                  <w:shd w:val="clear" w:color="auto" w:fill="auto"/>
                  <w:vAlign w:val="center"/>
                </w:tcPr>
                <w:p w14:paraId="3AF3167C">
                  <w:pPr>
                    <w:spacing w:line="0" w:lineRule="atLeast"/>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lang w:val="en-US" w:eastAsia="zh-CN"/>
                    </w:rPr>
                    <w:t>项目东北部</w:t>
                  </w:r>
                </w:p>
              </w:tc>
              <w:tc>
                <w:tcPr>
                  <w:tcW w:w="464" w:type="pct"/>
                  <w:vMerge w:val="restart"/>
                  <w:shd w:val="clear" w:color="auto" w:fill="auto"/>
                  <w:vAlign w:val="center"/>
                </w:tcPr>
                <w:p w14:paraId="28726004">
                  <w:pPr>
                    <w:spacing w:line="0" w:lineRule="atLeast"/>
                    <w:jc w:val="center"/>
                    <w:rPr>
                      <w:rFonts w:hint="eastAsia" w:ascii="Times New Roman" w:hAnsi="Times New Roman" w:eastAsiaTheme="minorEastAsia"/>
                      <w:color w:val="auto"/>
                      <w:szCs w:val="21"/>
                      <w:highlight w:val="none"/>
                      <w:lang w:eastAsia="zh-CN"/>
                    </w:rPr>
                  </w:pPr>
                  <w:r>
                    <w:rPr>
                      <w:rFonts w:ascii="Times New Roman" w:hAnsi="Times New Roman" w:eastAsiaTheme="minorEastAsia"/>
                      <w:color w:val="auto"/>
                      <w:szCs w:val="21"/>
                      <w:highlight w:val="none"/>
                    </w:rPr>
                    <w:t>1</w:t>
                  </w:r>
                  <w:r>
                    <w:rPr>
                      <w:rFonts w:hint="eastAsia" w:ascii="Times New Roman" w:hAnsi="Times New Roman" w:eastAsiaTheme="minorEastAsia"/>
                      <w:color w:val="auto"/>
                      <w:szCs w:val="21"/>
                      <w:highlight w:val="none"/>
                      <w:lang w:val="en-US" w:eastAsia="zh-CN"/>
                    </w:rPr>
                    <w:t>0</w:t>
                  </w:r>
                </w:p>
              </w:tc>
              <w:tc>
                <w:tcPr>
                  <w:tcW w:w="453" w:type="pct"/>
                  <w:shd w:val="clear" w:color="auto" w:fill="auto"/>
                  <w:vAlign w:val="center"/>
                </w:tcPr>
                <w:p w14:paraId="05A44232">
                  <w:pPr>
                    <w:spacing w:line="0" w:lineRule="atLeast"/>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密闭圆钢桶</w:t>
                  </w:r>
                </w:p>
              </w:tc>
              <w:tc>
                <w:tcPr>
                  <w:tcW w:w="496" w:type="pct"/>
                  <w:shd w:val="clear" w:color="auto" w:fill="auto"/>
                  <w:vAlign w:val="center"/>
                </w:tcPr>
                <w:p w14:paraId="03F7A470">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rPr>
                  </w:pPr>
                  <w:r>
                    <w:rPr>
                      <w:rFonts w:hint="eastAsia" w:ascii="Times New Roman" w:hAnsi="Times New Roman" w:eastAsiaTheme="minorEastAsia"/>
                      <w:color w:val="auto"/>
                      <w:szCs w:val="21"/>
                      <w:highlight w:val="none"/>
                      <w:lang w:val="en-US" w:eastAsia="zh-CN"/>
                    </w:rPr>
                    <w:t>0.075</w:t>
                  </w:r>
                </w:p>
              </w:tc>
              <w:tc>
                <w:tcPr>
                  <w:tcW w:w="497" w:type="pct"/>
                  <w:shd w:val="clear" w:color="auto" w:fill="auto"/>
                  <w:vAlign w:val="center"/>
                </w:tcPr>
                <w:p w14:paraId="61DE5B46">
                  <w:pPr>
                    <w:spacing w:line="0" w:lineRule="atLeast"/>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0.1</w:t>
                  </w:r>
                </w:p>
              </w:tc>
              <w:tc>
                <w:tcPr>
                  <w:tcW w:w="376" w:type="pct"/>
                  <w:shd w:val="clear" w:color="auto" w:fill="auto"/>
                  <w:vAlign w:val="center"/>
                </w:tcPr>
                <w:p w14:paraId="35B0A48D">
                  <w:pPr>
                    <w:spacing w:line="0" w:lineRule="atLeast"/>
                    <w:jc w:val="center"/>
                    <w:rPr>
                      <w:rFonts w:hint="eastAsia"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半年</w:t>
                  </w:r>
                </w:p>
              </w:tc>
            </w:tr>
            <w:tr w14:paraId="5E9D87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41" w:hRule="atLeast"/>
                <w:jc w:val="center"/>
              </w:trPr>
              <w:tc>
                <w:tcPr>
                  <w:tcW w:w="272" w:type="pct"/>
                  <w:shd w:val="clear" w:color="auto" w:fill="auto"/>
                  <w:vAlign w:val="center"/>
                </w:tcPr>
                <w:p w14:paraId="54E96783">
                  <w:pPr>
                    <w:pStyle w:val="14"/>
                    <w:spacing w:line="0" w:lineRule="atLeast"/>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2</w:t>
                  </w:r>
                </w:p>
              </w:tc>
              <w:tc>
                <w:tcPr>
                  <w:tcW w:w="539" w:type="pct"/>
                  <w:vMerge w:val="continue"/>
                  <w:shd w:val="clear" w:color="auto" w:fill="auto"/>
                  <w:vAlign w:val="center"/>
                </w:tcPr>
                <w:p w14:paraId="26D57FB3">
                  <w:pPr>
                    <w:pStyle w:val="14"/>
                    <w:spacing w:line="0" w:lineRule="atLeast"/>
                    <w:jc w:val="center"/>
                    <w:rPr>
                      <w:rFonts w:ascii="Times New Roman" w:hAnsi="Times New Roman" w:cs="Times New Roman" w:eastAsiaTheme="minorEastAsia"/>
                      <w:color w:val="auto"/>
                      <w:highlight w:val="none"/>
                    </w:rPr>
                  </w:pPr>
                </w:p>
              </w:tc>
              <w:tc>
                <w:tcPr>
                  <w:tcW w:w="645" w:type="pct"/>
                  <w:shd w:val="clear" w:color="auto" w:fill="auto"/>
                  <w:vAlign w:val="center"/>
                </w:tcPr>
                <w:p w14:paraId="579589AC">
                  <w:pPr>
                    <w:widowControl/>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废劳保品</w:t>
                  </w:r>
                </w:p>
              </w:tc>
              <w:tc>
                <w:tcPr>
                  <w:tcW w:w="880" w:type="pct"/>
                  <w:shd w:val="clear" w:color="auto" w:fill="auto"/>
                  <w:vAlign w:val="center"/>
                </w:tcPr>
                <w:p w14:paraId="7758E6A1">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ascii="Times New Roman" w:hAnsi="Times New Roman" w:eastAsiaTheme="minorEastAsia"/>
                      <w:color w:val="auto"/>
                      <w:szCs w:val="21"/>
                      <w:highlight w:val="none"/>
                    </w:rPr>
                    <w:t>HW</w:t>
                  </w:r>
                  <w:r>
                    <w:rPr>
                      <w:rFonts w:hint="eastAsia" w:ascii="Times New Roman" w:hAnsi="Times New Roman" w:eastAsiaTheme="minorEastAsia"/>
                      <w:color w:val="auto"/>
                      <w:szCs w:val="21"/>
                      <w:highlight w:val="none"/>
                      <w:lang w:val="en-US" w:eastAsia="zh-CN"/>
                    </w:rPr>
                    <w:t>49</w:t>
                  </w:r>
                </w:p>
                <w:p w14:paraId="520D5E85">
                  <w:pPr>
                    <w:wordWrap w:val="0"/>
                    <w:topLinePunct/>
                    <w:adjustRightInd w:val="0"/>
                    <w:snapToGrid w:val="0"/>
                    <w:ind w:left="-105" w:leftChars="-50" w:right="-105" w:rightChars="-50"/>
                    <w:jc w:val="center"/>
                    <w:rPr>
                      <w:rFonts w:ascii="Times New Roman" w:hAnsi="Times New Roman"/>
                      <w:color w:val="auto"/>
                      <w:szCs w:val="21"/>
                      <w:highlight w:val="none"/>
                    </w:rPr>
                  </w:pPr>
                  <w:r>
                    <w:rPr>
                      <w:rFonts w:ascii="Times New Roman" w:hAnsi="Times New Roman" w:eastAsiaTheme="minorEastAsia"/>
                      <w:color w:val="auto"/>
                      <w:szCs w:val="21"/>
                      <w:highlight w:val="none"/>
                    </w:rPr>
                    <w:t>（900-</w:t>
                  </w:r>
                  <w:r>
                    <w:rPr>
                      <w:rFonts w:hint="eastAsia" w:ascii="Times New Roman" w:hAnsi="Times New Roman" w:eastAsiaTheme="minorEastAsia"/>
                      <w:color w:val="auto"/>
                      <w:szCs w:val="21"/>
                      <w:highlight w:val="none"/>
                      <w:lang w:val="en-US" w:eastAsia="zh-CN"/>
                    </w:rPr>
                    <w:t>042</w:t>
                  </w:r>
                  <w:r>
                    <w:rPr>
                      <w:rFonts w:ascii="Times New Roman" w:hAnsi="Times New Roman" w:eastAsiaTheme="minorEastAsia"/>
                      <w:color w:val="auto"/>
                      <w:szCs w:val="21"/>
                      <w:highlight w:val="none"/>
                    </w:rPr>
                    <w:t>-</w:t>
                  </w:r>
                  <w:r>
                    <w:rPr>
                      <w:rFonts w:hint="eastAsia" w:ascii="Times New Roman" w:hAnsi="Times New Roman" w:eastAsiaTheme="minorEastAsia"/>
                      <w:color w:val="auto"/>
                      <w:szCs w:val="21"/>
                      <w:highlight w:val="none"/>
                      <w:lang w:val="en-US" w:eastAsia="zh-CN"/>
                    </w:rPr>
                    <w:t>49</w:t>
                  </w:r>
                  <w:r>
                    <w:rPr>
                      <w:rFonts w:ascii="Times New Roman" w:hAnsi="Times New Roman" w:eastAsiaTheme="minorEastAsia"/>
                      <w:color w:val="auto"/>
                      <w:szCs w:val="21"/>
                      <w:highlight w:val="none"/>
                    </w:rPr>
                    <w:t>）</w:t>
                  </w:r>
                </w:p>
              </w:tc>
              <w:tc>
                <w:tcPr>
                  <w:tcW w:w="373" w:type="pct"/>
                  <w:vMerge w:val="continue"/>
                  <w:shd w:val="clear" w:color="auto" w:fill="auto"/>
                  <w:vAlign w:val="center"/>
                </w:tcPr>
                <w:p w14:paraId="3EB8BCFF">
                  <w:pPr>
                    <w:spacing w:line="0" w:lineRule="atLeast"/>
                    <w:jc w:val="center"/>
                    <w:rPr>
                      <w:rFonts w:ascii="Times New Roman" w:hAnsi="Times New Roman" w:eastAsiaTheme="minorEastAsia"/>
                      <w:color w:val="auto"/>
                      <w:szCs w:val="21"/>
                      <w:highlight w:val="none"/>
                    </w:rPr>
                  </w:pPr>
                </w:p>
              </w:tc>
              <w:tc>
                <w:tcPr>
                  <w:tcW w:w="464" w:type="pct"/>
                  <w:vMerge w:val="continue"/>
                  <w:shd w:val="clear" w:color="auto" w:fill="auto"/>
                  <w:vAlign w:val="center"/>
                </w:tcPr>
                <w:p w14:paraId="5F7C8BBB">
                  <w:pPr>
                    <w:spacing w:line="0" w:lineRule="atLeast"/>
                    <w:jc w:val="center"/>
                    <w:rPr>
                      <w:rFonts w:ascii="Times New Roman" w:hAnsi="Times New Roman" w:eastAsiaTheme="minorEastAsia"/>
                      <w:color w:val="auto"/>
                      <w:szCs w:val="21"/>
                      <w:highlight w:val="none"/>
                    </w:rPr>
                  </w:pPr>
                </w:p>
              </w:tc>
              <w:tc>
                <w:tcPr>
                  <w:tcW w:w="453" w:type="pct"/>
                  <w:shd w:val="clear" w:color="auto" w:fill="auto"/>
                  <w:vAlign w:val="center"/>
                </w:tcPr>
                <w:p w14:paraId="4235165D">
                  <w:pPr>
                    <w:spacing w:line="0" w:lineRule="atLeast"/>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防漏胶袋盛放</w:t>
                  </w:r>
                </w:p>
              </w:tc>
              <w:tc>
                <w:tcPr>
                  <w:tcW w:w="496" w:type="pct"/>
                  <w:shd w:val="clear" w:color="auto" w:fill="auto"/>
                  <w:vAlign w:val="center"/>
                </w:tcPr>
                <w:p w14:paraId="3812275E">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rPr>
                  </w:pPr>
                  <w:r>
                    <w:rPr>
                      <w:rFonts w:ascii="Times New Roman" w:hAnsi="Times New Roman" w:eastAsiaTheme="minorEastAsia"/>
                      <w:color w:val="auto"/>
                      <w:szCs w:val="21"/>
                      <w:highlight w:val="none"/>
                    </w:rPr>
                    <w:t>0.</w:t>
                  </w:r>
                  <w:r>
                    <w:rPr>
                      <w:rFonts w:hint="eastAsia" w:ascii="Times New Roman" w:hAnsi="Times New Roman" w:eastAsiaTheme="minorEastAsia"/>
                      <w:color w:val="auto"/>
                      <w:szCs w:val="21"/>
                      <w:highlight w:val="none"/>
                      <w:lang w:val="en-US" w:eastAsia="zh-CN"/>
                    </w:rPr>
                    <w:t>05</w:t>
                  </w:r>
                </w:p>
              </w:tc>
              <w:tc>
                <w:tcPr>
                  <w:tcW w:w="497" w:type="pct"/>
                  <w:shd w:val="clear" w:color="auto" w:fill="auto"/>
                  <w:vAlign w:val="center"/>
                </w:tcPr>
                <w:p w14:paraId="29D53FCE">
                  <w:pPr>
                    <w:spacing w:line="0" w:lineRule="atLeast"/>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0.1</w:t>
                  </w:r>
                </w:p>
              </w:tc>
              <w:tc>
                <w:tcPr>
                  <w:tcW w:w="376" w:type="pct"/>
                  <w:shd w:val="clear" w:color="auto" w:fill="auto"/>
                  <w:vAlign w:val="center"/>
                </w:tcPr>
                <w:p w14:paraId="57664D9F">
                  <w:pPr>
                    <w:spacing w:line="0" w:lineRule="atLeast"/>
                    <w:jc w:val="center"/>
                    <w:rPr>
                      <w:rFonts w:hint="eastAsia"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半年</w:t>
                  </w:r>
                </w:p>
              </w:tc>
            </w:tr>
            <w:tr w14:paraId="4ED8E7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41" w:hRule="atLeast"/>
                <w:jc w:val="center"/>
              </w:trPr>
              <w:tc>
                <w:tcPr>
                  <w:tcW w:w="272" w:type="pct"/>
                  <w:shd w:val="clear" w:color="auto" w:fill="auto"/>
                  <w:vAlign w:val="center"/>
                </w:tcPr>
                <w:p w14:paraId="44357C29">
                  <w:pPr>
                    <w:pStyle w:val="14"/>
                    <w:spacing w:line="0" w:lineRule="atLeast"/>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3</w:t>
                  </w:r>
                </w:p>
              </w:tc>
              <w:tc>
                <w:tcPr>
                  <w:tcW w:w="539" w:type="pct"/>
                  <w:vMerge w:val="continue"/>
                  <w:shd w:val="clear" w:color="auto" w:fill="auto"/>
                  <w:vAlign w:val="center"/>
                </w:tcPr>
                <w:p w14:paraId="0E618FC8">
                  <w:pPr>
                    <w:pStyle w:val="14"/>
                    <w:spacing w:line="0" w:lineRule="atLeast"/>
                    <w:jc w:val="center"/>
                    <w:rPr>
                      <w:rFonts w:ascii="Times New Roman" w:hAnsi="Times New Roman" w:cs="Times New Roman" w:eastAsiaTheme="minorEastAsia"/>
                      <w:color w:val="auto"/>
                      <w:highlight w:val="none"/>
                    </w:rPr>
                  </w:pPr>
                </w:p>
              </w:tc>
              <w:tc>
                <w:tcPr>
                  <w:tcW w:w="645" w:type="pct"/>
                  <w:shd w:val="clear" w:color="auto" w:fill="auto"/>
                  <w:vAlign w:val="center"/>
                </w:tcPr>
                <w:p w14:paraId="67EECB1F">
                  <w:pPr>
                    <w:widowControl/>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废拖把、废抹布</w:t>
                  </w:r>
                </w:p>
              </w:tc>
              <w:tc>
                <w:tcPr>
                  <w:tcW w:w="880" w:type="pct"/>
                  <w:shd w:val="clear" w:color="auto" w:fill="auto"/>
                  <w:vAlign w:val="center"/>
                </w:tcPr>
                <w:p w14:paraId="302D9B14">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ascii="Times New Roman" w:hAnsi="Times New Roman" w:eastAsiaTheme="minorEastAsia"/>
                      <w:color w:val="auto"/>
                      <w:szCs w:val="21"/>
                      <w:highlight w:val="none"/>
                    </w:rPr>
                    <w:t>HW</w:t>
                  </w:r>
                  <w:r>
                    <w:rPr>
                      <w:rFonts w:hint="eastAsia" w:ascii="Times New Roman" w:hAnsi="Times New Roman" w:eastAsiaTheme="minorEastAsia"/>
                      <w:color w:val="auto"/>
                      <w:szCs w:val="21"/>
                      <w:highlight w:val="none"/>
                      <w:lang w:val="en-US" w:eastAsia="zh-CN"/>
                    </w:rPr>
                    <w:t>49</w:t>
                  </w:r>
                </w:p>
                <w:p w14:paraId="261E106D">
                  <w:pPr>
                    <w:wordWrap w:val="0"/>
                    <w:topLinePunct/>
                    <w:adjustRightInd w:val="0"/>
                    <w:snapToGrid w:val="0"/>
                    <w:ind w:left="-105" w:leftChars="-50" w:right="-105" w:rightChars="-50"/>
                    <w:jc w:val="center"/>
                    <w:rPr>
                      <w:rFonts w:ascii="Times New Roman" w:hAnsi="Times New Roman"/>
                      <w:color w:val="auto"/>
                      <w:szCs w:val="21"/>
                      <w:highlight w:val="none"/>
                    </w:rPr>
                  </w:pPr>
                  <w:r>
                    <w:rPr>
                      <w:rFonts w:ascii="Times New Roman" w:hAnsi="Times New Roman" w:eastAsiaTheme="minorEastAsia"/>
                      <w:color w:val="auto"/>
                      <w:szCs w:val="21"/>
                      <w:highlight w:val="none"/>
                    </w:rPr>
                    <w:t>（900-</w:t>
                  </w:r>
                  <w:r>
                    <w:rPr>
                      <w:rFonts w:hint="eastAsia" w:ascii="Times New Roman" w:hAnsi="Times New Roman" w:eastAsiaTheme="minorEastAsia"/>
                      <w:color w:val="auto"/>
                      <w:szCs w:val="21"/>
                      <w:highlight w:val="none"/>
                      <w:lang w:val="en-US" w:eastAsia="zh-CN"/>
                    </w:rPr>
                    <w:t>042</w:t>
                  </w:r>
                  <w:r>
                    <w:rPr>
                      <w:rFonts w:ascii="Times New Roman" w:hAnsi="Times New Roman" w:eastAsiaTheme="minorEastAsia"/>
                      <w:color w:val="auto"/>
                      <w:szCs w:val="21"/>
                      <w:highlight w:val="none"/>
                    </w:rPr>
                    <w:t>-</w:t>
                  </w:r>
                  <w:r>
                    <w:rPr>
                      <w:rFonts w:hint="eastAsia" w:ascii="Times New Roman" w:hAnsi="Times New Roman" w:eastAsiaTheme="minorEastAsia"/>
                      <w:color w:val="auto"/>
                      <w:szCs w:val="21"/>
                      <w:highlight w:val="none"/>
                      <w:lang w:val="en-US" w:eastAsia="zh-CN"/>
                    </w:rPr>
                    <w:t>49</w:t>
                  </w:r>
                  <w:r>
                    <w:rPr>
                      <w:rFonts w:ascii="Times New Roman" w:hAnsi="Times New Roman" w:eastAsiaTheme="minorEastAsia"/>
                      <w:color w:val="auto"/>
                      <w:szCs w:val="21"/>
                      <w:highlight w:val="none"/>
                    </w:rPr>
                    <w:t>）</w:t>
                  </w:r>
                </w:p>
              </w:tc>
              <w:tc>
                <w:tcPr>
                  <w:tcW w:w="373" w:type="pct"/>
                  <w:vMerge w:val="continue"/>
                  <w:shd w:val="clear" w:color="auto" w:fill="auto"/>
                  <w:vAlign w:val="center"/>
                </w:tcPr>
                <w:p w14:paraId="705053CC">
                  <w:pPr>
                    <w:spacing w:line="0" w:lineRule="atLeast"/>
                    <w:jc w:val="center"/>
                    <w:rPr>
                      <w:rFonts w:ascii="Times New Roman" w:hAnsi="Times New Roman" w:eastAsiaTheme="minorEastAsia"/>
                      <w:color w:val="auto"/>
                      <w:szCs w:val="21"/>
                      <w:highlight w:val="none"/>
                    </w:rPr>
                  </w:pPr>
                </w:p>
              </w:tc>
              <w:tc>
                <w:tcPr>
                  <w:tcW w:w="464" w:type="pct"/>
                  <w:vMerge w:val="continue"/>
                  <w:shd w:val="clear" w:color="auto" w:fill="auto"/>
                  <w:vAlign w:val="center"/>
                </w:tcPr>
                <w:p w14:paraId="21151220">
                  <w:pPr>
                    <w:spacing w:line="0" w:lineRule="atLeast"/>
                    <w:jc w:val="center"/>
                    <w:rPr>
                      <w:rFonts w:ascii="Times New Roman" w:hAnsi="Times New Roman" w:eastAsiaTheme="minorEastAsia"/>
                      <w:color w:val="auto"/>
                      <w:szCs w:val="21"/>
                      <w:highlight w:val="none"/>
                    </w:rPr>
                  </w:pPr>
                </w:p>
              </w:tc>
              <w:tc>
                <w:tcPr>
                  <w:tcW w:w="453" w:type="pct"/>
                  <w:shd w:val="clear" w:color="auto" w:fill="auto"/>
                  <w:vAlign w:val="center"/>
                </w:tcPr>
                <w:p w14:paraId="134577C6">
                  <w:pPr>
                    <w:spacing w:line="0" w:lineRule="atLeast"/>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防漏胶袋盛放</w:t>
                  </w:r>
                </w:p>
              </w:tc>
              <w:tc>
                <w:tcPr>
                  <w:tcW w:w="496" w:type="pct"/>
                  <w:shd w:val="clear" w:color="auto" w:fill="auto"/>
                  <w:vAlign w:val="center"/>
                </w:tcPr>
                <w:p w14:paraId="3515B901">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lang w:val="en-US" w:eastAsia="zh-CN"/>
                    </w:rPr>
                    <w:t>0.1</w:t>
                  </w:r>
                </w:p>
              </w:tc>
              <w:tc>
                <w:tcPr>
                  <w:tcW w:w="497" w:type="pct"/>
                  <w:shd w:val="clear" w:color="auto" w:fill="auto"/>
                  <w:vAlign w:val="center"/>
                </w:tcPr>
                <w:p w14:paraId="2D54B51E">
                  <w:pPr>
                    <w:spacing w:line="0" w:lineRule="atLeast"/>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0.15</w:t>
                  </w:r>
                </w:p>
              </w:tc>
              <w:tc>
                <w:tcPr>
                  <w:tcW w:w="376" w:type="pct"/>
                  <w:shd w:val="clear" w:color="auto" w:fill="auto"/>
                  <w:vAlign w:val="center"/>
                </w:tcPr>
                <w:p w14:paraId="2B0CEE20">
                  <w:pPr>
                    <w:spacing w:line="0" w:lineRule="atLeast"/>
                    <w:jc w:val="center"/>
                    <w:rPr>
                      <w:rFonts w:hint="eastAsia"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半年</w:t>
                  </w:r>
                </w:p>
              </w:tc>
            </w:tr>
            <w:tr w14:paraId="302AF0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18" w:hRule="atLeast"/>
                <w:jc w:val="center"/>
              </w:trPr>
              <w:tc>
                <w:tcPr>
                  <w:tcW w:w="272" w:type="pct"/>
                  <w:shd w:val="clear" w:color="auto" w:fill="auto"/>
                  <w:vAlign w:val="center"/>
                </w:tcPr>
                <w:p w14:paraId="6351241B">
                  <w:pPr>
                    <w:pStyle w:val="14"/>
                    <w:spacing w:line="0" w:lineRule="atLeast"/>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4</w:t>
                  </w:r>
                </w:p>
              </w:tc>
              <w:tc>
                <w:tcPr>
                  <w:tcW w:w="539" w:type="pct"/>
                  <w:vMerge w:val="continue"/>
                  <w:shd w:val="clear" w:color="auto" w:fill="auto"/>
                  <w:vAlign w:val="center"/>
                </w:tcPr>
                <w:p w14:paraId="52804DC3">
                  <w:pPr>
                    <w:pStyle w:val="14"/>
                    <w:spacing w:line="0" w:lineRule="atLeast"/>
                    <w:jc w:val="center"/>
                    <w:rPr>
                      <w:rFonts w:ascii="Times New Roman" w:hAnsi="Times New Roman" w:cs="Times New Roman" w:eastAsiaTheme="minorEastAsia"/>
                      <w:color w:val="auto"/>
                      <w:highlight w:val="none"/>
                    </w:rPr>
                  </w:pPr>
                </w:p>
              </w:tc>
              <w:tc>
                <w:tcPr>
                  <w:tcW w:w="645" w:type="pct"/>
                  <w:shd w:val="clear" w:color="auto" w:fill="auto"/>
                  <w:vAlign w:val="center"/>
                </w:tcPr>
                <w:p w14:paraId="067A5130">
                  <w:pPr>
                    <w:widowControl/>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 w:val="21"/>
                      <w:szCs w:val="21"/>
                      <w:highlight w:val="none"/>
                    </w:rPr>
                    <w:t>沾染电解液的</w:t>
                  </w:r>
                  <w:r>
                    <w:rPr>
                      <w:rFonts w:hint="eastAsia" w:ascii="Times New Roman" w:hAnsi="Times New Roman" w:eastAsiaTheme="minorEastAsia"/>
                      <w:color w:val="auto"/>
                      <w:sz w:val="21"/>
                      <w:szCs w:val="21"/>
                      <w:highlight w:val="none"/>
                      <w:lang w:val="en-US" w:eastAsia="zh-CN"/>
                    </w:rPr>
                    <w:t>破损箱子</w:t>
                  </w:r>
                </w:p>
              </w:tc>
              <w:tc>
                <w:tcPr>
                  <w:tcW w:w="880" w:type="pct"/>
                  <w:shd w:val="clear" w:color="auto" w:fill="auto"/>
                  <w:vAlign w:val="center"/>
                </w:tcPr>
                <w:p w14:paraId="200EC40F">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ascii="Times New Roman" w:hAnsi="Times New Roman" w:eastAsiaTheme="minorEastAsia"/>
                      <w:color w:val="auto"/>
                      <w:szCs w:val="21"/>
                      <w:highlight w:val="none"/>
                    </w:rPr>
                    <w:t>HW</w:t>
                  </w:r>
                  <w:r>
                    <w:rPr>
                      <w:rFonts w:hint="eastAsia" w:ascii="Times New Roman" w:hAnsi="Times New Roman" w:eastAsiaTheme="minorEastAsia"/>
                      <w:color w:val="auto"/>
                      <w:szCs w:val="21"/>
                      <w:highlight w:val="none"/>
                      <w:lang w:val="en-US" w:eastAsia="zh-CN"/>
                    </w:rPr>
                    <w:t>49</w:t>
                  </w:r>
                </w:p>
                <w:p w14:paraId="08349810">
                  <w:pPr>
                    <w:wordWrap w:val="0"/>
                    <w:topLinePunct/>
                    <w:adjustRightInd w:val="0"/>
                    <w:snapToGrid w:val="0"/>
                    <w:ind w:left="-105" w:leftChars="-50" w:right="-105" w:rightChars="-50"/>
                    <w:jc w:val="center"/>
                    <w:rPr>
                      <w:rFonts w:ascii="Times New Roman" w:hAnsi="Times New Roman"/>
                      <w:color w:val="auto"/>
                      <w:szCs w:val="21"/>
                      <w:highlight w:val="none"/>
                    </w:rPr>
                  </w:pPr>
                  <w:r>
                    <w:rPr>
                      <w:rFonts w:ascii="Times New Roman" w:hAnsi="Times New Roman" w:eastAsiaTheme="minorEastAsia"/>
                      <w:color w:val="auto"/>
                      <w:szCs w:val="21"/>
                      <w:highlight w:val="none"/>
                    </w:rPr>
                    <w:t>（900-</w:t>
                  </w:r>
                  <w:r>
                    <w:rPr>
                      <w:rFonts w:hint="eastAsia" w:ascii="Times New Roman" w:hAnsi="Times New Roman" w:eastAsiaTheme="minorEastAsia"/>
                      <w:color w:val="auto"/>
                      <w:szCs w:val="21"/>
                      <w:highlight w:val="none"/>
                      <w:lang w:val="en-US" w:eastAsia="zh-CN"/>
                    </w:rPr>
                    <w:t>041</w:t>
                  </w:r>
                  <w:r>
                    <w:rPr>
                      <w:rFonts w:ascii="Times New Roman" w:hAnsi="Times New Roman" w:eastAsiaTheme="minorEastAsia"/>
                      <w:color w:val="auto"/>
                      <w:szCs w:val="21"/>
                      <w:highlight w:val="none"/>
                    </w:rPr>
                    <w:t>-</w:t>
                  </w:r>
                  <w:r>
                    <w:rPr>
                      <w:rFonts w:hint="eastAsia" w:ascii="Times New Roman" w:hAnsi="Times New Roman" w:eastAsiaTheme="minorEastAsia"/>
                      <w:color w:val="auto"/>
                      <w:szCs w:val="21"/>
                      <w:highlight w:val="none"/>
                      <w:lang w:val="en-US" w:eastAsia="zh-CN"/>
                    </w:rPr>
                    <w:t>49</w:t>
                  </w:r>
                  <w:r>
                    <w:rPr>
                      <w:rFonts w:ascii="Times New Roman" w:hAnsi="Times New Roman" w:eastAsiaTheme="minorEastAsia"/>
                      <w:color w:val="auto"/>
                      <w:szCs w:val="21"/>
                      <w:highlight w:val="none"/>
                    </w:rPr>
                    <w:t>）</w:t>
                  </w:r>
                </w:p>
              </w:tc>
              <w:tc>
                <w:tcPr>
                  <w:tcW w:w="373" w:type="pct"/>
                  <w:vMerge w:val="continue"/>
                  <w:shd w:val="clear" w:color="auto" w:fill="auto"/>
                  <w:vAlign w:val="center"/>
                </w:tcPr>
                <w:p w14:paraId="4A407CB1">
                  <w:pPr>
                    <w:spacing w:line="0" w:lineRule="atLeast"/>
                    <w:jc w:val="center"/>
                    <w:rPr>
                      <w:rFonts w:ascii="Times New Roman" w:hAnsi="Times New Roman" w:eastAsiaTheme="minorEastAsia"/>
                      <w:color w:val="auto"/>
                      <w:szCs w:val="21"/>
                      <w:highlight w:val="none"/>
                    </w:rPr>
                  </w:pPr>
                </w:p>
              </w:tc>
              <w:tc>
                <w:tcPr>
                  <w:tcW w:w="464" w:type="pct"/>
                  <w:vMerge w:val="continue"/>
                  <w:shd w:val="clear" w:color="auto" w:fill="auto"/>
                  <w:vAlign w:val="center"/>
                </w:tcPr>
                <w:p w14:paraId="09119A23">
                  <w:pPr>
                    <w:spacing w:line="0" w:lineRule="atLeast"/>
                    <w:jc w:val="center"/>
                    <w:rPr>
                      <w:rFonts w:ascii="Times New Roman" w:hAnsi="Times New Roman" w:eastAsiaTheme="minorEastAsia"/>
                      <w:color w:val="auto"/>
                      <w:szCs w:val="21"/>
                      <w:highlight w:val="none"/>
                    </w:rPr>
                  </w:pPr>
                </w:p>
              </w:tc>
              <w:tc>
                <w:tcPr>
                  <w:tcW w:w="453" w:type="pct"/>
                  <w:shd w:val="clear" w:color="auto" w:fill="auto"/>
                  <w:vAlign w:val="center"/>
                </w:tcPr>
                <w:p w14:paraId="56B67EBA">
                  <w:pPr>
                    <w:spacing w:line="0" w:lineRule="atLeast"/>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密闭桶装</w:t>
                  </w:r>
                </w:p>
              </w:tc>
              <w:tc>
                <w:tcPr>
                  <w:tcW w:w="496" w:type="pct"/>
                  <w:shd w:val="clear" w:color="auto" w:fill="auto"/>
                  <w:vAlign w:val="center"/>
                </w:tcPr>
                <w:p w14:paraId="2294AE48">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rPr>
                  </w:pPr>
                  <w:r>
                    <w:rPr>
                      <w:rFonts w:hint="eastAsia" w:ascii="Times New Roman" w:hAnsi="Times New Roman" w:eastAsiaTheme="minorEastAsia"/>
                      <w:color w:val="auto"/>
                      <w:szCs w:val="21"/>
                      <w:highlight w:val="none"/>
                      <w:lang w:val="en-US" w:eastAsia="zh-CN"/>
                    </w:rPr>
                    <w:t>0.05</w:t>
                  </w:r>
                </w:p>
              </w:tc>
              <w:tc>
                <w:tcPr>
                  <w:tcW w:w="497" w:type="pct"/>
                  <w:shd w:val="clear" w:color="auto" w:fill="auto"/>
                  <w:vAlign w:val="center"/>
                </w:tcPr>
                <w:p w14:paraId="17D5D0FE">
                  <w:pPr>
                    <w:spacing w:line="0" w:lineRule="atLeast"/>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0.1</w:t>
                  </w:r>
                </w:p>
              </w:tc>
              <w:tc>
                <w:tcPr>
                  <w:tcW w:w="376" w:type="pct"/>
                  <w:shd w:val="clear" w:color="auto" w:fill="auto"/>
                  <w:vAlign w:val="center"/>
                </w:tcPr>
                <w:p w14:paraId="0D6273D0">
                  <w:pPr>
                    <w:spacing w:line="0" w:lineRule="atLeast"/>
                    <w:jc w:val="center"/>
                    <w:rPr>
                      <w:rFonts w:hint="eastAsia"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半年</w:t>
                  </w:r>
                </w:p>
              </w:tc>
            </w:tr>
            <w:tr w14:paraId="48026D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89" w:hRule="atLeast"/>
                <w:jc w:val="center"/>
              </w:trPr>
              <w:tc>
                <w:tcPr>
                  <w:tcW w:w="272" w:type="pct"/>
                  <w:shd w:val="clear" w:color="auto" w:fill="auto"/>
                  <w:vAlign w:val="center"/>
                </w:tcPr>
                <w:p w14:paraId="6E714BD8">
                  <w:pPr>
                    <w:pStyle w:val="14"/>
                    <w:spacing w:line="0" w:lineRule="atLeast"/>
                    <w:jc w:val="cente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eastAsiaTheme="minorEastAsia"/>
                      <w:color w:val="auto"/>
                      <w:highlight w:val="none"/>
                      <w:lang w:val="en-US" w:eastAsia="zh-CN"/>
                    </w:rPr>
                    <w:t>5</w:t>
                  </w:r>
                </w:p>
              </w:tc>
              <w:tc>
                <w:tcPr>
                  <w:tcW w:w="539" w:type="pct"/>
                  <w:vMerge w:val="continue"/>
                  <w:shd w:val="clear" w:color="auto" w:fill="auto"/>
                  <w:vAlign w:val="center"/>
                </w:tcPr>
                <w:p w14:paraId="55627DAC">
                  <w:pPr>
                    <w:pStyle w:val="14"/>
                    <w:spacing w:line="0" w:lineRule="atLeast"/>
                    <w:jc w:val="center"/>
                    <w:rPr>
                      <w:rFonts w:ascii="Times New Roman" w:hAnsi="Times New Roman" w:cs="Times New Roman" w:eastAsiaTheme="minorEastAsia"/>
                      <w:color w:val="auto"/>
                      <w:highlight w:val="none"/>
                    </w:rPr>
                  </w:pPr>
                </w:p>
              </w:tc>
              <w:tc>
                <w:tcPr>
                  <w:tcW w:w="645" w:type="pct"/>
                  <w:shd w:val="clear" w:color="auto" w:fill="auto"/>
                  <w:vAlign w:val="center"/>
                </w:tcPr>
                <w:p w14:paraId="5F4E4A78">
                  <w:pPr>
                    <w:widowControl/>
                    <w:jc w:val="center"/>
                    <w:rPr>
                      <w:rFonts w:hint="eastAsia"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废</w:t>
                  </w:r>
                  <w:r>
                    <w:rPr>
                      <w:rFonts w:hint="eastAsia" w:ascii="Times New Roman" w:hAnsi="Times New Roman" w:eastAsiaTheme="minorEastAsia"/>
                      <w:color w:val="auto"/>
                      <w:szCs w:val="21"/>
                      <w:highlight w:val="none"/>
                      <w:lang w:val="en-US" w:eastAsia="zh-CN"/>
                    </w:rPr>
                    <w:t>脱硫</w:t>
                  </w:r>
                  <w:r>
                    <w:rPr>
                      <w:rFonts w:hint="eastAsia" w:ascii="Times New Roman" w:hAnsi="Times New Roman" w:eastAsiaTheme="minorEastAsia"/>
                      <w:color w:val="auto"/>
                      <w:szCs w:val="21"/>
                      <w:highlight w:val="none"/>
                    </w:rPr>
                    <w:t>塔吸收液</w:t>
                  </w:r>
                </w:p>
              </w:tc>
              <w:tc>
                <w:tcPr>
                  <w:tcW w:w="880" w:type="pct"/>
                  <w:shd w:val="clear" w:color="auto" w:fill="auto"/>
                  <w:vAlign w:val="center"/>
                </w:tcPr>
                <w:p w14:paraId="3026C1D0">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ascii="Times New Roman" w:hAnsi="Times New Roman" w:eastAsiaTheme="minorEastAsia"/>
                      <w:color w:val="auto"/>
                      <w:szCs w:val="21"/>
                      <w:highlight w:val="none"/>
                    </w:rPr>
                    <w:t>HW</w:t>
                  </w:r>
                  <w:r>
                    <w:rPr>
                      <w:rFonts w:hint="eastAsia" w:ascii="Times New Roman" w:hAnsi="Times New Roman" w:eastAsiaTheme="minorEastAsia"/>
                      <w:color w:val="auto"/>
                      <w:szCs w:val="21"/>
                      <w:highlight w:val="none"/>
                      <w:lang w:val="en-US" w:eastAsia="zh-CN"/>
                    </w:rPr>
                    <w:t>35</w:t>
                  </w:r>
                </w:p>
                <w:p w14:paraId="6BE109E1">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（900-</w:t>
                  </w:r>
                  <w:r>
                    <w:rPr>
                      <w:rFonts w:hint="eastAsia" w:ascii="Times New Roman" w:hAnsi="Times New Roman" w:eastAsiaTheme="minorEastAsia"/>
                      <w:color w:val="auto"/>
                      <w:szCs w:val="21"/>
                      <w:highlight w:val="none"/>
                      <w:lang w:val="en-US" w:eastAsia="zh-CN"/>
                    </w:rPr>
                    <w:t>399</w:t>
                  </w:r>
                  <w:r>
                    <w:rPr>
                      <w:rFonts w:ascii="Times New Roman" w:hAnsi="Times New Roman" w:eastAsiaTheme="minorEastAsia"/>
                      <w:color w:val="auto"/>
                      <w:szCs w:val="21"/>
                      <w:highlight w:val="none"/>
                    </w:rPr>
                    <w:t>-</w:t>
                  </w:r>
                  <w:r>
                    <w:rPr>
                      <w:rFonts w:hint="eastAsia" w:ascii="Times New Roman" w:hAnsi="Times New Roman" w:eastAsiaTheme="minorEastAsia"/>
                      <w:color w:val="auto"/>
                      <w:szCs w:val="21"/>
                      <w:highlight w:val="none"/>
                      <w:lang w:val="en-US" w:eastAsia="zh-CN"/>
                    </w:rPr>
                    <w:t>35</w:t>
                  </w:r>
                  <w:r>
                    <w:rPr>
                      <w:rFonts w:ascii="Times New Roman" w:hAnsi="Times New Roman" w:eastAsiaTheme="minorEastAsia"/>
                      <w:color w:val="auto"/>
                      <w:szCs w:val="21"/>
                      <w:highlight w:val="none"/>
                    </w:rPr>
                    <w:t>）</w:t>
                  </w:r>
                </w:p>
              </w:tc>
              <w:tc>
                <w:tcPr>
                  <w:tcW w:w="373" w:type="pct"/>
                  <w:vMerge w:val="continue"/>
                  <w:shd w:val="clear" w:color="auto" w:fill="auto"/>
                  <w:vAlign w:val="center"/>
                </w:tcPr>
                <w:p w14:paraId="3B10E109">
                  <w:pPr>
                    <w:spacing w:line="0" w:lineRule="atLeast"/>
                    <w:jc w:val="center"/>
                    <w:rPr>
                      <w:rFonts w:ascii="Times New Roman" w:hAnsi="Times New Roman" w:eastAsiaTheme="minorEastAsia"/>
                      <w:color w:val="auto"/>
                      <w:szCs w:val="21"/>
                      <w:highlight w:val="none"/>
                    </w:rPr>
                  </w:pPr>
                </w:p>
              </w:tc>
              <w:tc>
                <w:tcPr>
                  <w:tcW w:w="464" w:type="pct"/>
                  <w:vMerge w:val="continue"/>
                  <w:shd w:val="clear" w:color="auto" w:fill="auto"/>
                  <w:vAlign w:val="center"/>
                </w:tcPr>
                <w:p w14:paraId="141B5B26">
                  <w:pPr>
                    <w:spacing w:line="0" w:lineRule="atLeast"/>
                    <w:jc w:val="center"/>
                    <w:rPr>
                      <w:rFonts w:ascii="Times New Roman" w:hAnsi="Times New Roman" w:eastAsiaTheme="minorEastAsia"/>
                      <w:color w:val="auto"/>
                      <w:szCs w:val="21"/>
                      <w:highlight w:val="none"/>
                    </w:rPr>
                  </w:pPr>
                </w:p>
              </w:tc>
              <w:tc>
                <w:tcPr>
                  <w:tcW w:w="453" w:type="pct"/>
                  <w:shd w:val="clear" w:color="auto" w:fill="auto"/>
                  <w:vAlign w:val="center"/>
                </w:tcPr>
                <w:p w14:paraId="7ACF82CC">
                  <w:pPr>
                    <w:spacing w:line="0" w:lineRule="atLeast"/>
                    <w:jc w:val="center"/>
                    <w:rPr>
                      <w:rFonts w:hint="eastAsia"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密闭桶装</w:t>
                  </w:r>
                </w:p>
              </w:tc>
              <w:tc>
                <w:tcPr>
                  <w:tcW w:w="496" w:type="pct"/>
                  <w:shd w:val="clear" w:color="auto" w:fill="auto"/>
                  <w:vAlign w:val="center"/>
                </w:tcPr>
                <w:p w14:paraId="615E237C">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1.764</w:t>
                  </w:r>
                </w:p>
              </w:tc>
              <w:tc>
                <w:tcPr>
                  <w:tcW w:w="497" w:type="pct"/>
                  <w:shd w:val="clear" w:color="auto" w:fill="auto"/>
                  <w:vAlign w:val="center"/>
                </w:tcPr>
                <w:p w14:paraId="66293F4E">
                  <w:pPr>
                    <w:spacing w:line="0" w:lineRule="atLeast"/>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3</w:t>
                  </w:r>
                </w:p>
              </w:tc>
              <w:tc>
                <w:tcPr>
                  <w:tcW w:w="376" w:type="pct"/>
                  <w:shd w:val="clear" w:color="auto" w:fill="auto"/>
                  <w:vAlign w:val="center"/>
                </w:tcPr>
                <w:p w14:paraId="35553D28">
                  <w:pPr>
                    <w:spacing w:line="0" w:lineRule="atLeast"/>
                    <w:jc w:val="center"/>
                    <w:rPr>
                      <w:rFonts w:hint="eastAsia"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一个月</w:t>
                  </w:r>
                </w:p>
              </w:tc>
            </w:tr>
          </w:tbl>
          <w:p w14:paraId="0B19D691">
            <w:pPr>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p>
          <w:p w14:paraId="115C9158">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危险废物处置情况</w:t>
            </w:r>
          </w:p>
          <w:p w14:paraId="63A68CB0">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本项目产生的危险废物经收集后暂存于危险废物暂存区，定期交由有相应资质的单位代为处置。</w:t>
            </w:r>
          </w:p>
          <w:p w14:paraId="694010E9">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rPr>
              <w:t>危废间建设要求</w:t>
            </w:r>
          </w:p>
          <w:p w14:paraId="0ADC1729">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i危险废物贮存区地面应做好硬化及满足“四防”（防风、防雨、防晒、防渗漏）要求。</w:t>
            </w:r>
          </w:p>
          <w:p w14:paraId="17B3AD48">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ii危险废物贮存区需张贴标准规范的危险废物标识和危废信息板，</w:t>
            </w:r>
            <w:r>
              <w:rPr>
                <w:rFonts w:hint="eastAsia" w:ascii="Times New Roman" w:hAnsi="Times New Roman" w:cs="Times New Roman"/>
                <w:color w:val="auto"/>
                <w:sz w:val="24"/>
                <w:szCs w:val="24"/>
                <w:highlight w:val="none"/>
                <w:lang w:val="en-US" w:eastAsia="zh-CN"/>
              </w:rPr>
              <w:t>区域</w:t>
            </w:r>
            <w:r>
              <w:rPr>
                <w:rFonts w:hint="default" w:ascii="Times New Roman" w:hAnsi="Times New Roman" w:eastAsia="宋体" w:cs="Times New Roman"/>
                <w:color w:val="auto"/>
                <w:sz w:val="24"/>
                <w:szCs w:val="24"/>
                <w:highlight w:val="none"/>
              </w:rPr>
              <w:t>内张贴企业《危险废物管理制度》。</w:t>
            </w:r>
          </w:p>
          <w:p w14:paraId="5CD7B3DA">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iii不同种类危险废物应有明显的过道划分，</w:t>
            </w:r>
            <w:r>
              <w:rPr>
                <w:rFonts w:hint="eastAsia" w:ascii="Times New Roman" w:hAnsi="Times New Roman" w:cs="Times New Roman"/>
                <w:color w:val="auto"/>
                <w:sz w:val="24"/>
                <w:szCs w:val="24"/>
                <w:highlight w:val="none"/>
                <w:lang w:val="en-US" w:eastAsia="zh-CN"/>
              </w:rPr>
              <w:t>区域内</w:t>
            </w:r>
            <w:r>
              <w:rPr>
                <w:rFonts w:hint="default" w:ascii="Times New Roman" w:hAnsi="Times New Roman" w:eastAsia="宋体" w:cs="Times New Roman"/>
                <w:color w:val="auto"/>
                <w:sz w:val="24"/>
                <w:szCs w:val="24"/>
                <w:highlight w:val="none"/>
              </w:rPr>
              <w:t>张贴危废名称，液态危废需将成装容器放至防泄漏托盘内并在容器粘贴危险废物标签，固态危废包装需完好无破损并系挂危险废物标签，并按要求填写。</w:t>
            </w:r>
          </w:p>
          <w:p w14:paraId="5295DEDA">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iv建立台账并悬挂于危废间内，转入及转出（处置、自利用）需要填写危废种类、数量、时间及负责人员姓名，危险废物台账和记录簿的保存时间应当在 10 年以上。</w:t>
            </w:r>
          </w:p>
          <w:p w14:paraId="0C62A4BC">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v危险废物贮存区内禁止存放除危险废物及应急工具以他的其他物品。</w:t>
            </w:r>
          </w:p>
          <w:p w14:paraId="4C1AC213">
            <w:pPr>
              <w:snapToGrid w:val="0"/>
              <w:spacing w:line="360" w:lineRule="auto"/>
              <w:ind w:firstLine="480" w:firstLineChars="200"/>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lang w:val="en-US" w:eastAsia="zh-CN"/>
              </w:rPr>
              <w:t>⑤</w:t>
            </w:r>
            <w:r>
              <w:rPr>
                <w:rFonts w:ascii="Times New Roman" w:hAnsi="Times New Roman" w:eastAsiaTheme="minorEastAsia"/>
                <w:color w:val="auto"/>
                <w:sz w:val="24"/>
                <w:szCs w:val="24"/>
                <w:highlight w:val="none"/>
              </w:rPr>
              <w:t>危险废物环境管理要求</w:t>
            </w:r>
          </w:p>
          <w:p w14:paraId="0701AD2D">
            <w:pPr>
              <w:spacing w:line="360" w:lineRule="auto"/>
              <w:ind w:firstLine="480" w:firstLineChars="200"/>
              <w:rPr>
                <w:rFonts w:ascii="Times New Roman" w:hAnsi="Times New Roman" w:eastAsiaTheme="minorEastAsia"/>
                <w:color w:val="auto"/>
                <w:kern w:val="0"/>
                <w:sz w:val="24"/>
                <w:szCs w:val="20"/>
                <w:highlight w:val="none"/>
              </w:rPr>
            </w:pPr>
            <w:r>
              <w:rPr>
                <w:rFonts w:ascii="Times New Roman" w:hAnsi="Times New Roman" w:eastAsiaTheme="minorEastAsia"/>
                <w:color w:val="auto"/>
                <w:kern w:val="0"/>
                <w:sz w:val="24"/>
                <w:szCs w:val="20"/>
                <w:highlight w:val="none"/>
              </w:rPr>
              <w:t>根据《危险废物贮存污染控制标准》（GB18597-2023），本评价提出以下要求：</w:t>
            </w:r>
          </w:p>
          <w:p w14:paraId="38AFD4CD">
            <w:pPr>
              <w:spacing w:line="360" w:lineRule="auto"/>
              <w:ind w:firstLine="480" w:firstLineChars="200"/>
              <w:rPr>
                <w:rFonts w:ascii="Times New Roman" w:hAnsi="Times New Roman" w:eastAsiaTheme="minorEastAsia"/>
                <w:color w:val="auto"/>
                <w:kern w:val="0"/>
                <w:sz w:val="24"/>
                <w:szCs w:val="20"/>
                <w:highlight w:val="none"/>
              </w:rPr>
            </w:pPr>
            <w:r>
              <w:rPr>
                <w:rFonts w:ascii="Times New Roman" w:hAnsi="Times New Roman" w:eastAsiaTheme="minorEastAsia"/>
                <w:color w:val="auto"/>
                <w:kern w:val="0"/>
                <w:sz w:val="24"/>
                <w:szCs w:val="24"/>
                <w:highlight w:val="none"/>
              </w:rPr>
              <w:fldChar w:fldCharType="begin"/>
            </w:r>
            <w:r>
              <w:rPr>
                <w:rFonts w:ascii="Times New Roman" w:hAnsi="Times New Roman" w:eastAsiaTheme="minorEastAsia"/>
                <w:color w:val="auto"/>
                <w:kern w:val="0"/>
                <w:sz w:val="24"/>
                <w:szCs w:val="24"/>
                <w:highlight w:val="none"/>
              </w:rPr>
              <w:instrText xml:space="preserve"> = 1 \* ROMAN \* MERGEFORMAT </w:instrText>
            </w:r>
            <w:r>
              <w:rPr>
                <w:rFonts w:ascii="Times New Roman" w:hAnsi="Times New Roman" w:eastAsiaTheme="minorEastAsia"/>
                <w:color w:val="auto"/>
                <w:kern w:val="0"/>
                <w:sz w:val="24"/>
                <w:szCs w:val="24"/>
                <w:highlight w:val="none"/>
              </w:rPr>
              <w:fldChar w:fldCharType="separate"/>
            </w:r>
            <w:r>
              <w:rPr>
                <w:rFonts w:ascii="Times New Roman" w:hAnsi="Times New Roman" w:eastAsiaTheme="minorEastAsia"/>
                <w:color w:val="auto"/>
                <w:kern w:val="0"/>
                <w:sz w:val="24"/>
                <w:szCs w:val="20"/>
                <w:highlight w:val="none"/>
              </w:rPr>
              <w:t>I</w:t>
            </w:r>
            <w:r>
              <w:rPr>
                <w:rFonts w:ascii="Times New Roman" w:hAnsi="Times New Roman" w:eastAsiaTheme="minorEastAsia"/>
                <w:color w:val="auto"/>
                <w:kern w:val="0"/>
                <w:sz w:val="24"/>
                <w:szCs w:val="24"/>
                <w:highlight w:val="none"/>
              </w:rPr>
              <w:fldChar w:fldCharType="end"/>
            </w:r>
            <w:r>
              <w:rPr>
                <w:rFonts w:ascii="Times New Roman" w:hAnsi="Times New Roman" w:eastAsiaTheme="minorEastAsia"/>
                <w:color w:val="auto"/>
                <w:kern w:val="0"/>
                <w:sz w:val="24"/>
                <w:szCs w:val="24"/>
                <w:highlight w:val="none"/>
              </w:rPr>
              <w:t>.</w:t>
            </w:r>
            <w:r>
              <w:rPr>
                <w:rFonts w:ascii="Times New Roman" w:hAnsi="Times New Roman" w:eastAsiaTheme="minorEastAsia"/>
                <w:color w:val="auto"/>
                <w:kern w:val="0"/>
                <w:sz w:val="24"/>
                <w:szCs w:val="20"/>
                <w:highlight w:val="none"/>
              </w:rPr>
              <w:t>危险废物标识制度：</w:t>
            </w:r>
          </w:p>
          <w:p w14:paraId="22D0F5D9">
            <w:pPr>
              <w:spacing w:line="360" w:lineRule="auto"/>
              <w:ind w:firstLine="480" w:firstLineChars="200"/>
              <w:rPr>
                <w:rFonts w:ascii="Times New Roman" w:hAnsi="Times New Roman" w:eastAsiaTheme="minorEastAsia"/>
                <w:color w:val="auto"/>
                <w:kern w:val="0"/>
                <w:sz w:val="24"/>
                <w:szCs w:val="20"/>
                <w:highlight w:val="none"/>
              </w:rPr>
            </w:pPr>
            <w:r>
              <w:rPr>
                <w:rFonts w:ascii="Times New Roman" w:hAnsi="Times New Roman" w:eastAsiaTheme="minorEastAsia"/>
                <w:color w:val="auto"/>
                <w:kern w:val="0"/>
                <w:sz w:val="24"/>
                <w:szCs w:val="20"/>
                <w:highlight w:val="none"/>
              </w:rPr>
              <w:t>本项目危废的容器和包装物应当按照《危险废物贮存污染控制标准》（GB 18597-2023）和《危险废物识别标志设置技术规范》（HJ1276-2022）有关规定设置危险废物标签。</w:t>
            </w:r>
          </w:p>
          <w:p w14:paraId="5B03CAC9">
            <w:pPr>
              <w:spacing w:line="360" w:lineRule="auto"/>
              <w:ind w:firstLine="480" w:firstLineChars="200"/>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Ⅱ.源头分类要求</w:t>
            </w:r>
          </w:p>
          <w:p w14:paraId="3708E460">
            <w:pPr>
              <w:spacing w:line="360" w:lineRule="auto"/>
              <w:ind w:firstLine="480" w:firstLineChars="200"/>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为减少危险废物产生量，企业必须严格分类管理，严禁将危险废物混入生活垃圾、一般工业固体废物中。</w:t>
            </w:r>
          </w:p>
          <w:p w14:paraId="432C5CC9">
            <w:pPr>
              <w:spacing w:line="360" w:lineRule="auto"/>
              <w:ind w:firstLine="480" w:firstLineChars="200"/>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Ⅲ.包装管理要求</w:t>
            </w:r>
          </w:p>
          <w:p w14:paraId="51657F91">
            <w:pPr>
              <w:spacing w:line="360" w:lineRule="auto"/>
              <w:ind w:firstLine="480" w:firstLineChars="200"/>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液体危险废物必须用包装容器盛装，成型固态危险废物可用包装容器或包装袋或层叠、捆扎等有利于贮存、运输的方式，并采取防扬散及跑冒滴漏措施；</w:t>
            </w:r>
          </w:p>
          <w:p w14:paraId="0CAD5982">
            <w:pPr>
              <w:spacing w:line="360" w:lineRule="auto"/>
              <w:ind w:firstLine="480" w:firstLineChars="200"/>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同一包装容器不得同时盛装两种或两种以上不同类别和性质的危险废物；</w:t>
            </w:r>
          </w:p>
          <w:p w14:paraId="589BAB59">
            <w:pPr>
              <w:spacing w:line="360" w:lineRule="auto"/>
              <w:ind w:firstLine="480" w:firstLineChars="200"/>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盛装危险废物的容器必须与废物不起反应的材料制成，容器完好无损，结构上必须坚固不易碎，防渗性能良好，且不会因为温度变化而变形或脆化；</w:t>
            </w:r>
          </w:p>
          <w:p w14:paraId="1BD081C6">
            <w:pPr>
              <w:spacing w:line="360" w:lineRule="auto"/>
              <w:ind w:firstLine="480" w:firstLineChars="200"/>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标志、标签须依《危险废物贮存污染控制标准》（GB18597-2023）附录 A 要求，所有包装容器、包装袋必须贴上危险废物标签。</w:t>
            </w:r>
          </w:p>
          <w:p w14:paraId="400C513C">
            <w:pPr>
              <w:spacing w:line="360" w:lineRule="auto"/>
              <w:ind w:firstLine="480" w:firstLineChars="200"/>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Ⅳ.贮存管理要求</w:t>
            </w:r>
          </w:p>
          <w:p w14:paraId="47C8427F">
            <w:pPr>
              <w:spacing w:line="360" w:lineRule="auto"/>
              <w:ind w:firstLine="480" w:firstLineChars="200"/>
              <w:rPr>
                <w:rFonts w:ascii="Times New Roman" w:hAnsi="Times New Roman" w:eastAsiaTheme="minorEastAsia"/>
                <w:color w:val="auto"/>
                <w:kern w:val="0"/>
                <w:sz w:val="24"/>
                <w:szCs w:val="24"/>
                <w:highlight w:val="none"/>
              </w:rPr>
            </w:pPr>
            <w:r>
              <w:rPr>
                <w:rFonts w:ascii="Times New Roman" w:hAnsi="Times New Roman" w:eastAsiaTheme="minorEastAsia"/>
                <w:color w:val="auto"/>
                <w:kern w:val="0"/>
                <w:sz w:val="24"/>
                <w:szCs w:val="24"/>
                <w:highlight w:val="none"/>
              </w:rPr>
              <w:t>企业产生的危险废物应当装入适当的容器或者包装物后存放，定期对贮存的危险废物包装容器进行检查，发现破损及时更换；危险废物贮存期限不得超过一年，确需延长贮存期限的，应当及时变更危险废物管理计划，并说明理由。</w:t>
            </w:r>
          </w:p>
          <w:p w14:paraId="19FFD81B">
            <w:pPr>
              <w:widowControl/>
              <w:spacing w:line="360" w:lineRule="auto"/>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Ⅴ.管理台账及申报制度</w:t>
            </w:r>
          </w:p>
          <w:p w14:paraId="664F8655">
            <w:pPr>
              <w:widowControl/>
              <w:spacing w:line="360" w:lineRule="auto"/>
              <w:ind w:firstLine="480" w:firstLineChars="200"/>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危险废物产生单位应当通过省固体废物动态信息平台，参照《危险废物管理计划和管理台账制定技术导则》（HJ 1259-2022）制定危险废物管理计划；建立危险废物管理台账，如实记录危险废物的种类、产生量、流向、贮存、处置等信息，并通过国家危险废物信息管理系统向所在地生态环境主管部门申报危险废物的种类、产生量、流向、贮存、处置等有关资料。根据《河北省固体废物污染环境防治条例》（2022.12.1），危险废物管理台账保管期限至少为10年。</w:t>
            </w:r>
          </w:p>
          <w:p w14:paraId="78D9E76B">
            <w:pPr>
              <w:adjustRightInd w:val="0"/>
              <w:snapToGrid w:val="0"/>
              <w:spacing w:line="360" w:lineRule="auto"/>
              <w:ind w:firstLine="480" w:firstLineChars="200"/>
              <w:rPr>
                <w:rFonts w:ascii="Times New Roman" w:hAnsi="Times New Roman" w:eastAsiaTheme="minorEastAsia"/>
                <w:snapToGrid w:val="0"/>
                <w:color w:val="auto"/>
                <w:sz w:val="24"/>
                <w:szCs w:val="24"/>
                <w:highlight w:val="none"/>
              </w:rPr>
            </w:pPr>
            <w:r>
              <w:rPr>
                <w:rFonts w:ascii="Times New Roman" w:hAnsi="Times New Roman" w:eastAsiaTheme="minorEastAsia"/>
                <w:snapToGrid w:val="0"/>
                <w:color w:val="auto"/>
                <w:sz w:val="24"/>
                <w:szCs w:val="24"/>
                <w:highlight w:val="none"/>
              </w:rPr>
              <w:t>Ⅵ.危险废物委托处置的环境管理要求</w:t>
            </w:r>
          </w:p>
          <w:p w14:paraId="76704789">
            <w:pPr>
              <w:adjustRightInd w:val="0"/>
              <w:snapToGrid w:val="0"/>
              <w:spacing w:line="360" w:lineRule="auto"/>
              <w:ind w:firstLine="480" w:firstLineChars="200"/>
              <w:rPr>
                <w:rFonts w:ascii="Times New Roman" w:hAnsi="Times New Roman" w:eastAsiaTheme="minorEastAsia"/>
                <w:snapToGrid w:val="0"/>
                <w:color w:val="auto"/>
                <w:sz w:val="24"/>
                <w:szCs w:val="24"/>
                <w:highlight w:val="none"/>
              </w:rPr>
            </w:pPr>
            <w:r>
              <w:rPr>
                <w:rFonts w:ascii="Times New Roman" w:hAnsi="Times New Roman" w:eastAsiaTheme="minorEastAsia"/>
                <w:snapToGrid w:val="0"/>
                <w:color w:val="auto"/>
                <w:sz w:val="24"/>
                <w:szCs w:val="24"/>
                <w:highlight w:val="none"/>
              </w:rPr>
              <w:t>本项目产生的危险废物拟交由有资质的单位处理。在选择处置单位时，应选择具有危险废物经营许可证，资质许可范围包含本项目产生的危险废物类别，能够提供专业收集、运输、贮存、处理处置及综合利用危险废物的企业，避免危险废物对环境的二次污染风险。</w:t>
            </w:r>
          </w:p>
          <w:p w14:paraId="3852E16D">
            <w:pPr>
              <w:pStyle w:val="25"/>
              <w:spacing w:after="0" w:line="360" w:lineRule="auto"/>
              <w:ind w:left="0" w:leftChars="0"/>
              <w:rPr>
                <w:rFonts w:ascii="Times New Roman" w:hAnsi="Times New Roman" w:eastAsiaTheme="minorEastAsia"/>
                <w:color w:val="auto"/>
                <w:szCs w:val="24"/>
                <w:highlight w:val="none"/>
              </w:rPr>
            </w:pPr>
            <w:r>
              <w:rPr>
                <w:rFonts w:ascii="Times New Roman" w:hAnsi="Times New Roman" w:eastAsiaTheme="minorEastAsia"/>
                <w:color w:val="auto"/>
                <w:szCs w:val="24"/>
                <w:highlight w:val="none"/>
              </w:rPr>
              <w:t>企业按照规定制定危废管理计划，建立有危废管里制度及清晰、详细的危废台账，严格执行转移联单制度，未发生过污染事件。通过调整贮存周期，本项目产生的危废依托现有危废贮存的措施是可行的，不会对周围生态环境造成影响。</w:t>
            </w:r>
          </w:p>
          <w:p w14:paraId="4E32E243">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生活垃圾</w:t>
            </w:r>
          </w:p>
          <w:p w14:paraId="4D973FCC">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本项目配备</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名职工，生活垃圾产生为0.3t/a，生活垃圾统一收集后，由环卫部门统一定时清运处理。</w:t>
            </w:r>
          </w:p>
          <w:p w14:paraId="66922793">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因此，本项目固体废物全部得到妥善处置和综合利用，不会对周围环境产生二次污染。</w:t>
            </w:r>
          </w:p>
          <w:p w14:paraId="463591B1">
            <w:pPr>
              <w:topLinePunct/>
              <w:adjustRightInd w:val="0"/>
              <w:snapToGrid w:val="0"/>
              <w:spacing w:line="480" w:lineRule="exact"/>
              <w:ind w:firstLine="482" w:firstLineChars="200"/>
              <w:rPr>
                <w:rFonts w:hint="eastAsia" w:ascii="Times New Roman" w:hAnsi="Times New Roman" w:eastAsiaTheme="minorEastAsia"/>
                <w:b/>
                <w:bCs/>
                <w:color w:val="auto"/>
                <w:sz w:val="24"/>
                <w:szCs w:val="24"/>
                <w:highlight w:val="none"/>
              </w:rPr>
            </w:pPr>
            <w:r>
              <w:rPr>
                <w:rFonts w:hint="eastAsia" w:ascii="Times New Roman" w:hAnsi="Times New Roman" w:eastAsiaTheme="minorEastAsia"/>
                <w:b/>
                <w:bCs/>
                <w:color w:val="auto"/>
                <w:sz w:val="24"/>
                <w:szCs w:val="24"/>
                <w:highlight w:val="none"/>
                <w:lang w:val="en-US" w:eastAsia="zh-CN"/>
              </w:rPr>
              <w:t>5</w:t>
            </w:r>
            <w:r>
              <w:rPr>
                <w:rFonts w:hint="eastAsia" w:ascii="Times New Roman" w:hAnsi="Times New Roman" w:eastAsiaTheme="minorEastAsia"/>
                <w:b/>
                <w:bCs/>
                <w:color w:val="auto"/>
                <w:sz w:val="24"/>
                <w:szCs w:val="24"/>
                <w:highlight w:val="none"/>
              </w:rPr>
              <w:t>、</w:t>
            </w:r>
            <w:r>
              <w:rPr>
                <w:rFonts w:hint="eastAsia" w:ascii="Times New Roman" w:hAnsi="Times New Roman" w:eastAsiaTheme="minorEastAsia"/>
                <w:b/>
                <w:bCs/>
                <w:color w:val="auto"/>
                <w:sz w:val="24"/>
                <w:szCs w:val="24"/>
                <w:highlight w:val="none"/>
                <w:lang w:val="en-US" w:eastAsia="zh-CN"/>
              </w:rPr>
              <w:t>土壤、</w:t>
            </w:r>
            <w:r>
              <w:rPr>
                <w:rFonts w:hint="eastAsia" w:ascii="Times New Roman" w:hAnsi="Times New Roman" w:eastAsiaTheme="minorEastAsia"/>
                <w:b/>
                <w:bCs/>
                <w:color w:val="auto"/>
                <w:sz w:val="24"/>
                <w:szCs w:val="24"/>
                <w:highlight w:val="none"/>
              </w:rPr>
              <w:t>地下水环境</w:t>
            </w:r>
          </w:p>
          <w:p w14:paraId="67360A5A">
            <w:pPr>
              <w:topLinePunct/>
              <w:adjustRightInd w:val="0"/>
              <w:snapToGrid w:val="0"/>
              <w:spacing w:line="480" w:lineRule="exact"/>
              <w:ind w:firstLine="480" w:firstLineChars="200"/>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（1）污染源</w:t>
            </w:r>
          </w:p>
          <w:p w14:paraId="749755F1">
            <w:pPr>
              <w:topLinePunct/>
              <w:adjustRightInd w:val="0"/>
              <w:snapToGrid w:val="0"/>
              <w:spacing w:line="480" w:lineRule="exact"/>
              <w:ind w:firstLine="480" w:firstLineChars="200"/>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本项目危险废物贮存车间内储存废电解液</w:t>
            </w:r>
            <w:r>
              <w:rPr>
                <w:rFonts w:hint="eastAsia" w:ascii="Times New Roman" w:hAnsi="Times New Roman" w:eastAsiaTheme="minorEastAsia"/>
                <w:color w:val="auto"/>
                <w:sz w:val="24"/>
                <w:szCs w:val="24"/>
                <w:highlight w:val="none"/>
                <w:lang w:eastAsia="zh-CN"/>
              </w:rPr>
              <w:t>，</w:t>
            </w:r>
            <w:r>
              <w:rPr>
                <w:rFonts w:hint="eastAsia" w:ascii="Times New Roman" w:hAnsi="Times New Roman" w:eastAsiaTheme="minorEastAsia"/>
                <w:color w:val="auto"/>
                <w:sz w:val="24"/>
                <w:szCs w:val="24"/>
                <w:highlight w:val="none"/>
              </w:rPr>
              <w:t>沾染电解液的废劳保用品、废拖把、废抹布</w:t>
            </w:r>
            <w:r>
              <w:rPr>
                <w:rFonts w:hint="eastAsia" w:ascii="Times New Roman" w:hAnsi="Times New Roman" w:eastAsiaTheme="minorEastAsia"/>
                <w:color w:val="auto"/>
                <w:sz w:val="24"/>
                <w:szCs w:val="24"/>
                <w:highlight w:val="none"/>
                <w:lang w:val="en-US" w:eastAsia="zh-CN"/>
              </w:rPr>
              <w:t>和破损的箱子，</w:t>
            </w:r>
            <w:r>
              <w:rPr>
                <w:rFonts w:hint="eastAsia" w:ascii="Times New Roman" w:hAnsi="Times New Roman" w:eastAsiaTheme="minorEastAsia"/>
                <w:color w:val="auto"/>
                <w:sz w:val="24"/>
                <w:szCs w:val="24"/>
                <w:highlight w:val="none"/>
              </w:rPr>
              <w:t>废喷淋塔吸收液等。</w:t>
            </w:r>
            <w:r>
              <w:rPr>
                <w:rFonts w:hint="eastAsia" w:ascii="Times New Roman" w:hAnsi="Times New Roman"/>
                <w:color w:val="auto"/>
                <w:sz w:val="24"/>
                <w:szCs w:val="24"/>
                <w:highlight w:val="none"/>
                <w:lang w:val="en-US" w:eastAsia="zh-CN"/>
              </w:rPr>
              <w:t>本项目营运期大气污染物主要为硫酸雾废气，在满足本项目废气治理措施的前提下，废气不会外泄，因此不考虑大气沉降途径影响。</w:t>
            </w:r>
            <w:r>
              <w:rPr>
                <w:rFonts w:hint="eastAsia" w:ascii="Times New Roman" w:hAnsi="Times New Roman" w:eastAsiaTheme="minorEastAsia"/>
                <w:color w:val="auto"/>
                <w:sz w:val="24"/>
                <w:szCs w:val="24"/>
                <w:highlight w:val="none"/>
                <w:lang w:val="en-US" w:eastAsia="zh-CN"/>
              </w:rPr>
              <w:t>本项目</w:t>
            </w:r>
            <w:r>
              <w:rPr>
                <w:rFonts w:hint="eastAsia" w:ascii="Times New Roman" w:hAnsi="Times New Roman" w:eastAsiaTheme="minorEastAsia"/>
                <w:color w:val="auto"/>
                <w:sz w:val="24"/>
                <w:szCs w:val="24"/>
                <w:highlight w:val="none"/>
              </w:rPr>
              <w:t>贮存物质泄漏将产生污染物（主要为硫酸</w:t>
            </w:r>
            <w:r>
              <w:rPr>
                <w:rFonts w:hint="eastAsia" w:ascii="Times New Roman" w:hAnsi="Times New Roman" w:eastAsiaTheme="minorEastAsia"/>
                <w:color w:val="auto"/>
                <w:sz w:val="24"/>
                <w:szCs w:val="24"/>
                <w:highlight w:val="none"/>
                <w:lang w:val="en-US" w:eastAsia="zh-CN"/>
              </w:rPr>
              <w:t>和硫酸铅等</w:t>
            </w:r>
            <w:r>
              <w:rPr>
                <w:rFonts w:hint="eastAsia" w:ascii="Times New Roman" w:hAnsi="Times New Roman" w:eastAsiaTheme="minorEastAsia"/>
                <w:color w:val="auto"/>
                <w:sz w:val="24"/>
                <w:szCs w:val="24"/>
                <w:highlight w:val="none"/>
              </w:rPr>
              <w:t>），若危废间内储存设施老化</w:t>
            </w:r>
            <w:r>
              <w:rPr>
                <w:rFonts w:hint="eastAsia" w:ascii="Times New Roman" w:hAnsi="Times New Roman" w:eastAsiaTheme="minorEastAsia"/>
                <w:color w:val="auto"/>
                <w:sz w:val="24"/>
                <w:szCs w:val="24"/>
                <w:highlight w:val="none"/>
                <w:lang w:eastAsia="zh-CN"/>
              </w:rPr>
              <w:t>、</w:t>
            </w:r>
            <w:r>
              <w:rPr>
                <w:rFonts w:hint="eastAsia" w:ascii="Times New Roman" w:hAnsi="Times New Roman" w:eastAsiaTheme="minorEastAsia"/>
                <w:color w:val="auto"/>
                <w:sz w:val="24"/>
                <w:szCs w:val="24"/>
                <w:highlight w:val="none"/>
                <w:lang w:val="en-US" w:eastAsia="zh-CN"/>
              </w:rPr>
              <w:t>事故池破损</w:t>
            </w:r>
            <w:r>
              <w:rPr>
                <w:rFonts w:hint="eastAsia" w:ascii="Times New Roman" w:hAnsi="Times New Roman" w:eastAsiaTheme="minorEastAsia"/>
                <w:color w:val="auto"/>
                <w:sz w:val="24"/>
                <w:szCs w:val="24"/>
                <w:highlight w:val="none"/>
              </w:rPr>
              <w:t>等因素发生污染物泄露</w:t>
            </w:r>
            <w:r>
              <w:rPr>
                <w:rFonts w:hint="eastAsia" w:ascii="Times New Roman" w:hAnsi="Times New Roman" w:eastAsiaTheme="minorEastAsia"/>
                <w:color w:val="auto"/>
                <w:sz w:val="24"/>
                <w:szCs w:val="24"/>
                <w:highlight w:val="none"/>
                <w:lang w:eastAsia="zh-CN"/>
              </w:rPr>
              <w:t>，</w:t>
            </w:r>
            <w:r>
              <w:rPr>
                <w:rFonts w:hint="eastAsia" w:ascii="Times New Roman" w:hAnsi="Times New Roman" w:eastAsiaTheme="minorEastAsia"/>
                <w:color w:val="auto"/>
                <w:sz w:val="24"/>
                <w:szCs w:val="24"/>
                <w:highlight w:val="none"/>
                <w:lang w:val="en-US" w:eastAsia="zh-CN"/>
              </w:rPr>
              <w:t>泄露物质对地面腐蚀</w:t>
            </w:r>
            <w:r>
              <w:rPr>
                <w:rFonts w:hint="eastAsia" w:ascii="Times New Roman" w:hAnsi="Times New Roman" w:eastAsiaTheme="minorEastAsia"/>
                <w:color w:val="auto"/>
                <w:sz w:val="24"/>
                <w:szCs w:val="24"/>
                <w:highlight w:val="none"/>
              </w:rPr>
              <w:t>并渗入地下水中</w:t>
            </w:r>
            <w:r>
              <w:rPr>
                <w:rFonts w:hint="eastAsia" w:ascii="Times New Roman" w:hAnsi="Times New Roman"/>
                <w:color w:val="auto"/>
                <w:sz w:val="24"/>
                <w:szCs w:val="24"/>
                <w:highlight w:val="none"/>
                <w:lang w:val="en-US" w:eastAsia="zh-CN"/>
              </w:rPr>
              <w:t>，</w:t>
            </w:r>
            <w:r>
              <w:rPr>
                <w:rFonts w:hint="eastAsia" w:ascii="Times New Roman" w:hAnsi="Times New Roman" w:eastAsiaTheme="minorEastAsia"/>
                <w:color w:val="auto"/>
                <w:sz w:val="24"/>
                <w:szCs w:val="24"/>
                <w:highlight w:val="none"/>
              </w:rPr>
              <w:t>将会对</w:t>
            </w:r>
            <w:r>
              <w:rPr>
                <w:rFonts w:hint="eastAsia" w:ascii="Times New Roman" w:hAnsi="Times New Roman" w:eastAsiaTheme="minorEastAsia"/>
                <w:color w:val="auto"/>
                <w:sz w:val="24"/>
                <w:szCs w:val="24"/>
                <w:highlight w:val="none"/>
                <w:lang w:val="en-US" w:eastAsia="zh-CN"/>
              </w:rPr>
              <w:t>土壤和</w:t>
            </w:r>
            <w:r>
              <w:rPr>
                <w:rFonts w:hint="eastAsia" w:ascii="Times New Roman" w:hAnsi="Times New Roman" w:eastAsiaTheme="minorEastAsia"/>
                <w:color w:val="auto"/>
                <w:sz w:val="24"/>
                <w:szCs w:val="24"/>
                <w:highlight w:val="none"/>
              </w:rPr>
              <w:t>地下水水质产生一定的影响。</w:t>
            </w:r>
          </w:p>
          <w:p w14:paraId="56986E6E">
            <w:pPr>
              <w:topLinePunct/>
              <w:adjustRightInd w:val="0"/>
              <w:snapToGrid w:val="0"/>
              <w:spacing w:line="480" w:lineRule="exact"/>
              <w:ind w:firstLine="480" w:firstLineChars="200"/>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lang w:eastAsia="zh-CN"/>
              </w:rPr>
              <w:t>（</w:t>
            </w:r>
            <w:r>
              <w:rPr>
                <w:rFonts w:hint="eastAsia" w:ascii="Times New Roman" w:hAnsi="Times New Roman" w:eastAsiaTheme="minorEastAsia"/>
                <w:color w:val="auto"/>
                <w:sz w:val="24"/>
                <w:szCs w:val="24"/>
                <w:highlight w:val="none"/>
                <w:lang w:val="en-US" w:eastAsia="zh-CN"/>
              </w:rPr>
              <w:t>2</w:t>
            </w:r>
            <w:r>
              <w:rPr>
                <w:rFonts w:hint="eastAsia" w:ascii="Times New Roman" w:hAnsi="Times New Roman" w:eastAsiaTheme="minorEastAsia"/>
                <w:color w:val="auto"/>
                <w:sz w:val="24"/>
                <w:szCs w:val="24"/>
                <w:highlight w:val="none"/>
                <w:lang w:eastAsia="zh-CN"/>
              </w:rPr>
              <w:t>）</w:t>
            </w:r>
            <w:r>
              <w:rPr>
                <w:rFonts w:hint="eastAsia" w:ascii="Times New Roman" w:hAnsi="Times New Roman" w:eastAsiaTheme="minorEastAsia"/>
                <w:color w:val="auto"/>
                <w:sz w:val="24"/>
                <w:szCs w:val="24"/>
                <w:highlight w:val="none"/>
              </w:rPr>
              <w:t>环境保护措施及对策</w:t>
            </w:r>
          </w:p>
          <w:p w14:paraId="0751DD88">
            <w:pPr>
              <w:topLinePunct/>
              <w:adjustRightInd w:val="0"/>
              <w:snapToGrid w:val="0"/>
              <w:spacing w:line="480" w:lineRule="exact"/>
              <w:ind w:firstLine="480" w:firstLineChars="200"/>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针对项目区可能发生的</w:t>
            </w:r>
            <w:r>
              <w:rPr>
                <w:rFonts w:hint="eastAsia" w:ascii="Times New Roman" w:hAnsi="Times New Roman" w:eastAsiaTheme="minorEastAsia"/>
                <w:color w:val="auto"/>
                <w:sz w:val="24"/>
                <w:szCs w:val="24"/>
                <w:highlight w:val="none"/>
                <w:lang w:val="en-US" w:eastAsia="zh-CN"/>
              </w:rPr>
              <w:t>土壤、</w:t>
            </w:r>
            <w:r>
              <w:rPr>
                <w:rFonts w:hint="eastAsia" w:ascii="Times New Roman" w:hAnsi="Times New Roman" w:eastAsiaTheme="minorEastAsia"/>
                <w:color w:val="auto"/>
                <w:sz w:val="24"/>
                <w:szCs w:val="24"/>
                <w:highlight w:val="none"/>
              </w:rPr>
              <w:t>地下水污染，污染防治措施按照“源头控制、末端防治、污染监控、应急响应”相结合的原则，从污染物的产生、入渗、扩散、应急响应全阶段进行控制。</w:t>
            </w:r>
          </w:p>
          <w:p w14:paraId="6B3E20F1">
            <w:pPr>
              <w:topLinePunct/>
              <w:adjustRightInd w:val="0"/>
              <w:snapToGrid w:val="0"/>
              <w:spacing w:line="480" w:lineRule="exact"/>
              <w:ind w:firstLine="480" w:firstLineChars="200"/>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①源头控制措施</w:t>
            </w:r>
          </w:p>
          <w:p w14:paraId="1BE5FEFB">
            <w:pPr>
              <w:topLinePunct/>
              <w:adjustRightInd w:val="0"/>
              <w:snapToGrid w:val="0"/>
              <w:spacing w:line="480" w:lineRule="exact"/>
              <w:ind w:firstLine="480" w:firstLineChars="200"/>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lang w:val="en-US" w:eastAsia="zh-CN"/>
              </w:rPr>
              <w:t>a)</w:t>
            </w:r>
            <w:r>
              <w:rPr>
                <w:rFonts w:hint="eastAsia" w:ascii="Times New Roman" w:hAnsi="Times New Roman" w:eastAsiaTheme="minorEastAsia"/>
                <w:color w:val="auto"/>
                <w:sz w:val="24"/>
                <w:szCs w:val="24"/>
                <w:highlight w:val="none"/>
              </w:rPr>
              <w:t>贮存车间地面作防渗防腐处理。禁止在项目区内任意设置排污口，实施全封闭，防止流入环境中。</w:t>
            </w:r>
          </w:p>
          <w:p w14:paraId="612DDB14">
            <w:pPr>
              <w:topLinePunct/>
              <w:adjustRightInd w:val="0"/>
              <w:snapToGrid w:val="0"/>
              <w:spacing w:line="480" w:lineRule="exact"/>
              <w:ind w:firstLine="480" w:firstLineChars="200"/>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lang w:val="en-US" w:eastAsia="zh-CN"/>
              </w:rPr>
              <w:t>b)</w:t>
            </w:r>
            <w:r>
              <w:rPr>
                <w:rFonts w:hint="eastAsia" w:ascii="Times New Roman" w:hAnsi="Times New Roman" w:eastAsiaTheme="minorEastAsia"/>
                <w:color w:val="auto"/>
                <w:sz w:val="24"/>
                <w:szCs w:val="24"/>
                <w:highlight w:val="none"/>
              </w:rPr>
              <w:t>为了防止突发事故，污染物外泄，造成对环境的污染，项目区应设置专门报警系统，一旦有事故发生，可及时发现以便做出相应措施。</w:t>
            </w:r>
          </w:p>
          <w:p w14:paraId="0B418912">
            <w:pPr>
              <w:spacing w:line="480" w:lineRule="exact"/>
              <w:ind w:firstLine="480" w:firstLineChars="200"/>
              <w:rPr>
                <w:rFonts w:hint="eastAsia" w:ascii="Times New Roman" w:hAnsi="Times New Roman"/>
                <w:color w:val="auto"/>
                <w:sz w:val="24"/>
                <w:szCs w:val="24"/>
                <w:highlight w:val="none"/>
                <w:lang w:val="en-US" w:eastAsia="zh-CN"/>
              </w:rPr>
            </w:pPr>
            <w:r>
              <w:rPr>
                <w:rFonts w:hint="eastAsia" w:ascii="Times New Roman" w:hAnsi="Times New Roman" w:eastAsiaTheme="minorEastAsia"/>
                <w:color w:val="auto"/>
                <w:sz w:val="24"/>
                <w:szCs w:val="24"/>
                <w:highlight w:val="none"/>
                <w:lang w:val="en-US" w:eastAsia="zh-CN"/>
              </w:rPr>
              <w:t>c)</w:t>
            </w:r>
            <w:r>
              <w:rPr>
                <w:rFonts w:hint="eastAsia" w:ascii="Times New Roman" w:hAnsi="Times New Roman"/>
                <w:color w:val="auto"/>
                <w:sz w:val="24"/>
                <w:szCs w:val="24"/>
                <w:highlight w:val="none"/>
                <w:lang w:val="en-US" w:eastAsia="zh-CN"/>
              </w:rPr>
              <w:t>贮存车间设导流沟和收集池，并均采取防渗、防腐措施，导流沟与收集池连接。采取上述措施后，可防控事故的废液发生地面漫流，进入土壤。</w:t>
            </w:r>
          </w:p>
          <w:p w14:paraId="07871CA2">
            <w:pPr>
              <w:topLinePunct/>
              <w:adjustRightInd w:val="0"/>
              <w:snapToGrid w:val="0"/>
              <w:spacing w:line="480" w:lineRule="exact"/>
              <w:ind w:firstLine="480" w:firstLineChars="200"/>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②项目厂区污染防渗分区及防渗措施</w:t>
            </w:r>
          </w:p>
          <w:p w14:paraId="62E445B1">
            <w:pPr>
              <w:topLinePunct/>
              <w:adjustRightInd w:val="0"/>
              <w:snapToGrid w:val="0"/>
              <w:spacing w:line="480" w:lineRule="exact"/>
              <w:ind w:firstLine="480" w:firstLineChars="200"/>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本项目防渗以主动防渗措施为主，被动防渗措施为辅，人工防渗和自然防渗条件保护相结合，防止</w:t>
            </w:r>
            <w:r>
              <w:rPr>
                <w:rFonts w:hint="eastAsia" w:ascii="Times New Roman" w:hAnsi="Times New Roman" w:eastAsiaTheme="minorEastAsia"/>
                <w:color w:val="auto"/>
                <w:sz w:val="24"/>
                <w:szCs w:val="24"/>
                <w:highlight w:val="none"/>
                <w:lang w:val="en-US" w:eastAsia="zh-CN"/>
              </w:rPr>
              <w:t>土壤和</w:t>
            </w:r>
            <w:r>
              <w:rPr>
                <w:rFonts w:hint="eastAsia" w:ascii="Times New Roman" w:hAnsi="Times New Roman" w:eastAsiaTheme="minorEastAsia"/>
                <w:color w:val="auto"/>
                <w:sz w:val="24"/>
                <w:szCs w:val="24"/>
                <w:highlight w:val="none"/>
              </w:rPr>
              <w:t>地下水受到污染。</w:t>
            </w:r>
          </w:p>
          <w:p w14:paraId="5B9E8E7E">
            <w:pPr>
              <w:topLinePunct/>
              <w:adjustRightInd w:val="0"/>
              <w:snapToGrid w:val="0"/>
              <w:spacing w:line="480" w:lineRule="exact"/>
              <w:ind w:firstLine="480" w:firstLineChars="200"/>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根据厂区可能泄漏至地面区域污染物的性质和生产单元的位置及构筑方式，本次评价将车间内生产单元全部划分为重点防渗区。</w:t>
            </w:r>
          </w:p>
          <w:p w14:paraId="35C030EE">
            <w:pPr>
              <w:topLinePunct/>
              <w:adjustRightInd w:val="0"/>
              <w:snapToGrid w:val="0"/>
              <w:spacing w:line="480" w:lineRule="exact"/>
              <w:ind w:firstLine="480" w:firstLineChars="200"/>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③ 防渗措施</w:t>
            </w:r>
          </w:p>
          <w:p w14:paraId="3C17CC4A">
            <w:pPr>
              <w:topLinePunct/>
              <w:adjustRightInd w:val="0"/>
              <w:snapToGrid w:val="0"/>
              <w:spacing w:line="480" w:lineRule="exact"/>
              <w:ind w:firstLine="480" w:firstLineChars="200"/>
              <w:rPr>
                <w:rFonts w:hint="default" w:ascii="Times New Roman" w:hAnsi="Times New Roman" w:eastAsiaTheme="minorEastAsia"/>
                <w:color w:val="auto"/>
                <w:sz w:val="24"/>
                <w:szCs w:val="24"/>
                <w:highlight w:val="none"/>
                <w:lang w:val="en-US" w:eastAsia="zh-CN"/>
              </w:rPr>
            </w:pPr>
            <w:r>
              <w:rPr>
                <w:rFonts w:hint="eastAsia" w:ascii="Times New Roman" w:hAnsi="Times New Roman" w:eastAsiaTheme="minorEastAsia"/>
                <w:color w:val="auto"/>
                <w:sz w:val="24"/>
                <w:szCs w:val="24"/>
                <w:highlight w:val="none"/>
              </w:rPr>
              <w:t>根据项目建设情况，本厂区设计具体防渗措施见下表</w:t>
            </w:r>
            <w:r>
              <w:rPr>
                <w:rFonts w:hint="eastAsia" w:ascii="Times New Roman" w:hAnsi="Times New Roman" w:eastAsiaTheme="minorEastAsia"/>
                <w:color w:val="auto"/>
                <w:sz w:val="24"/>
                <w:szCs w:val="24"/>
                <w:highlight w:val="none"/>
                <w:lang w:eastAsia="zh-CN"/>
              </w:rPr>
              <w:t>，</w:t>
            </w:r>
            <w:r>
              <w:rPr>
                <w:rFonts w:hint="eastAsia" w:ascii="Times New Roman" w:hAnsi="Times New Roman" w:eastAsiaTheme="minorEastAsia"/>
                <w:color w:val="auto"/>
                <w:sz w:val="24"/>
                <w:szCs w:val="24"/>
                <w:highlight w:val="none"/>
                <w:lang w:val="en-US" w:eastAsia="zh-CN"/>
              </w:rPr>
              <w:t>厂区分区防渗图见下图。</w:t>
            </w:r>
          </w:p>
          <w:p w14:paraId="6A789D18">
            <w:pPr>
              <w:topLinePunct/>
              <w:adjustRightInd w:val="0"/>
              <w:snapToGrid w:val="0"/>
              <w:spacing w:line="480" w:lineRule="exact"/>
              <w:jc w:val="center"/>
              <w:rPr>
                <w:rFonts w:ascii="Times New Roman" w:hAnsi="Times New Roman" w:eastAsiaTheme="minorEastAsia"/>
                <w:color w:val="auto"/>
                <w:sz w:val="24"/>
                <w:szCs w:val="24"/>
                <w:highlight w:val="none"/>
              </w:rPr>
            </w:pPr>
          </w:p>
          <w:p w14:paraId="7DE322D9">
            <w:pPr>
              <w:topLinePunct/>
              <w:adjustRightInd w:val="0"/>
              <w:snapToGrid w:val="0"/>
              <w:spacing w:line="480" w:lineRule="exact"/>
              <w:jc w:val="center"/>
              <w:rPr>
                <w:rFonts w:ascii="Times New Roman" w:hAnsi="Times New Roman" w:eastAsiaTheme="minorEastAsia"/>
                <w:color w:val="auto"/>
                <w:sz w:val="24"/>
                <w:szCs w:val="24"/>
                <w:highlight w:val="none"/>
              </w:rPr>
            </w:pPr>
          </w:p>
          <w:p w14:paraId="56A2FEBA">
            <w:pPr>
              <w:topLinePunct/>
              <w:adjustRightInd w:val="0"/>
              <w:snapToGrid w:val="0"/>
              <w:spacing w:line="480" w:lineRule="exact"/>
              <w:jc w:val="center"/>
              <w:rPr>
                <w:rFonts w:ascii="Times New Roman" w:hAnsi="Times New Roman" w:eastAsiaTheme="minorEastAsia"/>
                <w:color w:val="auto"/>
                <w:sz w:val="24"/>
                <w:szCs w:val="24"/>
                <w:highlight w:val="none"/>
              </w:rPr>
            </w:pPr>
          </w:p>
          <w:p w14:paraId="26ABD76C">
            <w:pPr>
              <w:topLinePunct/>
              <w:adjustRightInd w:val="0"/>
              <w:snapToGrid w:val="0"/>
              <w:spacing w:line="480" w:lineRule="exact"/>
              <w:jc w:val="center"/>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表4-</w:t>
            </w:r>
            <w:r>
              <w:rPr>
                <w:rFonts w:hint="eastAsia" w:ascii="Times New Roman" w:hAnsi="Times New Roman" w:eastAsiaTheme="minorEastAsia"/>
                <w:color w:val="auto"/>
                <w:sz w:val="24"/>
                <w:szCs w:val="24"/>
                <w:highlight w:val="none"/>
                <w:lang w:val="en-US" w:eastAsia="zh-CN"/>
              </w:rPr>
              <w:t>11</w:t>
            </w:r>
            <w:r>
              <w:rPr>
                <w:rFonts w:ascii="Times New Roman" w:hAnsi="Times New Roman" w:eastAsiaTheme="minorEastAsia"/>
                <w:color w:val="auto"/>
                <w:sz w:val="24"/>
                <w:szCs w:val="24"/>
                <w:highlight w:val="none"/>
              </w:rPr>
              <w:t xml:space="preserve">  </w:t>
            </w:r>
            <w:r>
              <w:rPr>
                <w:rFonts w:hint="eastAsia" w:ascii="Times New Roman" w:hAnsi="Times New Roman" w:eastAsiaTheme="minorEastAsia"/>
                <w:color w:val="auto"/>
                <w:sz w:val="24"/>
                <w:szCs w:val="24"/>
                <w:highlight w:val="none"/>
                <w:lang w:val="en-US" w:eastAsia="zh-CN"/>
              </w:rPr>
              <w:t>项目污染分区及采取的防腐、防渗措施一览表</w:t>
            </w:r>
          </w:p>
          <w:tbl>
            <w:tblPr>
              <w:tblStyle w:val="31"/>
              <w:tblW w:w="496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543"/>
              <w:gridCol w:w="1072"/>
              <w:gridCol w:w="1518"/>
              <w:gridCol w:w="3613"/>
            </w:tblGrid>
            <w:tr w14:paraId="189E37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366" w:type="pct"/>
                  <w:vAlign w:val="center"/>
                </w:tcPr>
                <w:p w14:paraId="36573E5E">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序号</w:t>
                  </w:r>
                </w:p>
              </w:tc>
              <w:tc>
                <w:tcPr>
                  <w:tcW w:w="923" w:type="pct"/>
                  <w:vAlign w:val="center"/>
                </w:tcPr>
                <w:p w14:paraId="11C6B222">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lang w:val="en-US" w:eastAsia="zh-CN"/>
                    </w:rPr>
                    <w:t>单元</w:t>
                  </w:r>
                  <w:r>
                    <w:rPr>
                      <w:rFonts w:ascii="Times New Roman" w:hAnsi="Times New Roman" w:eastAsiaTheme="minorEastAsia"/>
                      <w:color w:val="auto"/>
                      <w:szCs w:val="21"/>
                      <w:highlight w:val="none"/>
                    </w:rPr>
                    <w:t>名称</w:t>
                  </w:r>
                </w:p>
              </w:tc>
              <w:tc>
                <w:tcPr>
                  <w:tcW w:w="641" w:type="pct"/>
                  <w:vAlign w:val="center"/>
                </w:tcPr>
                <w:p w14:paraId="14347CC1">
                  <w:pPr>
                    <w:wordWrap w:val="0"/>
                    <w:topLinePunct/>
                    <w:adjustRightInd w:val="0"/>
                    <w:snapToGrid w:val="0"/>
                    <w:ind w:left="-105" w:leftChars="-50" w:right="-105" w:rightChars="-50"/>
                    <w:jc w:val="center"/>
                    <w:rPr>
                      <w:rFonts w:hint="default" w:ascii="Times New Roman" w:hAnsi="Times New Roman" w:eastAsiaTheme="minorEastAsia"/>
                      <w:color w:val="auto"/>
                      <w:kern w:val="0"/>
                      <w:szCs w:val="21"/>
                      <w:highlight w:val="none"/>
                      <w:lang w:val="en-US" w:eastAsia="zh-CN"/>
                    </w:rPr>
                  </w:pPr>
                  <w:r>
                    <w:rPr>
                      <w:rFonts w:hint="eastAsia" w:ascii="Times New Roman" w:hAnsi="Times New Roman" w:eastAsiaTheme="minorEastAsia"/>
                      <w:color w:val="auto"/>
                      <w:kern w:val="0"/>
                      <w:szCs w:val="21"/>
                      <w:highlight w:val="none"/>
                      <w:lang w:val="en-US" w:eastAsia="zh-CN"/>
                    </w:rPr>
                    <w:t>防渗分区类别</w:t>
                  </w:r>
                </w:p>
              </w:tc>
              <w:tc>
                <w:tcPr>
                  <w:tcW w:w="908" w:type="pct"/>
                  <w:vAlign w:val="center"/>
                </w:tcPr>
                <w:p w14:paraId="0F098D78">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污染防治区域及部位</w:t>
                  </w:r>
                </w:p>
              </w:tc>
              <w:tc>
                <w:tcPr>
                  <w:tcW w:w="2161" w:type="pct"/>
                  <w:vAlign w:val="center"/>
                </w:tcPr>
                <w:p w14:paraId="2BF0A03F">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防渗措施</w:t>
                  </w:r>
                </w:p>
              </w:tc>
            </w:tr>
            <w:tr w14:paraId="46CE08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366" w:type="pct"/>
                  <w:vMerge w:val="restart"/>
                  <w:vAlign w:val="center"/>
                </w:tcPr>
                <w:p w14:paraId="497B5854">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lang w:eastAsia="zh-CN"/>
                    </w:rPr>
                  </w:pPr>
                  <w:r>
                    <w:rPr>
                      <w:rFonts w:hint="eastAsia" w:ascii="Times New Roman" w:hAnsi="Times New Roman" w:eastAsiaTheme="minorEastAsia"/>
                      <w:color w:val="auto"/>
                      <w:szCs w:val="21"/>
                      <w:highlight w:val="none"/>
                      <w:lang w:val="en-US" w:eastAsia="zh-CN"/>
                    </w:rPr>
                    <w:t>1</w:t>
                  </w:r>
                </w:p>
              </w:tc>
              <w:tc>
                <w:tcPr>
                  <w:tcW w:w="923" w:type="pct"/>
                  <w:vAlign w:val="center"/>
                </w:tcPr>
                <w:p w14:paraId="54F21FF0">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lang w:eastAsia="zh-CN"/>
                    </w:rPr>
                  </w:pPr>
                  <w:r>
                    <w:rPr>
                      <w:rFonts w:hint="eastAsia" w:ascii="Times New Roman" w:hAnsi="Times New Roman" w:eastAsiaTheme="minorEastAsia"/>
                      <w:color w:val="auto"/>
                      <w:szCs w:val="21"/>
                      <w:highlight w:val="none"/>
                    </w:rPr>
                    <w:t>贮存车间（包括卸车区、暂存区）</w:t>
                  </w:r>
                  <w:r>
                    <w:rPr>
                      <w:rFonts w:hint="eastAsia" w:ascii="Times New Roman" w:hAnsi="Times New Roman" w:eastAsiaTheme="minorEastAsia"/>
                      <w:color w:val="auto"/>
                      <w:szCs w:val="21"/>
                      <w:highlight w:val="none"/>
                      <w:lang w:eastAsia="zh-CN"/>
                    </w:rPr>
                    <w:t>、</w:t>
                  </w:r>
                  <w:r>
                    <w:rPr>
                      <w:rFonts w:hint="eastAsia" w:ascii="Times New Roman" w:hAnsi="Times New Roman" w:eastAsiaTheme="minorEastAsia"/>
                      <w:color w:val="auto"/>
                      <w:szCs w:val="21"/>
                      <w:highlight w:val="none"/>
                    </w:rPr>
                    <w:t>导流沟</w:t>
                  </w:r>
                </w:p>
              </w:tc>
              <w:tc>
                <w:tcPr>
                  <w:tcW w:w="641" w:type="pct"/>
                  <w:vMerge w:val="restart"/>
                  <w:vAlign w:val="center"/>
                </w:tcPr>
                <w:p w14:paraId="2453F96C">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重点防渗</w:t>
                  </w:r>
                </w:p>
              </w:tc>
              <w:tc>
                <w:tcPr>
                  <w:tcW w:w="908" w:type="pct"/>
                  <w:vAlign w:val="center"/>
                </w:tcPr>
                <w:p w14:paraId="066B0A87">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地面及裙角</w:t>
                  </w:r>
                </w:p>
              </w:tc>
              <w:tc>
                <w:tcPr>
                  <w:tcW w:w="2161" w:type="pct"/>
                  <w:vAlign w:val="center"/>
                </w:tcPr>
                <w:p w14:paraId="03117DA7">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在水泥地面上</w:t>
                  </w:r>
                  <w:r>
                    <w:rPr>
                      <w:rFonts w:hint="eastAsia" w:ascii="Times New Roman" w:hAnsi="Times New Roman" w:eastAsiaTheme="minorEastAsia"/>
                      <w:color w:val="auto"/>
                      <w:spacing w:val="-6"/>
                      <w:szCs w:val="21"/>
                      <w:highlight w:val="none"/>
                      <w:lang w:val="en-US" w:eastAsia="zh-CN"/>
                    </w:rPr>
                    <w:t>涂</w:t>
                  </w:r>
                  <w:r>
                    <w:rPr>
                      <w:rFonts w:ascii="Times New Roman" w:hAnsi="Times New Roman" w:eastAsiaTheme="minorEastAsia"/>
                      <w:color w:val="auto"/>
                      <w:spacing w:val="-6"/>
                      <w:szCs w:val="21"/>
                      <w:highlight w:val="none"/>
                    </w:rPr>
                    <w:t>厚度不小于2mm的</w:t>
                  </w:r>
                  <w:r>
                    <w:rPr>
                      <w:rFonts w:hint="eastAsia" w:ascii="Times New Roman" w:hAnsi="Times New Roman" w:eastAsiaTheme="minorEastAsia"/>
                      <w:color w:val="auto"/>
                      <w:spacing w:val="-6"/>
                      <w:szCs w:val="21"/>
                      <w:highlight w:val="none"/>
                      <w:lang w:val="en-US" w:eastAsia="zh-CN"/>
                    </w:rPr>
                    <w:t>防水涂料</w:t>
                  </w:r>
                  <w:r>
                    <w:rPr>
                      <w:rFonts w:hint="eastAsia" w:ascii="Times New Roman" w:hAnsi="Times New Roman" w:eastAsiaTheme="minorEastAsia"/>
                      <w:color w:val="auto"/>
                      <w:szCs w:val="21"/>
                      <w:highlight w:val="none"/>
                      <w:lang w:val="en-US" w:eastAsia="zh-CN"/>
                    </w:rPr>
                    <w:t>，防渗结构层渗透系数不应大于1.0×10</w:t>
                  </w:r>
                  <w:r>
                    <w:rPr>
                      <w:rFonts w:hint="eastAsia" w:ascii="Times New Roman" w:hAnsi="Times New Roman" w:eastAsiaTheme="minorEastAsia"/>
                      <w:color w:val="auto"/>
                      <w:szCs w:val="21"/>
                      <w:highlight w:val="none"/>
                      <w:vertAlign w:val="superscript"/>
                      <w:lang w:val="en-US" w:eastAsia="zh-CN"/>
                    </w:rPr>
                    <w:t>-10</w:t>
                  </w:r>
                  <w:r>
                    <w:rPr>
                      <w:rFonts w:hint="eastAsia" w:ascii="Times New Roman" w:hAnsi="Times New Roman" w:eastAsiaTheme="minorEastAsia"/>
                      <w:color w:val="auto"/>
                      <w:szCs w:val="21"/>
                      <w:highlight w:val="none"/>
                      <w:lang w:val="en-US" w:eastAsia="zh-CN"/>
                    </w:rPr>
                    <w:t>cm/s，并采用环氧树脂防腐</w:t>
                  </w:r>
                </w:p>
              </w:tc>
            </w:tr>
            <w:tr w14:paraId="4D6DD2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366" w:type="pct"/>
                  <w:vMerge w:val="continue"/>
                  <w:vAlign w:val="center"/>
                </w:tcPr>
                <w:p w14:paraId="6C2D47E0">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lang w:eastAsia="zh-CN"/>
                    </w:rPr>
                  </w:pPr>
                </w:p>
              </w:tc>
              <w:tc>
                <w:tcPr>
                  <w:tcW w:w="923" w:type="pct"/>
                  <w:vAlign w:val="center"/>
                </w:tcPr>
                <w:p w14:paraId="24E1F4E1">
                  <w:pPr>
                    <w:widowControl/>
                    <w:jc w:val="center"/>
                    <w:rPr>
                      <w:rFonts w:hint="eastAsia" w:ascii="Times New Roman" w:hAnsi="Times New Roman" w:eastAsiaTheme="minorEastAsia"/>
                      <w:color w:val="auto"/>
                      <w:szCs w:val="21"/>
                      <w:highlight w:val="none"/>
                      <w:lang w:eastAsia="zh-CN"/>
                    </w:rPr>
                  </w:pPr>
                  <w:r>
                    <w:rPr>
                      <w:rFonts w:hint="eastAsia" w:ascii="Times New Roman" w:hAnsi="Times New Roman" w:eastAsiaTheme="minorEastAsia"/>
                      <w:color w:val="auto"/>
                      <w:szCs w:val="21"/>
                      <w:highlight w:val="none"/>
                    </w:rPr>
                    <w:t>收集</w:t>
                  </w:r>
                  <w:r>
                    <w:rPr>
                      <w:rFonts w:hint="eastAsia" w:ascii="Times New Roman" w:hAnsi="Times New Roman" w:eastAsiaTheme="minorEastAsia"/>
                      <w:color w:val="auto"/>
                      <w:szCs w:val="21"/>
                      <w:highlight w:val="none"/>
                      <w:lang w:val="en-US" w:eastAsia="zh-CN"/>
                    </w:rPr>
                    <w:t>池、消防废水池</w:t>
                  </w:r>
                </w:p>
              </w:tc>
              <w:tc>
                <w:tcPr>
                  <w:tcW w:w="641" w:type="pct"/>
                  <w:vMerge w:val="continue"/>
                  <w:vAlign w:val="center"/>
                </w:tcPr>
                <w:p w14:paraId="10FADFDD">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p>
              </w:tc>
              <w:tc>
                <w:tcPr>
                  <w:tcW w:w="908" w:type="pct"/>
                  <w:vAlign w:val="center"/>
                </w:tcPr>
                <w:p w14:paraId="052B6C06">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lang w:eastAsia="zh-CN"/>
                    </w:rPr>
                  </w:pPr>
                  <w:r>
                    <w:rPr>
                      <w:rFonts w:hint="eastAsia" w:ascii="Times New Roman" w:hAnsi="Times New Roman" w:eastAsiaTheme="minorEastAsia"/>
                      <w:color w:val="auto"/>
                      <w:szCs w:val="21"/>
                      <w:highlight w:val="none"/>
                    </w:rPr>
                    <w:t>沟内、池底及池壁</w:t>
                  </w:r>
                </w:p>
              </w:tc>
              <w:tc>
                <w:tcPr>
                  <w:tcW w:w="2161" w:type="pct"/>
                  <w:vAlign w:val="center"/>
                </w:tcPr>
                <w:p w14:paraId="3DEA29C5">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pacing w:val="-6"/>
                      <w:szCs w:val="21"/>
                      <w:highlight w:val="none"/>
                      <w:lang w:val="en-US" w:eastAsia="zh-CN"/>
                    </w:rPr>
                    <w:t>收集池、</w:t>
                  </w:r>
                  <w:r>
                    <w:rPr>
                      <w:rFonts w:hint="eastAsia" w:ascii="Times New Roman" w:hAnsi="Times New Roman" w:eastAsiaTheme="minorEastAsia"/>
                      <w:color w:val="auto"/>
                      <w:spacing w:val="-6"/>
                      <w:szCs w:val="21"/>
                      <w:highlight w:val="none"/>
                    </w:rPr>
                    <w:t>消防</w:t>
                  </w:r>
                  <w:r>
                    <w:rPr>
                      <w:rFonts w:hint="eastAsia" w:ascii="Times New Roman" w:hAnsi="Times New Roman" w:eastAsiaTheme="minorEastAsia"/>
                      <w:color w:val="auto"/>
                      <w:spacing w:val="-6"/>
                      <w:szCs w:val="21"/>
                      <w:highlight w:val="none"/>
                      <w:lang w:val="en-US" w:eastAsia="zh-CN"/>
                    </w:rPr>
                    <w:t>废水池采用</w:t>
                  </w:r>
                  <w:r>
                    <w:rPr>
                      <w:rFonts w:hint="eastAsia"/>
                      <w:color w:val="auto"/>
                      <w:highlight w:val="none"/>
                      <w:lang w:val="en-US" w:eastAsia="zh-CN"/>
                    </w:rPr>
                    <w:t>防渗水泥+玻璃钢防腐（三布五油）</w:t>
                  </w:r>
                  <w:r>
                    <w:rPr>
                      <w:rFonts w:hint="eastAsia" w:ascii="Times New Roman" w:hAnsi="Times New Roman" w:eastAsiaTheme="minorEastAsia"/>
                      <w:color w:val="auto"/>
                      <w:spacing w:val="-6"/>
                      <w:szCs w:val="21"/>
                      <w:highlight w:val="none"/>
                      <w:lang w:val="en-US" w:eastAsia="zh-CN"/>
                    </w:rPr>
                    <w:t>，</w:t>
                  </w:r>
                  <w:r>
                    <w:rPr>
                      <w:rFonts w:hint="eastAsia" w:ascii="Times New Roman" w:hAnsi="Times New Roman" w:eastAsiaTheme="minorEastAsia"/>
                      <w:color w:val="auto"/>
                      <w:spacing w:val="-6"/>
                      <w:szCs w:val="21"/>
                      <w:highlight w:val="none"/>
                    </w:rPr>
                    <w:t>防渗结构层渗透系数不应大于</w:t>
                  </w:r>
                  <w:r>
                    <w:rPr>
                      <w:rFonts w:ascii="Times New Roman" w:hAnsi="Times New Roman" w:eastAsiaTheme="minorEastAsia"/>
                      <w:color w:val="auto"/>
                      <w:spacing w:val="-6"/>
                      <w:szCs w:val="21"/>
                      <w:highlight w:val="none"/>
                    </w:rPr>
                    <w:t>1.0</w:t>
                  </w:r>
                  <w:r>
                    <w:rPr>
                      <w:rFonts w:hint="eastAsia" w:ascii="Times New Roman" w:hAnsi="Times New Roman" w:eastAsiaTheme="minorEastAsia"/>
                      <w:color w:val="auto"/>
                      <w:spacing w:val="-6"/>
                      <w:szCs w:val="21"/>
                      <w:highlight w:val="none"/>
                    </w:rPr>
                    <w:t>×</w:t>
                  </w:r>
                  <w:r>
                    <w:rPr>
                      <w:rFonts w:ascii="Times New Roman" w:hAnsi="Times New Roman" w:eastAsiaTheme="minorEastAsia"/>
                      <w:color w:val="auto"/>
                      <w:spacing w:val="-6"/>
                      <w:szCs w:val="21"/>
                      <w:highlight w:val="none"/>
                    </w:rPr>
                    <w:t>10</w:t>
                  </w:r>
                  <w:r>
                    <w:rPr>
                      <w:rFonts w:ascii="Times New Roman" w:hAnsi="Times New Roman" w:eastAsiaTheme="minorEastAsia"/>
                      <w:color w:val="auto"/>
                      <w:spacing w:val="-6"/>
                      <w:szCs w:val="21"/>
                      <w:highlight w:val="none"/>
                      <w:vertAlign w:val="superscript"/>
                    </w:rPr>
                    <w:t>-10</w:t>
                  </w:r>
                  <w:r>
                    <w:rPr>
                      <w:rFonts w:ascii="Times New Roman" w:hAnsi="Times New Roman" w:eastAsiaTheme="minorEastAsia"/>
                      <w:color w:val="auto"/>
                      <w:spacing w:val="-6"/>
                      <w:szCs w:val="21"/>
                      <w:highlight w:val="none"/>
                    </w:rPr>
                    <w:t xml:space="preserve"> cm/s</w:t>
                  </w:r>
                  <w:r>
                    <w:rPr>
                      <w:rFonts w:hint="eastAsia" w:ascii="Times New Roman" w:hAnsi="Times New Roman" w:eastAsiaTheme="minorEastAsia"/>
                      <w:color w:val="auto"/>
                      <w:spacing w:val="-6"/>
                      <w:szCs w:val="21"/>
                      <w:highlight w:val="none"/>
                    </w:rPr>
                    <w:t>。</w:t>
                  </w:r>
                </w:p>
              </w:tc>
            </w:tr>
            <w:tr w14:paraId="70A78B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366" w:type="pct"/>
                  <w:vAlign w:val="center"/>
                </w:tcPr>
                <w:p w14:paraId="389558BC">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2</w:t>
                  </w:r>
                </w:p>
              </w:tc>
              <w:tc>
                <w:tcPr>
                  <w:tcW w:w="923" w:type="pct"/>
                  <w:vAlign w:val="center"/>
                </w:tcPr>
                <w:p w14:paraId="02E8D56D">
                  <w:pPr>
                    <w:widowControl/>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停车区及车辆进出区域、</w:t>
                  </w:r>
                </w:p>
              </w:tc>
              <w:tc>
                <w:tcPr>
                  <w:tcW w:w="641" w:type="pct"/>
                  <w:vAlign w:val="center"/>
                </w:tcPr>
                <w:p w14:paraId="254E57E5">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一般防渗</w:t>
                  </w:r>
                </w:p>
              </w:tc>
              <w:tc>
                <w:tcPr>
                  <w:tcW w:w="908" w:type="pct"/>
                  <w:vAlign w:val="center"/>
                </w:tcPr>
                <w:p w14:paraId="58F39170">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地面</w:t>
                  </w:r>
                </w:p>
              </w:tc>
              <w:tc>
                <w:tcPr>
                  <w:tcW w:w="2161" w:type="pct"/>
                  <w:vAlign w:val="center"/>
                </w:tcPr>
                <w:p w14:paraId="080B1B91">
                  <w:pPr>
                    <w:wordWrap w:val="0"/>
                    <w:topLinePunct/>
                    <w:adjustRightInd w:val="0"/>
                    <w:snapToGrid w:val="0"/>
                    <w:ind w:left="-105" w:leftChars="-50" w:right="-105" w:rightChars="-5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lang w:val="en-US" w:eastAsia="zh-CN"/>
                    </w:rPr>
                    <w:t>在水泥地面硬化，防渗结构层渗透系数不应大于1.0×10</w:t>
                  </w:r>
                  <w:r>
                    <w:rPr>
                      <w:rFonts w:hint="eastAsia" w:ascii="Times New Roman" w:hAnsi="Times New Roman" w:eastAsiaTheme="minorEastAsia"/>
                      <w:color w:val="auto"/>
                      <w:szCs w:val="21"/>
                      <w:highlight w:val="none"/>
                      <w:vertAlign w:val="superscript"/>
                      <w:lang w:val="en-US" w:eastAsia="zh-CN"/>
                    </w:rPr>
                    <w:t>-7</w:t>
                  </w:r>
                  <w:r>
                    <w:rPr>
                      <w:rFonts w:hint="eastAsia" w:ascii="Times New Roman" w:hAnsi="Times New Roman" w:eastAsiaTheme="minorEastAsia"/>
                      <w:color w:val="auto"/>
                      <w:szCs w:val="21"/>
                      <w:highlight w:val="none"/>
                      <w:lang w:val="en-US" w:eastAsia="zh-CN"/>
                    </w:rPr>
                    <w:t>cm/s</w:t>
                  </w:r>
                </w:p>
              </w:tc>
            </w:tr>
            <w:tr w14:paraId="0298E1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366" w:type="pct"/>
                  <w:vAlign w:val="center"/>
                </w:tcPr>
                <w:p w14:paraId="653976E4">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3</w:t>
                  </w:r>
                </w:p>
              </w:tc>
              <w:tc>
                <w:tcPr>
                  <w:tcW w:w="923" w:type="pct"/>
                  <w:vAlign w:val="center"/>
                </w:tcPr>
                <w:p w14:paraId="2B23B7C0">
                  <w:pPr>
                    <w:widowControl/>
                    <w:jc w:val="center"/>
                    <w:rPr>
                      <w:rFonts w:hint="eastAsia"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办公区</w:t>
                  </w:r>
                </w:p>
              </w:tc>
              <w:tc>
                <w:tcPr>
                  <w:tcW w:w="641" w:type="pct"/>
                  <w:vAlign w:val="center"/>
                </w:tcPr>
                <w:p w14:paraId="6C926D65">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简单防渗</w:t>
                  </w:r>
                </w:p>
              </w:tc>
              <w:tc>
                <w:tcPr>
                  <w:tcW w:w="908" w:type="pct"/>
                  <w:vAlign w:val="center"/>
                </w:tcPr>
                <w:p w14:paraId="1C5AB609">
                  <w:pPr>
                    <w:wordWrap w:val="0"/>
                    <w:topLinePunct/>
                    <w:adjustRightInd w:val="0"/>
                    <w:snapToGrid w:val="0"/>
                    <w:ind w:left="-105" w:leftChars="-50" w:right="-105" w:rightChars="-50"/>
                    <w:jc w:val="center"/>
                    <w:rPr>
                      <w:rFonts w:hint="eastAsia"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lang w:val="en-US" w:eastAsia="zh-CN"/>
                    </w:rPr>
                    <w:t>地面</w:t>
                  </w:r>
                </w:p>
              </w:tc>
              <w:tc>
                <w:tcPr>
                  <w:tcW w:w="2161" w:type="pct"/>
                  <w:vAlign w:val="center"/>
                </w:tcPr>
                <w:p w14:paraId="453BD254">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一般硬化地面</w:t>
                  </w:r>
                </w:p>
              </w:tc>
            </w:tr>
          </w:tbl>
          <w:p w14:paraId="726C7DA6">
            <w:pPr>
              <w:spacing w:line="480" w:lineRule="exact"/>
              <w:ind w:firstLine="480" w:firstLineChars="200"/>
              <w:rPr>
                <w:rFonts w:hint="eastAsia" w:ascii="Times New Roman" w:hAnsi="Times New Roman"/>
                <w:color w:val="auto"/>
                <w:sz w:val="24"/>
                <w:szCs w:val="24"/>
                <w:highlight w:val="none"/>
                <w:lang w:val="en-US" w:eastAsia="zh-CN"/>
              </w:rPr>
            </w:pPr>
          </w:p>
          <w:p w14:paraId="49E22E61">
            <w:pPr>
              <w:spacing w:line="480" w:lineRule="exact"/>
              <w:ind w:firstLine="420" w:firstLineChars="200"/>
              <w:rPr>
                <w:rFonts w:hint="eastAsia" w:ascii="Times New Roman" w:hAnsi="Times New Roman"/>
                <w:color w:val="auto"/>
                <w:sz w:val="24"/>
                <w:szCs w:val="24"/>
                <w:highlight w:val="none"/>
                <w:lang w:val="en-US" w:eastAsia="zh-CN"/>
              </w:rPr>
            </w:pPr>
            <w:r>
              <w:drawing>
                <wp:anchor distT="0" distB="0" distL="114300" distR="114300" simplePos="0" relativeHeight="251750400" behindDoc="1" locked="0" layoutInCell="1" allowOverlap="1">
                  <wp:simplePos x="0" y="0"/>
                  <wp:positionH relativeFrom="column">
                    <wp:posOffset>1088390</wp:posOffset>
                  </wp:positionH>
                  <wp:positionV relativeFrom="paragraph">
                    <wp:posOffset>155575</wp:posOffset>
                  </wp:positionV>
                  <wp:extent cx="3362325" cy="5295900"/>
                  <wp:effectExtent l="0" t="0" r="9525" b="0"/>
                  <wp:wrapNone/>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9"/>
                          <pic:cNvPicPr>
                            <a:picLocks noChangeAspect="1"/>
                          </pic:cNvPicPr>
                        </pic:nvPicPr>
                        <pic:blipFill>
                          <a:blip r:embed="rId42"/>
                          <a:stretch>
                            <a:fillRect/>
                          </a:stretch>
                        </pic:blipFill>
                        <pic:spPr>
                          <a:xfrm>
                            <a:off x="0" y="0"/>
                            <a:ext cx="3362325" cy="5295900"/>
                          </a:xfrm>
                          <a:prstGeom prst="rect">
                            <a:avLst/>
                          </a:prstGeom>
                          <a:noFill/>
                          <a:ln>
                            <a:noFill/>
                          </a:ln>
                        </pic:spPr>
                      </pic:pic>
                    </a:graphicData>
                  </a:graphic>
                </wp:anchor>
              </w:drawing>
            </w:r>
          </w:p>
          <w:p w14:paraId="4104221E">
            <w:pPr>
              <w:spacing w:line="480" w:lineRule="exact"/>
              <w:ind w:firstLine="480" w:firstLineChars="200"/>
              <w:rPr>
                <w:rFonts w:hint="eastAsia" w:ascii="Times New Roman" w:hAnsi="Times New Roman"/>
                <w:color w:val="auto"/>
                <w:sz w:val="24"/>
                <w:szCs w:val="24"/>
                <w:highlight w:val="none"/>
                <w:lang w:val="en-US" w:eastAsia="zh-CN"/>
              </w:rPr>
            </w:pPr>
            <w:r>
              <w:rPr>
                <w:color w:val="auto"/>
                <w:sz w:val="24"/>
                <w:highlight w:val="none"/>
              </w:rPr>
              <w:pict>
                <v:rect id="_x0000_s2140" o:spid="_x0000_s2140" o:spt="1" style="position:absolute;left:0pt;margin-left:111.7pt;margin-top:1.15pt;height:53.5pt;width:165.25pt;z-index:251742208;mso-width-relative:page;mso-height-relative:page;" fillcolor="#FFFF00" filled="t" stroked="t" coordsize="21600,21600">
                  <v:path/>
                  <v:fill on="t" color2="#FFFFFF" opacity="13107f" focussize="0,0"/>
                  <v:stroke color="#000000" joinstyle="miter"/>
                  <v:imagedata o:title=""/>
                  <o:lock v:ext="edit" aspectratio="f"/>
                </v:rect>
              </w:pict>
            </w:r>
          </w:p>
          <w:p w14:paraId="17D06F25">
            <w:pPr>
              <w:spacing w:line="480" w:lineRule="exact"/>
              <w:ind w:firstLine="480" w:firstLineChars="200"/>
              <w:rPr>
                <w:rFonts w:hint="eastAsia" w:ascii="Times New Roman" w:hAnsi="Times New Roman"/>
                <w:color w:val="auto"/>
                <w:sz w:val="24"/>
                <w:szCs w:val="24"/>
                <w:highlight w:val="none"/>
                <w:lang w:val="en-US" w:eastAsia="zh-CN"/>
              </w:rPr>
            </w:pPr>
          </w:p>
          <w:p w14:paraId="45C0F578">
            <w:pPr>
              <w:spacing w:line="480" w:lineRule="exact"/>
              <w:ind w:firstLine="480" w:firstLineChars="200"/>
              <w:rPr>
                <w:rFonts w:hint="eastAsia" w:ascii="Times New Roman" w:hAnsi="Times New Roman"/>
                <w:color w:val="auto"/>
                <w:sz w:val="24"/>
                <w:szCs w:val="24"/>
                <w:highlight w:val="none"/>
                <w:lang w:val="en-US" w:eastAsia="zh-CN"/>
              </w:rPr>
            </w:pPr>
            <w:r>
              <w:rPr>
                <w:color w:val="auto"/>
                <w:sz w:val="24"/>
                <w:highlight w:val="none"/>
              </w:rPr>
              <w:pict>
                <v:rect id="_x0000_s2139" o:spid="_x0000_s2139" o:spt="1" style="position:absolute;left:0pt;margin-left:121.05pt;margin-top:5.7pt;height:317.75pt;width:83.75pt;z-index:251741184;mso-width-relative:page;mso-height-relative:page;" fillcolor="#FF0000" filled="t" stroked="f" coordsize="21600,21600">
                  <v:path/>
                  <v:fill on="t" color2="#FFFFFF" opacity="13107f" focussize="0,0"/>
                  <v:stroke on="f"/>
                  <v:imagedata o:title=""/>
                  <o:lock v:ext="edit" aspectratio="f"/>
                </v:rect>
              </w:pict>
            </w:r>
          </w:p>
          <w:p w14:paraId="3FDC400E">
            <w:pPr>
              <w:spacing w:line="480" w:lineRule="exact"/>
              <w:ind w:firstLine="480" w:firstLineChars="200"/>
              <w:rPr>
                <w:rFonts w:hint="eastAsia" w:ascii="Times New Roman" w:hAnsi="Times New Roman"/>
                <w:color w:val="auto"/>
                <w:sz w:val="24"/>
                <w:szCs w:val="24"/>
                <w:highlight w:val="none"/>
                <w:lang w:val="en-US" w:eastAsia="zh-CN"/>
              </w:rPr>
            </w:pPr>
          </w:p>
          <w:p w14:paraId="1F463224">
            <w:pPr>
              <w:spacing w:line="480" w:lineRule="exact"/>
              <w:ind w:firstLine="480" w:firstLineChars="200"/>
              <w:rPr>
                <w:rFonts w:hint="eastAsia" w:ascii="Times New Roman" w:hAnsi="Times New Roman"/>
                <w:color w:val="auto"/>
                <w:sz w:val="24"/>
                <w:szCs w:val="24"/>
                <w:highlight w:val="none"/>
                <w:lang w:val="en-US" w:eastAsia="zh-CN"/>
              </w:rPr>
            </w:pPr>
            <w:r>
              <w:rPr>
                <w:color w:val="auto"/>
                <w:sz w:val="24"/>
                <w:highlight w:val="none"/>
              </w:rPr>
              <w:pict>
                <v:rect id="_x0000_s2141" o:spid="_x0000_s2141" o:spt="1" style="position:absolute;left:0pt;margin-left:205.15pt;margin-top:16.5pt;height:258.9pt;width:70.45pt;z-index:251743232;mso-width-relative:page;mso-height-relative:page;" fillcolor="#FF0000" filled="t" stroked="f" coordsize="21600,21600">
                  <v:path/>
                  <v:fill on="t" color2="#FFFFFF" opacity="13107f" focussize="0,0"/>
                  <v:stroke on="f"/>
                  <v:imagedata o:title=""/>
                  <o:lock v:ext="edit" aspectratio="f"/>
                </v:rect>
              </w:pict>
            </w:r>
          </w:p>
          <w:p w14:paraId="6573491C">
            <w:pPr>
              <w:spacing w:line="480" w:lineRule="exact"/>
              <w:ind w:firstLine="480" w:firstLineChars="200"/>
              <w:rPr>
                <w:rFonts w:hint="eastAsia" w:ascii="Times New Roman" w:hAnsi="Times New Roman"/>
                <w:color w:val="auto"/>
                <w:sz w:val="24"/>
                <w:szCs w:val="24"/>
                <w:highlight w:val="none"/>
                <w:lang w:val="en-US" w:eastAsia="zh-CN"/>
              </w:rPr>
            </w:pPr>
          </w:p>
          <w:p w14:paraId="3621B87C">
            <w:pPr>
              <w:spacing w:line="480" w:lineRule="exact"/>
              <w:ind w:firstLine="480" w:firstLineChars="200"/>
              <w:rPr>
                <w:rFonts w:hint="eastAsia" w:ascii="Times New Roman" w:hAnsi="Times New Roman"/>
                <w:color w:val="auto"/>
                <w:sz w:val="24"/>
                <w:szCs w:val="24"/>
                <w:highlight w:val="none"/>
                <w:lang w:val="en-US" w:eastAsia="zh-CN"/>
              </w:rPr>
            </w:pPr>
            <w:r>
              <w:rPr>
                <w:color w:val="auto"/>
                <w:sz w:val="24"/>
                <w:highlight w:val="none"/>
              </w:rPr>
              <w:pict>
                <v:shape id="_x0000_s2138" o:spid="_x0000_s2138" o:spt="202" type="#_x0000_t202" style="position:absolute;left:0pt;margin-left:324.35pt;margin-top:15.3pt;height:21pt;width:89.25pt;z-index:251740160;mso-width-relative:page;mso-height-relative:page;" filled="f" stroked="f" coordsize="21600,21600">
                  <v:path/>
                  <v:fill on="f" focussize="0,0"/>
                  <v:stroke on="f" joinstyle="miter"/>
                  <v:imagedata o:title=""/>
                  <o:lock v:ext="edit" aspectratio="f"/>
                  <v:textbox>
                    <w:txbxContent>
                      <w:p w14:paraId="7F987912">
                        <w:pPr>
                          <w:rPr>
                            <w:rFonts w:hint="default" w:eastAsia="宋体"/>
                            <w:lang w:val="en-US" w:eastAsia="zh-CN"/>
                          </w:rPr>
                        </w:pPr>
                        <w:r>
                          <w:rPr>
                            <w:rFonts w:hint="eastAsia"/>
                            <w:lang w:val="en-US" w:eastAsia="zh-CN"/>
                          </w:rPr>
                          <w:t>图例：</w:t>
                        </w:r>
                      </w:p>
                    </w:txbxContent>
                  </v:textbox>
                </v:shape>
              </w:pict>
            </w:r>
          </w:p>
          <w:p w14:paraId="1F79B242">
            <w:pPr>
              <w:spacing w:line="480" w:lineRule="exact"/>
              <w:ind w:firstLine="480" w:firstLineChars="200"/>
              <w:rPr>
                <w:rFonts w:hint="eastAsia" w:ascii="Times New Roman" w:hAnsi="Times New Roman"/>
                <w:color w:val="auto"/>
                <w:sz w:val="24"/>
                <w:szCs w:val="24"/>
                <w:highlight w:val="none"/>
                <w:lang w:val="en-US" w:eastAsia="zh-CN"/>
              </w:rPr>
            </w:pPr>
            <w:r>
              <w:rPr>
                <w:color w:val="auto"/>
                <w:sz w:val="24"/>
                <w:highlight w:val="none"/>
              </w:rPr>
              <w:pict>
                <v:rect id="_x0000_s2131" o:spid="_x0000_s2131" o:spt="1" style="position:absolute;left:0pt;margin-left:334.45pt;margin-top:15.05pt;height:13.6pt;width:33.4pt;z-index:251734016;mso-width-relative:page;mso-height-relative:page;" fillcolor="#FF0000" filled="t" stroked="t" coordsize="21600,21600">
                  <v:path/>
                  <v:fill on="t" color2="#FFFFFF" opacity="13107f" focussize="0,0"/>
                  <v:stroke color="#000000"/>
                  <v:imagedata o:title=""/>
                  <o:lock v:ext="edit" aspectratio="f"/>
                </v:rect>
              </w:pict>
            </w:r>
            <w:r>
              <w:rPr>
                <w:color w:val="auto"/>
                <w:sz w:val="24"/>
                <w:highlight w:val="none"/>
              </w:rPr>
              <w:pict>
                <v:shape id="_x0000_s2135" o:spid="_x0000_s2135" o:spt="202" type="#_x0000_t202" style="position:absolute;left:0pt;margin-left:365.4pt;margin-top:11.8pt;height:21pt;width:59.7pt;z-index:251737088;mso-width-relative:page;mso-height-relative:page;" filled="f" stroked="f" coordsize="21600,21600">
                  <v:path/>
                  <v:fill on="f" focussize="0,0"/>
                  <v:stroke on="f"/>
                  <v:imagedata o:title=""/>
                  <o:lock v:ext="edit" aspectratio="f"/>
                  <v:textbox>
                    <w:txbxContent>
                      <w:p w14:paraId="5AEE88B7">
                        <w:pPr>
                          <w:rPr>
                            <w:rFonts w:hint="default" w:eastAsia="宋体"/>
                            <w:lang w:val="en-US" w:eastAsia="zh-CN"/>
                          </w:rPr>
                        </w:pPr>
                        <w:r>
                          <w:rPr>
                            <w:rFonts w:hint="eastAsia"/>
                            <w:lang w:val="en-US" w:eastAsia="zh-CN"/>
                          </w:rPr>
                          <w:t>重点防渗</w:t>
                        </w:r>
                      </w:p>
                    </w:txbxContent>
                  </v:textbox>
                </v:shape>
              </w:pict>
            </w:r>
          </w:p>
          <w:p w14:paraId="5803210A">
            <w:pPr>
              <w:spacing w:line="480" w:lineRule="exact"/>
              <w:ind w:firstLine="480" w:firstLineChars="200"/>
              <w:rPr>
                <w:rFonts w:hint="eastAsia" w:ascii="Times New Roman" w:hAnsi="Times New Roman"/>
                <w:color w:val="auto"/>
                <w:sz w:val="24"/>
                <w:szCs w:val="24"/>
                <w:highlight w:val="none"/>
                <w:lang w:val="en-US" w:eastAsia="zh-CN"/>
              </w:rPr>
            </w:pPr>
            <w:r>
              <w:rPr>
                <w:color w:val="auto"/>
                <w:sz w:val="24"/>
                <w:highlight w:val="none"/>
              </w:rPr>
              <w:pict>
                <v:rect id="_x0000_s2132" o:spid="_x0000_s2132" o:spt="1" style="position:absolute;left:0pt;margin-left:333.4pt;margin-top:16.75pt;height:13.6pt;width:33.4pt;z-index:251735040;mso-width-relative:page;mso-height-relative:page;" fillcolor="#FFFF00" filled="t" stroked="t" coordsize="21600,21600">
                  <v:path/>
                  <v:fill on="t" color2="#FFFFFF" opacity="13107f" focussize="0,0"/>
                  <v:stroke color="#000000" joinstyle="miter"/>
                  <v:imagedata o:title=""/>
                  <o:lock v:ext="edit" aspectratio="f"/>
                </v:rect>
              </w:pict>
            </w:r>
            <w:r>
              <w:rPr>
                <w:color w:val="auto"/>
                <w:sz w:val="24"/>
                <w:highlight w:val="none"/>
              </w:rPr>
              <w:pict>
                <v:shape id="_x0000_s2137" o:spid="_x0000_s2137" o:spt="202" type="#_x0000_t202" style="position:absolute;left:0pt;margin-left:365.2pt;margin-top:12.3pt;height:21pt;width:61.35pt;z-index:251739136;mso-width-relative:page;mso-height-relative:page;" filled="f" stroked="f" coordsize="21600,21600">
                  <v:path/>
                  <v:fill on="f" focussize="0,0"/>
                  <v:stroke on="f"/>
                  <v:imagedata o:title=""/>
                  <o:lock v:ext="edit" aspectratio="f"/>
                  <v:textbox>
                    <w:txbxContent>
                      <w:p w14:paraId="0728F7E5">
                        <w:pPr>
                          <w:rPr>
                            <w:rFonts w:hint="default" w:eastAsia="宋体"/>
                            <w:lang w:val="en-US" w:eastAsia="zh-CN"/>
                          </w:rPr>
                        </w:pPr>
                        <w:r>
                          <w:rPr>
                            <w:rFonts w:hint="eastAsia"/>
                            <w:lang w:val="en-US" w:eastAsia="zh-CN"/>
                          </w:rPr>
                          <w:t>一般防渗</w:t>
                        </w:r>
                      </w:p>
                    </w:txbxContent>
                  </v:textbox>
                </v:shape>
              </w:pict>
            </w:r>
          </w:p>
          <w:p w14:paraId="1B05D64E">
            <w:pPr>
              <w:spacing w:line="480" w:lineRule="exact"/>
              <w:ind w:firstLine="480" w:firstLineChars="200"/>
              <w:rPr>
                <w:rFonts w:hint="eastAsia" w:ascii="Times New Roman" w:hAnsi="Times New Roman"/>
                <w:color w:val="auto"/>
                <w:sz w:val="24"/>
                <w:szCs w:val="24"/>
                <w:highlight w:val="none"/>
                <w:lang w:val="en-US" w:eastAsia="zh-CN"/>
              </w:rPr>
            </w:pPr>
            <w:r>
              <w:rPr>
                <w:color w:val="auto"/>
                <w:sz w:val="24"/>
                <w:highlight w:val="none"/>
              </w:rPr>
              <w:pict>
                <v:rect id="_x0000_s2133" o:spid="_x0000_s2133" o:spt="1" style="position:absolute;left:0pt;margin-left:334.25pt;margin-top:17.95pt;height:13.6pt;width:33.4pt;z-index:251736064;mso-width-relative:page;mso-height-relative:page;" fillcolor="#FFFFFF" filled="t" stroked="t" coordsize="21600,21600">
                  <v:path/>
                  <v:fill on="t" color2="#FFFFFF" focussize="0,0"/>
                  <v:stroke color="#000000"/>
                  <v:imagedata o:title=""/>
                  <o:lock v:ext="edit" aspectratio="f"/>
                </v:rect>
              </w:pict>
            </w:r>
            <w:r>
              <w:rPr>
                <w:color w:val="auto"/>
                <w:sz w:val="24"/>
                <w:highlight w:val="none"/>
              </w:rPr>
              <w:pict>
                <v:shape id="_x0000_s2136" o:spid="_x0000_s2136" o:spt="202" type="#_x0000_t202" style="position:absolute;left:0pt;margin-left:368.4pt;margin-top:15pt;height:21pt;width:57.35pt;z-index:251738112;mso-width-relative:page;mso-height-relative:page;" filled="f" stroked="f" coordsize="21600,21600">
                  <v:path/>
                  <v:fill on="f" focussize="0,0"/>
                  <v:stroke on="f"/>
                  <v:imagedata o:title=""/>
                  <o:lock v:ext="edit" aspectratio="f"/>
                  <v:textbox>
                    <w:txbxContent>
                      <w:p w14:paraId="0F080249">
                        <w:pPr>
                          <w:rPr>
                            <w:rFonts w:hint="default" w:eastAsia="宋体"/>
                            <w:lang w:val="en-US" w:eastAsia="zh-CN"/>
                          </w:rPr>
                        </w:pPr>
                        <w:r>
                          <w:rPr>
                            <w:rFonts w:hint="eastAsia"/>
                            <w:lang w:val="en-US" w:eastAsia="zh-CN"/>
                          </w:rPr>
                          <w:t>简单防渗</w:t>
                        </w:r>
                      </w:p>
                    </w:txbxContent>
                  </v:textbox>
                </v:shape>
              </w:pict>
            </w:r>
          </w:p>
          <w:p w14:paraId="6880579D">
            <w:pPr>
              <w:spacing w:line="480" w:lineRule="exact"/>
              <w:ind w:firstLine="480" w:firstLineChars="200"/>
              <w:rPr>
                <w:rFonts w:hint="eastAsia" w:ascii="Times New Roman" w:hAnsi="Times New Roman"/>
                <w:color w:val="auto"/>
                <w:sz w:val="24"/>
                <w:szCs w:val="24"/>
                <w:highlight w:val="none"/>
                <w:lang w:val="en-US" w:eastAsia="zh-CN"/>
              </w:rPr>
            </w:pPr>
          </w:p>
          <w:p w14:paraId="17A13CC0">
            <w:pPr>
              <w:spacing w:line="480" w:lineRule="exact"/>
              <w:ind w:firstLine="480" w:firstLineChars="200"/>
              <w:rPr>
                <w:rFonts w:hint="eastAsia" w:ascii="Times New Roman" w:hAnsi="Times New Roman"/>
                <w:color w:val="auto"/>
                <w:sz w:val="24"/>
                <w:szCs w:val="24"/>
                <w:highlight w:val="none"/>
                <w:lang w:val="en-US" w:eastAsia="zh-CN"/>
              </w:rPr>
            </w:pPr>
          </w:p>
          <w:p w14:paraId="51CB2271">
            <w:pPr>
              <w:spacing w:line="480" w:lineRule="exact"/>
              <w:ind w:firstLine="480" w:firstLineChars="200"/>
              <w:rPr>
                <w:rFonts w:hint="eastAsia" w:ascii="Times New Roman" w:hAnsi="Times New Roman"/>
                <w:color w:val="auto"/>
                <w:sz w:val="24"/>
                <w:szCs w:val="24"/>
                <w:highlight w:val="none"/>
                <w:lang w:val="en-US" w:eastAsia="zh-CN"/>
              </w:rPr>
            </w:pPr>
          </w:p>
          <w:p w14:paraId="466BCC71">
            <w:pPr>
              <w:spacing w:line="480" w:lineRule="exact"/>
              <w:ind w:firstLine="480" w:firstLineChars="200"/>
              <w:rPr>
                <w:rFonts w:hint="eastAsia" w:ascii="Times New Roman" w:hAnsi="Times New Roman"/>
                <w:color w:val="auto"/>
                <w:sz w:val="24"/>
                <w:szCs w:val="24"/>
                <w:highlight w:val="none"/>
                <w:lang w:val="en-US" w:eastAsia="zh-CN"/>
              </w:rPr>
            </w:pPr>
          </w:p>
          <w:p w14:paraId="7901168F">
            <w:pPr>
              <w:spacing w:line="480" w:lineRule="exact"/>
              <w:ind w:firstLine="480" w:firstLineChars="200"/>
              <w:rPr>
                <w:rFonts w:hint="eastAsia" w:ascii="Times New Roman" w:hAnsi="Times New Roman"/>
                <w:color w:val="auto"/>
                <w:sz w:val="24"/>
                <w:szCs w:val="24"/>
                <w:highlight w:val="none"/>
                <w:lang w:val="en-US" w:eastAsia="zh-CN"/>
              </w:rPr>
            </w:pPr>
            <w:r>
              <w:rPr>
                <w:color w:val="auto"/>
                <w:sz w:val="24"/>
                <w:highlight w:val="none"/>
              </w:rPr>
              <w:pict>
                <v:rect id="_x0000_s2142" o:spid="_x0000_s2142" o:spt="1" style="position:absolute;left:0pt;margin-left:273.4pt;margin-top:7.65pt;height:14.5pt;width:12.95pt;z-index:251744256;mso-width-relative:page;mso-height-relative:page;" fillcolor="#FF0000" filled="t" stroked="f" coordsize="21600,21600">
                  <v:path/>
                  <v:fill on="t" color2="#FFFFFF" opacity="13107f" focussize="0,0"/>
                  <v:stroke on="f"/>
                  <v:imagedata o:title=""/>
                  <o:lock v:ext="edit" aspectratio="f"/>
                </v:rect>
              </w:pict>
            </w:r>
            <w:r>
              <w:rPr>
                <w:color w:val="auto"/>
                <w:sz w:val="24"/>
                <w:highlight w:val="none"/>
              </w:rPr>
              <w:pict>
                <v:rect id="_x0000_s2143" o:spid="_x0000_s2143" o:spt="1" style="position:absolute;left:0pt;margin-left:273.4pt;margin-top:20.45pt;height:13.75pt;width:24.1pt;z-index:251745280;mso-width-relative:page;mso-height-relative:page;" fillcolor="#FF0000" filled="t" stroked="f" coordsize="21600,21600">
                  <v:path/>
                  <v:fill on="t" color2="#FFFFFF" opacity="13107f" focussize="0,0"/>
                  <v:stroke on="f"/>
                  <v:imagedata o:title=""/>
                  <o:lock v:ext="edit" aspectratio="f"/>
                </v:rect>
              </w:pict>
            </w:r>
          </w:p>
          <w:p w14:paraId="2BD50E2F">
            <w:pPr>
              <w:spacing w:line="480" w:lineRule="exact"/>
              <w:ind w:firstLine="480" w:firstLineChars="200"/>
              <w:rPr>
                <w:rFonts w:hint="eastAsia" w:ascii="Times New Roman" w:hAnsi="Times New Roman"/>
                <w:color w:val="auto"/>
                <w:sz w:val="24"/>
                <w:szCs w:val="24"/>
                <w:highlight w:val="none"/>
                <w:lang w:val="en-US" w:eastAsia="zh-CN"/>
              </w:rPr>
            </w:pPr>
          </w:p>
          <w:p w14:paraId="7BF2FA81">
            <w:pPr>
              <w:spacing w:line="480" w:lineRule="exact"/>
              <w:jc w:val="center"/>
              <w:rPr>
                <w:rFonts w:ascii="Times New Roman" w:hAnsi="Times New Roman" w:eastAsiaTheme="minorEastAsia"/>
                <w:bCs/>
                <w:color w:val="auto"/>
                <w:kern w:val="0"/>
                <w:sz w:val="24"/>
                <w:szCs w:val="24"/>
                <w:highlight w:val="none"/>
              </w:rPr>
            </w:pPr>
            <w:r>
              <w:rPr>
                <w:rFonts w:ascii="Times New Roman" w:hAnsi="Times New Roman" w:eastAsiaTheme="minorEastAsia"/>
                <w:bCs/>
                <w:color w:val="auto"/>
                <w:kern w:val="0"/>
                <w:sz w:val="24"/>
                <w:szCs w:val="24"/>
                <w:highlight w:val="none"/>
              </w:rPr>
              <w:t>图</w:t>
            </w:r>
            <w:r>
              <w:rPr>
                <w:rFonts w:hint="eastAsia" w:ascii="Times New Roman" w:hAnsi="Times New Roman" w:eastAsiaTheme="minorEastAsia"/>
                <w:bCs/>
                <w:color w:val="auto"/>
                <w:kern w:val="0"/>
                <w:sz w:val="24"/>
                <w:szCs w:val="24"/>
                <w:highlight w:val="none"/>
                <w:lang w:val="en-US" w:eastAsia="zh-CN"/>
              </w:rPr>
              <w:t>4</w:t>
            </w:r>
            <w:r>
              <w:rPr>
                <w:rFonts w:ascii="Times New Roman" w:hAnsi="Times New Roman" w:eastAsiaTheme="minorEastAsia"/>
                <w:bCs/>
                <w:color w:val="auto"/>
                <w:kern w:val="0"/>
                <w:sz w:val="24"/>
                <w:szCs w:val="24"/>
                <w:highlight w:val="none"/>
              </w:rPr>
              <w:t xml:space="preserve">-1  </w:t>
            </w:r>
            <w:r>
              <w:rPr>
                <w:rFonts w:hint="eastAsia" w:ascii="Times New Roman" w:hAnsi="Times New Roman" w:eastAsiaTheme="minorEastAsia"/>
                <w:bCs/>
                <w:color w:val="auto"/>
                <w:kern w:val="0"/>
                <w:sz w:val="24"/>
                <w:szCs w:val="24"/>
                <w:highlight w:val="none"/>
                <w:lang w:val="en-US" w:eastAsia="zh-CN"/>
              </w:rPr>
              <w:t>项目分区防渗</w:t>
            </w:r>
            <w:r>
              <w:rPr>
                <w:rFonts w:ascii="Times New Roman" w:hAnsi="Times New Roman" w:eastAsiaTheme="minorEastAsia"/>
                <w:bCs/>
                <w:color w:val="auto"/>
                <w:kern w:val="0"/>
                <w:sz w:val="24"/>
                <w:szCs w:val="24"/>
                <w:highlight w:val="none"/>
              </w:rPr>
              <w:t>图</w:t>
            </w:r>
          </w:p>
          <w:p w14:paraId="76F6E473">
            <w:pPr>
              <w:spacing w:line="480" w:lineRule="exact"/>
              <w:ind w:firstLine="480" w:firstLineChars="200"/>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（3）环境影响结论和建议</w:t>
            </w:r>
          </w:p>
          <w:p w14:paraId="7C06484D">
            <w:pPr>
              <w:spacing w:line="480" w:lineRule="exact"/>
              <w:ind w:firstLine="480" w:firstLineChars="200"/>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本项目对厂区内可能产生土壤、地下水污染情况的生产单元按相关要求进行了分区防渗，采取防渗措施后，阻断了废电解液下渗通道，正常状况下，不会对土壤和地下水环境产生污染影响。</w:t>
            </w:r>
          </w:p>
          <w:p w14:paraId="3BBB0A44">
            <w:pPr>
              <w:spacing w:line="480" w:lineRule="exact"/>
              <w:ind w:firstLine="480" w:firstLineChars="200"/>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因此，本次评价认为建设项目应按照相关标准对厂区进行分区防渗，防渗措施可行，在保证防渗措施良好运行，加强日常监控和管理，保证污染防护措施完整有效的前提下，项目不会对土壤和地下水环境产生污染影响。</w:t>
            </w:r>
          </w:p>
          <w:p w14:paraId="210A8DDB">
            <w:pPr>
              <w:numPr>
                <w:ilvl w:val="0"/>
                <w:numId w:val="0"/>
              </w:numPr>
              <w:spacing w:line="480" w:lineRule="exact"/>
              <w:ind w:left="480" w:leftChars="0"/>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（4）跟踪监测</w:t>
            </w:r>
          </w:p>
          <w:p w14:paraId="42C990DB">
            <w:pPr>
              <w:numPr>
                <w:ilvl w:val="0"/>
                <w:numId w:val="0"/>
              </w:numPr>
              <w:spacing w:line="480" w:lineRule="exact"/>
              <w:ind w:left="480" w:leftChars="0"/>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①土壤跟踪监测</w:t>
            </w:r>
          </w:p>
          <w:p w14:paraId="07A2A17F">
            <w:pPr>
              <w:numPr>
                <w:ilvl w:val="0"/>
                <w:numId w:val="0"/>
              </w:numPr>
              <w:spacing w:line="480" w:lineRule="exact"/>
              <w:ind w:firstLine="480" w:firstLineChars="200"/>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为了及时准确的掌握项目所在地周围土壤环境质量状况和土壤中污染物的动态变化情况，应对该厂区所在区域土壤环境质量进行定期的监测，防止或最大限度的减轻项目对地下水的污染。参照《排污单位自行监测技术指南 总则》（HJ819-2017）中的有关规定要求，</w:t>
            </w:r>
            <w:r>
              <w:rPr>
                <w:rFonts w:hint="default" w:ascii="Times New Roman" w:hAnsi="Times New Roman" w:eastAsia="宋体" w:cs="Times New Roman"/>
                <w:color w:val="auto"/>
                <w:sz w:val="24"/>
                <w:szCs w:val="24"/>
                <w:highlight w:val="none"/>
                <w:lang w:val="en-US" w:eastAsia="zh-CN"/>
              </w:rPr>
              <w:t>制定监测计划见下表</w:t>
            </w:r>
            <w:r>
              <w:rPr>
                <w:rFonts w:hint="eastAsia" w:ascii="Times New Roman" w:hAnsi="Times New Roman"/>
                <w:color w:val="auto"/>
                <w:sz w:val="24"/>
                <w:szCs w:val="24"/>
                <w:highlight w:val="none"/>
                <w:lang w:val="en-US" w:eastAsia="zh-CN"/>
              </w:rPr>
              <w:t>。</w:t>
            </w:r>
          </w:p>
          <w:p w14:paraId="4B38F020">
            <w:pPr>
              <w:numPr>
                <w:ilvl w:val="0"/>
                <w:numId w:val="0"/>
              </w:numPr>
              <w:spacing w:line="480" w:lineRule="exact"/>
              <w:ind w:left="480" w:leftChars="0"/>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土壤跟踪监测见下表：</w:t>
            </w:r>
          </w:p>
          <w:p w14:paraId="2D4D6B21">
            <w:pPr>
              <w:topLinePunct/>
              <w:adjustRightInd w:val="0"/>
              <w:snapToGrid w:val="0"/>
              <w:spacing w:line="480" w:lineRule="exact"/>
              <w:jc w:val="center"/>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表4-</w:t>
            </w:r>
            <w:r>
              <w:rPr>
                <w:rFonts w:hint="eastAsia" w:ascii="Times New Roman" w:hAnsi="Times New Roman" w:eastAsiaTheme="minorEastAsia"/>
                <w:color w:val="auto"/>
                <w:sz w:val="24"/>
                <w:szCs w:val="24"/>
                <w:highlight w:val="none"/>
                <w:lang w:val="en-US" w:eastAsia="zh-CN"/>
              </w:rPr>
              <w:t>12</w:t>
            </w:r>
            <w:r>
              <w:rPr>
                <w:rFonts w:ascii="Times New Roman" w:hAnsi="Times New Roman" w:eastAsiaTheme="minorEastAsia"/>
                <w:color w:val="auto"/>
                <w:sz w:val="24"/>
                <w:szCs w:val="24"/>
                <w:highlight w:val="none"/>
              </w:rPr>
              <w:t xml:space="preserve">  </w:t>
            </w:r>
            <w:r>
              <w:rPr>
                <w:rFonts w:hint="eastAsia" w:ascii="Times New Roman" w:hAnsi="Times New Roman" w:eastAsiaTheme="minorEastAsia"/>
                <w:color w:val="auto"/>
                <w:sz w:val="24"/>
                <w:szCs w:val="24"/>
                <w:highlight w:val="none"/>
                <w:lang w:val="en-US" w:eastAsia="zh-CN"/>
              </w:rPr>
              <w:t>土壤跟踪监测一览表</w:t>
            </w:r>
          </w:p>
          <w:tbl>
            <w:tblPr>
              <w:tblStyle w:val="31"/>
              <w:tblW w:w="823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73"/>
              <w:gridCol w:w="4500"/>
              <w:gridCol w:w="1357"/>
            </w:tblGrid>
            <w:tr w14:paraId="7AA844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41" w:type="pct"/>
                  <w:vAlign w:val="center"/>
                </w:tcPr>
                <w:p w14:paraId="0522A2AF">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监测点位</w:t>
                  </w:r>
                </w:p>
              </w:tc>
              <w:tc>
                <w:tcPr>
                  <w:tcW w:w="2733" w:type="pct"/>
                  <w:vAlign w:val="center"/>
                </w:tcPr>
                <w:p w14:paraId="6DD8E676">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rPr>
                  </w:pPr>
                  <w:r>
                    <w:rPr>
                      <w:rFonts w:hint="eastAsia" w:ascii="Times New Roman" w:hAnsi="Times New Roman" w:eastAsiaTheme="minorEastAsia"/>
                      <w:color w:val="auto"/>
                      <w:szCs w:val="21"/>
                      <w:highlight w:val="none"/>
                      <w:lang w:val="en-US" w:eastAsia="zh-CN"/>
                    </w:rPr>
                    <w:t>监测因子</w:t>
                  </w:r>
                </w:p>
              </w:tc>
              <w:tc>
                <w:tcPr>
                  <w:tcW w:w="824" w:type="pct"/>
                  <w:vAlign w:val="center"/>
                </w:tcPr>
                <w:p w14:paraId="1953B910">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监测频次</w:t>
                  </w:r>
                </w:p>
              </w:tc>
            </w:tr>
            <w:tr w14:paraId="531F6C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441" w:type="pct"/>
                  <w:vAlign w:val="center"/>
                </w:tcPr>
                <w:p w14:paraId="7D8ED7DC">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本项目贮存车间北侧</w:t>
                  </w:r>
                </w:p>
              </w:tc>
              <w:tc>
                <w:tcPr>
                  <w:tcW w:w="2733" w:type="pct"/>
                  <w:vAlign w:val="center"/>
                </w:tcPr>
                <w:p w14:paraId="5A9DFCA9">
                  <w:pPr>
                    <w:widowControl/>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pH、砷、镉、铜、铅、汞、镍、铬</w:t>
                  </w:r>
                </w:p>
              </w:tc>
              <w:tc>
                <w:tcPr>
                  <w:tcW w:w="824" w:type="pct"/>
                  <w:vAlign w:val="center"/>
                </w:tcPr>
                <w:p w14:paraId="194A6A66">
                  <w:pPr>
                    <w:widowControl/>
                    <w:jc w:val="center"/>
                    <w:rPr>
                      <w:rFonts w:hint="eastAsia"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1次/年</w:t>
                  </w:r>
                </w:p>
              </w:tc>
            </w:tr>
          </w:tbl>
          <w:p w14:paraId="56583BAF">
            <w:pPr>
              <w:numPr>
                <w:ilvl w:val="0"/>
                <w:numId w:val="0"/>
              </w:numPr>
              <w:spacing w:line="480" w:lineRule="exact"/>
              <w:ind w:left="480" w:leftChars="0"/>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②地下水跟踪监测</w:t>
            </w:r>
          </w:p>
          <w:p w14:paraId="2D9D324F">
            <w:pPr>
              <w:numPr>
                <w:ilvl w:val="0"/>
                <w:numId w:val="0"/>
              </w:numPr>
              <w:spacing w:line="48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为了掌握项目周边地下水环境质量状况和地下水体中污染物的动态变化情况，应对项目所在地及其周边地下水质进行定期监测，并结合周边民井，建立地下水环境长期监测网络。以便及时准确地反馈地下水水质状况，确保周边敏感点地下水环境安全，在发现地下水环境受到污染时能及时采取相应的防治措施控制区域地下水环境持续恶化。参照《排污单位自行监测技术指南 总则》</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（HJ819-2017）中的有关规定要求，制定监测计划见下表。</w:t>
            </w:r>
          </w:p>
          <w:p w14:paraId="63FB7B42">
            <w:pPr>
              <w:topLinePunct/>
              <w:adjustRightInd w:val="0"/>
              <w:snapToGrid w:val="0"/>
              <w:spacing w:line="480" w:lineRule="exact"/>
              <w:jc w:val="center"/>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表4-</w:t>
            </w:r>
            <w:r>
              <w:rPr>
                <w:rFonts w:hint="eastAsia" w:ascii="Times New Roman" w:hAnsi="Times New Roman" w:eastAsiaTheme="minorEastAsia"/>
                <w:color w:val="auto"/>
                <w:sz w:val="24"/>
                <w:szCs w:val="24"/>
                <w:highlight w:val="none"/>
                <w:lang w:val="en-US" w:eastAsia="zh-CN"/>
              </w:rPr>
              <w:t>13</w:t>
            </w:r>
            <w:r>
              <w:rPr>
                <w:rFonts w:ascii="Times New Roman" w:hAnsi="Times New Roman" w:eastAsiaTheme="minorEastAsia"/>
                <w:color w:val="auto"/>
                <w:sz w:val="24"/>
                <w:szCs w:val="24"/>
                <w:highlight w:val="none"/>
              </w:rPr>
              <w:t xml:space="preserve">  </w:t>
            </w:r>
            <w:r>
              <w:rPr>
                <w:rFonts w:hint="eastAsia" w:ascii="Times New Roman" w:hAnsi="Times New Roman" w:eastAsiaTheme="minorEastAsia"/>
                <w:color w:val="auto"/>
                <w:sz w:val="24"/>
                <w:szCs w:val="24"/>
                <w:highlight w:val="none"/>
                <w:lang w:val="en-US" w:eastAsia="zh-CN"/>
              </w:rPr>
              <w:t>地下水跟踪监测一览表</w:t>
            </w:r>
          </w:p>
          <w:tbl>
            <w:tblPr>
              <w:tblStyle w:val="31"/>
              <w:tblW w:w="837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6021"/>
              <w:gridCol w:w="1307"/>
            </w:tblGrid>
            <w:tr w14:paraId="24AB21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68" w:hRule="atLeast"/>
                <w:jc w:val="center"/>
              </w:trPr>
              <w:tc>
                <w:tcPr>
                  <w:tcW w:w="625" w:type="pct"/>
                  <w:vAlign w:val="center"/>
                </w:tcPr>
                <w:p w14:paraId="5E1F4E87">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监测点位</w:t>
                  </w:r>
                </w:p>
              </w:tc>
              <w:tc>
                <w:tcPr>
                  <w:tcW w:w="3594" w:type="pct"/>
                  <w:vAlign w:val="center"/>
                </w:tcPr>
                <w:p w14:paraId="2995071E">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rPr>
                  </w:pPr>
                  <w:r>
                    <w:rPr>
                      <w:rFonts w:hint="eastAsia" w:ascii="Times New Roman" w:hAnsi="Times New Roman" w:eastAsiaTheme="minorEastAsia"/>
                      <w:color w:val="auto"/>
                      <w:szCs w:val="21"/>
                      <w:highlight w:val="none"/>
                      <w:lang w:val="en-US" w:eastAsia="zh-CN"/>
                    </w:rPr>
                    <w:t>监测因子</w:t>
                  </w:r>
                </w:p>
              </w:tc>
              <w:tc>
                <w:tcPr>
                  <w:tcW w:w="780" w:type="pct"/>
                  <w:vAlign w:val="center"/>
                </w:tcPr>
                <w:p w14:paraId="5FB357D0">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监测频次</w:t>
                  </w:r>
                </w:p>
              </w:tc>
            </w:tr>
            <w:tr w14:paraId="489FB9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625" w:type="pct"/>
                  <w:vAlign w:val="center"/>
                </w:tcPr>
                <w:p w14:paraId="1AB3D577">
                  <w:pPr>
                    <w:wordWrap w:val="0"/>
                    <w:topLinePunct/>
                    <w:adjustRightInd w:val="0"/>
                    <w:snapToGrid w:val="0"/>
                    <w:ind w:left="-105" w:leftChars="-50" w:right="-105" w:rightChars="-5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厂区下游</w:t>
                  </w:r>
                </w:p>
              </w:tc>
              <w:tc>
                <w:tcPr>
                  <w:tcW w:w="3594" w:type="pct"/>
                  <w:vAlign w:val="center"/>
                </w:tcPr>
                <w:p w14:paraId="7692CF5B">
                  <w:pPr>
                    <w:widowControl/>
                    <w:jc w:val="center"/>
                    <w:rPr>
                      <w:rFonts w:hint="eastAsia" w:ascii="Times New Roman" w:hAnsi="Times New Roman" w:eastAsiaTheme="minorEastAsia"/>
                      <w:color w:val="auto"/>
                      <w:szCs w:val="21"/>
                      <w:highlight w:val="none"/>
                      <w:lang w:val="en-US" w:eastAsia="zh-CN"/>
                    </w:rPr>
                  </w:pPr>
                  <w:r>
                    <w:rPr>
                      <w:rFonts w:hint="default" w:ascii="Times New Roman" w:hAnsi="Times New Roman" w:eastAsia="宋体" w:cs="Times New Roman"/>
                      <w:color w:val="auto"/>
                      <w:sz w:val="21"/>
                      <w:szCs w:val="21"/>
                      <w:highlight w:val="none"/>
                    </w:rPr>
                    <w:t>pH、氨氮、硝酸盐、亚硝酸盐、挥发性酚类、氰化物、</w:t>
                  </w:r>
                  <w:r>
                    <w:rPr>
                      <w:rFonts w:hint="default" w:ascii="Times New Roman" w:hAnsi="Times New Roman" w:eastAsia="宋体" w:cs="Times New Roman"/>
                      <w:color w:val="auto"/>
                      <w:sz w:val="21"/>
                      <w:szCs w:val="21"/>
                      <w:highlight w:val="none"/>
                      <w:lang w:val="en-US" w:eastAsia="zh-CN"/>
                    </w:rPr>
                    <w:t>氟化物、</w:t>
                  </w:r>
                  <w:r>
                    <w:rPr>
                      <w:rFonts w:hint="default" w:ascii="Times New Roman" w:hAnsi="Times New Roman" w:eastAsia="宋体" w:cs="Times New Roman"/>
                      <w:color w:val="auto"/>
                      <w:sz w:val="21"/>
                      <w:szCs w:val="21"/>
                      <w:highlight w:val="none"/>
                    </w:rPr>
                    <w:t>砷、汞、铬(六价)、总硬度、铅、镉、铁、锰、</w:t>
                  </w:r>
                  <w:r>
                    <w:rPr>
                      <w:rFonts w:hint="default" w:ascii="Times New Roman" w:hAnsi="Times New Roman" w:eastAsia="宋体" w:cs="Times New Roman"/>
                      <w:color w:val="auto"/>
                      <w:sz w:val="21"/>
                      <w:szCs w:val="21"/>
                      <w:highlight w:val="none"/>
                      <w:lang w:val="en-US" w:eastAsia="zh-CN"/>
                    </w:rPr>
                    <w:t>铜、锌、铝、</w:t>
                  </w:r>
                  <w:r>
                    <w:rPr>
                      <w:rFonts w:hint="default" w:ascii="Times New Roman" w:hAnsi="Times New Roman" w:eastAsia="宋体" w:cs="Times New Roman"/>
                      <w:color w:val="auto"/>
                      <w:sz w:val="21"/>
                      <w:szCs w:val="21"/>
                      <w:highlight w:val="none"/>
                    </w:rPr>
                    <w:t>溶解性总固体、高锰酸盐指数、硫酸盐、氯化物、总大肠菌群、细菌总数</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K</w:t>
                  </w:r>
                  <w:r>
                    <w:rPr>
                      <w:rFonts w:hint="default" w:ascii="Times New Roman" w:hAnsi="Times New Roman" w:eastAsia="宋体" w:cs="Times New Roman"/>
                      <w:color w:val="auto"/>
                      <w:sz w:val="21"/>
                      <w:szCs w:val="21"/>
                      <w:highlight w:val="none"/>
                      <w:vertAlign w:val="superscript"/>
                    </w:rPr>
                    <w:t>+</w:t>
                  </w:r>
                  <w:r>
                    <w:rPr>
                      <w:rFonts w:hint="default" w:ascii="Times New Roman" w:hAnsi="Times New Roman" w:eastAsia="宋体" w:cs="Times New Roman"/>
                      <w:color w:val="auto"/>
                      <w:sz w:val="21"/>
                      <w:szCs w:val="21"/>
                      <w:highlight w:val="none"/>
                    </w:rPr>
                    <w:t>、Na</w:t>
                  </w:r>
                  <w:r>
                    <w:rPr>
                      <w:rFonts w:hint="default" w:ascii="Times New Roman" w:hAnsi="Times New Roman" w:eastAsia="宋体" w:cs="Times New Roman"/>
                      <w:color w:val="auto"/>
                      <w:sz w:val="21"/>
                      <w:szCs w:val="21"/>
                      <w:highlight w:val="none"/>
                      <w:vertAlign w:val="superscript"/>
                    </w:rPr>
                    <w:t>+</w:t>
                  </w:r>
                  <w:r>
                    <w:rPr>
                      <w:rFonts w:hint="default" w:ascii="Times New Roman" w:hAnsi="Times New Roman" w:eastAsia="宋体" w:cs="Times New Roman"/>
                      <w:color w:val="auto"/>
                      <w:sz w:val="21"/>
                      <w:szCs w:val="21"/>
                      <w:highlight w:val="none"/>
                    </w:rPr>
                    <w:t>、Ca</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vertAlign w:val="superscript"/>
                      <w:lang w:val="en-US" w:eastAsia="zh-CN"/>
                    </w:rPr>
                    <w:t>+</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、CO</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、HCO</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vertAlign w:val="baseline"/>
                      <w:lang w:val="en-US" w:eastAsia="zh-CN"/>
                    </w:rPr>
                    <w:t>石油类</w:t>
                  </w:r>
                </w:p>
              </w:tc>
              <w:tc>
                <w:tcPr>
                  <w:tcW w:w="780" w:type="pct"/>
                  <w:vAlign w:val="center"/>
                </w:tcPr>
                <w:p w14:paraId="20B551F6">
                  <w:pPr>
                    <w:widowControl/>
                    <w:jc w:val="center"/>
                    <w:rPr>
                      <w:rFonts w:hint="eastAsia"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1次/年</w:t>
                  </w:r>
                </w:p>
              </w:tc>
            </w:tr>
          </w:tbl>
          <w:p w14:paraId="6C20566B">
            <w:pPr>
              <w:pStyle w:val="55"/>
              <w:keepNext w:val="0"/>
              <w:keepLines w:val="0"/>
              <w:pageBreakBefore w:val="0"/>
              <w:widowControl w:val="0"/>
              <w:numPr>
                <w:ilvl w:val="0"/>
                <w:numId w:val="5"/>
              </w:numPr>
              <w:kinsoku/>
              <w:wordWrap/>
              <w:overflowPunct/>
              <w:topLinePunct w:val="0"/>
              <w:autoSpaceDE/>
              <w:autoSpaceDN/>
              <w:bidi w:val="0"/>
              <w:adjustRightInd w:val="0"/>
              <w:snapToGrid w:val="0"/>
              <w:spacing w:beforeLines="0" w:after="0" w:afterLines="0" w:line="360" w:lineRule="auto"/>
              <w:ind w:firstLine="482" w:firstLineChars="200"/>
              <w:jc w:val="both"/>
              <w:textAlignment w:val="auto"/>
              <w:rPr>
                <w:rFonts w:ascii="Times New Roman" w:hAnsi="Times New Roman" w:cs="Times New Roman" w:eastAsiaTheme="minorEastAsia"/>
                <w:b/>
                <w:color w:val="auto"/>
                <w:sz w:val="24"/>
                <w:szCs w:val="24"/>
                <w:highlight w:val="none"/>
              </w:rPr>
            </w:pPr>
            <w:r>
              <w:rPr>
                <w:rFonts w:ascii="Times New Roman" w:hAnsi="Times New Roman" w:cs="Times New Roman" w:eastAsiaTheme="minorEastAsia"/>
                <w:b/>
                <w:color w:val="auto"/>
                <w:sz w:val="24"/>
                <w:szCs w:val="24"/>
                <w:highlight w:val="none"/>
              </w:rPr>
              <w:t>生态环境</w:t>
            </w:r>
          </w:p>
          <w:p w14:paraId="021DDA0E">
            <w:pPr>
              <w:pStyle w:val="55"/>
              <w:keepNext w:val="0"/>
              <w:keepLines w:val="0"/>
              <w:pageBreakBefore w:val="0"/>
              <w:widowControl w:val="0"/>
              <w:numPr>
                <w:ilvl w:val="0"/>
                <w:numId w:val="0"/>
              </w:numPr>
              <w:kinsoku/>
              <w:wordWrap/>
              <w:overflowPunct/>
              <w:topLinePunct w:val="0"/>
              <w:autoSpaceDE/>
              <w:autoSpaceDN/>
              <w:bidi w:val="0"/>
              <w:adjustRightInd w:val="0"/>
              <w:snapToGrid w:val="0"/>
              <w:spacing w:beforeLines="0" w:after="0" w:afterLines="0" w:line="360" w:lineRule="auto"/>
              <w:ind w:firstLine="480" w:firstLineChars="200"/>
              <w:jc w:val="both"/>
              <w:textAlignment w:val="auto"/>
              <w:rPr>
                <w:rFonts w:ascii="Times New Roman" w:hAnsi="Times New Roman" w:eastAsiaTheme="minorEastAsia"/>
                <w:bCs/>
                <w:color w:val="auto"/>
                <w:sz w:val="24"/>
                <w:szCs w:val="24"/>
                <w:highlight w:val="none"/>
              </w:rPr>
            </w:pPr>
            <w:r>
              <w:rPr>
                <w:rFonts w:ascii="Times New Roman" w:hAnsi="Times New Roman" w:eastAsiaTheme="minorEastAsia"/>
                <w:color w:val="auto"/>
                <w:kern w:val="0"/>
                <w:sz w:val="24"/>
                <w:szCs w:val="24"/>
                <w:highlight w:val="none"/>
              </w:rPr>
              <w:t>本项目位于</w:t>
            </w:r>
            <w:r>
              <w:rPr>
                <w:rFonts w:ascii="Times New Roman" w:hAnsi="Times New Roman" w:eastAsiaTheme="minorEastAsia"/>
                <w:color w:val="auto"/>
                <w:sz w:val="24"/>
                <w:szCs w:val="24"/>
                <w:highlight w:val="none"/>
              </w:rPr>
              <w:t>河北徐水经济开发区</w:t>
            </w:r>
            <w:r>
              <w:rPr>
                <w:rFonts w:ascii="Times New Roman" w:hAnsi="Times New Roman" w:eastAsiaTheme="minorEastAsia"/>
                <w:bCs/>
                <w:color w:val="auto"/>
                <w:kern w:val="0"/>
                <w:sz w:val="24"/>
                <w:szCs w:val="24"/>
                <w:highlight w:val="none"/>
              </w:rPr>
              <w:t>，</w:t>
            </w:r>
            <w:r>
              <w:rPr>
                <w:rFonts w:ascii="Times New Roman" w:hAnsi="Times New Roman" w:eastAsiaTheme="minorEastAsia"/>
                <w:bCs/>
                <w:color w:val="auto"/>
                <w:sz w:val="24"/>
                <w:szCs w:val="24"/>
                <w:highlight w:val="none"/>
              </w:rPr>
              <w:t>且用地范围内无生态环境保护目标</w:t>
            </w:r>
            <w:r>
              <w:rPr>
                <w:rFonts w:hint="eastAsia" w:ascii="Times New Roman" w:hAnsi="Times New Roman" w:eastAsiaTheme="minorEastAsia"/>
                <w:bCs/>
                <w:color w:val="auto"/>
                <w:sz w:val="24"/>
                <w:szCs w:val="24"/>
                <w:highlight w:val="none"/>
                <w:lang w:eastAsia="zh-CN"/>
              </w:rPr>
              <w:t>，</w:t>
            </w:r>
            <w:r>
              <w:rPr>
                <w:rFonts w:hint="eastAsia" w:ascii="Times New Roman" w:hAnsi="Times New Roman" w:eastAsiaTheme="minorEastAsia"/>
                <w:bCs/>
                <w:color w:val="auto"/>
                <w:sz w:val="24"/>
                <w:szCs w:val="24"/>
                <w:highlight w:val="none"/>
                <w:lang w:val="en-US" w:eastAsia="zh-CN"/>
              </w:rPr>
              <w:t>对周围生态环境影响较小</w:t>
            </w:r>
            <w:r>
              <w:rPr>
                <w:rFonts w:ascii="Times New Roman" w:hAnsi="Times New Roman" w:eastAsiaTheme="minorEastAsia"/>
                <w:bCs/>
                <w:color w:val="auto"/>
                <w:sz w:val="24"/>
                <w:szCs w:val="24"/>
                <w:highlight w:val="none"/>
              </w:rPr>
              <w:t>。</w:t>
            </w:r>
          </w:p>
          <w:p w14:paraId="372C1FB5">
            <w:pPr>
              <w:pStyle w:val="25"/>
              <w:keepNext w:val="0"/>
              <w:keepLines w:val="0"/>
              <w:pageBreakBefore w:val="0"/>
              <w:widowControl w:val="0"/>
              <w:kinsoku/>
              <w:wordWrap/>
              <w:overflowPunct/>
              <w:topLinePunct w:val="0"/>
              <w:autoSpaceDE/>
              <w:autoSpaceDN/>
              <w:bidi w:val="0"/>
              <w:adjustRightInd/>
              <w:snapToGrid/>
              <w:spacing w:after="0" w:line="480" w:lineRule="exact"/>
              <w:ind w:left="0" w:leftChars="0" w:firstLine="482" w:firstLineChars="200"/>
              <w:textAlignment w:val="auto"/>
              <w:rPr>
                <w:rFonts w:ascii="Times New Roman" w:hAnsi="Times New Roman" w:eastAsiaTheme="minorEastAsia"/>
                <w:color w:val="auto"/>
                <w:szCs w:val="24"/>
                <w:highlight w:val="none"/>
              </w:rPr>
            </w:pPr>
            <w:r>
              <w:rPr>
                <w:rFonts w:hint="eastAsia" w:ascii="Times New Roman" w:hAnsi="Times New Roman" w:eastAsiaTheme="minorEastAsia"/>
                <w:b/>
                <w:color w:val="auto"/>
                <w:szCs w:val="24"/>
                <w:highlight w:val="none"/>
                <w:lang w:val="en-US" w:eastAsia="zh-CN"/>
              </w:rPr>
              <w:t>7</w:t>
            </w:r>
            <w:r>
              <w:rPr>
                <w:rFonts w:ascii="Times New Roman" w:hAnsi="Times New Roman" w:eastAsiaTheme="minorEastAsia"/>
                <w:b/>
                <w:color w:val="auto"/>
                <w:szCs w:val="24"/>
                <w:highlight w:val="none"/>
              </w:rPr>
              <w:t>、环境风险</w:t>
            </w:r>
          </w:p>
          <w:p w14:paraId="36C1011F">
            <w:pPr>
              <w:topLinePunct/>
              <w:adjustRightInd w:val="0"/>
              <w:snapToGrid w:val="0"/>
              <w:spacing w:line="480" w:lineRule="exact"/>
              <w:ind w:firstLine="480" w:firstLineChars="200"/>
              <w:rPr>
                <w:rFonts w:hint="eastAsia"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（1）风险</w:t>
            </w:r>
            <w:r>
              <w:rPr>
                <w:rFonts w:hint="eastAsia" w:ascii="Times New Roman" w:hAnsi="Times New Roman" w:cs="Times New Roman"/>
                <w:color w:val="auto"/>
                <w:sz w:val="24"/>
                <w:szCs w:val="24"/>
                <w:highlight w:val="none"/>
                <w:lang w:val="en-US" w:eastAsia="zh-CN"/>
              </w:rPr>
              <w:t>源识别</w:t>
            </w:r>
          </w:p>
          <w:p w14:paraId="3A758B77">
            <w:pPr>
              <w:topLinePunct/>
              <w:adjustRightInd w:val="0"/>
              <w:snapToGrid w:val="0"/>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①重大危险源辩识</w:t>
            </w:r>
          </w:p>
          <w:p w14:paraId="36667B74">
            <w:pPr>
              <w:topLinePunct/>
              <w:adjustRightInd w:val="0"/>
              <w:snapToGrid w:val="0"/>
              <w:spacing w:line="480" w:lineRule="exact"/>
              <w:ind w:firstLine="480" w:firstLineChars="200"/>
              <w:rPr>
                <w:rFonts w:hint="eastAsia" w:ascii="Times New Roman" w:hAnsi="Times New Roman" w:cs="Times New Roman" w:eastAsiaTheme="minorEastAsia"/>
                <w:bCs/>
                <w:color w:val="auto"/>
                <w:sz w:val="24"/>
                <w:szCs w:val="24"/>
                <w:highlight w:val="none"/>
                <w:lang w:val="en-US" w:eastAsia="zh-CN"/>
              </w:rPr>
            </w:pPr>
            <w:bookmarkStart w:id="35" w:name="_GoBack"/>
            <w:r>
              <w:rPr>
                <w:rFonts w:hint="default" w:ascii="Times New Roman" w:hAnsi="Times New Roman" w:eastAsia="宋体" w:cs="Times New Roman"/>
                <w:bCs/>
                <w:color w:val="auto"/>
                <w:sz w:val="24"/>
                <w:szCs w:val="24"/>
                <w:highlight w:val="none"/>
              </w:rPr>
              <w:t>根据《建设项目环境风险评价技术导则》（HJ/T169-2018），本项目涉及风险物质</w:t>
            </w:r>
            <w:r>
              <w:rPr>
                <w:rFonts w:hint="eastAsia" w:ascii="Times New Roman" w:hAnsi="Times New Roman" w:cs="Times New Roman"/>
                <w:bCs/>
                <w:color w:val="auto"/>
                <w:sz w:val="24"/>
                <w:szCs w:val="24"/>
                <w:highlight w:val="none"/>
                <w:lang w:val="en-US" w:eastAsia="zh-CN"/>
              </w:rPr>
              <w:t>主要</w:t>
            </w:r>
            <w:r>
              <w:rPr>
                <w:rFonts w:hint="default" w:ascii="Times New Roman" w:hAnsi="Times New Roman" w:eastAsia="宋体" w:cs="Times New Roman"/>
                <w:bCs/>
                <w:color w:val="auto"/>
                <w:sz w:val="24"/>
                <w:szCs w:val="24"/>
                <w:highlight w:val="none"/>
              </w:rPr>
              <w:t>为</w:t>
            </w:r>
            <w:r>
              <w:rPr>
                <w:rFonts w:hint="eastAsia" w:ascii="Times New Roman" w:hAnsi="Times New Roman" w:cs="Times New Roman"/>
                <w:bCs/>
                <w:color w:val="auto"/>
                <w:sz w:val="24"/>
                <w:szCs w:val="24"/>
                <w:highlight w:val="none"/>
                <w:lang w:val="en-US" w:eastAsia="zh-CN"/>
              </w:rPr>
              <w:t>废旧铅酸蓄电池（废旧铅酸蓄电池中含硫酸）</w:t>
            </w:r>
            <w:r>
              <w:rPr>
                <w:rFonts w:hint="eastAsia" w:ascii="Times New Roman" w:hAnsi="Times New Roman" w:cs="Times New Roman"/>
                <w:bCs/>
                <w:color w:val="auto"/>
                <w:sz w:val="24"/>
                <w:szCs w:val="24"/>
                <w:highlight w:val="none"/>
                <w:lang w:eastAsia="zh-CN"/>
              </w:rPr>
              <w:t>，</w:t>
            </w:r>
            <w:r>
              <w:rPr>
                <w:rFonts w:hint="eastAsia" w:ascii="Times New Roman" w:hAnsi="Times New Roman" w:eastAsiaTheme="minorEastAsia"/>
                <w:color w:val="auto"/>
                <w:spacing w:val="-6"/>
                <w:sz w:val="24"/>
                <w:szCs w:val="24"/>
                <w:highlight w:val="none"/>
              </w:rPr>
              <w:t>沾染电解液的废劳保用品、废拖把、废抹布和破损的箱子，废喷淋塔吸收液</w:t>
            </w:r>
            <w:r>
              <w:rPr>
                <w:rFonts w:hint="eastAsia" w:ascii="Times New Roman" w:hAnsi="Times New Roman" w:eastAsiaTheme="minorEastAsia"/>
                <w:color w:val="auto"/>
                <w:spacing w:val="-6"/>
                <w:sz w:val="24"/>
                <w:szCs w:val="24"/>
                <w:highlight w:val="none"/>
                <w:lang w:eastAsia="zh-CN"/>
              </w:rPr>
              <w:t>，</w:t>
            </w:r>
            <w:r>
              <w:rPr>
                <w:rFonts w:hint="eastAsia" w:ascii="Times New Roman" w:hAnsi="Times New Roman" w:eastAsiaTheme="minorEastAsia"/>
                <w:color w:val="auto"/>
                <w:spacing w:val="-6"/>
                <w:sz w:val="24"/>
                <w:szCs w:val="24"/>
                <w:highlight w:val="none"/>
                <w:lang w:val="en-US" w:eastAsia="zh-CN"/>
              </w:rPr>
              <w:t>废电解液</w:t>
            </w:r>
            <w:r>
              <w:rPr>
                <w:rFonts w:hint="eastAsia" w:ascii="Times New Roman" w:hAnsi="Times New Roman" w:eastAsiaTheme="minorEastAsia"/>
                <w:color w:val="auto"/>
                <w:spacing w:val="-6"/>
                <w:sz w:val="24"/>
                <w:szCs w:val="24"/>
                <w:highlight w:val="none"/>
                <w:lang w:eastAsia="zh-CN"/>
              </w:rPr>
              <w:t>。</w:t>
            </w:r>
          </w:p>
          <w:bookmarkEnd w:id="35"/>
          <w:p w14:paraId="142B24EF">
            <w:pPr>
              <w:topLinePunct/>
              <w:adjustRightInd w:val="0"/>
              <w:snapToGrid w:val="0"/>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②评价工作等级确定</w:t>
            </w:r>
          </w:p>
          <w:p w14:paraId="1BF63D70">
            <w:pPr>
              <w:topLinePunct/>
              <w:adjustRightInd w:val="0"/>
              <w:snapToGrid w:val="0"/>
              <w:spacing w:line="480" w:lineRule="exact"/>
              <w:ind w:firstLine="480" w:firstLineChars="200"/>
              <w:rPr>
                <w:rFonts w:hint="eastAsia" w:ascii="Times New Roman" w:hAnsi="Times New Roman"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rPr>
              <w:t>本项目最大硫酸</w:t>
            </w:r>
            <w:r>
              <w:rPr>
                <w:rFonts w:hint="eastAsia" w:ascii="Times New Roman" w:hAnsi="Times New Roman" w:cs="Times New Roman"/>
                <w:bCs/>
                <w:color w:val="auto"/>
                <w:sz w:val="24"/>
                <w:szCs w:val="24"/>
                <w:highlight w:val="none"/>
                <w:lang w:val="en-US" w:eastAsia="zh-CN"/>
              </w:rPr>
              <w:t>存储</w:t>
            </w:r>
            <w:r>
              <w:rPr>
                <w:rFonts w:hint="default" w:ascii="Times New Roman" w:hAnsi="Times New Roman" w:eastAsia="宋体" w:cs="Times New Roman"/>
                <w:bCs/>
                <w:color w:val="auto"/>
                <w:sz w:val="24"/>
                <w:szCs w:val="24"/>
                <w:highlight w:val="none"/>
              </w:rPr>
              <w:t>量</w:t>
            </w:r>
            <w:r>
              <w:rPr>
                <w:rFonts w:hint="default" w:ascii="Times New Roman" w:hAnsi="Times New Roman" w:eastAsia="宋体" w:cs="Times New Roman"/>
                <w:bCs/>
                <w:color w:val="auto"/>
                <w:sz w:val="24"/>
                <w:szCs w:val="24"/>
                <w:highlight w:val="none"/>
                <w:lang w:val="en-US" w:eastAsia="zh-CN"/>
              </w:rPr>
              <w:t>为</w:t>
            </w:r>
            <w:r>
              <w:rPr>
                <w:rFonts w:hint="eastAsia" w:ascii="Times New Roman" w:hAnsi="Times New Roman" w:cs="Times New Roman"/>
                <w:bCs/>
                <w:color w:val="auto"/>
                <w:sz w:val="24"/>
                <w:szCs w:val="24"/>
                <w:highlight w:val="none"/>
                <w:lang w:val="en-US" w:eastAsia="zh-CN"/>
              </w:rPr>
              <w:t>废旧铅酸蓄电池最大存储状态下的量</w:t>
            </w:r>
            <w:r>
              <w:rPr>
                <w:rFonts w:hint="default" w:ascii="Times New Roman" w:hAnsi="Times New Roman" w:eastAsia="宋体" w:cs="Times New Roman"/>
                <w:bCs/>
                <w:color w:val="auto"/>
                <w:sz w:val="24"/>
                <w:szCs w:val="24"/>
                <w:highlight w:val="none"/>
                <w:lang w:val="en-US" w:eastAsia="zh-CN"/>
              </w:rPr>
              <w:t>，本项目</w:t>
            </w:r>
            <w:r>
              <w:rPr>
                <w:rFonts w:hint="eastAsia" w:ascii="Times New Roman" w:hAnsi="Times New Roman" w:cs="Times New Roman"/>
                <w:bCs/>
                <w:color w:val="auto"/>
                <w:sz w:val="24"/>
                <w:szCs w:val="24"/>
                <w:highlight w:val="none"/>
                <w:lang w:val="en-US" w:eastAsia="zh-CN"/>
              </w:rPr>
              <w:t>废铅酸蓄电池</w:t>
            </w:r>
            <w:r>
              <w:rPr>
                <w:rFonts w:hint="default" w:ascii="Times New Roman" w:hAnsi="Times New Roman" w:eastAsia="宋体" w:cs="Times New Roman"/>
                <w:bCs/>
                <w:color w:val="auto"/>
                <w:sz w:val="24"/>
                <w:szCs w:val="24"/>
                <w:highlight w:val="none"/>
                <w:lang w:val="en-US" w:eastAsia="zh-CN"/>
              </w:rPr>
              <w:t>最大</w:t>
            </w:r>
            <w:r>
              <w:rPr>
                <w:rFonts w:hint="eastAsia" w:ascii="Times New Roman" w:hAnsi="Times New Roman" w:cs="Times New Roman"/>
                <w:bCs/>
                <w:color w:val="auto"/>
                <w:sz w:val="24"/>
                <w:szCs w:val="24"/>
                <w:highlight w:val="none"/>
                <w:lang w:val="en-US" w:eastAsia="zh-CN"/>
              </w:rPr>
              <w:t>存储量</w:t>
            </w:r>
            <w:r>
              <w:rPr>
                <w:rFonts w:hint="default" w:ascii="Times New Roman" w:hAnsi="Times New Roman" w:eastAsia="宋体" w:cs="Times New Roman"/>
                <w:bCs/>
                <w:color w:val="auto"/>
                <w:sz w:val="24"/>
                <w:szCs w:val="24"/>
                <w:highlight w:val="none"/>
                <w:lang w:val="en-US" w:eastAsia="zh-CN"/>
              </w:rPr>
              <w:t>为</w:t>
            </w:r>
            <w:r>
              <w:rPr>
                <w:rFonts w:hint="eastAsia" w:ascii="Times New Roman" w:hAnsi="Times New Roman" w:cs="Times New Roman"/>
                <w:bCs/>
                <w:color w:val="auto"/>
                <w:sz w:val="24"/>
                <w:szCs w:val="24"/>
                <w:highlight w:val="none"/>
                <w:lang w:val="en-US" w:eastAsia="zh-CN"/>
              </w:rPr>
              <w:t>70</w:t>
            </w:r>
            <w:r>
              <w:rPr>
                <w:rFonts w:hint="default" w:ascii="Times New Roman" w:hAnsi="Times New Roman" w:eastAsia="宋体" w:cs="Times New Roman"/>
                <w:bCs/>
                <w:color w:val="auto"/>
                <w:sz w:val="24"/>
                <w:szCs w:val="24"/>
                <w:highlight w:val="none"/>
                <w:lang w:val="en-US" w:eastAsia="zh-CN"/>
              </w:rPr>
              <w:t>t，电解液的含量约为10%-~20%，废酸液完全放电后电解液中硫酸重量比 10~15%</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按不利情况计算，</w:t>
            </w:r>
            <w:r>
              <w:rPr>
                <w:rFonts w:hint="eastAsia" w:ascii="Times New Roman" w:hAnsi="Times New Roman" w:cs="Times New Roman"/>
                <w:bCs/>
                <w:color w:val="auto"/>
                <w:sz w:val="24"/>
                <w:szCs w:val="24"/>
                <w:highlight w:val="none"/>
                <w:lang w:val="en-US" w:eastAsia="zh-CN"/>
              </w:rPr>
              <w:t>废电解液中的</w:t>
            </w:r>
            <w:r>
              <w:rPr>
                <w:rFonts w:hint="default" w:ascii="Times New Roman" w:hAnsi="Times New Roman" w:eastAsia="宋体" w:cs="Times New Roman"/>
                <w:bCs/>
                <w:color w:val="auto"/>
                <w:sz w:val="24"/>
                <w:szCs w:val="24"/>
                <w:highlight w:val="none"/>
                <w:lang w:val="en-US" w:eastAsia="zh-CN"/>
              </w:rPr>
              <w:t>硫酸</w:t>
            </w:r>
            <w:r>
              <w:rPr>
                <w:rFonts w:hint="eastAsia" w:ascii="Times New Roman" w:hAnsi="Times New Roman" w:cs="Times New Roman"/>
                <w:bCs/>
                <w:color w:val="auto"/>
                <w:sz w:val="24"/>
                <w:szCs w:val="24"/>
                <w:highlight w:val="none"/>
                <w:lang w:val="en-US" w:eastAsia="zh-CN"/>
              </w:rPr>
              <w:t>为2.1</w:t>
            </w:r>
            <w:r>
              <w:rPr>
                <w:rFonts w:hint="default" w:ascii="Times New Roman" w:hAnsi="Times New Roman" w:eastAsia="宋体" w:cs="Times New Roman"/>
                <w:bCs/>
                <w:color w:val="auto"/>
                <w:sz w:val="24"/>
                <w:szCs w:val="24"/>
                <w:highlight w:val="none"/>
                <w:lang w:val="en-US" w:eastAsia="zh-CN"/>
              </w:rPr>
              <w:t>t</w:t>
            </w:r>
            <w:r>
              <w:rPr>
                <w:rFonts w:hint="eastAsia" w:ascii="Times New Roman" w:hAnsi="Times New Roman" w:cs="Times New Roman"/>
                <w:bCs/>
                <w:color w:val="auto"/>
                <w:sz w:val="24"/>
                <w:szCs w:val="24"/>
                <w:highlight w:val="none"/>
                <w:lang w:val="en-US" w:eastAsia="zh-CN"/>
              </w:rPr>
              <w:t>。本项目涉及的其他风险物质按最大存储量计算，具体最大存储量及对应的Q值见下表：</w:t>
            </w:r>
          </w:p>
          <w:p w14:paraId="6FE6C755">
            <w:pPr>
              <w:topLinePunct/>
              <w:adjustRightInd w:val="0"/>
              <w:snapToGrid w:val="0"/>
              <w:spacing w:line="480" w:lineRule="exact"/>
              <w:jc w:val="center"/>
              <w:rPr>
                <w:rFonts w:ascii="Times New Roman" w:hAnsi="Times New Roman" w:eastAsiaTheme="minorEastAsia"/>
                <w:color w:val="auto"/>
                <w:sz w:val="24"/>
                <w:szCs w:val="24"/>
                <w:highlight w:val="none"/>
                <w:lang w:val="zh-CN"/>
              </w:rPr>
            </w:pPr>
            <w:r>
              <w:rPr>
                <w:rFonts w:ascii="Times New Roman" w:hAnsi="Times New Roman" w:eastAsiaTheme="minorEastAsia"/>
                <w:color w:val="auto"/>
                <w:sz w:val="24"/>
                <w:szCs w:val="24"/>
                <w:highlight w:val="none"/>
              </w:rPr>
              <w:t>表4-</w:t>
            </w:r>
            <w:r>
              <w:rPr>
                <w:rFonts w:hint="eastAsia" w:ascii="Times New Roman" w:hAnsi="Times New Roman" w:eastAsiaTheme="minorEastAsia"/>
                <w:color w:val="auto"/>
                <w:sz w:val="24"/>
                <w:szCs w:val="24"/>
                <w:highlight w:val="none"/>
                <w:lang w:val="en-US" w:eastAsia="zh-CN"/>
              </w:rPr>
              <w:t>14</w:t>
            </w:r>
            <w:r>
              <w:rPr>
                <w:rFonts w:ascii="Times New Roman" w:hAnsi="Times New Roman" w:eastAsiaTheme="minorEastAsia"/>
                <w:color w:val="auto"/>
                <w:sz w:val="24"/>
                <w:szCs w:val="24"/>
                <w:highlight w:val="none"/>
              </w:rPr>
              <w:t xml:space="preserve">  项目主要风险物质最大存储量及</w:t>
            </w:r>
            <w:r>
              <w:rPr>
                <w:rFonts w:hint="eastAsia" w:ascii="Times New Roman" w:hAnsi="Times New Roman" w:eastAsiaTheme="minorEastAsia"/>
                <w:color w:val="auto"/>
                <w:sz w:val="24"/>
                <w:szCs w:val="24"/>
                <w:highlight w:val="none"/>
                <w:lang w:val="en-US" w:eastAsia="zh-CN"/>
              </w:rPr>
              <w:t>Q值</w:t>
            </w:r>
            <w:r>
              <w:rPr>
                <w:rFonts w:ascii="Times New Roman" w:hAnsi="Times New Roman" w:eastAsiaTheme="minorEastAsia"/>
                <w:color w:val="auto"/>
                <w:sz w:val="24"/>
                <w:szCs w:val="24"/>
                <w:highlight w:val="none"/>
              </w:rPr>
              <w:t>一览表</w:t>
            </w:r>
          </w:p>
          <w:tbl>
            <w:tblPr>
              <w:tblStyle w:val="31"/>
              <w:tblW w:w="8423" w:type="dxa"/>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23"/>
              <w:gridCol w:w="1153"/>
              <w:gridCol w:w="1950"/>
              <w:gridCol w:w="1378"/>
              <w:gridCol w:w="1719"/>
            </w:tblGrid>
            <w:tr w14:paraId="34C2DD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223" w:type="dxa"/>
                  <w:noWrap w:val="0"/>
                  <w:vAlign w:val="center"/>
                </w:tcPr>
                <w:p w14:paraId="42F9EC5F">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物质名称</w:t>
                  </w:r>
                </w:p>
              </w:tc>
              <w:tc>
                <w:tcPr>
                  <w:tcW w:w="1153" w:type="dxa"/>
                  <w:noWrap w:val="0"/>
                  <w:vAlign w:val="center"/>
                </w:tcPr>
                <w:p w14:paraId="78288D28">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CAS号</w:t>
                  </w:r>
                </w:p>
              </w:tc>
              <w:tc>
                <w:tcPr>
                  <w:tcW w:w="1950" w:type="dxa"/>
                  <w:noWrap w:val="0"/>
                  <w:vAlign w:val="center"/>
                </w:tcPr>
                <w:p w14:paraId="30B58A2B">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最大存储量/t</w:t>
                  </w:r>
                </w:p>
              </w:tc>
              <w:tc>
                <w:tcPr>
                  <w:tcW w:w="1378" w:type="dxa"/>
                  <w:noWrap w:val="0"/>
                  <w:vAlign w:val="center"/>
                </w:tcPr>
                <w:p w14:paraId="0FB8A428">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临界量</w:t>
                  </w:r>
                </w:p>
              </w:tc>
              <w:tc>
                <w:tcPr>
                  <w:tcW w:w="1719" w:type="dxa"/>
                  <w:noWrap w:val="0"/>
                  <w:vAlign w:val="center"/>
                </w:tcPr>
                <w:p w14:paraId="5B6EDE22">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qi/Qi</w:t>
                  </w:r>
                </w:p>
              </w:tc>
            </w:tr>
            <w:tr w14:paraId="1F7F83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7" w:hRule="atLeast"/>
              </w:trPr>
              <w:tc>
                <w:tcPr>
                  <w:tcW w:w="2223" w:type="dxa"/>
                  <w:noWrap w:val="0"/>
                  <w:vAlign w:val="center"/>
                </w:tcPr>
                <w:p w14:paraId="215DCC1A">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硫酸</w:t>
                  </w:r>
                </w:p>
              </w:tc>
              <w:tc>
                <w:tcPr>
                  <w:tcW w:w="1153" w:type="dxa"/>
                  <w:noWrap w:val="0"/>
                  <w:vAlign w:val="center"/>
                </w:tcPr>
                <w:p w14:paraId="670BB8BE">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7664-93-9</w:t>
                  </w:r>
                </w:p>
              </w:tc>
              <w:tc>
                <w:tcPr>
                  <w:tcW w:w="1950" w:type="dxa"/>
                  <w:noWrap w:val="0"/>
                  <w:vAlign w:val="center"/>
                </w:tcPr>
                <w:p w14:paraId="30D1D890">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2.1</w:t>
                  </w:r>
                </w:p>
              </w:tc>
              <w:tc>
                <w:tcPr>
                  <w:tcW w:w="1378" w:type="dxa"/>
                  <w:noWrap w:val="0"/>
                  <w:vAlign w:val="center"/>
                </w:tcPr>
                <w:p w14:paraId="7116F2C9">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p>
              </w:tc>
              <w:tc>
                <w:tcPr>
                  <w:tcW w:w="1719" w:type="dxa"/>
                  <w:noWrap w:val="0"/>
                  <w:vAlign w:val="center"/>
                </w:tcPr>
                <w:p w14:paraId="6F12E2A4">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r>
                    <w:rPr>
                      <w:rFonts w:hint="eastAsia" w:ascii="Times New Roman" w:hAnsi="Times New Roman" w:cs="Times New Roman"/>
                      <w:b w:val="0"/>
                      <w:bCs w:val="0"/>
                      <w:color w:val="auto"/>
                      <w:sz w:val="21"/>
                      <w:szCs w:val="21"/>
                      <w:highlight w:val="none"/>
                      <w:lang w:val="en-US" w:eastAsia="zh-CN"/>
                    </w:rPr>
                    <w:t>21</w:t>
                  </w:r>
                </w:p>
              </w:tc>
            </w:tr>
            <w:tr w14:paraId="45AA00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7" w:hRule="atLeast"/>
              </w:trPr>
              <w:tc>
                <w:tcPr>
                  <w:tcW w:w="2223" w:type="dxa"/>
                  <w:shd w:val="clear"/>
                  <w:noWrap w:val="0"/>
                  <w:vAlign w:val="center"/>
                </w:tcPr>
                <w:p w14:paraId="605ECEFC">
                  <w:pPr>
                    <w:jc w:val="center"/>
                    <w:rPr>
                      <w:rFonts w:hint="default" w:ascii="Times New Roman" w:hAnsi="Times New Roman" w:cs="Times New Roman" w:eastAsiaTheme="minorEastAsia"/>
                      <w:color w:val="auto"/>
                      <w:spacing w:val="-6"/>
                      <w:kern w:val="2"/>
                      <w:sz w:val="21"/>
                      <w:szCs w:val="21"/>
                      <w:highlight w:val="none"/>
                      <w:lang w:val="en-US" w:eastAsia="zh-CN" w:bidi="ar-SA"/>
                    </w:rPr>
                  </w:pPr>
                  <w:r>
                    <w:rPr>
                      <w:rFonts w:hint="eastAsia" w:ascii="Times New Roman" w:hAnsi="Times New Roman" w:eastAsiaTheme="minorEastAsia"/>
                      <w:color w:val="auto"/>
                      <w:spacing w:val="-6"/>
                      <w:sz w:val="21"/>
                      <w:szCs w:val="21"/>
                      <w:highlight w:val="none"/>
                      <w:lang w:val="en-US" w:eastAsia="zh-CN"/>
                    </w:rPr>
                    <w:t>废旧铅酸蓄电池</w:t>
                  </w:r>
                </w:p>
              </w:tc>
              <w:tc>
                <w:tcPr>
                  <w:tcW w:w="1153" w:type="dxa"/>
                  <w:noWrap w:val="0"/>
                  <w:vAlign w:val="center"/>
                </w:tcPr>
                <w:p w14:paraId="6C863EB6">
                  <w:pPr>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w:t>
                  </w:r>
                </w:p>
              </w:tc>
              <w:tc>
                <w:tcPr>
                  <w:tcW w:w="1950" w:type="dxa"/>
                  <w:noWrap w:val="0"/>
                  <w:vAlign w:val="center"/>
                </w:tcPr>
                <w:p w14:paraId="4111CA7A">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70</w:t>
                  </w:r>
                </w:p>
              </w:tc>
              <w:tc>
                <w:tcPr>
                  <w:tcW w:w="1378" w:type="dxa"/>
                  <w:noWrap w:val="0"/>
                  <w:vAlign w:val="center"/>
                </w:tcPr>
                <w:p w14:paraId="271E9821">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100</w:t>
                  </w:r>
                </w:p>
              </w:tc>
              <w:tc>
                <w:tcPr>
                  <w:tcW w:w="1719" w:type="dxa"/>
                  <w:noWrap w:val="0"/>
                  <w:vAlign w:val="center"/>
                </w:tcPr>
                <w:p w14:paraId="1DA0B19B">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0.7</w:t>
                  </w:r>
                </w:p>
              </w:tc>
            </w:tr>
            <w:tr w14:paraId="4646EC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2223" w:type="dxa"/>
                  <w:noWrap w:val="0"/>
                  <w:vAlign w:val="center"/>
                </w:tcPr>
                <w:p w14:paraId="1782688D">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Theme="minorEastAsia"/>
                      <w:color w:val="auto"/>
                      <w:spacing w:val="-6"/>
                      <w:sz w:val="21"/>
                      <w:szCs w:val="21"/>
                      <w:highlight w:val="none"/>
                    </w:rPr>
                    <w:t>废喷淋塔吸收液</w:t>
                  </w:r>
                </w:p>
              </w:tc>
              <w:tc>
                <w:tcPr>
                  <w:tcW w:w="1153" w:type="dxa"/>
                  <w:noWrap w:val="0"/>
                  <w:vAlign w:val="center"/>
                </w:tcPr>
                <w:p w14:paraId="3B80F930">
                  <w:pPr>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w:t>
                  </w:r>
                </w:p>
              </w:tc>
              <w:tc>
                <w:tcPr>
                  <w:tcW w:w="1950" w:type="dxa"/>
                  <w:noWrap w:val="0"/>
                  <w:vAlign w:val="center"/>
                </w:tcPr>
                <w:p w14:paraId="2759EE1D">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1.764</w:t>
                  </w:r>
                </w:p>
              </w:tc>
              <w:tc>
                <w:tcPr>
                  <w:tcW w:w="1378" w:type="dxa"/>
                  <w:noWrap w:val="0"/>
                  <w:vAlign w:val="center"/>
                </w:tcPr>
                <w:p w14:paraId="09D62747">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100</w:t>
                  </w:r>
                </w:p>
              </w:tc>
              <w:tc>
                <w:tcPr>
                  <w:tcW w:w="1719" w:type="dxa"/>
                  <w:noWrap w:val="0"/>
                  <w:vAlign w:val="center"/>
                </w:tcPr>
                <w:p w14:paraId="11B16411">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w:t>
                  </w:r>
                  <w:r>
                    <w:rPr>
                      <w:rFonts w:hint="eastAsia" w:ascii="Times New Roman" w:hAnsi="Times New Roman" w:cs="Times New Roman"/>
                      <w:b w:val="0"/>
                      <w:bCs w:val="0"/>
                      <w:color w:val="auto"/>
                      <w:sz w:val="21"/>
                      <w:szCs w:val="21"/>
                      <w:highlight w:val="none"/>
                      <w:lang w:val="en-US" w:eastAsia="zh-CN"/>
                    </w:rPr>
                    <w:t>1764</w:t>
                  </w:r>
                </w:p>
              </w:tc>
            </w:tr>
            <w:tr w14:paraId="046FD6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85" w:hRule="atLeast"/>
              </w:trPr>
              <w:tc>
                <w:tcPr>
                  <w:tcW w:w="2223" w:type="dxa"/>
                  <w:noWrap w:val="0"/>
                  <w:vAlign w:val="center"/>
                </w:tcPr>
                <w:p w14:paraId="220BF6A4">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Theme="minorEastAsia"/>
                      <w:color w:val="auto"/>
                      <w:spacing w:val="-6"/>
                      <w:sz w:val="21"/>
                      <w:szCs w:val="21"/>
                      <w:highlight w:val="none"/>
                    </w:rPr>
                    <w:t>沾染电解液的废劳保用品、废拖把、废抹布和破损的箱子</w:t>
                  </w:r>
                </w:p>
              </w:tc>
              <w:tc>
                <w:tcPr>
                  <w:tcW w:w="1153" w:type="dxa"/>
                  <w:noWrap w:val="0"/>
                  <w:vAlign w:val="center"/>
                </w:tcPr>
                <w:p w14:paraId="60619577">
                  <w:pPr>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w:t>
                  </w:r>
                </w:p>
              </w:tc>
              <w:tc>
                <w:tcPr>
                  <w:tcW w:w="1950" w:type="dxa"/>
                  <w:noWrap w:val="0"/>
                  <w:vAlign w:val="center"/>
                </w:tcPr>
                <w:p w14:paraId="3DF6D94A">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r>
                    <w:rPr>
                      <w:rFonts w:hint="eastAsia" w:ascii="Times New Roman" w:hAnsi="Times New Roman" w:cs="Times New Roman"/>
                      <w:b w:val="0"/>
                      <w:bCs w:val="0"/>
                      <w:color w:val="auto"/>
                      <w:sz w:val="21"/>
                      <w:szCs w:val="21"/>
                      <w:highlight w:val="none"/>
                      <w:lang w:val="en-US" w:eastAsia="zh-CN"/>
                    </w:rPr>
                    <w:t>2</w:t>
                  </w:r>
                </w:p>
              </w:tc>
              <w:tc>
                <w:tcPr>
                  <w:tcW w:w="1378" w:type="dxa"/>
                  <w:noWrap w:val="0"/>
                  <w:vAlign w:val="center"/>
                </w:tcPr>
                <w:p w14:paraId="56EEA976">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100</w:t>
                  </w:r>
                </w:p>
              </w:tc>
              <w:tc>
                <w:tcPr>
                  <w:tcW w:w="1719" w:type="dxa"/>
                  <w:noWrap w:val="0"/>
                  <w:vAlign w:val="center"/>
                </w:tcPr>
                <w:p w14:paraId="45596DCF">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0.002</w:t>
                  </w:r>
                </w:p>
              </w:tc>
            </w:tr>
            <w:tr w14:paraId="2C79B2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704" w:type="dxa"/>
                  <w:gridSpan w:val="4"/>
                  <w:noWrap w:val="0"/>
                  <w:vAlign w:val="center"/>
                </w:tcPr>
                <w:p w14:paraId="0FCA3131">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合计</w:t>
                  </w:r>
                </w:p>
              </w:tc>
              <w:tc>
                <w:tcPr>
                  <w:tcW w:w="1719" w:type="dxa"/>
                  <w:noWrap w:val="0"/>
                  <w:vAlign w:val="center"/>
                </w:tcPr>
                <w:p w14:paraId="14B811C9">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r>
                    <w:rPr>
                      <w:rFonts w:hint="eastAsia" w:ascii="Times New Roman" w:hAnsi="Times New Roman" w:cs="Times New Roman"/>
                      <w:b w:val="0"/>
                      <w:bCs w:val="0"/>
                      <w:color w:val="auto"/>
                      <w:sz w:val="21"/>
                      <w:szCs w:val="21"/>
                      <w:highlight w:val="none"/>
                      <w:lang w:val="en-US" w:eastAsia="zh-CN"/>
                    </w:rPr>
                    <w:t>92964</w:t>
                  </w:r>
                </w:p>
              </w:tc>
            </w:tr>
          </w:tbl>
          <w:p w14:paraId="34F603CB">
            <w:pPr>
              <w:topLinePunct/>
              <w:adjustRightInd w:val="0"/>
              <w:snapToGrid w:val="0"/>
              <w:spacing w:line="240" w:lineRule="auto"/>
              <w:ind w:firstLine="480" w:firstLineChars="200"/>
              <w:rPr>
                <w:rFonts w:hint="default" w:ascii="Times New Roman" w:hAnsi="Times New Roman" w:eastAsiaTheme="minorEastAsia"/>
                <w:color w:val="auto"/>
                <w:spacing w:val="-6"/>
                <w:sz w:val="21"/>
                <w:szCs w:val="21"/>
                <w:highlight w:val="none"/>
                <w:lang w:val="en-US" w:eastAsia="zh-CN"/>
              </w:rPr>
            </w:pPr>
            <w:r>
              <w:rPr>
                <w:rFonts w:hint="eastAsia" w:ascii="Times New Roman" w:hAnsi="Times New Roman" w:cs="Times New Roman"/>
                <w:bCs/>
                <w:color w:val="auto"/>
                <w:sz w:val="24"/>
                <w:szCs w:val="24"/>
                <w:highlight w:val="none"/>
                <w:lang w:val="en-US" w:eastAsia="zh-CN"/>
              </w:rPr>
              <w:t>注：</w:t>
            </w:r>
            <w:r>
              <w:rPr>
                <w:rFonts w:hint="eastAsia" w:ascii="Times New Roman" w:hAnsi="Times New Roman" w:eastAsiaTheme="minorEastAsia"/>
                <w:color w:val="auto"/>
                <w:spacing w:val="-6"/>
                <w:sz w:val="21"/>
                <w:szCs w:val="21"/>
                <w:highlight w:val="none"/>
                <w:lang w:val="en-US" w:eastAsia="zh-CN"/>
              </w:rPr>
              <w:t>废旧铅酸蓄电池中的电解液和废电解液有所重复，不再对废电解液重复计算。因硫酸较敏感，单独对硫酸的Q值进行计算。本报告按最不利情形计算每种风险物质的Q值。</w:t>
            </w:r>
          </w:p>
          <w:p w14:paraId="7ED005F4">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rPr>
              <w:t>Q值小于1，项目环境风险潜势为Ⅰ，根据《建设项目环境风险评价技术导则》（HJ/T169-2018）评价等级划分原则，项目环境风险评价为简单分析</w:t>
            </w:r>
            <w:r>
              <w:rPr>
                <w:rFonts w:hint="default" w:ascii="Times New Roman" w:hAnsi="Times New Roman" w:eastAsia="宋体" w:cs="Times New Roman"/>
                <w:bCs/>
                <w:color w:val="auto"/>
                <w:sz w:val="24"/>
                <w:szCs w:val="24"/>
                <w:highlight w:val="none"/>
                <w:lang w:eastAsia="zh-CN"/>
              </w:rPr>
              <w:t>。</w:t>
            </w:r>
          </w:p>
          <w:p w14:paraId="4DF66789">
            <w:pPr>
              <w:numPr>
                <w:ilvl w:val="0"/>
                <w:numId w:val="0"/>
              </w:numPr>
              <w:spacing w:line="360" w:lineRule="auto"/>
              <w:ind w:leftChars="200"/>
              <w:rPr>
                <w:rFonts w:hint="eastAsia"/>
                <w:color w:val="auto"/>
                <w:sz w:val="24"/>
                <w:highlight w:val="none"/>
                <w:lang w:val="en-US" w:eastAsia="zh-CN"/>
              </w:rPr>
            </w:pPr>
            <w:r>
              <w:rPr>
                <w:rFonts w:hint="eastAsia"/>
                <w:color w:val="auto"/>
                <w:sz w:val="24"/>
                <w:highlight w:val="none"/>
                <w:lang w:val="en-US" w:eastAsia="zh-CN"/>
              </w:rPr>
              <w:t>（2）环境风险识别及风险分析</w:t>
            </w:r>
          </w:p>
          <w:p w14:paraId="63B04D64">
            <w:pPr>
              <w:numPr>
                <w:ilvl w:val="0"/>
                <w:numId w:val="0"/>
              </w:numPr>
              <w:spacing w:line="360" w:lineRule="auto"/>
              <w:ind w:leftChars="200"/>
              <w:rPr>
                <w:rFonts w:hint="eastAsia"/>
                <w:color w:val="auto"/>
                <w:sz w:val="24"/>
                <w:highlight w:val="none"/>
                <w:lang w:val="en-US" w:eastAsia="zh-CN"/>
              </w:rPr>
            </w:pPr>
            <w:r>
              <w:rPr>
                <w:rFonts w:hint="eastAsia"/>
                <w:color w:val="auto"/>
                <w:sz w:val="24"/>
                <w:highlight w:val="none"/>
                <w:lang w:val="en-US" w:eastAsia="zh-CN"/>
              </w:rPr>
              <w:t>①泄漏、中毒事故</w:t>
            </w:r>
          </w:p>
          <w:p w14:paraId="64DBB2D3">
            <w:pPr>
              <w:pStyle w:val="5"/>
              <w:spacing w:line="360" w:lineRule="auto"/>
              <w:rPr>
                <w:rFonts w:hint="default"/>
                <w:color w:val="auto"/>
                <w:highlight w:val="none"/>
                <w:lang w:val="en-US" w:eastAsia="zh-CN"/>
              </w:rPr>
            </w:pPr>
            <w:r>
              <w:rPr>
                <w:rFonts w:hint="eastAsia"/>
                <w:color w:val="auto"/>
                <w:sz w:val="24"/>
                <w:highlight w:val="none"/>
                <w:lang w:val="en-US" w:eastAsia="zh-CN"/>
              </w:rPr>
              <w:t>本项目废旧铅酸蓄电池在存储过程中可能由于受外力压迫等原因导致电解液泄漏，产生硫酸雾，从而危害工作人员健康及引发相关环境污染事故；其他危废在收集、贮存、转运过程中发生遗撒事故。</w:t>
            </w:r>
          </w:p>
          <w:p w14:paraId="320E9E4F">
            <w:pPr>
              <w:numPr>
                <w:ilvl w:val="0"/>
                <w:numId w:val="0"/>
              </w:numPr>
              <w:spacing w:line="360" w:lineRule="auto"/>
              <w:ind w:leftChars="200"/>
              <w:rPr>
                <w:rFonts w:hint="eastAsia"/>
                <w:color w:val="auto"/>
                <w:sz w:val="24"/>
                <w:highlight w:val="none"/>
                <w:lang w:val="en-US" w:eastAsia="zh-CN"/>
              </w:rPr>
            </w:pPr>
            <w:r>
              <w:rPr>
                <w:rFonts w:hint="eastAsia"/>
                <w:color w:val="auto"/>
                <w:sz w:val="24"/>
                <w:highlight w:val="none"/>
                <w:lang w:val="en-US" w:eastAsia="zh-CN"/>
              </w:rPr>
              <w:t>②火灾事故</w:t>
            </w:r>
          </w:p>
          <w:p w14:paraId="5F82ED0C">
            <w:pPr>
              <w:numPr>
                <w:ilvl w:val="0"/>
                <w:numId w:val="0"/>
              </w:numPr>
              <w:tabs>
                <w:tab w:val="left" w:pos="347"/>
              </w:tabs>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由于铅蓄电池外壳多为塑料材质，一旦发生火灾事故，火势会难以控制；且废旧铅酸蓄电池中含有有害物质，一旦发生火灾事故，会产生大量具有刺激性、有毒的气体，对附近人群安全及空气环境将产生不良影响。</w:t>
            </w:r>
          </w:p>
          <w:p w14:paraId="79991915">
            <w:pPr>
              <w:numPr>
                <w:ilvl w:val="0"/>
                <w:numId w:val="0"/>
              </w:numPr>
              <w:tabs>
                <w:tab w:val="left" w:pos="347"/>
              </w:tabs>
              <w:spacing w:line="360" w:lineRule="auto"/>
              <w:ind w:firstLine="240" w:firstLineChars="100"/>
              <w:rPr>
                <w:rFonts w:hint="default" w:ascii="Times New Roman" w:hAnsi="Times New Roman" w:eastAsia="宋体" w:cs="Times New Roman"/>
                <w:bCs/>
                <w:color w:val="auto"/>
                <w:sz w:val="24"/>
                <w:szCs w:val="24"/>
                <w:highlight w:val="none"/>
              </w:rPr>
            </w:pPr>
            <w:r>
              <w:rPr>
                <w:rFonts w:hint="eastAsia" w:ascii="Times New Roman" w:hAnsi="Times New Roman" w:cs="Times New Roman"/>
                <w:bCs/>
                <w:color w:val="auto"/>
                <w:sz w:val="24"/>
                <w:szCs w:val="24"/>
                <w:highlight w:val="none"/>
                <w:lang w:eastAsia="zh-CN"/>
              </w:rPr>
              <w:t>（</w:t>
            </w:r>
            <w:r>
              <w:rPr>
                <w:rFonts w:hint="eastAsia" w:ascii="Times New Roman" w:hAnsi="Times New Roman" w:cs="Times New Roman"/>
                <w:bCs/>
                <w:color w:val="auto"/>
                <w:sz w:val="24"/>
                <w:szCs w:val="24"/>
                <w:highlight w:val="none"/>
                <w:lang w:val="en-US" w:eastAsia="zh-CN"/>
              </w:rPr>
              <w:t>3</w:t>
            </w:r>
            <w:r>
              <w:rPr>
                <w:rFonts w:hint="eastAsia" w:ascii="Times New Roman" w:hAnsi="Times New Roman"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风险分析及风险防范措施</w:t>
            </w:r>
          </w:p>
          <w:p w14:paraId="298E7FCB">
            <w:pPr>
              <w:numPr>
                <w:ilvl w:val="0"/>
                <w:numId w:val="0"/>
              </w:numPr>
              <w:spacing w:line="360" w:lineRule="auto"/>
              <w:ind w:left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①废气处理设施失效风险分析及防范措施</w:t>
            </w:r>
          </w:p>
          <w:p w14:paraId="2A6EE481">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项目贮存过程中大气污染物风险排放对人体危害较大的是硫酸雾。因此，建设单位应对厂房破损电池贮存间采取以下措施：</w:t>
            </w:r>
          </w:p>
          <w:p w14:paraId="44478CBF">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I加强管理与日常维护，确保废气处理系统的有效运行。</w:t>
            </w:r>
          </w:p>
          <w:p w14:paraId="3089CBC0">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II对易损易耗件实行备品备用，确保设备发生故障时能及时予以更换。</w:t>
            </w:r>
          </w:p>
          <w:p w14:paraId="7F0B7794">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III对废气处理系统必须配套双电源电路。</w:t>
            </w:r>
          </w:p>
          <w:p w14:paraId="075712F8">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建设单位必须加强管理并采取有效防范措施，杜绝或最大程度降低废气风险排放，减轻对区域大气环境的影响。</w:t>
            </w:r>
          </w:p>
          <w:p w14:paraId="05EFD0F0">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②</w:t>
            </w:r>
            <w:r>
              <w:rPr>
                <w:rFonts w:hint="eastAsia" w:ascii="Times New Roman" w:hAnsi="Times New Roman" w:cs="Times New Roman"/>
                <w:bCs/>
                <w:color w:val="auto"/>
                <w:sz w:val="24"/>
                <w:szCs w:val="24"/>
                <w:highlight w:val="none"/>
                <w:lang w:eastAsia="zh-CN"/>
              </w:rPr>
              <w:t>废旧铅酸蓄电池</w:t>
            </w:r>
            <w:r>
              <w:rPr>
                <w:rFonts w:hint="default" w:ascii="Times New Roman" w:hAnsi="Times New Roman" w:eastAsia="宋体" w:cs="Times New Roman"/>
                <w:bCs/>
                <w:color w:val="auto"/>
                <w:sz w:val="24"/>
                <w:szCs w:val="24"/>
                <w:highlight w:val="none"/>
              </w:rPr>
              <w:t>贮存过程中电解液泄漏风险及防范措施</w:t>
            </w:r>
          </w:p>
          <w:p w14:paraId="50C9D96E">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项目</w:t>
            </w:r>
            <w:r>
              <w:rPr>
                <w:rFonts w:hint="eastAsia" w:ascii="Times New Roman" w:hAnsi="Times New Roman" w:cs="Times New Roman"/>
                <w:bCs/>
                <w:color w:val="auto"/>
                <w:sz w:val="24"/>
                <w:szCs w:val="24"/>
                <w:highlight w:val="none"/>
                <w:lang w:eastAsia="zh-CN"/>
              </w:rPr>
              <w:t>废旧铅酸蓄电池</w:t>
            </w:r>
            <w:r>
              <w:rPr>
                <w:rFonts w:hint="default" w:ascii="Times New Roman" w:hAnsi="Times New Roman" w:eastAsia="宋体" w:cs="Times New Roman"/>
                <w:bCs/>
                <w:color w:val="auto"/>
                <w:sz w:val="24"/>
                <w:szCs w:val="24"/>
                <w:highlight w:val="none"/>
              </w:rPr>
              <w:t>贮存过程中，如人工，叉车转移导致坠地或装卸、操作过程不当将导致其外壳破损引起电解液发生泄漏，电解液内主要含硫酸</w:t>
            </w:r>
            <w:r>
              <w:rPr>
                <w:rFonts w:hint="eastAsia" w:ascii="Times New Roman" w:hAnsi="Times New Roman" w:cs="Times New Roman"/>
                <w:bCs/>
                <w:color w:val="auto"/>
                <w:sz w:val="24"/>
                <w:szCs w:val="24"/>
                <w:highlight w:val="none"/>
                <w:lang w:eastAsia="zh-CN"/>
              </w:rPr>
              <w:t>、</w:t>
            </w:r>
            <w:r>
              <w:rPr>
                <w:rFonts w:hint="eastAsia" w:ascii="Times New Roman" w:hAnsi="Times New Roman" w:cs="Times New Roman"/>
                <w:bCs/>
                <w:color w:val="auto"/>
                <w:sz w:val="24"/>
                <w:szCs w:val="24"/>
                <w:highlight w:val="none"/>
                <w:lang w:val="en-US" w:eastAsia="zh-CN"/>
              </w:rPr>
              <w:t>铅</w:t>
            </w:r>
            <w:r>
              <w:rPr>
                <w:rFonts w:hint="default" w:ascii="Times New Roman" w:hAnsi="Times New Roman" w:eastAsia="宋体" w:cs="Times New Roman"/>
                <w:bCs/>
                <w:color w:val="auto"/>
                <w:sz w:val="24"/>
                <w:szCs w:val="24"/>
                <w:highlight w:val="none"/>
              </w:rPr>
              <w:t>等，若不及时收集将对周边环境造成一定影响。评价要求建设单位采取以下措施进行防范：</w:t>
            </w:r>
          </w:p>
          <w:p w14:paraId="1E4AABB8">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I控制废旧铅蓄电池的存放高度，防止因堆存高度较高导致高空坠地引起废旧铅蓄电池电解液的泄漏。加强厂区监管，定期巡查，检查各周转箱的稳固情况、检查货物在堆存过程中的稳固情况等，若发生问题，应及时予以解决，防止其倒塌、坠地风险发生。</w:t>
            </w:r>
          </w:p>
          <w:p w14:paraId="68931205">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II定期检查所贮存的货物密封阀严实情况及壳体开裂情况，如发现密封阀不严实应及时将其拧紧，同时若发生壳体开裂应及时将其转至破损电池贮存间存放。</w:t>
            </w:r>
          </w:p>
          <w:p w14:paraId="27428285">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III在上下车过程中，应文明装、卸，禁止野蛮操作，同时叉车在运作过程中应当做到“稳”、“慢”、“准”，严防发生周转箱坠地等事故发生。</w:t>
            </w:r>
          </w:p>
          <w:p w14:paraId="39209304">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IV配备事故应急设施：如铁揪、石灰等，若事故发生时应第一时间进行处理，防止对周边环境产生影响。</w:t>
            </w:r>
          </w:p>
          <w:p w14:paraId="30C07D13">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V若在贮存区发生非正常工况泄漏时，所产生的电解液泄漏液经周转箱下的塑料托盘（防酸、防渗）+泄漏液收集沟+泄漏液收集池进行收集，应及时采用石灰进行中和，中和渣采用吨桶（耐酸、防渗）收集并定期送有资质单位进行处置，同时破损的废旧铅蓄电池应及时采用专业收集容器（耐酸、防渗，密闭）后转移至破损电池贮存间进行存放等等。</w:t>
            </w:r>
          </w:p>
          <w:p w14:paraId="615B1EE1">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③废旧铅蓄电池收集、运输过程中风险</w:t>
            </w:r>
          </w:p>
          <w:p w14:paraId="0C0F6A2E">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由于</w:t>
            </w:r>
            <w:r>
              <w:rPr>
                <w:rFonts w:hint="eastAsia" w:ascii="Times New Roman" w:hAnsi="Times New Roman" w:cs="Times New Roman"/>
                <w:bCs/>
                <w:color w:val="auto"/>
                <w:sz w:val="24"/>
                <w:szCs w:val="24"/>
                <w:highlight w:val="none"/>
                <w:lang w:eastAsia="zh-CN"/>
              </w:rPr>
              <w:t>废旧铅酸蓄电池</w:t>
            </w:r>
            <w:r>
              <w:rPr>
                <w:rFonts w:hint="default" w:ascii="Times New Roman" w:hAnsi="Times New Roman" w:eastAsia="宋体" w:cs="Times New Roman"/>
                <w:bCs/>
                <w:color w:val="auto"/>
                <w:sz w:val="24"/>
                <w:szCs w:val="24"/>
                <w:highlight w:val="none"/>
              </w:rPr>
              <w:t>产生点较多，回收过程不具备固定线路条件。因此评价要求建设单位应严格按照《危险废物收集 贮存 运输技术规范》（HJ2025-2012）等相关规范要求进行，如：</w:t>
            </w:r>
          </w:p>
          <w:p w14:paraId="1E7FDB12">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I配备专门的车辆进行收集；</w:t>
            </w:r>
          </w:p>
          <w:p w14:paraId="0C48F8F7">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II司机、工作人员需经危险废物、应急救援等方面的安全培训，包括防火、防泄漏以及应急联络等，同时由交通部门核发上岗证书。</w:t>
            </w:r>
          </w:p>
          <w:p w14:paraId="65F3688C">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III按《道路运输危险货物车辆标记》（GB13392-2005）相关要求，悬挂相应标识运输，密闭运输，不得随意清车辆等等。</w:t>
            </w:r>
          </w:p>
          <w:p w14:paraId="7FD7FFE2">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IV收集运输车辆应符合安全运输要求，持有合格证并定期进行安全检查。</w:t>
            </w:r>
          </w:p>
          <w:p w14:paraId="4AB6EE42">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V收集运输途中应避开经过医院、学校、居民区等人口密集区，避开饮用水源保护区、风景名胜区等敏感区域。</w:t>
            </w:r>
          </w:p>
          <w:p w14:paraId="4EB0E233">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VI收集运输车辆内应设专业收集容器，保证为不易破损、变形，防渗、防酸、耐腐蚀的密闭容器。</w:t>
            </w:r>
          </w:p>
          <w:p w14:paraId="7A6A7A35">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VII按交通规则进行安全行使，不抢道、不超速、不醉酒等，保证货品安全等。</w:t>
            </w:r>
          </w:p>
          <w:p w14:paraId="2A78605E">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通过采取上述措施后，可有效防止项目废旧铅蓄电池收集、运输过程发生的风险，同时可有效避免风险过程中</w:t>
            </w:r>
            <w:r>
              <w:rPr>
                <w:rFonts w:hint="eastAsia" w:ascii="Times New Roman" w:hAnsi="Times New Roman" w:cs="Times New Roman"/>
                <w:bCs/>
                <w:color w:val="auto"/>
                <w:sz w:val="24"/>
                <w:szCs w:val="24"/>
                <w:highlight w:val="none"/>
                <w:lang w:eastAsia="zh-CN"/>
              </w:rPr>
              <w:t>废旧铅酸蓄电池</w:t>
            </w:r>
            <w:r>
              <w:rPr>
                <w:rFonts w:hint="default" w:ascii="Times New Roman" w:hAnsi="Times New Roman" w:eastAsia="宋体" w:cs="Times New Roman"/>
                <w:bCs/>
                <w:color w:val="auto"/>
                <w:sz w:val="24"/>
                <w:szCs w:val="24"/>
                <w:highlight w:val="none"/>
              </w:rPr>
              <w:t>电解液进入外环境风险。</w:t>
            </w:r>
          </w:p>
          <w:p w14:paraId="1EBB2E55">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④厂区防渗系统破损风险分析</w:t>
            </w:r>
          </w:p>
          <w:p w14:paraId="214A1397">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项目</w:t>
            </w:r>
            <w:r>
              <w:rPr>
                <w:rFonts w:hint="eastAsia" w:ascii="Times New Roman" w:hAnsi="Times New Roman" w:cs="Times New Roman"/>
                <w:bCs/>
                <w:color w:val="auto"/>
                <w:sz w:val="24"/>
                <w:szCs w:val="24"/>
                <w:highlight w:val="none"/>
                <w:lang w:eastAsia="zh-CN"/>
              </w:rPr>
              <w:t>废旧铅酸蓄电池</w:t>
            </w:r>
            <w:r>
              <w:rPr>
                <w:rFonts w:hint="default" w:ascii="Times New Roman" w:hAnsi="Times New Roman" w:eastAsia="宋体" w:cs="Times New Roman"/>
                <w:bCs/>
                <w:color w:val="auto"/>
                <w:sz w:val="24"/>
                <w:szCs w:val="24"/>
                <w:highlight w:val="none"/>
              </w:rPr>
              <w:t>为危险废物，其物质成份主要有硫酸等，要求建设单位厂区地面防渗系统、泄漏液收集系统等按《危险废物贮存污染控制标准》（GB18597-2023）、《危险废物收集贮存运输技术规范》（HJ2025-2012）、《电池废料贮运规范》（GB/T26493-2011）等规范要求进行设计。</w:t>
            </w:r>
          </w:p>
          <w:p w14:paraId="5BF98309">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若厂区防渗系统发生破损，在电解液的泄漏时，污染物会经破损的防渗层下渗污染包气带土壤、地下水。土壤、地下水一旦发生污染，其影响将持续较长的时间且难以治理。因此，必须坚持源头控制、末端防治、污染监控、应急响应相结合的原则。建设单位必须：</w:t>
            </w:r>
          </w:p>
          <w:p w14:paraId="3610213F">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I加强防渗系统管理与日常维护，确保其不发生破损。</w:t>
            </w:r>
          </w:p>
          <w:p w14:paraId="0FC4E5AF">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II制定一套科学、完整和严格的故障处理制度和应急措施，责任到人，以便发生故障时及时处理。</w:t>
            </w:r>
          </w:p>
          <w:p w14:paraId="1F5356DD">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建设单位必须加强管理并采取有效防范措施，杜绝或最大程度降低废气风险排放，减轻对区域土壤、地下水环境的影响。</w:t>
            </w:r>
          </w:p>
          <w:p w14:paraId="4BBB790E">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⑤贮存废旧铅蓄电池放电不完全引发火灾风险</w:t>
            </w:r>
          </w:p>
          <w:p w14:paraId="44049E93">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项目所回收废旧铅蓄电池可能存在少部分正负极放电不完全，在上下车过程或是贮存过程触碰至钢、铁等金属物质时会引起废旧铅蓄电池外壳燃烧，导致火灾事故发生。评价建议建设单位采取下列措施进行风险防范，如：</w:t>
            </w:r>
          </w:p>
          <w:p w14:paraId="1AA15384">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I在收集废旧铅蓄电池对其进行检查，对有可能存在放电不完全的电池进行试电处理，若存在放电不完全现象，可采用短电方式进行处理使其放电完全后再对其进行回收、贮存。</w:t>
            </w:r>
          </w:p>
          <w:p w14:paraId="7F4D32EB">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II在上下车过程中，注意各废旧铅蓄电池正负极不能接触车体、叉车体上的钢铁等金属物质，小心上下车及贮存等。</w:t>
            </w:r>
          </w:p>
          <w:p w14:paraId="5D0DE174">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考虑发生火灾消防水用量（消防用水量</w:t>
            </w:r>
            <w:r>
              <w:rPr>
                <w:rFonts w:hint="eastAsia" w:ascii="Times New Roman" w:hAnsi="Times New Roman"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rPr>
              <w:t>L/s，消防时间按</w:t>
            </w:r>
            <w:r>
              <w:rPr>
                <w:rFonts w:hint="eastAsia" w:ascii="Times New Roman" w:hAnsi="Times New Roman" w:cs="Times New Roman"/>
                <w:bCs/>
                <w:color w:val="auto"/>
                <w:sz w:val="24"/>
                <w:szCs w:val="24"/>
                <w:highlight w:val="none"/>
                <w:lang w:val="en-US" w:eastAsia="zh-CN"/>
              </w:rPr>
              <w:t>30</w:t>
            </w:r>
            <w:r>
              <w:rPr>
                <w:rFonts w:hint="default" w:ascii="Times New Roman" w:hAnsi="Times New Roman" w:eastAsia="宋体" w:cs="Times New Roman"/>
                <w:bCs/>
                <w:color w:val="auto"/>
                <w:sz w:val="24"/>
                <w:szCs w:val="24"/>
                <w:highlight w:val="none"/>
              </w:rPr>
              <w:t>min），即消防废水量约</w:t>
            </w:r>
            <w:r>
              <w:rPr>
                <w:rFonts w:hint="eastAsia" w:ascii="Times New Roman" w:hAnsi="Times New Roman" w:cs="Times New Roman"/>
                <w:bCs/>
                <w:color w:val="auto"/>
                <w:sz w:val="24"/>
                <w:szCs w:val="24"/>
                <w:highlight w:val="none"/>
                <w:lang w:val="en-US" w:eastAsia="zh-CN"/>
              </w:rPr>
              <w:t>7.2</w:t>
            </w:r>
            <w:r>
              <w:rPr>
                <w:rFonts w:hint="default" w:ascii="Times New Roman" w:hAnsi="Times New Roman" w:eastAsia="宋体" w:cs="Times New Roman"/>
                <w:bCs/>
                <w:color w:val="auto"/>
                <w:sz w:val="24"/>
                <w:szCs w:val="24"/>
                <w:highlight w:val="none"/>
              </w:rPr>
              <w:t>m³/次，厂内设置1个</w:t>
            </w:r>
            <w:r>
              <w:rPr>
                <w:rFonts w:hint="eastAsia" w:ascii="Times New Roman" w:hAnsi="Times New Roman"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rPr>
              <w:t>m³的消防</w:t>
            </w:r>
            <w:r>
              <w:rPr>
                <w:rFonts w:hint="eastAsia" w:ascii="Times New Roman" w:hAnsi="Times New Roman" w:cs="Times New Roman"/>
                <w:bCs/>
                <w:color w:val="auto"/>
                <w:sz w:val="24"/>
                <w:szCs w:val="24"/>
                <w:highlight w:val="none"/>
                <w:lang w:val="en-US" w:eastAsia="zh-CN"/>
              </w:rPr>
              <w:t>废水池</w:t>
            </w:r>
            <w:r>
              <w:rPr>
                <w:rFonts w:hint="eastAsia" w:ascii="Times New Roman" w:hAnsi="Times New Roman"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，消防废水排入消防</w:t>
            </w:r>
            <w:r>
              <w:rPr>
                <w:rFonts w:hint="eastAsia" w:ascii="Times New Roman" w:hAnsi="Times New Roman" w:cs="Times New Roman"/>
                <w:bCs/>
                <w:color w:val="auto"/>
                <w:sz w:val="24"/>
                <w:szCs w:val="24"/>
                <w:highlight w:val="none"/>
                <w:lang w:val="en-US" w:eastAsia="zh-CN"/>
              </w:rPr>
              <w:t>废水池</w:t>
            </w:r>
            <w:r>
              <w:rPr>
                <w:rFonts w:hint="default" w:ascii="Times New Roman" w:hAnsi="Times New Roman" w:eastAsia="宋体" w:cs="Times New Roman"/>
                <w:bCs/>
                <w:color w:val="auto"/>
                <w:sz w:val="24"/>
                <w:szCs w:val="24"/>
                <w:highlight w:val="none"/>
              </w:rPr>
              <w:t>暂存，送有资质的单位回收处置，不外排。</w:t>
            </w:r>
          </w:p>
          <w:p w14:paraId="4FC7C28A">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车间内应禁烟、禁火，本项目仅为</w:t>
            </w:r>
            <w:r>
              <w:rPr>
                <w:rFonts w:hint="eastAsia" w:ascii="Times New Roman" w:hAnsi="Times New Roman" w:cs="Times New Roman"/>
                <w:bCs/>
                <w:color w:val="auto"/>
                <w:sz w:val="24"/>
                <w:szCs w:val="24"/>
                <w:highlight w:val="none"/>
                <w:lang w:eastAsia="zh-CN"/>
              </w:rPr>
              <w:t>废旧铅酸蓄电池</w:t>
            </w:r>
            <w:r>
              <w:rPr>
                <w:rFonts w:hint="default" w:ascii="Times New Roman" w:hAnsi="Times New Roman" w:eastAsia="宋体" w:cs="Times New Roman"/>
                <w:bCs/>
                <w:color w:val="auto"/>
                <w:sz w:val="24"/>
                <w:szCs w:val="24"/>
                <w:highlight w:val="none"/>
              </w:rPr>
              <w:t>的贮存，严禁贮存其他还原性物质、碱金属等，同时应加强车间排风。</w:t>
            </w:r>
          </w:p>
          <w:p w14:paraId="3AE539B1">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⑥其他风险防范措施</w:t>
            </w:r>
          </w:p>
          <w:p w14:paraId="293DEFF5">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I收集后外运运输安全防范措施</w:t>
            </w:r>
          </w:p>
          <w:p w14:paraId="41185309">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i项目废旧铅蓄电池收集后外运工作委托有危险品运输资质的单位进行。</w:t>
            </w:r>
          </w:p>
          <w:p w14:paraId="778D41F7">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ii承担运输的单位应具有交通部门核发的危险品运输资质。</w:t>
            </w:r>
          </w:p>
          <w:p w14:paraId="0025F25D">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iii司机和押运人员需经过安全培训，由交通部门核发上岗证书。原料的装卸工作由专人承担，防止不熟悉物料性质的人员接触。</w:t>
            </w:r>
          </w:p>
          <w:p w14:paraId="10BA726F">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iv运输车辆应符合安全运输要求，持有合格证并定期进行安全检查。</w:t>
            </w:r>
          </w:p>
          <w:p w14:paraId="41E8F4E3">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v运输车辆上应配备灭火器、防毒面具及其他急救用品，车上安装防静电装置等。</w:t>
            </w:r>
          </w:p>
          <w:p w14:paraId="2112CDA2">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vi按《道路运输危险货物车辆标记》（GB13392-2005）相关要求，悬挂相应标识运输，密闭运输，不得随意清先车辆等。</w:t>
            </w:r>
          </w:p>
          <w:p w14:paraId="0EFBC300">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II相关管理措施</w:t>
            </w:r>
          </w:p>
          <w:p w14:paraId="110217B3">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i建设单位必修高度重视安全生产，从管理层到工人应严格检查、照章办事，及时消除事矿隐患，并有专人负责安全工作。</w:t>
            </w:r>
          </w:p>
          <w:p w14:paraId="255EFE40">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ii上岗操作员工应按规定进行培训，掌握工程运营情况下的操作规程和岗位要求。</w:t>
            </w:r>
          </w:p>
          <w:p w14:paraId="730F5DDC">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iii定期进行厂房及设备的安全检查，发现问题及时处理。</w:t>
            </w:r>
          </w:p>
          <w:p w14:paraId="2C3A045D">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iv</w:t>
            </w:r>
            <w:r>
              <w:rPr>
                <w:rFonts w:hint="eastAsia" w:ascii="Times New Roman" w:hAnsi="Times New Roman" w:eastAsia="宋体" w:cs="Times New Roman"/>
                <w:bCs/>
                <w:color w:val="auto"/>
                <w:sz w:val="24"/>
                <w:szCs w:val="24"/>
                <w:highlight w:val="none"/>
                <w:lang w:val="en-US" w:eastAsia="zh-CN"/>
              </w:rPr>
              <w:t>定</w:t>
            </w:r>
            <w:r>
              <w:rPr>
                <w:rFonts w:hint="default" w:ascii="Times New Roman" w:hAnsi="Times New Roman" w:eastAsia="宋体" w:cs="Times New Roman"/>
                <w:bCs/>
                <w:color w:val="auto"/>
                <w:sz w:val="24"/>
                <w:szCs w:val="24"/>
                <w:highlight w:val="none"/>
              </w:rPr>
              <w:t>期消防专职培训，熟练掌握消防器材、工具、设施的使用。</w:t>
            </w:r>
          </w:p>
          <w:p w14:paraId="50C464F6">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v泄漏事故发生时，有关负责人应有秩序、有计划的进行处理，防止事态蔓延扩大。</w:t>
            </w:r>
          </w:p>
          <w:p w14:paraId="7F676172">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vi禁土将</w:t>
            </w:r>
            <w:r>
              <w:rPr>
                <w:rFonts w:hint="eastAsia" w:ascii="Times New Roman" w:hAnsi="Times New Roman" w:cs="Times New Roman"/>
                <w:bCs/>
                <w:color w:val="auto"/>
                <w:sz w:val="24"/>
                <w:szCs w:val="24"/>
                <w:highlight w:val="none"/>
                <w:lang w:eastAsia="zh-CN"/>
              </w:rPr>
              <w:t>废旧铅酸蓄电池</w:t>
            </w:r>
            <w:r>
              <w:rPr>
                <w:rFonts w:hint="default" w:ascii="Times New Roman" w:hAnsi="Times New Roman" w:eastAsia="宋体" w:cs="Times New Roman"/>
                <w:bCs/>
                <w:color w:val="auto"/>
                <w:sz w:val="24"/>
                <w:szCs w:val="24"/>
                <w:highlight w:val="none"/>
              </w:rPr>
              <w:t>堆放在露天场地，避免废蓄电池遭受雨淋水浸。</w:t>
            </w:r>
          </w:p>
          <w:p w14:paraId="21143BA1">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vii应避免贮存大量的</w:t>
            </w:r>
            <w:r>
              <w:rPr>
                <w:rFonts w:hint="eastAsia" w:ascii="Times New Roman" w:hAnsi="Times New Roman" w:cs="Times New Roman"/>
                <w:bCs/>
                <w:color w:val="auto"/>
                <w:sz w:val="24"/>
                <w:szCs w:val="24"/>
                <w:highlight w:val="none"/>
                <w:lang w:eastAsia="zh-CN"/>
              </w:rPr>
              <w:t>废旧铅酸蓄电池</w:t>
            </w:r>
            <w:r>
              <w:rPr>
                <w:rFonts w:hint="default" w:ascii="Times New Roman" w:hAnsi="Times New Roman" w:eastAsia="宋体" w:cs="Times New Roman"/>
                <w:bCs/>
                <w:color w:val="auto"/>
                <w:sz w:val="24"/>
                <w:szCs w:val="24"/>
                <w:highlight w:val="none"/>
              </w:rPr>
              <w:t>或贮存时间过长，贮存点应有足够的空间。</w:t>
            </w:r>
          </w:p>
          <w:p w14:paraId="4FD9FA66">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（4）应急预案</w:t>
            </w:r>
          </w:p>
          <w:p w14:paraId="266891C0">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企业需编制环境事故应急预案并在当地环保部门备案，</w:t>
            </w:r>
            <w:r>
              <w:rPr>
                <w:rFonts w:hint="eastAsia" w:ascii="Times New Roman" w:hAnsi="Times New Roman" w:eastAsia="宋体" w:cs="Times New Roman"/>
                <w:bCs/>
                <w:color w:val="auto"/>
                <w:sz w:val="24"/>
                <w:szCs w:val="24"/>
                <w:highlight w:val="none"/>
                <w:lang w:val="en-US" w:eastAsia="zh-CN"/>
              </w:rPr>
              <w:t>按</w:t>
            </w:r>
            <w:r>
              <w:rPr>
                <w:rFonts w:hint="default" w:ascii="Times New Roman" w:hAnsi="Times New Roman" w:eastAsia="宋体" w:cs="Times New Roman"/>
                <w:bCs/>
                <w:color w:val="auto"/>
                <w:sz w:val="24"/>
                <w:szCs w:val="24"/>
                <w:highlight w:val="none"/>
              </w:rPr>
              <w:t>《危险废物经营单位编制应急预案指南》（原国家环境保护总局公告 2007 年第 48 号）</w:t>
            </w:r>
            <w:r>
              <w:rPr>
                <w:rFonts w:hint="eastAsia" w:ascii="Times New Roman" w:hAnsi="Times New Roman" w:eastAsia="宋体" w:cs="Times New Roman"/>
                <w:bCs/>
                <w:color w:val="auto"/>
                <w:sz w:val="24"/>
                <w:szCs w:val="24"/>
                <w:highlight w:val="none"/>
                <w:lang w:val="en-US" w:eastAsia="zh-CN"/>
              </w:rPr>
              <w:t>要求</w:t>
            </w:r>
            <w:r>
              <w:rPr>
                <w:rFonts w:hint="default" w:ascii="Times New Roman" w:hAnsi="Times New Roman" w:eastAsia="宋体" w:cs="Times New Roman"/>
                <w:bCs/>
                <w:color w:val="auto"/>
                <w:sz w:val="24"/>
                <w:szCs w:val="24"/>
                <w:highlight w:val="none"/>
              </w:rPr>
              <w:t>制定《事故应急救援预案》和实施细则，建立应急响应联动机制及应急处理、应急保障等措施。组织专业队伍学习和演练，提高队伍实战能力，防患于未然，以便应急救援工作的顺利开展。</w:t>
            </w:r>
          </w:p>
          <w:p w14:paraId="609D01E4">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（5）风险评价结论</w:t>
            </w:r>
          </w:p>
          <w:p w14:paraId="49B6D089">
            <w:pPr>
              <w:topLinePunct/>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本报告严格落实提出的各项环境污染防控措施和要求，采取相应应急措施，本项目环境风险是可以接受的。</w:t>
            </w:r>
          </w:p>
          <w:p w14:paraId="016C3123">
            <w:pPr>
              <w:tabs>
                <w:tab w:val="left" w:pos="3045"/>
              </w:tabs>
              <w:spacing w:line="480" w:lineRule="exact"/>
              <w:ind w:firstLine="420" w:firstLineChars="200"/>
              <w:rPr>
                <w:rFonts w:ascii="Times New Roman" w:hAnsi="Times New Roman" w:eastAsiaTheme="minorEastAsia"/>
                <w:color w:val="auto"/>
                <w:szCs w:val="24"/>
                <w:highlight w:val="none"/>
              </w:rPr>
            </w:pPr>
          </w:p>
        </w:tc>
      </w:tr>
      <w:bookmarkEnd w:id="23"/>
    </w:tbl>
    <w:p w14:paraId="797447D1">
      <w:pPr>
        <w:rPr>
          <w:rFonts w:ascii="Times New Roman" w:hAnsi="Times New Roman" w:eastAsiaTheme="minorEastAsia"/>
          <w:color w:val="auto"/>
          <w:highlight w:val="none"/>
        </w:rPr>
        <w:sectPr>
          <w:pgSz w:w="11906" w:h="16838"/>
          <w:pgMar w:top="1440" w:right="1531" w:bottom="1440" w:left="1531" w:header="851" w:footer="851" w:gutter="0"/>
          <w:pgBorders>
            <w:top w:val="none" w:sz="0" w:space="0"/>
            <w:left w:val="none" w:sz="0" w:space="0"/>
            <w:bottom w:val="none" w:sz="0" w:space="0"/>
            <w:right w:val="none" w:sz="0" w:space="0"/>
          </w:pgBorders>
          <w:cols w:space="720" w:num="1"/>
          <w:docGrid w:linePitch="312" w:charSpace="0"/>
        </w:sectPr>
      </w:pPr>
    </w:p>
    <w:p w14:paraId="77A6A796">
      <w:pPr>
        <w:widowControl/>
        <w:snapToGrid w:val="0"/>
        <w:jc w:val="center"/>
        <w:outlineLvl w:val="0"/>
        <w:rPr>
          <w:rFonts w:ascii="Times New Roman" w:hAnsi="Times New Roman" w:eastAsiaTheme="minorEastAsia"/>
          <w:b/>
          <w:snapToGrid w:val="0"/>
          <w:color w:val="auto"/>
          <w:kern w:val="0"/>
          <w:sz w:val="30"/>
          <w:szCs w:val="30"/>
          <w:highlight w:val="none"/>
        </w:rPr>
      </w:pPr>
      <w:bookmarkStart w:id="24" w:name="_Toc16590"/>
      <w:bookmarkStart w:id="25" w:name="_Toc2893"/>
      <w:bookmarkStart w:id="26" w:name="_Hlk68437861"/>
      <w:r>
        <w:rPr>
          <w:rFonts w:ascii="Times New Roman" w:hAnsi="Times New Roman" w:eastAsiaTheme="minorEastAsia"/>
          <w:b/>
          <w:snapToGrid w:val="0"/>
          <w:color w:val="auto"/>
          <w:kern w:val="0"/>
          <w:sz w:val="30"/>
          <w:szCs w:val="30"/>
          <w:highlight w:val="none"/>
        </w:rPr>
        <w:t>五、</w:t>
      </w:r>
      <w:bookmarkStart w:id="27" w:name="_Hlk54167917"/>
      <w:r>
        <w:rPr>
          <w:rFonts w:ascii="Times New Roman" w:hAnsi="Times New Roman" w:eastAsiaTheme="minorEastAsia"/>
          <w:b/>
          <w:snapToGrid w:val="0"/>
          <w:color w:val="auto"/>
          <w:kern w:val="0"/>
          <w:sz w:val="30"/>
          <w:szCs w:val="30"/>
          <w:highlight w:val="none"/>
        </w:rPr>
        <w:t>环境保护措施监督检查清单</w:t>
      </w:r>
      <w:bookmarkEnd w:id="24"/>
      <w:bookmarkEnd w:id="25"/>
      <w:bookmarkEnd w:id="27"/>
    </w:p>
    <w:tbl>
      <w:tblPr>
        <w:tblStyle w:val="31"/>
        <w:tblW w:w="911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347"/>
        <w:gridCol w:w="1334"/>
        <w:gridCol w:w="2600"/>
        <w:gridCol w:w="2812"/>
      </w:tblGrid>
      <w:tr w14:paraId="1E3D57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019" w:type="dxa"/>
            <w:tcBorders>
              <w:tl2br w:val="single" w:color="auto" w:sz="4" w:space="0"/>
            </w:tcBorders>
            <w:vAlign w:val="center"/>
          </w:tcPr>
          <w:p w14:paraId="5342B13D">
            <w:pPr>
              <w:adjustRightInd w:val="0"/>
              <w:ind w:firstLine="241" w:firstLineChars="100"/>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内容</w:t>
            </w:r>
          </w:p>
          <w:p w14:paraId="7507C47D">
            <w:pPr>
              <w:spacing w:after="120"/>
              <w:ind w:left="420" w:leftChars="200" w:firstLine="480" w:firstLineChars="200"/>
              <w:rPr>
                <w:rFonts w:ascii="Times New Roman" w:hAnsi="Times New Roman" w:eastAsiaTheme="minorEastAsia"/>
                <w:color w:val="auto"/>
                <w:sz w:val="24"/>
                <w:szCs w:val="24"/>
                <w:highlight w:val="none"/>
              </w:rPr>
            </w:pPr>
          </w:p>
          <w:p w14:paraId="0B872419">
            <w:pPr>
              <w:adjustRightInd w:val="0"/>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要素</w:t>
            </w:r>
          </w:p>
        </w:tc>
        <w:tc>
          <w:tcPr>
            <w:tcW w:w="1347" w:type="dxa"/>
            <w:tcBorders>
              <w:bottom w:val="single" w:color="auto" w:sz="2" w:space="0"/>
            </w:tcBorders>
            <w:vAlign w:val="center"/>
          </w:tcPr>
          <w:p w14:paraId="3A87D467">
            <w:pPr>
              <w:adjustRightInd w:val="0"/>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排放口(编号、名称)/污染源</w:t>
            </w:r>
          </w:p>
        </w:tc>
        <w:tc>
          <w:tcPr>
            <w:tcW w:w="1334" w:type="dxa"/>
            <w:tcBorders>
              <w:bottom w:val="single" w:color="auto" w:sz="2" w:space="0"/>
            </w:tcBorders>
            <w:vAlign w:val="center"/>
          </w:tcPr>
          <w:p w14:paraId="7F2179CE">
            <w:pPr>
              <w:adjustRightInd w:val="0"/>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污染物项目</w:t>
            </w:r>
          </w:p>
        </w:tc>
        <w:tc>
          <w:tcPr>
            <w:tcW w:w="2600" w:type="dxa"/>
            <w:tcBorders>
              <w:bottom w:val="single" w:color="auto" w:sz="2" w:space="0"/>
            </w:tcBorders>
            <w:vAlign w:val="center"/>
          </w:tcPr>
          <w:p w14:paraId="08E4D2A6">
            <w:pPr>
              <w:adjustRightInd w:val="0"/>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环境保护措施</w:t>
            </w:r>
          </w:p>
        </w:tc>
        <w:tc>
          <w:tcPr>
            <w:tcW w:w="2812" w:type="dxa"/>
            <w:vAlign w:val="center"/>
          </w:tcPr>
          <w:p w14:paraId="77D1D68A">
            <w:pPr>
              <w:adjustRightInd w:val="0"/>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执行标准</w:t>
            </w:r>
          </w:p>
        </w:tc>
      </w:tr>
      <w:tr w14:paraId="67C094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2" w:hRule="atLeast"/>
        </w:trPr>
        <w:tc>
          <w:tcPr>
            <w:tcW w:w="1019" w:type="dxa"/>
            <w:tcBorders>
              <w:right w:val="single" w:color="auto" w:sz="2" w:space="0"/>
            </w:tcBorders>
            <w:vAlign w:val="center"/>
          </w:tcPr>
          <w:p w14:paraId="74551A05">
            <w:pPr>
              <w:adjustRightInd w:val="0"/>
              <w:jc w:val="center"/>
              <w:rPr>
                <w:rFonts w:ascii="Times New Roman" w:hAnsi="Times New Roman" w:eastAsiaTheme="minorEastAsia"/>
                <w:b/>
                <w:color w:val="auto"/>
                <w:sz w:val="24"/>
                <w:szCs w:val="24"/>
                <w:highlight w:val="none"/>
              </w:rPr>
            </w:pPr>
            <w:r>
              <w:rPr>
                <w:rFonts w:ascii="Times New Roman" w:hAnsi="Times New Roman" w:eastAsiaTheme="minorEastAsia"/>
                <w:b/>
                <w:color w:val="auto"/>
                <w:sz w:val="24"/>
                <w:szCs w:val="24"/>
                <w:highlight w:val="none"/>
              </w:rPr>
              <w:t>大气</w:t>
            </w:r>
          </w:p>
          <w:p w14:paraId="198D2ACD">
            <w:pPr>
              <w:adjustRightInd w:val="0"/>
              <w:jc w:val="center"/>
              <w:rPr>
                <w:rFonts w:ascii="Times New Roman" w:hAnsi="Times New Roman" w:eastAsiaTheme="minorEastAsia"/>
                <w:color w:val="auto"/>
                <w:sz w:val="24"/>
                <w:szCs w:val="24"/>
                <w:highlight w:val="none"/>
              </w:rPr>
            </w:pPr>
            <w:r>
              <w:rPr>
                <w:rFonts w:ascii="Times New Roman" w:hAnsi="Times New Roman" w:eastAsiaTheme="minorEastAsia"/>
                <w:b/>
                <w:color w:val="auto"/>
                <w:sz w:val="24"/>
                <w:szCs w:val="24"/>
                <w:highlight w:val="none"/>
              </w:rPr>
              <w:t>环境</w:t>
            </w:r>
          </w:p>
        </w:tc>
        <w:tc>
          <w:tcPr>
            <w:tcW w:w="1347" w:type="dxa"/>
            <w:tcBorders>
              <w:top w:val="single" w:color="auto" w:sz="2" w:space="0"/>
              <w:left w:val="single" w:color="auto" w:sz="2" w:space="0"/>
              <w:right w:val="single" w:color="auto" w:sz="2" w:space="0"/>
            </w:tcBorders>
            <w:vAlign w:val="center"/>
          </w:tcPr>
          <w:p w14:paraId="525BAD21">
            <w:pPr>
              <w:jc w:val="center"/>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lang w:val="en-US" w:eastAsia="zh-CN"/>
              </w:rPr>
              <w:t>破损</w:t>
            </w:r>
            <w:r>
              <w:rPr>
                <w:rFonts w:hint="eastAsia" w:ascii="Times New Roman" w:hAnsi="Times New Roman" w:eastAsiaTheme="minorEastAsia"/>
                <w:color w:val="auto"/>
                <w:sz w:val="24"/>
                <w:szCs w:val="24"/>
                <w:highlight w:val="none"/>
                <w:lang w:eastAsia="zh-CN"/>
              </w:rPr>
              <w:t>废旧铅酸蓄电池</w:t>
            </w:r>
            <w:r>
              <w:rPr>
                <w:rFonts w:hint="eastAsia" w:ascii="Times New Roman" w:hAnsi="Times New Roman" w:eastAsiaTheme="minorEastAsia"/>
                <w:color w:val="auto"/>
                <w:sz w:val="24"/>
                <w:szCs w:val="24"/>
                <w:highlight w:val="none"/>
              </w:rPr>
              <w:t>贮存废气</w:t>
            </w:r>
          </w:p>
        </w:tc>
        <w:tc>
          <w:tcPr>
            <w:tcW w:w="1334" w:type="dxa"/>
            <w:tcBorders>
              <w:top w:val="single" w:color="auto" w:sz="2" w:space="0"/>
              <w:left w:val="single" w:color="auto" w:sz="2" w:space="0"/>
              <w:right w:val="single" w:color="auto" w:sz="2" w:space="0"/>
            </w:tcBorders>
            <w:vAlign w:val="center"/>
          </w:tcPr>
          <w:p w14:paraId="19F45B0C">
            <w:pPr>
              <w:jc w:val="center"/>
              <w:rPr>
                <w:rFonts w:hint="eastAsia" w:ascii="Times New Roman" w:hAnsi="Times New Roman" w:eastAsiaTheme="minorEastAsia"/>
                <w:color w:val="auto"/>
                <w:sz w:val="24"/>
                <w:szCs w:val="24"/>
                <w:highlight w:val="none"/>
                <w:lang w:eastAsia="zh-CN"/>
              </w:rPr>
            </w:pPr>
            <w:r>
              <w:rPr>
                <w:rFonts w:hint="eastAsia" w:ascii="Times New Roman" w:hAnsi="Times New Roman" w:eastAsiaTheme="minorEastAsia"/>
                <w:color w:val="auto"/>
                <w:sz w:val="24"/>
                <w:szCs w:val="24"/>
                <w:highlight w:val="none"/>
                <w:lang w:val="en-US" w:eastAsia="zh-CN"/>
              </w:rPr>
              <w:t>硫酸雾</w:t>
            </w:r>
          </w:p>
        </w:tc>
        <w:tc>
          <w:tcPr>
            <w:tcW w:w="2600" w:type="dxa"/>
            <w:tcBorders>
              <w:top w:val="single" w:color="auto" w:sz="2" w:space="0"/>
              <w:left w:val="single" w:color="auto" w:sz="2" w:space="0"/>
              <w:right w:val="single" w:color="auto" w:sz="2" w:space="0"/>
            </w:tcBorders>
            <w:vAlign w:val="center"/>
          </w:tcPr>
          <w:p w14:paraId="49A60B60">
            <w:pPr>
              <w:jc w:val="center"/>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破损</w:t>
            </w:r>
            <w:r>
              <w:rPr>
                <w:rFonts w:hint="eastAsia" w:ascii="Times New Roman" w:hAnsi="Times New Roman" w:eastAsiaTheme="minorEastAsia"/>
                <w:color w:val="auto"/>
                <w:sz w:val="24"/>
                <w:szCs w:val="24"/>
                <w:highlight w:val="none"/>
                <w:lang w:eastAsia="zh-CN"/>
              </w:rPr>
              <w:t>废旧铅酸蓄电池</w:t>
            </w:r>
            <w:r>
              <w:rPr>
                <w:rFonts w:hint="eastAsia" w:ascii="Times New Roman" w:hAnsi="Times New Roman" w:eastAsiaTheme="minorEastAsia"/>
                <w:color w:val="auto"/>
                <w:sz w:val="24"/>
                <w:szCs w:val="24"/>
                <w:highlight w:val="none"/>
              </w:rPr>
              <w:t>贮存在单独密闭间暂存，电解液泄露产生少量硫酸雾废气通过管道引入</w:t>
            </w:r>
            <w:r>
              <w:rPr>
                <w:rFonts w:hint="eastAsia" w:ascii="Times New Roman" w:hAnsi="Times New Roman" w:eastAsiaTheme="minorEastAsia"/>
                <w:color w:val="auto"/>
                <w:sz w:val="24"/>
                <w:szCs w:val="24"/>
                <w:highlight w:val="none"/>
                <w:lang w:val="en-US" w:eastAsia="zh-CN"/>
              </w:rPr>
              <w:t>脱硫塔</w:t>
            </w:r>
            <w:r>
              <w:rPr>
                <w:rFonts w:hint="eastAsia" w:ascii="Times New Roman" w:hAnsi="Times New Roman" w:eastAsiaTheme="minorEastAsia"/>
                <w:color w:val="auto"/>
                <w:sz w:val="24"/>
                <w:szCs w:val="24"/>
                <w:highlight w:val="none"/>
              </w:rPr>
              <w:t>，</w:t>
            </w:r>
            <w:r>
              <w:rPr>
                <w:rFonts w:hint="eastAsia" w:ascii="Times New Roman" w:hAnsi="Times New Roman" w:eastAsiaTheme="minorEastAsia"/>
                <w:color w:val="auto"/>
                <w:sz w:val="24"/>
                <w:szCs w:val="24"/>
                <w:highlight w:val="none"/>
                <w:lang w:val="en-US" w:eastAsia="zh-CN"/>
              </w:rPr>
              <w:t>风机风量3000m</w:t>
            </w:r>
            <w:r>
              <w:rPr>
                <w:rFonts w:hint="eastAsia" w:ascii="Times New Roman" w:hAnsi="Times New Roman" w:eastAsiaTheme="minorEastAsia"/>
                <w:color w:val="auto"/>
                <w:sz w:val="24"/>
                <w:szCs w:val="24"/>
                <w:highlight w:val="none"/>
                <w:vertAlign w:val="superscript"/>
                <w:lang w:val="en-US" w:eastAsia="zh-CN"/>
              </w:rPr>
              <w:t>3</w:t>
            </w:r>
            <w:r>
              <w:rPr>
                <w:rFonts w:hint="eastAsia" w:ascii="Times New Roman" w:hAnsi="Times New Roman" w:eastAsiaTheme="minorEastAsia"/>
                <w:color w:val="auto"/>
                <w:sz w:val="24"/>
                <w:szCs w:val="24"/>
                <w:highlight w:val="none"/>
                <w:lang w:val="en-US" w:eastAsia="zh-CN"/>
              </w:rPr>
              <w:t>/h，</w:t>
            </w:r>
            <w:r>
              <w:rPr>
                <w:rFonts w:hint="eastAsia" w:ascii="Times New Roman" w:hAnsi="Times New Roman" w:eastAsiaTheme="minorEastAsia"/>
                <w:color w:val="auto"/>
                <w:sz w:val="24"/>
                <w:szCs w:val="24"/>
                <w:highlight w:val="none"/>
              </w:rPr>
              <w:t>处理后经过15m高排气筒</w:t>
            </w:r>
            <w:r>
              <w:rPr>
                <w:rFonts w:hint="eastAsia" w:ascii="Times New Roman" w:hAnsi="Times New Roman" w:eastAsiaTheme="minorEastAsia"/>
                <w:color w:val="auto"/>
                <w:sz w:val="24"/>
                <w:szCs w:val="24"/>
                <w:highlight w:val="none"/>
                <w:lang w:eastAsia="zh-CN"/>
              </w:rPr>
              <w:t>（</w:t>
            </w:r>
            <w:r>
              <w:rPr>
                <w:rFonts w:hint="eastAsia" w:ascii="Times New Roman" w:hAnsi="Times New Roman" w:eastAsiaTheme="minorEastAsia"/>
                <w:color w:val="auto"/>
                <w:sz w:val="24"/>
                <w:szCs w:val="24"/>
                <w:highlight w:val="none"/>
                <w:lang w:val="en-US" w:eastAsia="zh-CN"/>
              </w:rPr>
              <w:t>DA001</w:t>
            </w:r>
            <w:r>
              <w:rPr>
                <w:rFonts w:hint="eastAsia" w:ascii="Times New Roman" w:hAnsi="Times New Roman" w:eastAsiaTheme="minorEastAsia"/>
                <w:color w:val="auto"/>
                <w:sz w:val="24"/>
                <w:szCs w:val="24"/>
                <w:highlight w:val="none"/>
                <w:lang w:eastAsia="zh-CN"/>
              </w:rPr>
              <w:t>）</w:t>
            </w:r>
            <w:r>
              <w:rPr>
                <w:rFonts w:hint="eastAsia" w:ascii="Times New Roman" w:hAnsi="Times New Roman" w:eastAsiaTheme="minorEastAsia"/>
                <w:color w:val="auto"/>
                <w:sz w:val="24"/>
                <w:szCs w:val="24"/>
                <w:highlight w:val="none"/>
              </w:rPr>
              <w:t>排放</w:t>
            </w:r>
          </w:p>
        </w:tc>
        <w:tc>
          <w:tcPr>
            <w:tcW w:w="2812" w:type="dxa"/>
            <w:tcBorders>
              <w:left w:val="single" w:color="auto" w:sz="2" w:space="0"/>
            </w:tcBorders>
            <w:vAlign w:val="center"/>
          </w:tcPr>
          <w:p w14:paraId="1173B7C9">
            <w:pPr>
              <w:adjustRightInd w:val="0"/>
              <w:jc w:val="center"/>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满足《大气污染物综合排放标准》（GB16297-1996）表2二级标准</w:t>
            </w:r>
          </w:p>
        </w:tc>
      </w:tr>
      <w:tr w14:paraId="122406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19" w:type="dxa"/>
            <w:tcBorders>
              <w:bottom w:val="single" w:color="auto" w:sz="4" w:space="0"/>
            </w:tcBorders>
            <w:vAlign w:val="center"/>
          </w:tcPr>
          <w:p w14:paraId="5AA66D74">
            <w:pPr>
              <w:adjustRightInd w:val="0"/>
              <w:jc w:val="center"/>
              <w:rPr>
                <w:rFonts w:ascii="Times New Roman" w:hAnsi="Times New Roman" w:eastAsiaTheme="minorEastAsia"/>
                <w:b/>
                <w:color w:val="auto"/>
                <w:spacing w:val="-23"/>
                <w:sz w:val="24"/>
                <w:szCs w:val="24"/>
                <w:highlight w:val="none"/>
              </w:rPr>
            </w:pPr>
            <w:r>
              <w:rPr>
                <w:rFonts w:ascii="Times New Roman" w:hAnsi="Times New Roman" w:eastAsiaTheme="minorEastAsia"/>
                <w:b/>
                <w:color w:val="auto"/>
                <w:spacing w:val="-23"/>
                <w:sz w:val="24"/>
                <w:szCs w:val="24"/>
                <w:highlight w:val="none"/>
              </w:rPr>
              <w:t>地表水</w:t>
            </w:r>
          </w:p>
          <w:p w14:paraId="47482F7A">
            <w:pPr>
              <w:adjustRightInd w:val="0"/>
              <w:jc w:val="center"/>
              <w:rPr>
                <w:rFonts w:ascii="Times New Roman" w:hAnsi="Times New Roman" w:eastAsiaTheme="minorEastAsia"/>
                <w:b/>
                <w:color w:val="auto"/>
                <w:sz w:val="24"/>
                <w:szCs w:val="24"/>
                <w:highlight w:val="none"/>
              </w:rPr>
            </w:pPr>
            <w:r>
              <w:rPr>
                <w:rFonts w:ascii="Times New Roman" w:hAnsi="Times New Roman" w:eastAsiaTheme="minorEastAsia"/>
                <w:b/>
                <w:color w:val="auto"/>
                <w:spacing w:val="-23"/>
                <w:sz w:val="24"/>
                <w:szCs w:val="24"/>
                <w:highlight w:val="none"/>
              </w:rPr>
              <w:t>环境</w:t>
            </w:r>
          </w:p>
        </w:tc>
        <w:tc>
          <w:tcPr>
            <w:tcW w:w="1347" w:type="dxa"/>
            <w:tcBorders>
              <w:bottom w:val="single" w:color="auto" w:sz="4" w:space="0"/>
            </w:tcBorders>
            <w:vAlign w:val="center"/>
          </w:tcPr>
          <w:p w14:paraId="6F02E98A">
            <w:pPr>
              <w:adjustRightInd w:val="0"/>
              <w:jc w:val="center"/>
              <w:rPr>
                <w:rFonts w:hint="default" w:ascii="Times New Roman" w:hAnsi="Times New Roman" w:eastAsiaTheme="minorEastAsia"/>
                <w:color w:val="auto"/>
                <w:sz w:val="24"/>
                <w:szCs w:val="24"/>
                <w:highlight w:val="none"/>
                <w:lang w:val="en-US" w:eastAsia="zh-CN"/>
              </w:rPr>
            </w:pPr>
            <w:r>
              <w:rPr>
                <w:rFonts w:hint="eastAsia" w:ascii="Times New Roman" w:hAnsi="Times New Roman" w:eastAsiaTheme="minorEastAsia"/>
                <w:color w:val="auto"/>
                <w:sz w:val="24"/>
                <w:szCs w:val="24"/>
                <w:highlight w:val="none"/>
                <w:lang w:val="en-US" w:eastAsia="zh-CN"/>
              </w:rPr>
              <w:t>生活污水</w:t>
            </w:r>
          </w:p>
        </w:tc>
        <w:tc>
          <w:tcPr>
            <w:tcW w:w="1334" w:type="dxa"/>
            <w:tcBorders>
              <w:bottom w:val="single" w:color="auto" w:sz="4" w:space="0"/>
            </w:tcBorders>
            <w:vAlign w:val="center"/>
          </w:tcPr>
          <w:p w14:paraId="170E18D5">
            <w:pPr>
              <w:adjustRightInd w:val="0"/>
              <w:jc w:val="center"/>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COD、SS、氨氮、总磷、总氮</w:t>
            </w:r>
          </w:p>
        </w:tc>
        <w:tc>
          <w:tcPr>
            <w:tcW w:w="2600" w:type="dxa"/>
            <w:tcBorders>
              <w:bottom w:val="single" w:color="auto" w:sz="4" w:space="0"/>
            </w:tcBorders>
            <w:vAlign w:val="center"/>
          </w:tcPr>
          <w:p w14:paraId="0ED0CA40">
            <w:pPr>
              <w:adjustRightInd w:val="0"/>
              <w:jc w:val="center"/>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依托现有排水系统排至徐水区大王店污水处理厂进一步处理</w:t>
            </w:r>
          </w:p>
        </w:tc>
        <w:tc>
          <w:tcPr>
            <w:tcW w:w="2812" w:type="dxa"/>
            <w:tcBorders>
              <w:bottom w:val="single" w:color="auto" w:sz="4" w:space="0"/>
            </w:tcBorders>
            <w:vAlign w:val="center"/>
          </w:tcPr>
          <w:p w14:paraId="5D65EFD7">
            <w:pPr>
              <w:adjustRightInd w:val="0"/>
              <w:jc w:val="center"/>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w:t>
            </w:r>
          </w:p>
        </w:tc>
      </w:tr>
      <w:tr w14:paraId="69CBEA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019" w:type="dxa"/>
            <w:tcBorders>
              <w:top w:val="single" w:color="auto" w:sz="4" w:space="0"/>
              <w:bottom w:val="single" w:color="auto" w:sz="4" w:space="0"/>
            </w:tcBorders>
            <w:vAlign w:val="center"/>
          </w:tcPr>
          <w:p w14:paraId="0E635C96">
            <w:pPr>
              <w:adjustRightInd w:val="0"/>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声环境</w:t>
            </w:r>
          </w:p>
        </w:tc>
        <w:tc>
          <w:tcPr>
            <w:tcW w:w="1347" w:type="dxa"/>
            <w:tcBorders>
              <w:top w:val="single" w:color="auto" w:sz="4" w:space="0"/>
              <w:bottom w:val="single" w:color="auto" w:sz="4" w:space="0"/>
            </w:tcBorders>
            <w:vAlign w:val="center"/>
          </w:tcPr>
          <w:p w14:paraId="7B4F64BF">
            <w:pPr>
              <w:adjustRightInd w:val="0"/>
              <w:jc w:val="center"/>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风机、装卸噪声</w:t>
            </w:r>
          </w:p>
        </w:tc>
        <w:tc>
          <w:tcPr>
            <w:tcW w:w="1334" w:type="dxa"/>
            <w:tcBorders>
              <w:top w:val="single" w:color="auto" w:sz="4" w:space="0"/>
              <w:bottom w:val="single" w:color="auto" w:sz="4" w:space="0"/>
            </w:tcBorders>
            <w:vAlign w:val="center"/>
          </w:tcPr>
          <w:p w14:paraId="2781DCB5">
            <w:pPr>
              <w:adjustRightInd w:val="0"/>
              <w:jc w:val="center"/>
              <w:rPr>
                <w:rFonts w:ascii="Times New Roman" w:hAnsi="Times New Roman" w:eastAsiaTheme="minorEastAsia"/>
                <w:color w:val="auto"/>
                <w:sz w:val="24"/>
                <w:szCs w:val="24"/>
                <w:highlight w:val="none"/>
              </w:rPr>
            </w:pPr>
            <w:r>
              <w:rPr>
                <w:rFonts w:ascii="Times New Roman" w:hAnsi="Times New Roman" w:eastAsiaTheme="minorEastAsia"/>
                <w:color w:val="auto"/>
                <w:kern w:val="0"/>
                <w:sz w:val="24"/>
                <w:szCs w:val="24"/>
                <w:highlight w:val="none"/>
              </w:rPr>
              <w:t>等效连续A声级</w:t>
            </w:r>
          </w:p>
        </w:tc>
        <w:tc>
          <w:tcPr>
            <w:tcW w:w="2600" w:type="dxa"/>
            <w:tcBorders>
              <w:top w:val="single" w:color="auto" w:sz="4" w:space="0"/>
              <w:bottom w:val="single" w:color="auto" w:sz="4" w:space="0"/>
            </w:tcBorders>
            <w:vAlign w:val="center"/>
          </w:tcPr>
          <w:p w14:paraId="560862E8">
            <w:pPr>
              <w:adjustRightInd w:val="0"/>
              <w:jc w:val="center"/>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厂房隔声，风机进出口软连接</w:t>
            </w:r>
          </w:p>
        </w:tc>
        <w:tc>
          <w:tcPr>
            <w:tcW w:w="2812" w:type="dxa"/>
            <w:tcBorders>
              <w:top w:val="single" w:color="auto" w:sz="4" w:space="0"/>
              <w:bottom w:val="single" w:color="auto" w:sz="4" w:space="0"/>
            </w:tcBorders>
            <w:vAlign w:val="center"/>
          </w:tcPr>
          <w:p w14:paraId="0E581618">
            <w:pPr>
              <w:adjustRightInd w:val="0"/>
              <w:jc w:val="center"/>
              <w:rPr>
                <w:rFonts w:ascii="Times New Roman" w:hAnsi="Times New Roman" w:eastAsiaTheme="minorEastAsia"/>
                <w:color w:val="auto"/>
                <w:sz w:val="24"/>
                <w:szCs w:val="24"/>
                <w:highlight w:val="none"/>
              </w:rPr>
            </w:pPr>
            <w:r>
              <w:rPr>
                <w:rFonts w:ascii="Times New Roman" w:hAnsi="Times New Roman" w:eastAsiaTheme="minorEastAsia"/>
                <w:color w:val="auto"/>
                <w:spacing w:val="-11"/>
                <w:sz w:val="24"/>
                <w:szCs w:val="24"/>
                <w:highlight w:val="none"/>
              </w:rPr>
              <w:t>《工业企业厂界环境噪声排放标准》（GB12348-2008）3类标准</w:t>
            </w:r>
          </w:p>
        </w:tc>
      </w:tr>
      <w:tr w14:paraId="40AC64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19" w:type="dxa"/>
            <w:tcBorders>
              <w:top w:val="single" w:color="auto" w:sz="4" w:space="0"/>
            </w:tcBorders>
            <w:vAlign w:val="center"/>
          </w:tcPr>
          <w:p w14:paraId="48D70DD2">
            <w:pPr>
              <w:adjustRightInd w:val="0"/>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电磁</w:t>
            </w:r>
          </w:p>
          <w:p w14:paraId="7EAF6758">
            <w:pPr>
              <w:adjustRightInd w:val="0"/>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辐射</w:t>
            </w:r>
          </w:p>
        </w:tc>
        <w:tc>
          <w:tcPr>
            <w:tcW w:w="1347" w:type="dxa"/>
            <w:tcBorders>
              <w:top w:val="single" w:color="auto" w:sz="4" w:space="0"/>
            </w:tcBorders>
            <w:vAlign w:val="center"/>
          </w:tcPr>
          <w:p w14:paraId="4D06BBF0">
            <w:pPr>
              <w:adjustRightInd w:val="0"/>
              <w:jc w:val="center"/>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w:t>
            </w:r>
          </w:p>
        </w:tc>
        <w:tc>
          <w:tcPr>
            <w:tcW w:w="1334" w:type="dxa"/>
            <w:tcBorders>
              <w:top w:val="single" w:color="auto" w:sz="4" w:space="0"/>
            </w:tcBorders>
            <w:vAlign w:val="center"/>
          </w:tcPr>
          <w:p w14:paraId="0C5E8D6D">
            <w:pPr>
              <w:adjustRightInd w:val="0"/>
              <w:jc w:val="center"/>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w:t>
            </w:r>
          </w:p>
        </w:tc>
        <w:tc>
          <w:tcPr>
            <w:tcW w:w="2600" w:type="dxa"/>
            <w:tcBorders>
              <w:top w:val="single" w:color="auto" w:sz="4" w:space="0"/>
            </w:tcBorders>
            <w:vAlign w:val="center"/>
          </w:tcPr>
          <w:p w14:paraId="15ACA42B">
            <w:pPr>
              <w:adjustRightInd w:val="0"/>
              <w:jc w:val="center"/>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w:t>
            </w:r>
          </w:p>
        </w:tc>
        <w:tc>
          <w:tcPr>
            <w:tcW w:w="2812" w:type="dxa"/>
            <w:tcBorders>
              <w:top w:val="single" w:color="auto" w:sz="4" w:space="0"/>
            </w:tcBorders>
            <w:vAlign w:val="center"/>
          </w:tcPr>
          <w:p w14:paraId="0E73DFD0">
            <w:pPr>
              <w:adjustRightInd w:val="0"/>
              <w:jc w:val="center"/>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w:t>
            </w:r>
          </w:p>
        </w:tc>
      </w:tr>
      <w:tr w14:paraId="3661A1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019" w:type="dxa"/>
            <w:vAlign w:val="center"/>
          </w:tcPr>
          <w:p w14:paraId="2FC83371">
            <w:pPr>
              <w:adjustRightInd w:val="0"/>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固体</w:t>
            </w:r>
          </w:p>
          <w:p w14:paraId="57C23D76">
            <w:pPr>
              <w:adjustRightInd w:val="0"/>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废物</w:t>
            </w:r>
          </w:p>
        </w:tc>
        <w:tc>
          <w:tcPr>
            <w:tcW w:w="8093" w:type="dxa"/>
            <w:gridSpan w:val="4"/>
            <w:vAlign w:val="center"/>
          </w:tcPr>
          <w:p w14:paraId="7288F908">
            <w:pPr>
              <w:adjustRightInd w:val="0"/>
              <w:spacing w:line="240" w:lineRule="auto"/>
              <w:ind w:firstLine="456" w:firstLineChars="200"/>
              <w:rPr>
                <w:rFonts w:ascii="Times New Roman" w:hAnsi="Times New Roman" w:eastAsiaTheme="minorEastAsia"/>
                <w:color w:val="auto"/>
                <w:sz w:val="24"/>
                <w:szCs w:val="24"/>
                <w:highlight w:val="none"/>
              </w:rPr>
            </w:pPr>
            <w:r>
              <w:rPr>
                <w:rFonts w:hint="eastAsia" w:ascii="Times New Roman" w:hAnsi="Times New Roman" w:eastAsiaTheme="minorEastAsia"/>
                <w:color w:val="auto"/>
                <w:spacing w:val="-6"/>
                <w:sz w:val="24"/>
                <w:szCs w:val="24"/>
                <w:highlight w:val="none"/>
              </w:rPr>
              <w:t>本项目固体废物主要包括：沾染电解液的废劳保用品、废拖把、废抹布</w:t>
            </w:r>
            <w:r>
              <w:rPr>
                <w:rFonts w:hint="eastAsia" w:ascii="Times New Roman" w:hAnsi="Times New Roman" w:eastAsiaTheme="minorEastAsia"/>
                <w:color w:val="auto"/>
                <w:spacing w:val="-6"/>
                <w:sz w:val="24"/>
                <w:szCs w:val="24"/>
                <w:highlight w:val="none"/>
                <w:lang w:val="en-US" w:eastAsia="zh-CN"/>
              </w:rPr>
              <w:t>和破损的箱子，</w:t>
            </w:r>
            <w:r>
              <w:rPr>
                <w:rFonts w:hint="eastAsia" w:ascii="Times New Roman" w:hAnsi="Times New Roman" w:eastAsiaTheme="minorEastAsia"/>
                <w:color w:val="auto"/>
                <w:spacing w:val="-6"/>
                <w:sz w:val="24"/>
                <w:szCs w:val="24"/>
                <w:highlight w:val="none"/>
              </w:rPr>
              <w:t>废喷淋塔吸收液、废电解液等危险废物。上述危险废物全部在危废</w:t>
            </w:r>
            <w:r>
              <w:rPr>
                <w:rFonts w:hint="eastAsia" w:ascii="Times New Roman" w:hAnsi="Times New Roman" w:eastAsiaTheme="minorEastAsia"/>
                <w:color w:val="auto"/>
                <w:spacing w:val="-6"/>
                <w:sz w:val="24"/>
                <w:szCs w:val="24"/>
                <w:highlight w:val="none"/>
                <w:lang w:val="en-US" w:eastAsia="zh-CN"/>
              </w:rPr>
              <w:t>暂存区</w:t>
            </w:r>
            <w:r>
              <w:rPr>
                <w:rFonts w:hint="eastAsia" w:ascii="Times New Roman" w:hAnsi="Times New Roman" w:eastAsiaTheme="minorEastAsia"/>
                <w:color w:val="auto"/>
                <w:spacing w:val="-6"/>
                <w:sz w:val="24"/>
                <w:szCs w:val="24"/>
                <w:highlight w:val="none"/>
              </w:rPr>
              <w:t>暂存，定期交由有资质单位回收处置</w:t>
            </w:r>
            <w:r>
              <w:rPr>
                <w:rFonts w:hint="eastAsia" w:ascii="Times New Roman" w:hAnsi="Times New Roman" w:eastAsiaTheme="minorEastAsia"/>
                <w:color w:val="auto"/>
                <w:spacing w:val="-6"/>
                <w:sz w:val="24"/>
                <w:szCs w:val="24"/>
                <w:highlight w:val="none"/>
                <w:lang w:eastAsia="zh-CN"/>
              </w:rPr>
              <w:t>；</w:t>
            </w:r>
            <w:r>
              <w:rPr>
                <w:rFonts w:hint="eastAsia" w:ascii="Times New Roman" w:hAnsi="Times New Roman" w:eastAsiaTheme="minorEastAsia"/>
                <w:color w:val="auto"/>
                <w:spacing w:val="-6"/>
                <w:sz w:val="24"/>
                <w:szCs w:val="24"/>
                <w:highlight w:val="none"/>
              </w:rPr>
              <w:t>本项目职工生活垃圾收集后送环卫部门指定地点处理。</w:t>
            </w:r>
          </w:p>
        </w:tc>
      </w:tr>
      <w:tr w14:paraId="29A62E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019" w:type="dxa"/>
            <w:vAlign w:val="center"/>
          </w:tcPr>
          <w:p w14:paraId="1EBFFAC0">
            <w:pPr>
              <w:adjustRightInd w:val="0"/>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土壤及地下水污染防治措施</w:t>
            </w:r>
          </w:p>
        </w:tc>
        <w:tc>
          <w:tcPr>
            <w:tcW w:w="8093" w:type="dxa"/>
            <w:gridSpan w:val="4"/>
            <w:vAlign w:val="center"/>
          </w:tcPr>
          <w:p w14:paraId="68A610BD">
            <w:pPr>
              <w:keepNext w:val="0"/>
              <w:keepLines w:val="0"/>
              <w:pageBreakBefore w:val="0"/>
              <w:widowControl w:val="0"/>
              <w:kinsoku/>
              <w:wordWrap/>
              <w:overflowPunct/>
              <w:topLinePunct w:val="0"/>
              <w:autoSpaceDE/>
              <w:autoSpaceDN/>
              <w:bidi w:val="0"/>
              <w:adjustRightInd/>
              <w:snapToGrid w:val="0"/>
              <w:ind w:firstLine="480" w:firstLineChars="200"/>
              <w:jc w:val="left"/>
              <w:textAlignment w:val="auto"/>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贮存车间</w:t>
            </w:r>
            <w:r>
              <w:rPr>
                <w:rFonts w:hint="eastAsia" w:ascii="Times New Roman" w:hAnsi="Times New Roman" w:eastAsiaTheme="minorEastAsia"/>
                <w:color w:val="auto"/>
                <w:sz w:val="24"/>
                <w:szCs w:val="24"/>
                <w:highlight w:val="none"/>
                <w:lang w:eastAsia="zh-CN"/>
              </w:rPr>
              <w:t>、</w:t>
            </w:r>
            <w:r>
              <w:rPr>
                <w:rFonts w:hint="eastAsia" w:ascii="Times New Roman" w:hAnsi="Times New Roman" w:eastAsiaTheme="minorEastAsia"/>
                <w:color w:val="auto"/>
                <w:sz w:val="24"/>
                <w:szCs w:val="24"/>
                <w:highlight w:val="none"/>
                <w:lang w:val="en-US" w:eastAsia="zh-CN"/>
              </w:rPr>
              <w:t>导流沟</w:t>
            </w:r>
            <w:r>
              <w:rPr>
                <w:rFonts w:hint="eastAsia" w:ascii="Times New Roman" w:hAnsi="Times New Roman" w:eastAsiaTheme="minorEastAsia"/>
                <w:color w:val="auto"/>
                <w:sz w:val="24"/>
                <w:szCs w:val="24"/>
                <w:highlight w:val="none"/>
              </w:rPr>
              <w:t>要求在水泥地面防渗层上，</w:t>
            </w:r>
            <w:r>
              <w:rPr>
                <w:rFonts w:hint="eastAsia" w:ascii="Times New Roman" w:hAnsi="Times New Roman" w:eastAsiaTheme="minorEastAsia"/>
                <w:color w:val="auto"/>
                <w:spacing w:val="-6"/>
                <w:sz w:val="24"/>
                <w:szCs w:val="24"/>
                <w:highlight w:val="none"/>
                <w:lang w:val="en-US" w:eastAsia="zh-CN"/>
              </w:rPr>
              <w:t>涂</w:t>
            </w:r>
            <w:r>
              <w:rPr>
                <w:rFonts w:ascii="Times New Roman" w:hAnsi="Times New Roman" w:eastAsiaTheme="minorEastAsia"/>
                <w:color w:val="auto"/>
                <w:spacing w:val="-6"/>
                <w:sz w:val="24"/>
                <w:szCs w:val="24"/>
                <w:highlight w:val="none"/>
              </w:rPr>
              <w:t>厚度不小于2mm的</w:t>
            </w:r>
            <w:r>
              <w:rPr>
                <w:rFonts w:hint="eastAsia" w:ascii="Times New Roman" w:hAnsi="Times New Roman" w:eastAsiaTheme="minorEastAsia"/>
                <w:color w:val="auto"/>
                <w:spacing w:val="-6"/>
                <w:sz w:val="24"/>
                <w:szCs w:val="24"/>
                <w:highlight w:val="none"/>
                <w:lang w:val="en-US" w:eastAsia="zh-CN"/>
              </w:rPr>
              <w:t>防水涂料</w:t>
            </w:r>
            <w:r>
              <w:rPr>
                <w:rFonts w:hint="eastAsia" w:ascii="Times New Roman" w:hAnsi="Times New Roman" w:eastAsiaTheme="minorEastAsia"/>
                <w:color w:val="auto"/>
                <w:sz w:val="24"/>
                <w:szCs w:val="24"/>
                <w:highlight w:val="none"/>
              </w:rPr>
              <w:t>，防渗结构层渗透系数不应大于1.0×10</w:t>
            </w:r>
            <w:r>
              <w:rPr>
                <w:rFonts w:hint="eastAsia" w:ascii="Times New Roman" w:hAnsi="Times New Roman" w:eastAsiaTheme="minorEastAsia"/>
                <w:color w:val="auto"/>
                <w:sz w:val="24"/>
                <w:szCs w:val="24"/>
                <w:highlight w:val="none"/>
                <w:vertAlign w:val="superscript"/>
              </w:rPr>
              <w:t>-10</w:t>
            </w:r>
            <w:r>
              <w:rPr>
                <w:rFonts w:hint="eastAsia" w:ascii="Times New Roman" w:hAnsi="Times New Roman" w:eastAsiaTheme="minorEastAsia"/>
                <w:color w:val="auto"/>
                <w:sz w:val="24"/>
                <w:szCs w:val="24"/>
                <w:highlight w:val="none"/>
              </w:rPr>
              <w:t>cm/s，并采用环氧树脂防腐；</w:t>
            </w:r>
            <w:r>
              <w:rPr>
                <w:rFonts w:hint="eastAsia" w:ascii="Times New Roman" w:hAnsi="Times New Roman" w:eastAsiaTheme="minorEastAsia"/>
                <w:color w:val="auto"/>
                <w:sz w:val="24"/>
                <w:szCs w:val="24"/>
                <w:highlight w:val="none"/>
                <w:lang w:val="en-US" w:eastAsia="zh-CN"/>
              </w:rPr>
              <w:t>收集池、</w:t>
            </w:r>
            <w:r>
              <w:rPr>
                <w:rFonts w:hint="eastAsia" w:ascii="Times New Roman" w:hAnsi="Times New Roman" w:eastAsiaTheme="minorEastAsia"/>
                <w:color w:val="auto"/>
                <w:sz w:val="24"/>
                <w:szCs w:val="24"/>
                <w:highlight w:val="none"/>
              </w:rPr>
              <w:t>消防</w:t>
            </w:r>
            <w:r>
              <w:rPr>
                <w:rFonts w:hint="eastAsia" w:ascii="Times New Roman" w:hAnsi="Times New Roman" w:eastAsiaTheme="minorEastAsia"/>
                <w:color w:val="auto"/>
                <w:sz w:val="24"/>
                <w:szCs w:val="24"/>
                <w:highlight w:val="none"/>
                <w:lang w:val="en-US" w:eastAsia="zh-CN"/>
              </w:rPr>
              <w:t>废水池采用防渗水泥+玻璃钢防腐（三布五油），</w:t>
            </w:r>
            <w:r>
              <w:rPr>
                <w:rFonts w:hint="eastAsia" w:ascii="Times New Roman" w:hAnsi="Times New Roman" w:eastAsiaTheme="minorEastAsia"/>
                <w:color w:val="auto"/>
                <w:sz w:val="24"/>
                <w:szCs w:val="24"/>
                <w:highlight w:val="none"/>
              </w:rPr>
              <w:t>防渗结构层渗透系数不应大于1.0×10</w:t>
            </w:r>
            <w:r>
              <w:rPr>
                <w:rFonts w:hint="eastAsia" w:ascii="Times New Roman" w:hAnsi="Times New Roman" w:eastAsiaTheme="minorEastAsia"/>
                <w:color w:val="auto"/>
                <w:sz w:val="24"/>
                <w:szCs w:val="24"/>
                <w:highlight w:val="none"/>
                <w:vertAlign w:val="superscript"/>
              </w:rPr>
              <w:t>-10</w:t>
            </w:r>
            <w:r>
              <w:rPr>
                <w:rFonts w:hint="eastAsia" w:ascii="Times New Roman" w:hAnsi="Times New Roman" w:eastAsiaTheme="minorEastAsia"/>
                <w:color w:val="auto"/>
                <w:sz w:val="24"/>
                <w:szCs w:val="24"/>
                <w:highlight w:val="none"/>
              </w:rPr>
              <w:t xml:space="preserve"> cm/s。</w:t>
            </w:r>
          </w:p>
          <w:p w14:paraId="19DAE467">
            <w:pPr>
              <w:keepNext w:val="0"/>
              <w:keepLines w:val="0"/>
              <w:pageBreakBefore w:val="0"/>
              <w:widowControl w:val="0"/>
              <w:kinsoku/>
              <w:wordWrap/>
              <w:overflowPunct/>
              <w:topLinePunct w:val="0"/>
              <w:autoSpaceDE/>
              <w:autoSpaceDN/>
              <w:bidi w:val="0"/>
              <w:adjustRightInd/>
              <w:snapToGrid w:val="0"/>
              <w:ind w:firstLine="480" w:firstLineChars="200"/>
              <w:jc w:val="left"/>
              <w:textAlignment w:val="auto"/>
              <w:rPr>
                <w:rFonts w:hint="eastAsia" w:ascii="Times New Roman" w:hAnsi="Times New Roman" w:eastAsiaTheme="minorEastAsia"/>
                <w:color w:val="auto"/>
                <w:sz w:val="24"/>
                <w:szCs w:val="24"/>
                <w:highlight w:val="none"/>
                <w:lang w:val="en-US" w:eastAsia="zh-CN"/>
              </w:rPr>
            </w:pPr>
            <w:r>
              <w:rPr>
                <w:rFonts w:hint="eastAsia" w:ascii="Times New Roman" w:hAnsi="Times New Roman" w:eastAsiaTheme="minorEastAsia"/>
                <w:color w:val="auto"/>
                <w:sz w:val="24"/>
                <w:szCs w:val="24"/>
                <w:highlight w:val="none"/>
                <w:lang w:val="en-US" w:eastAsia="zh-CN"/>
              </w:rPr>
              <w:t>停车及车辆进出在水泥地面硬化，防渗结构层渗透系数不应大于1.0×10</w:t>
            </w:r>
            <w:r>
              <w:rPr>
                <w:rFonts w:hint="eastAsia" w:ascii="Times New Roman" w:hAnsi="Times New Roman" w:eastAsiaTheme="minorEastAsia"/>
                <w:color w:val="auto"/>
                <w:sz w:val="24"/>
                <w:szCs w:val="24"/>
                <w:highlight w:val="none"/>
                <w:vertAlign w:val="superscript"/>
                <w:lang w:val="en-US" w:eastAsia="zh-CN"/>
              </w:rPr>
              <w:t>-7</w:t>
            </w:r>
            <w:r>
              <w:rPr>
                <w:rFonts w:hint="eastAsia" w:ascii="Times New Roman" w:hAnsi="Times New Roman" w:eastAsiaTheme="minorEastAsia"/>
                <w:color w:val="auto"/>
                <w:sz w:val="24"/>
                <w:szCs w:val="24"/>
                <w:highlight w:val="none"/>
                <w:lang w:val="en-US" w:eastAsia="zh-CN"/>
              </w:rPr>
              <w:t>cm/s。</w:t>
            </w:r>
          </w:p>
          <w:p w14:paraId="524517A3">
            <w:pPr>
              <w:keepNext w:val="0"/>
              <w:keepLines w:val="0"/>
              <w:pageBreakBefore w:val="0"/>
              <w:widowControl w:val="0"/>
              <w:kinsoku/>
              <w:wordWrap/>
              <w:overflowPunct/>
              <w:topLinePunct w:val="0"/>
              <w:autoSpaceDE/>
              <w:autoSpaceDN/>
              <w:bidi w:val="0"/>
              <w:adjustRightInd/>
              <w:snapToGrid w:val="0"/>
              <w:ind w:firstLine="480" w:firstLineChars="200"/>
              <w:jc w:val="left"/>
              <w:textAlignment w:val="auto"/>
              <w:rPr>
                <w:rFonts w:hint="default" w:ascii="Times New Roman" w:hAnsi="Times New Roman" w:eastAsiaTheme="minorEastAsia"/>
                <w:color w:val="auto"/>
                <w:sz w:val="24"/>
                <w:szCs w:val="24"/>
                <w:highlight w:val="none"/>
                <w:lang w:val="en-US" w:eastAsia="zh-CN"/>
              </w:rPr>
            </w:pPr>
            <w:r>
              <w:rPr>
                <w:rFonts w:hint="eastAsia" w:ascii="Times New Roman" w:hAnsi="Times New Roman" w:eastAsiaTheme="minorEastAsia"/>
                <w:color w:val="auto"/>
                <w:sz w:val="24"/>
                <w:szCs w:val="24"/>
                <w:highlight w:val="none"/>
                <w:lang w:val="en-US" w:eastAsia="zh-CN"/>
              </w:rPr>
              <w:t>办公区一般硬化地面。</w:t>
            </w:r>
          </w:p>
        </w:tc>
      </w:tr>
      <w:tr w14:paraId="327B19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019" w:type="dxa"/>
            <w:vAlign w:val="center"/>
          </w:tcPr>
          <w:p w14:paraId="5306EDE9">
            <w:pPr>
              <w:adjustRightInd w:val="0"/>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生态保护措施</w:t>
            </w:r>
          </w:p>
        </w:tc>
        <w:tc>
          <w:tcPr>
            <w:tcW w:w="8093" w:type="dxa"/>
            <w:gridSpan w:val="4"/>
            <w:vAlign w:val="center"/>
          </w:tcPr>
          <w:p w14:paraId="2A8A2704">
            <w:pPr>
              <w:adjustRightInd w:val="0"/>
              <w:jc w:val="center"/>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w:t>
            </w:r>
          </w:p>
        </w:tc>
      </w:tr>
      <w:tr w14:paraId="0ED5BC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19" w:type="dxa"/>
            <w:vAlign w:val="center"/>
          </w:tcPr>
          <w:p w14:paraId="6AA6A19E">
            <w:pPr>
              <w:adjustRightInd w:val="0"/>
              <w:jc w:val="center"/>
              <w:rPr>
                <w:rFonts w:ascii="Times New Roman" w:hAnsi="Times New Roman" w:eastAsiaTheme="minorEastAsia"/>
                <w:b/>
                <w:bCs/>
                <w:color w:val="auto"/>
                <w:spacing w:val="-8"/>
                <w:sz w:val="24"/>
                <w:szCs w:val="24"/>
                <w:highlight w:val="none"/>
              </w:rPr>
            </w:pPr>
            <w:r>
              <w:rPr>
                <w:rFonts w:ascii="Times New Roman" w:hAnsi="Times New Roman" w:eastAsiaTheme="minorEastAsia"/>
                <w:b/>
                <w:bCs/>
                <w:color w:val="auto"/>
                <w:spacing w:val="-8"/>
                <w:sz w:val="24"/>
                <w:szCs w:val="24"/>
                <w:highlight w:val="none"/>
              </w:rPr>
              <w:t>环境风险防范措施</w:t>
            </w:r>
          </w:p>
        </w:tc>
        <w:tc>
          <w:tcPr>
            <w:tcW w:w="8093" w:type="dxa"/>
            <w:gridSpan w:val="4"/>
            <w:vAlign w:val="center"/>
          </w:tcPr>
          <w:p w14:paraId="6B3BB8C7">
            <w:pPr>
              <w:adjustRightInd w:val="0"/>
              <w:jc w:val="left"/>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①总图布置和建筑安全防范措施：根据相关要求严格设计、施工，车间、设备根据危险性进行分区布置；车间内设置隔断、渗滤液导流沟及收集池，本项目所贮存危险废物发生渗漏时可有效收集。</w:t>
            </w:r>
          </w:p>
          <w:p w14:paraId="684A1A97">
            <w:pPr>
              <w:adjustRightInd w:val="0"/>
              <w:jc w:val="left"/>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②运送安全防范措施：危险废物运送应具有相应运输资质；</w:t>
            </w:r>
          </w:p>
          <w:p w14:paraId="17BAFB46">
            <w:pPr>
              <w:adjustRightInd w:val="0"/>
              <w:jc w:val="left"/>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③管理措施：运行过程中定期巡检，持证上岗，建立完善的运行、检修方案；同时企业应编制突发环境事件应急预案，按照应急预案落实风险防范措施，加强环境风险防范意识，定期进行消防事故演习，提升厂区环境应急处置能力。</w:t>
            </w:r>
          </w:p>
          <w:p w14:paraId="790DF61D">
            <w:pPr>
              <w:adjustRightInd w:val="0"/>
              <w:jc w:val="left"/>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④消防及火灾报警防范：配备相应的消防器材，设置禁火警示标识等。厂区内设置消防</w:t>
            </w:r>
            <w:r>
              <w:rPr>
                <w:rFonts w:hint="eastAsia" w:ascii="Times New Roman" w:hAnsi="Times New Roman" w:eastAsiaTheme="minorEastAsia"/>
                <w:color w:val="auto"/>
                <w:sz w:val="24"/>
                <w:szCs w:val="24"/>
                <w:highlight w:val="none"/>
                <w:lang w:val="en-US" w:eastAsia="zh-CN"/>
              </w:rPr>
              <w:t>废</w:t>
            </w:r>
            <w:r>
              <w:rPr>
                <w:rFonts w:hint="eastAsia" w:ascii="Times New Roman" w:hAnsi="Times New Roman" w:eastAsiaTheme="minorEastAsia"/>
                <w:color w:val="auto"/>
                <w:sz w:val="24"/>
                <w:szCs w:val="24"/>
                <w:highlight w:val="none"/>
              </w:rPr>
              <w:t>水池、消防物资，同时配备个人防护用品。</w:t>
            </w:r>
          </w:p>
        </w:tc>
      </w:tr>
      <w:tr w14:paraId="2B214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59" w:hRule="atLeast"/>
        </w:trPr>
        <w:tc>
          <w:tcPr>
            <w:tcW w:w="1019" w:type="dxa"/>
            <w:vAlign w:val="center"/>
          </w:tcPr>
          <w:p w14:paraId="0EA0F9D7">
            <w:pPr>
              <w:pStyle w:val="5"/>
              <w:rPr>
                <w:rFonts w:ascii="Times New Roman" w:hAnsi="Times New Roman"/>
                <w:color w:val="auto"/>
                <w:highlight w:val="none"/>
              </w:rPr>
            </w:pPr>
          </w:p>
        </w:tc>
        <w:tc>
          <w:tcPr>
            <w:tcW w:w="8093" w:type="dxa"/>
            <w:gridSpan w:val="4"/>
            <w:vAlign w:val="center"/>
          </w:tcPr>
          <w:p w14:paraId="5B041ACD">
            <w:pPr>
              <w:adjustRightInd w:val="0"/>
              <w:spacing w:line="480" w:lineRule="exact"/>
              <w:ind w:firstLine="480" w:firstLineChars="200"/>
              <w:jc w:val="left"/>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1、施工期环境监理要求：项目涉及的防渗工程，须开展工程监理，收集整理好施工现场照片及影像资料，作为项目竣工环境保护验收的依据。</w:t>
            </w:r>
          </w:p>
          <w:p w14:paraId="1911900E">
            <w:pPr>
              <w:adjustRightInd w:val="0"/>
              <w:spacing w:line="480" w:lineRule="exact"/>
              <w:ind w:firstLine="480" w:firstLineChars="200"/>
              <w:jc w:val="left"/>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2、运营期环境管理要求：①编制应急预案并备案；②建立危废管理台账，详细记录本单位收集、贮存的危险废物的种类、成分、来源、数量、流向和有无事故等事项，危险废物台账和记录簿的保存时间应当在 10 年以上；③按规定填写危废转移联单；④盛装危险废物的容器上均按规定 粘贴危险废物标签；⑤按规定建立相应的危废管理贮存规章制度；⑥车间按要求配备通讯设备、照明设施、消防设施、有毒有害气体报警装置、温湿度计、火灾探测装置、可燃气体报警仪等风险监控设施；⑦项目运行前，按要求办理经营许可证；⑧厂区设置监控措施，</w:t>
            </w:r>
            <w:r>
              <w:rPr>
                <w:rFonts w:hint="default" w:ascii="Times New Roman" w:hAnsi="Times New Roman" w:eastAsiaTheme="minorEastAsia"/>
                <w:color w:val="auto"/>
                <w:sz w:val="24"/>
                <w:szCs w:val="24"/>
                <w:highlight w:val="none"/>
                <w:lang w:val="en-US" w:eastAsia="zh-CN"/>
              </w:rPr>
              <w:t>并按要求进行视频监控，</w:t>
            </w:r>
            <w:r>
              <w:rPr>
                <w:rFonts w:hint="eastAsia" w:ascii="Times New Roman" w:hAnsi="Times New Roman" w:eastAsiaTheme="minorEastAsia"/>
                <w:color w:val="auto"/>
                <w:sz w:val="24"/>
                <w:szCs w:val="24"/>
                <w:highlight w:val="none"/>
                <w:lang w:val="en-US" w:eastAsia="zh-CN"/>
              </w:rPr>
              <w:t>与当地主管部门联网，</w:t>
            </w:r>
            <w:r>
              <w:rPr>
                <w:rFonts w:hint="default" w:ascii="Times New Roman" w:hAnsi="Times New Roman" w:eastAsiaTheme="minorEastAsia"/>
                <w:color w:val="auto"/>
                <w:sz w:val="24"/>
                <w:szCs w:val="24"/>
                <w:highlight w:val="none"/>
                <w:lang w:val="en-US" w:eastAsia="zh-CN"/>
              </w:rPr>
              <w:t>保存视频记录</w:t>
            </w:r>
            <w:r>
              <w:rPr>
                <w:rFonts w:hint="eastAsia" w:ascii="Times New Roman" w:hAnsi="Times New Roman" w:eastAsiaTheme="minorEastAsia"/>
                <w:color w:val="auto"/>
                <w:sz w:val="24"/>
                <w:szCs w:val="24"/>
                <w:highlight w:val="none"/>
                <w:lang w:val="en-US" w:eastAsia="zh-CN"/>
              </w:rPr>
              <w:t>3个月以上；</w:t>
            </w:r>
            <w:r>
              <w:rPr>
                <w:rFonts w:hint="eastAsia" w:ascii="Times New Roman" w:hAnsi="Times New Roman" w:cs="Times New Roman"/>
                <w:color w:val="auto"/>
                <w:sz w:val="21"/>
                <w:szCs w:val="21"/>
                <w:highlight w:val="none"/>
                <w:lang w:val="en-US" w:eastAsia="zh-CN"/>
              </w:rPr>
              <w:t>⑨</w:t>
            </w:r>
            <w:r>
              <w:rPr>
                <w:rFonts w:hint="eastAsia" w:ascii="Times New Roman" w:hAnsi="Times New Roman" w:eastAsiaTheme="minorEastAsia"/>
                <w:color w:val="auto"/>
                <w:sz w:val="24"/>
                <w:szCs w:val="24"/>
                <w:highlight w:val="none"/>
              </w:rPr>
              <w:t>定期对贮存车间的各类危废进行检查，发现盛放容器破损，及时更换。</w:t>
            </w:r>
          </w:p>
          <w:p w14:paraId="6E216BFF">
            <w:pPr>
              <w:adjustRightInd w:val="0"/>
              <w:spacing w:line="480" w:lineRule="exact"/>
              <w:ind w:firstLine="480" w:firstLineChars="200"/>
              <w:jc w:val="left"/>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3、排污口规范化</w:t>
            </w:r>
          </w:p>
          <w:p w14:paraId="145293EE">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left"/>
              <w:textAlignment w:val="auto"/>
              <w:rPr>
                <w:rFonts w:hint="eastAsia" w:ascii="Times New Roman" w:hAnsi="Times New Roman" w:eastAsiaTheme="minorEastAsia"/>
                <w:b w:val="0"/>
                <w:bCs w:val="0"/>
                <w:color w:val="auto"/>
                <w:sz w:val="24"/>
                <w:szCs w:val="24"/>
                <w:highlight w:val="none"/>
              </w:rPr>
            </w:pPr>
            <w:r>
              <w:rPr>
                <w:rFonts w:hint="eastAsia" w:ascii="Times New Roman" w:hAnsi="Times New Roman" w:eastAsiaTheme="minorEastAsia"/>
                <w:color w:val="auto"/>
                <w:sz w:val="24"/>
                <w:szCs w:val="24"/>
                <w:highlight w:val="none"/>
              </w:rPr>
              <w:t>在废气排放口、固体废物贮存处置场、噪声产生点应设置环境保护图形标志，图形符号分为提示图形和警告图形符号两种，分别GB15562.1-1995、GB15562.2-1995执行，危险废物贮存间门口需张贴标准规范的危险废物标识和危废信息板。</w:t>
            </w:r>
          </w:p>
          <w:p w14:paraId="36E69BBA">
            <w:pPr>
              <w:adjustRightInd w:val="0"/>
              <w:snapToGrid w:val="0"/>
              <w:spacing w:line="460" w:lineRule="exact"/>
              <w:jc w:val="center"/>
              <w:rPr>
                <w:b w:val="0"/>
                <w:bCs w:val="0"/>
                <w:color w:val="auto"/>
                <w:sz w:val="24"/>
                <w:szCs w:val="24"/>
                <w:highlight w:val="none"/>
              </w:rPr>
            </w:pPr>
            <w:r>
              <w:rPr>
                <w:rFonts w:hint="default" w:ascii="Times New Roman" w:hAnsi="Times New Roman" w:cs="Times New Roman"/>
                <w:b w:val="0"/>
                <w:bCs w:val="0"/>
                <w:color w:val="auto"/>
                <w:sz w:val="24"/>
                <w:szCs w:val="24"/>
                <w:highlight w:val="none"/>
              </w:rPr>
              <w:t>表5-</w:t>
            </w:r>
            <w:r>
              <w:rPr>
                <w:rFonts w:hint="default" w:ascii="Times New Roman" w:hAnsi="Times New Roman" w:cs="Times New Roman"/>
                <w:b w:val="0"/>
                <w:bCs w:val="0"/>
                <w:color w:val="auto"/>
                <w:sz w:val="24"/>
                <w:szCs w:val="24"/>
                <w:highlight w:val="none"/>
                <w:lang w:val="en-US" w:eastAsia="zh-CN"/>
              </w:rPr>
              <w:t>1</w:t>
            </w:r>
            <w:r>
              <w:rPr>
                <w:rFonts w:hint="default" w:ascii="Times New Roman" w:hAnsi="Times New Roman" w:cs="Times New Roman"/>
                <w:b w:val="0"/>
                <w:bCs w:val="0"/>
                <w:color w:val="auto"/>
                <w:sz w:val="24"/>
                <w:szCs w:val="24"/>
                <w:highlight w:val="none"/>
              </w:rPr>
              <w:t xml:space="preserve">  排放口标志牌示例</w:t>
            </w:r>
          </w:p>
          <w:tbl>
            <w:tblPr>
              <w:tblStyle w:val="3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01"/>
              <w:gridCol w:w="2665"/>
              <w:gridCol w:w="2907"/>
            </w:tblGrid>
            <w:tr w14:paraId="2E79CB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61" w:type="pct"/>
                  <w:noWrap w:val="0"/>
                  <w:vAlign w:val="center"/>
                </w:tcPr>
                <w:p w14:paraId="302D50F8">
                  <w:pPr>
                    <w:adjustRightInd w:val="0"/>
                    <w:snapToGrid w:val="0"/>
                    <w:spacing w:line="420" w:lineRule="atLeast"/>
                    <w:jc w:val="center"/>
                    <w:rPr>
                      <w:color w:val="auto"/>
                      <w:highlight w:val="none"/>
                    </w:rPr>
                  </w:pPr>
                  <w:r>
                    <w:rPr>
                      <w:color w:val="auto"/>
                      <w:highlight w:val="none"/>
                    </w:rPr>
                    <w:t>排放口名称</w:t>
                  </w:r>
                </w:p>
              </w:tc>
              <w:tc>
                <w:tcPr>
                  <w:tcW w:w="1692" w:type="pct"/>
                  <w:noWrap w:val="0"/>
                  <w:vAlign w:val="center"/>
                </w:tcPr>
                <w:p w14:paraId="56B38736">
                  <w:pPr>
                    <w:adjustRightInd w:val="0"/>
                    <w:snapToGrid w:val="0"/>
                    <w:spacing w:line="420" w:lineRule="atLeast"/>
                    <w:jc w:val="center"/>
                    <w:rPr>
                      <w:color w:val="auto"/>
                      <w:highlight w:val="none"/>
                    </w:rPr>
                  </w:pPr>
                  <w:r>
                    <w:rPr>
                      <w:color w:val="auto"/>
                      <w:highlight w:val="none"/>
                    </w:rPr>
                    <w:t>排放口编号</w:t>
                  </w:r>
                </w:p>
              </w:tc>
              <w:tc>
                <w:tcPr>
                  <w:tcW w:w="1846" w:type="pct"/>
                  <w:noWrap w:val="0"/>
                  <w:vAlign w:val="center"/>
                </w:tcPr>
                <w:p w14:paraId="449DE857">
                  <w:pPr>
                    <w:adjustRightInd w:val="0"/>
                    <w:snapToGrid w:val="0"/>
                    <w:spacing w:line="420" w:lineRule="atLeast"/>
                    <w:jc w:val="center"/>
                    <w:rPr>
                      <w:color w:val="auto"/>
                      <w:highlight w:val="none"/>
                    </w:rPr>
                  </w:pPr>
                  <w:r>
                    <w:rPr>
                      <w:color w:val="auto"/>
                      <w:highlight w:val="none"/>
                    </w:rPr>
                    <w:t>图形示例</w:t>
                  </w:r>
                </w:p>
              </w:tc>
            </w:tr>
            <w:tr w14:paraId="40AA2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2" w:hRule="exact"/>
              </w:trPr>
              <w:tc>
                <w:tcPr>
                  <w:tcW w:w="1461" w:type="pct"/>
                  <w:noWrap w:val="0"/>
                  <w:vAlign w:val="center"/>
                </w:tcPr>
                <w:p w14:paraId="17D94D1B">
                  <w:pPr>
                    <w:adjustRightInd w:val="0"/>
                    <w:snapToGrid w:val="0"/>
                    <w:spacing w:line="420" w:lineRule="atLeast"/>
                    <w:jc w:val="center"/>
                    <w:rPr>
                      <w:color w:val="auto"/>
                      <w:highlight w:val="none"/>
                    </w:rPr>
                  </w:pPr>
                  <w:r>
                    <w:rPr>
                      <w:color w:val="auto"/>
                      <w:highlight w:val="none"/>
                    </w:rPr>
                    <w:t>废气排放口</w:t>
                  </w:r>
                </w:p>
              </w:tc>
              <w:tc>
                <w:tcPr>
                  <w:tcW w:w="1692" w:type="pct"/>
                  <w:noWrap w:val="0"/>
                  <w:vAlign w:val="center"/>
                </w:tcPr>
                <w:p w14:paraId="0DD25E5A">
                  <w:pPr>
                    <w:adjustRightInd w:val="0"/>
                    <w:snapToGrid w:val="0"/>
                    <w:spacing w:line="420" w:lineRule="atLeast"/>
                    <w:jc w:val="center"/>
                    <w:rPr>
                      <w:rFonts w:hint="eastAsia" w:eastAsia="宋体"/>
                      <w:color w:val="auto"/>
                      <w:highlight w:val="none"/>
                      <w:lang w:eastAsia="zh-CN"/>
                    </w:rPr>
                  </w:pPr>
                  <w:r>
                    <w:rPr>
                      <w:rFonts w:hint="default" w:ascii="Times New Roman" w:hAnsi="Times New Roman" w:cs="Times New Roman"/>
                      <w:color w:val="auto"/>
                      <w:highlight w:val="none"/>
                    </w:rPr>
                    <w:t>DA00</w:t>
                  </w:r>
                  <w:r>
                    <w:rPr>
                      <w:rFonts w:hint="default" w:ascii="Times New Roman" w:hAnsi="Times New Roman" w:cs="Times New Roman"/>
                      <w:color w:val="auto"/>
                      <w:highlight w:val="none"/>
                      <w:lang w:val="en-US" w:eastAsia="zh-CN"/>
                    </w:rPr>
                    <w:t>1</w:t>
                  </w:r>
                </w:p>
              </w:tc>
              <w:tc>
                <w:tcPr>
                  <w:tcW w:w="1846" w:type="pct"/>
                  <w:noWrap w:val="0"/>
                  <w:vAlign w:val="top"/>
                </w:tcPr>
                <w:p w14:paraId="1594B0C6">
                  <w:pPr>
                    <w:adjustRightInd w:val="0"/>
                    <w:snapToGrid w:val="0"/>
                    <w:spacing w:line="420" w:lineRule="atLeast"/>
                    <w:rPr>
                      <w:color w:val="auto"/>
                      <w:highlight w:val="none"/>
                    </w:rPr>
                  </w:pPr>
                  <w:r>
                    <w:rPr>
                      <w:color w:val="auto"/>
                      <w:highlight w:val="none"/>
                    </w:rPr>
                    <w:drawing>
                      <wp:inline distT="0" distB="0" distL="114300" distR="114300">
                        <wp:extent cx="1722120" cy="1306830"/>
                        <wp:effectExtent l="0" t="0" r="11430" b="7620"/>
                        <wp:docPr id="16" name="图片 51" descr="1594719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1" descr="1594719696(1)"/>
                                <pic:cNvPicPr>
                                  <a:picLocks noChangeAspect="1"/>
                                </pic:cNvPicPr>
                              </pic:nvPicPr>
                              <pic:blipFill>
                                <a:blip r:embed="rId43"/>
                                <a:stretch>
                                  <a:fillRect/>
                                </a:stretch>
                              </pic:blipFill>
                              <pic:spPr>
                                <a:xfrm>
                                  <a:off x="0" y="0"/>
                                  <a:ext cx="1722120" cy="1306830"/>
                                </a:xfrm>
                                <a:prstGeom prst="rect">
                                  <a:avLst/>
                                </a:prstGeom>
                                <a:noFill/>
                                <a:ln>
                                  <a:noFill/>
                                </a:ln>
                              </pic:spPr>
                            </pic:pic>
                          </a:graphicData>
                        </a:graphic>
                      </wp:inline>
                    </w:drawing>
                  </w:r>
                </w:p>
              </w:tc>
            </w:tr>
            <w:tr w14:paraId="40A62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6" w:hRule="exact"/>
              </w:trPr>
              <w:tc>
                <w:tcPr>
                  <w:tcW w:w="1461" w:type="pct"/>
                  <w:noWrap w:val="0"/>
                  <w:vAlign w:val="center"/>
                </w:tcPr>
                <w:p w14:paraId="6CEB2789">
                  <w:pPr>
                    <w:adjustRightInd w:val="0"/>
                    <w:snapToGrid w:val="0"/>
                    <w:spacing w:line="420" w:lineRule="atLeast"/>
                    <w:jc w:val="center"/>
                    <w:rPr>
                      <w:color w:val="auto"/>
                      <w:highlight w:val="none"/>
                    </w:rPr>
                  </w:pPr>
                  <w:r>
                    <w:rPr>
                      <w:color w:val="auto"/>
                      <w:highlight w:val="none"/>
                    </w:rPr>
                    <w:t>噪声排放源</w:t>
                  </w:r>
                </w:p>
              </w:tc>
              <w:tc>
                <w:tcPr>
                  <w:tcW w:w="1692" w:type="pct"/>
                  <w:noWrap w:val="0"/>
                  <w:vAlign w:val="center"/>
                </w:tcPr>
                <w:p w14:paraId="2EC37E9D">
                  <w:pPr>
                    <w:adjustRightInd w:val="0"/>
                    <w:snapToGrid w:val="0"/>
                    <w:spacing w:line="420" w:lineRule="atLeast"/>
                    <w:jc w:val="center"/>
                    <w:rPr>
                      <w:color w:val="auto"/>
                      <w:highlight w:val="none"/>
                    </w:rPr>
                  </w:pPr>
                  <w:r>
                    <w:rPr>
                      <w:color w:val="auto"/>
                      <w:highlight w:val="none"/>
                    </w:rPr>
                    <w:t>/</w:t>
                  </w:r>
                </w:p>
              </w:tc>
              <w:tc>
                <w:tcPr>
                  <w:tcW w:w="1846" w:type="pct"/>
                  <w:noWrap w:val="0"/>
                  <w:vAlign w:val="top"/>
                </w:tcPr>
                <w:p w14:paraId="65B61994">
                  <w:pPr>
                    <w:adjustRightInd w:val="0"/>
                    <w:snapToGrid w:val="0"/>
                    <w:spacing w:line="420" w:lineRule="atLeast"/>
                    <w:rPr>
                      <w:color w:val="auto"/>
                      <w:highlight w:val="none"/>
                    </w:rPr>
                  </w:pPr>
                  <w:r>
                    <w:rPr>
                      <w:color w:val="auto"/>
                      <w:highlight w:val="none"/>
                    </w:rPr>
                    <w:drawing>
                      <wp:inline distT="0" distB="0" distL="114300" distR="114300">
                        <wp:extent cx="1724660" cy="1343025"/>
                        <wp:effectExtent l="0" t="0" r="8890" b="9525"/>
                        <wp:docPr id="17" name="图片 52" descr="1594719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2" descr="1594719748(1)"/>
                                <pic:cNvPicPr>
                                  <a:picLocks noChangeAspect="1"/>
                                </pic:cNvPicPr>
                              </pic:nvPicPr>
                              <pic:blipFill>
                                <a:blip r:embed="rId44"/>
                                <a:stretch>
                                  <a:fillRect/>
                                </a:stretch>
                              </pic:blipFill>
                              <pic:spPr>
                                <a:xfrm>
                                  <a:off x="0" y="0"/>
                                  <a:ext cx="1724660" cy="1343025"/>
                                </a:xfrm>
                                <a:prstGeom prst="rect">
                                  <a:avLst/>
                                </a:prstGeom>
                                <a:noFill/>
                                <a:ln>
                                  <a:noFill/>
                                </a:ln>
                              </pic:spPr>
                            </pic:pic>
                          </a:graphicData>
                        </a:graphic>
                      </wp:inline>
                    </w:drawing>
                  </w:r>
                </w:p>
              </w:tc>
            </w:tr>
            <w:tr w14:paraId="3B4EEA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4" w:hRule="exact"/>
              </w:trPr>
              <w:tc>
                <w:tcPr>
                  <w:tcW w:w="1461" w:type="pct"/>
                  <w:noWrap w:val="0"/>
                  <w:vAlign w:val="center"/>
                </w:tcPr>
                <w:p w14:paraId="230444AC">
                  <w:pPr>
                    <w:pStyle w:val="9"/>
                    <w:spacing w:line="300" w:lineRule="exact"/>
                    <w:ind w:firstLine="0" w:firstLineChars="0"/>
                    <w:jc w:val="center"/>
                    <w:rPr>
                      <w:rFonts w:hint="eastAsia"/>
                      <w:color w:val="auto"/>
                      <w:szCs w:val="21"/>
                      <w:highlight w:val="none"/>
                    </w:rPr>
                  </w:pPr>
                  <w:r>
                    <w:rPr>
                      <w:rFonts w:hint="eastAsia"/>
                      <w:color w:val="auto"/>
                      <w:highlight w:val="none"/>
                    </w:rPr>
                    <w:t>*</w:t>
                  </w:r>
                  <w:r>
                    <w:rPr>
                      <w:color w:val="auto"/>
                      <w:highlight w:val="none"/>
                    </w:rPr>
                    <w:t>危险废物暂存场所</w:t>
                  </w:r>
                  <w:r>
                    <w:rPr>
                      <w:color w:val="auto"/>
                      <w:highlight w:val="none"/>
                    </w:rPr>
                    <w:drawing>
                      <wp:inline distT="0" distB="0" distL="114300" distR="114300">
                        <wp:extent cx="1727200" cy="1102995"/>
                        <wp:effectExtent l="0" t="0" r="0" b="0"/>
                        <wp:docPr id="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4"/>
                                <pic:cNvPicPr>
                                  <a:picLocks noChangeAspect="1"/>
                                </pic:cNvPicPr>
                              </pic:nvPicPr>
                              <pic:blipFill>
                                <a:blip r:embed="rId45"/>
                                <a:stretch>
                                  <a:fillRect/>
                                </a:stretch>
                              </pic:blipFill>
                              <pic:spPr>
                                <a:xfrm>
                                  <a:off x="0" y="0"/>
                                  <a:ext cx="1727200" cy="1102995"/>
                                </a:xfrm>
                                <a:prstGeom prst="rect">
                                  <a:avLst/>
                                </a:prstGeom>
                                <a:noFill/>
                                <a:ln>
                                  <a:noFill/>
                                </a:ln>
                              </pic:spPr>
                            </pic:pic>
                          </a:graphicData>
                        </a:graphic>
                      </wp:inline>
                    </w:drawing>
                  </w:r>
                </w:p>
              </w:tc>
              <w:tc>
                <w:tcPr>
                  <w:tcW w:w="1692" w:type="pct"/>
                  <w:noWrap w:val="0"/>
                  <w:vAlign w:val="center"/>
                </w:tcPr>
                <w:p w14:paraId="6D0AFCE7">
                  <w:pPr>
                    <w:pStyle w:val="9"/>
                    <w:spacing w:line="300" w:lineRule="exact"/>
                    <w:ind w:firstLine="0" w:firstLineChars="0"/>
                    <w:jc w:val="center"/>
                    <w:rPr>
                      <w:rFonts w:hint="eastAsia" w:eastAsia="宋体"/>
                      <w:color w:val="auto"/>
                      <w:szCs w:val="21"/>
                      <w:highlight w:val="none"/>
                      <w:lang w:eastAsia="zh-CN"/>
                    </w:rPr>
                  </w:pPr>
                  <w:r>
                    <w:rPr>
                      <w:color w:val="auto"/>
                      <w:highlight w:val="none"/>
                    </w:rPr>
                    <w:t>/</w:t>
                  </w:r>
                </w:p>
              </w:tc>
              <w:tc>
                <w:tcPr>
                  <w:tcW w:w="1846" w:type="pct"/>
                  <w:noWrap w:val="0"/>
                  <w:vAlign w:val="center"/>
                </w:tcPr>
                <w:p w14:paraId="1B6BBC76">
                  <w:pPr>
                    <w:pStyle w:val="9"/>
                    <w:spacing w:line="240" w:lineRule="auto"/>
                    <w:ind w:firstLine="0" w:firstLineChars="0"/>
                    <w:jc w:val="center"/>
                    <w:rPr>
                      <w:color w:val="auto"/>
                      <w:highlight w:val="none"/>
                    </w:rPr>
                  </w:pPr>
                  <w:r>
                    <w:rPr>
                      <w:color w:val="auto"/>
                      <w:highlight w:val="none"/>
                    </w:rPr>
                    <w:drawing>
                      <wp:inline distT="0" distB="0" distL="114300" distR="114300">
                        <wp:extent cx="1727200" cy="1102995"/>
                        <wp:effectExtent l="0" t="0" r="6350" b="1905"/>
                        <wp:docPr id="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4"/>
                                <pic:cNvPicPr>
                                  <a:picLocks noChangeAspect="1"/>
                                </pic:cNvPicPr>
                              </pic:nvPicPr>
                              <pic:blipFill>
                                <a:blip r:embed="rId46"/>
                                <a:stretch>
                                  <a:fillRect/>
                                </a:stretch>
                              </pic:blipFill>
                              <pic:spPr>
                                <a:xfrm>
                                  <a:off x="0" y="0"/>
                                  <a:ext cx="1727200" cy="1102995"/>
                                </a:xfrm>
                                <a:prstGeom prst="rect">
                                  <a:avLst/>
                                </a:prstGeom>
                                <a:noFill/>
                                <a:ln>
                                  <a:noFill/>
                                </a:ln>
                              </pic:spPr>
                            </pic:pic>
                          </a:graphicData>
                        </a:graphic>
                      </wp:inline>
                    </w:drawing>
                  </w:r>
                </w:p>
              </w:tc>
            </w:tr>
            <w:tr w14:paraId="7C3B4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4" w:hRule="exact"/>
              </w:trPr>
              <w:tc>
                <w:tcPr>
                  <w:tcW w:w="1461" w:type="pct"/>
                  <w:noWrap w:val="0"/>
                  <w:vAlign w:val="center"/>
                </w:tcPr>
                <w:p w14:paraId="2ABA9797">
                  <w:pPr>
                    <w:pStyle w:val="9"/>
                    <w:spacing w:line="300" w:lineRule="exact"/>
                    <w:ind w:firstLine="0" w:firstLineChars="0"/>
                    <w:jc w:val="center"/>
                    <w:rPr>
                      <w:rFonts w:hint="eastAsia"/>
                      <w:color w:val="auto"/>
                      <w:highlight w:val="none"/>
                    </w:rPr>
                  </w:pPr>
                  <w:r>
                    <w:rPr>
                      <w:rFonts w:hint="eastAsia"/>
                      <w:color w:val="auto"/>
                      <w:szCs w:val="21"/>
                      <w:highlight w:val="none"/>
                    </w:rPr>
                    <w:t>危险废物贮存分区标识</w:t>
                  </w:r>
                </w:p>
              </w:tc>
              <w:tc>
                <w:tcPr>
                  <w:tcW w:w="1692" w:type="pct"/>
                  <w:noWrap w:val="0"/>
                  <w:vAlign w:val="center"/>
                </w:tcPr>
                <w:p w14:paraId="5434C911">
                  <w:pPr>
                    <w:pStyle w:val="9"/>
                    <w:spacing w:line="300" w:lineRule="exact"/>
                    <w:ind w:firstLine="0" w:firstLineChars="0"/>
                    <w:jc w:val="center"/>
                    <w:rPr>
                      <w:rFonts w:hint="eastAsia"/>
                      <w:color w:val="auto"/>
                      <w:szCs w:val="21"/>
                      <w:highlight w:val="none"/>
                    </w:rPr>
                  </w:pPr>
                  <w:r>
                    <w:rPr>
                      <w:rFonts w:hint="eastAsia"/>
                      <w:color w:val="auto"/>
                      <w:szCs w:val="21"/>
                      <w:highlight w:val="none"/>
                    </w:rPr>
                    <w:t>室内</w:t>
                  </w:r>
                </w:p>
                <w:p w14:paraId="0551D136">
                  <w:pPr>
                    <w:pStyle w:val="9"/>
                    <w:spacing w:line="300" w:lineRule="exact"/>
                    <w:ind w:firstLine="0" w:firstLineChars="0"/>
                    <w:jc w:val="center"/>
                    <w:rPr>
                      <w:color w:val="auto"/>
                      <w:highlight w:val="none"/>
                    </w:rPr>
                  </w:pPr>
                  <w:r>
                    <w:rPr>
                      <w:color w:val="auto"/>
                      <w:szCs w:val="21"/>
                      <w:highlight w:val="none"/>
                    </w:rPr>
                    <w:t>（</w:t>
                  </w:r>
                  <w:r>
                    <w:rPr>
                      <w:rFonts w:hint="eastAsia"/>
                      <w:color w:val="auto"/>
                      <w:szCs w:val="21"/>
                      <w:highlight w:val="none"/>
                    </w:rPr>
                    <w:t>附着式或柱式</w:t>
                  </w:r>
                  <w:r>
                    <w:rPr>
                      <w:color w:val="auto"/>
                      <w:szCs w:val="21"/>
                      <w:highlight w:val="none"/>
                    </w:rPr>
                    <w:t>）</w:t>
                  </w:r>
                </w:p>
              </w:tc>
              <w:tc>
                <w:tcPr>
                  <w:tcW w:w="1846" w:type="pct"/>
                  <w:noWrap w:val="0"/>
                  <w:vAlign w:val="center"/>
                </w:tcPr>
                <w:p w14:paraId="4C047DDB">
                  <w:pPr>
                    <w:pStyle w:val="9"/>
                    <w:spacing w:line="240" w:lineRule="auto"/>
                    <w:ind w:firstLine="0" w:firstLineChars="0"/>
                    <w:jc w:val="center"/>
                    <w:rPr>
                      <w:color w:val="auto"/>
                      <w:highlight w:val="none"/>
                    </w:rPr>
                  </w:pPr>
                  <w:r>
                    <w:rPr>
                      <w:color w:val="auto"/>
                      <w:highlight w:val="none"/>
                    </w:rPr>
                    <w:drawing>
                      <wp:inline distT="0" distB="0" distL="114300" distR="114300">
                        <wp:extent cx="1744980" cy="1461770"/>
                        <wp:effectExtent l="0" t="0" r="7620" b="5080"/>
                        <wp:docPr id="1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5"/>
                                <pic:cNvPicPr>
                                  <a:picLocks noChangeAspect="1"/>
                                </pic:cNvPicPr>
                              </pic:nvPicPr>
                              <pic:blipFill>
                                <a:blip r:embed="rId47"/>
                                <a:stretch>
                                  <a:fillRect/>
                                </a:stretch>
                              </pic:blipFill>
                              <pic:spPr>
                                <a:xfrm>
                                  <a:off x="0" y="0"/>
                                  <a:ext cx="1744980" cy="1461770"/>
                                </a:xfrm>
                                <a:prstGeom prst="rect">
                                  <a:avLst/>
                                </a:prstGeom>
                                <a:noFill/>
                                <a:ln>
                                  <a:noFill/>
                                </a:ln>
                              </pic:spPr>
                            </pic:pic>
                          </a:graphicData>
                        </a:graphic>
                      </wp:inline>
                    </w:drawing>
                  </w:r>
                </w:p>
              </w:tc>
            </w:tr>
            <w:tr w14:paraId="1514C7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4" w:hRule="exact"/>
              </w:trPr>
              <w:tc>
                <w:tcPr>
                  <w:tcW w:w="1461" w:type="pct"/>
                  <w:noWrap w:val="0"/>
                  <w:vAlign w:val="center"/>
                </w:tcPr>
                <w:p w14:paraId="4F0A92A8">
                  <w:pPr>
                    <w:pStyle w:val="9"/>
                    <w:spacing w:line="300" w:lineRule="exact"/>
                    <w:ind w:firstLine="0" w:firstLineChars="0"/>
                    <w:jc w:val="center"/>
                    <w:rPr>
                      <w:rFonts w:hint="eastAsia"/>
                      <w:color w:val="auto"/>
                      <w:highlight w:val="none"/>
                    </w:rPr>
                  </w:pPr>
                  <w:r>
                    <w:rPr>
                      <w:rFonts w:hint="eastAsia"/>
                      <w:color w:val="auto"/>
                      <w:szCs w:val="21"/>
                      <w:highlight w:val="none"/>
                    </w:rPr>
                    <w:t>危险废物标签</w:t>
                  </w:r>
                </w:p>
              </w:tc>
              <w:tc>
                <w:tcPr>
                  <w:tcW w:w="1692" w:type="pct"/>
                  <w:noWrap w:val="0"/>
                  <w:vAlign w:val="center"/>
                </w:tcPr>
                <w:p w14:paraId="43E11740">
                  <w:pPr>
                    <w:pStyle w:val="9"/>
                    <w:spacing w:line="300" w:lineRule="exact"/>
                    <w:ind w:firstLine="0" w:firstLineChars="0"/>
                    <w:jc w:val="center"/>
                    <w:rPr>
                      <w:color w:val="auto"/>
                      <w:szCs w:val="21"/>
                      <w:highlight w:val="none"/>
                    </w:rPr>
                  </w:pPr>
                  <w:r>
                    <w:rPr>
                      <w:color w:val="auto"/>
                      <w:szCs w:val="21"/>
                      <w:highlight w:val="none"/>
                    </w:rPr>
                    <w:t>粘贴于危险废</w:t>
                  </w:r>
                </w:p>
                <w:p w14:paraId="45B18BE1">
                  <w:pPr>
                    <w:pStyle w:val="9"/>
                    <w:spacing w:line="300" w:lineRule="exact"/>
                    <w:ind w:firstLine="0" w:firstLineChars="0"/>
                    <w:jc w:val="center"/>
                    <w:rPr>
                      <w:color w:val="auto"/>
                      <w:highlight w:val="none"/>
                    </w:rPr>
                  </w:pPr>
                  <w:r>
                    <w:rPr>
                      <w:color w:val="auto"/>
                      <w:szCs w:val="21"/>
                      <w:highlight w:val="none"/>
                    </w:rPr>
                    <w:t>物储存容</w:t>
                  </w:r>
                </w:p>
              </w:tc>
              <w:tc>
                <w:tcPr>
                  <w:tcW w:w="1846" w:type="pct"/>
                  <w:noWrap w:val="0"/>
                  <w:vAlign w:val="center"/>
                </w:tcPr>
                <w:p w14:paraId="5C6E7DF3">
                  <w:pPr>
                    <w:pStyle w:val="9"/>
                    <w:snapToGrid/>
                    <w:spacing w:line="240" w:lineRule="auto"/>
                    <w:ind w:firstLine="0" w:firstLineChars="0"/>
                    <w:jc w:val="center"/>
                    <w:rPr>
                      <w:color w:val="auto"/>
                      <w:highlight w:val="none"/>
                    </w:rPr>
                  </w:pPr>
                  <w:r>
                    <w:rPr>
                      <w:rFonts w:hint="eastAsia"/>
                      <w:color w:val="auto"/>
                      <w:szCs w:val="21"/>
                      <w:highlight w:val="none"/>
                    </w:rPr>
                    <w:drawing>
                      <wp:inline distT="0" distB="0" distL="114300" distR="114300">
                        <wp:extent cx="1749425" cy="1749425"/>
                        <wp:effectExtent l="0" t="0" r="3175" b="3175"/>
                        <wp:docPr id="20" name="图片 56" descr="170045836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6" descr="1700458365326"/>
                                <pic:cNvPicPr>
                                  <a:picLocks noChangeAspect="1"/>
                                </pic:cNvPicPr>
                              </pic:nvPicPr>
                              <pic:blipFill>
                                <a:blip r:embed="rId48"/>
                                <a:stretch>
                                  <a:fillRect/>
                                </a:stretch>
                              </pic:blipFill>
                              <pic:spPr>
                                <a:xfrm>
                                  <a:off x="0" y="0"/>
                                  <a:ext cx="1749425" cy="1749425"/>
                                </a:xfrm>
                                <a:prstGeom prst="rect">
                                  <a:avLst/>
                                </a:prstGeom>
                                <a:noFill/>
                                <a:ln>
                                  <a:noFill/>
                                </a:ln>
                              </pic:spPr>
                            </pic:pic>
                          </a:graphicData>
                        </a:graphic>
                      </wp:inline>
                    </w:drawing>
                  </w:r>
                </w:p>
              </w:tc>
            </w:tr>
          </w:tbl>
          <w:p w14:paraId="7C955094">
            <w:pPr>
              <w:pStyle w:val="13"/>
              <w:ind w:left="0" w:leftChars="0" w:firstLine="480" w:firstLineChars="200"/>
              <w:rPr>
                <w:rFonts w:hint="default" w:ascii="Times New Roman" w:hAnsi="Times New Roman" w:eastAsiaTheme="minorEastAsia"/>
                <w:color w:val="auto"/>
                <w:sz w:val="24"/>
                <w:szCs w:val="24"/>
                <w:highlight w:val="none"/>
                <w:lang w:val="en-US" w:eastAsia="zh-CN"/>
              </w:rPr>
            </w:pPr>
            <w:r>
              <w:rPr>
                <w:rFonts w:hint="eastAsia" w:ascii="Times New Roman" w:hAnsi="Times New Roman" w:eastAsiaTheme="minorEastAsia"/>
                <w:color w:val="auto"/>
                <w:sz w:val="24"/>
                <w:szCs w:val="24"/>
                <w:highlight w:val="none"/>
                <w:lang w:val="en-US" w:eastAsia="zh-CN"/>
              </w:rPr>
              <w:t>4</w:t>
            </w:r>
            <w:r>
              <w:rPr>
                <w:rFonts w:hint="eastAsia" w:ascii="Times New Roman" w:hAnsi="Times New Roman" w:eastAsiaTheme="minorEastAsia"/>
                <w:color w:val="auto"/>
                <w:sz w:val="24"/>
                <w:szCs w:val="24"/>
                <w:highlight w:val="none"/>
              </w:rPr>
              <w:t>、</w:t>
            </w:r>
            <w:r>
              <w:rPr>
                <w:rFonts w:hint="eastAsia" w:ascii="Times New Roman" w:hAnsi="Times New Roman" w:eastAsiaTheme="minorEastAsia"/>
                <w:color w:val="auto"/>
                <w:sz w:val="24"/>
                <w:szCs w:val="24"/>
                <w:highlight w:val="none"/>
                <w:lang w:val="en-US" w:eastAsia="zh-CN"/>
              </w:rPr>
              <w:t>与排污许可的衔接</w:t>
            </w:r>
          </w:p>
          <w:p w14:paraId="5A581206">
            <w:pPr>
              <w:pStyle w:val="13"/>
              <w:ind w:left="0" w:leftChars="0" w:firstLine="480" w:firstLineChars="200"/>
              <w:rPr>
                <w:rFonts w:hint="eastAsia"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企业应依据《排污许可管理办法》（部令20</w:t>
            </w:r>
            <w:r>
              <w:rPr>
                <w:rFonts w:hint="eastAsia" w:ascii="Times New Roman" w:hAnsi="Times New Roman" w:eastAsiaTheme="minorEastAsia"/>
                <w:color w:val="auto"/>
                <w:sz w:val="24"/>
                <w:szCs w:val="24"/>
                <w:highlight w:val="none"/>
                <w:lang w:val="en-US" w:eastAsia="zh-CN"/>
              </w:rPr>
              <w:t>24</w:t>
            </w:r>
            <w:r>
              <w:rPr>
                <w:rFonts w:hint="eastAsia" w:ascii="Times New Roman" w:hAnsi="Times New Roman" w:eastAsiaTheme="minorEastAsia"/>
                <w:color w:val="auto"/>
                <w:sz w:val="24"/>
                <w:szCs w:val="24"/>
                <w:highlight w:val="none"/>
              </w:rPr>
              <w:t>第</w:t>
            </w:r>
            <w:r>
              <w:rPr>
                <w:rFonts w:hint="eastAsia" w:ascii="Times New Roman" w:hAnsi="Times New Roman" w:eastAsiaTheme="minorEastAsia"/>
                <w:color w:val="auto"/>
                <w:sz w:val="24"/>
                <w:szCs w:val="24"/>
                <w:highlight w:val="none"/>
                <w:lang w:val="en-US" w:eastAsia="zh-CN"/>
              </w:rPr>
              <w:t>32</w:t>
            </w:r>
            <w:r>
              <w:rPr>
                <w:rFonts w:hint="eastAsia" w:ascii="Times New Roman" w:hAnsi="Times New Roman" w:eastAsiaTheme="minorEastAsia"/>
                <w:color w:val="auto"/>
                <w:sz w:val="24"/>
                <w:szCs w:val="24"/>
                <w:highlight w:val="none"/>
              </w:rPr>
              <w:t>号）的要求申请排污许可证。根据《固定污染源排污许可分类管理名录（2019年版）》（部令 第 11 号），本项目属于该目录中的“四十五、生态保护和环境治理业－103 环境治理业－专业从事危险废物贮存、利用、处理、处置的”，为重点管理，应在调试前按照《排污许可证申请与核发技术规范 工业固体废物和危险废物治理》（HJ1033－2019）的要求进行申请。</w:t>
            </w:r>
          </w:p>
          <w:p w14:paraId="25CD00F7">
            <w:pPr>
              <w:pStyle w:val="7"/>
              <w:rPr>
                <w:rFonts w:hint="eastAsia" w:ascii="Times New Roman" w:hAnsi="Times New Roman" w:eastAsiaTheme="minorEastAsia"/>
                <w:color w:val="auto"/>
                <w:sz w:val="24"/>
                <w:szCs w:val="24"/>
                <w:highlight w:val="none"/>
              </w:rPr>
            </w:pPr>
          </w:p>
          <w:p w14:paraId="4D93A70C">
            <w:pPr>
              <w:pStyle w:val="8"/>
              <w:rPr>
                <w:rFonts w:hint="eastAsia" w:ascii="Times New Roman" w:hAnsi="Times New Roman" w:eastAsiaTheme="minorEastAsia"/>
                <w:color w:val="auto"/>
                <w:sz w:val="24"/>
                <w:szCs w:val="24"/>
                <w:highlight w:val="none"/>
              </w:rPr>
            </w:pPr>
          </w:p>
          <w:p w14:paraId="10FBBFC8">
            <w:pPr>
              <w:pStyle w:val="9"/>
              <w:rPr>
                <w:rFonts w:hint="eastAsia" w:ascii="Times New Roman" w:hAnsi="Times New Roman" w:eastAsiaTheme="minorEastAsia"/>
                <w:color w:val="auto"/>
                <w:sz w:val="24"/>
                <w:szCs w:val="24"/>
                <w:highlight w:val="none"/>
              </w:rPr>
            </w:pPr>
          </w:p>
          <w:p w14:paraId="14CE3071">
            <w:pPr>
              <w:rPr>
                <w:rFonts w:hint="eastAsia" w:ascii="Times New Roman" w:hAnsi="Times New Roman" w:eastAsiaTheme="minorEastAsia"/>
                <w:color w:val="auto"/>
                <w:sz w:val="24"/>
                <w:szCs w:val="24"/>
                <w:highlight w:val="none"/>
              </w:rPr>
            </w:pPr>
          </w:p>
          <w:p w14:paraId="5521B8FF">
            <w:pPr>
              <w:pStyle w:val="13"/>
              <w:rPr>
                <w:rFonts w:hint="eastAsia" w:ascii="Times New Roman" w:hAnsi="Times New Roman" w:eastAsiaTheme="minorEastAsia"/>
                <w:color w:val="auto"/>
                <w:sz w:val="24"/>
                <w:szCs w:val="24"/>
                <w:highlight w:val="none"/>
              </w:rPr>
            </w:pPr>
          </w:p>
          <w:p w14:paraId="4D5B9D55">
            <w:pPr>
              <w:pStyle w:val="7"/>
              <w:rPr>
                <w:rFonts w:hint="eastAsia" w:ascii="Times New Roman" w:hAnsi="Times New Roman" w:eastAsiaTheme="minorEastAsia"/>
                <w:color w:val="auto"/>
                <w:sz w:val="24"/>
                <w:szCs w:val="24"/>
                <w:highlight w:val="none"/>
              </w:rPr>
            </w:pPr>
          </w:p>
          <w:p w14:paraId="530CAF0A">
            <w:pPr>
              <w:pStyle w:val="9"/>
              <w:rPr>
                <w:rFonts w:hint="eastAsia" w:ascii="Times New Roman" w:hAnsi="Times New Roman" w:eastAsiaTheme="minorEastAsia"/>
                <w:color w:val="auto"/>
                <w:sz w:val="24"/>
                <w:szCs w:val="24"/>
                <w:highlight w:val="none"/>
              </w:rPr>
            </w:pPr>
          </w:p>
          <w:p w14:paraId="75DF8EB8">
            <w:pPr>
              <w:rPr>
                <w:rFonts w:hint="eastAsia" w:ascii="Times New Roman" w:hAnsi="Times New Roman" w:eastAsiaTheme="minorEastAsia"/>
                <w:color w:val="auto"/>
                <w:sz w:val="24"/>
                <w:szCs w:val="24"/>
                <w:highlight w:val="none"/>
              </w:rPr>
            </w:pPr>
          </w:p>
          <w:p w14:paraId="0807828D">
            <w:pPr>
              <w:pStyle w:val="21"/>
              <w:rPr>
                <w:rFonts w:hint="eastAsia" w:ascii="Times New Roman" w:hAnsi="Times New Roman" w:eastAsiaTheme="minorEastAsia"/>
                <w:color w:val="auto"/>
                <w:sz w:val="24"/>
                <w:szCs w:val="24"/>
                <w:highlight w:val="none"/>
              </w:rPr>
            </w:pPr>
          </w:p>
          <w:p w14:paraId="31140F0A">
            <w:pPr>
              <w:rPr>
                <w:rFonts w:hint="eastAsia"/>
                <w:color w:val="auto"/>
                <w:highlight w:val="none"/>
              </w:rPr>
            </w:pPr>
          </w:p>
          <w:p w14:paraId="11CDC5D4">
            <w:pPr>
              <w:pStyle w:val="13"/>
              <w:rPr>
                <w:rFonts w:hint="eastAsia" w:ascii="Times New Roman" w:hAnsi="Times New Roman" w:eastAsiaTheme="minorEastAsia"/>
                <w:color w:val="auto"/>
                <w:sz w:val="24"/>
                <w:szCs w:val="24"/>
                <w:highlight w:val="none"/>
              </w:rPr>
            </w:pPr>
          </w:p>
          <w:p w14:paraId="0080860D">
            <w:pPr>
              <w:adjustRightInd w:val="0"/>
              <w:spacing w:line="480" w:lineRule="exact"/>
              <w:ind w:firstLine="480" w:firstLineChars="200"/>
              <w:jc w:val="left"/>
              <w:rPr>
                <w:rFonts w:ascii="Times New Roman" w:hAnsi="Times New Roman" w:eastAsiaTheme="minorEastAsia"/>
                <w:color w:val="auto"/>
                <w:sz w:val="24"/>
                <w:szCs w:val="24"/>
                <w:highlight w:val="none"/>
              </w:rPr>
            </w:pPr>
          </w:p>
        </w:tc>
      </w:tr>
      <w:bookmarkEnd w:id="26"/>
    </w:tbl>
    <w:p w14:paraId="32DA7462">
      <w:pPr>
        <w:widowControl/>
        <w:jc w:val="center"/>
        <w:outlineLvl w:val="0"/>
        <w:rPr>
          <w:rFonts w:ascii="Times New Roman" w:hAnsi="Times New Roman" w:eastAsiaTheme="minorEastAsia"/>
          <w:b/>
          <w:snapToGrid w:val="0"/>
          <w:color w:val="auto"/>
          <w:kern w:val="0"/>
          <w:sz w:val="30"/>
          <w:szCs w:val="30"/>
          <w:highlight w:val="none"/>
        </w:rPr>
        <w:sectPr>
          <w:pgSz w:w="11906" w:h="16838"/>
          <w:pgMar w:top="1417" w:right="1531" w:bottom="1417" w:left="1531" w:header="851" w:footer="850" w:gutter="0"/>
          <w:pgBorders>
            <w:top w:val="none" w:sz="0" w:space="0"/>
            <w:left w:val="none" w:sz="0" w:space="0"/>
            <w:bottom w:val="none" w:sz="0" w:space="0"/>
            <w:right w:val="none" w:sz="0" w:space="0"/>
          </w:pgBorders>
          <w:cols w:space="720" w:num="1"/>
          <w:docGrid w:linePitch="312" w:charSpace="0"/>
        </w:sectPr>
      </w:pPr>
      <w:bookmarkStart w:id="28" w:name="_Toc28880"/>
    </w:p>
    <w:p w14:paraId="0105DE6F">
      <w:pPr>
        <w:widowControl/>
        <w:jc w:val="center"/>
        <w:outlineLvl w:val="0"/>
        <w:rPr>
          <w:rFonts w:ascii="Times New Roman" w:hAnsi="Times New Roman" w:eastAsiaTheme="minorEastAsia"/>
          <w:snapToGrid w:val="0"/>
          <w:color w:val="auto"/>
          <w:kern w:val="0"/>
          <w:sz w:val="24"/>
          <w:szCs w:val="20"/>
          <w:highlight w:val="none"/>
        </w:rPr>
      </w:pPr>
      <w:bookmarkStart w:id="29" w:name="_Toc27147"/>
      <w:r>
        <w:rPr>
          <w:rFonts w:ascii="Times New Roman" w:hAnsi="Times New Roman" w:eastAsiaTheme="minorEastAsia"/>
          <w:b/>
          <w:snapToGrid w:val="0"/>
          <w:color w:val="auto"/>
          <w:kern w:val="0"/>
          <w:sz w:val="30"/>
          <w:szCs w:val="30"/>
          <w:highlight w:val="none"/>
        </w:rPr>
        <w:t>六、结论</w:t>
      </w:r>
      <w:bookmarkEnd w:id="28"/>
      <w:bookmarkEnd w:id="29"/>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25"/>
      </w:tblGrid>
      <w:tr w14:paraId="1FA27A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3" w:hRule="atLeast"/>
          <w:jc w:val="center"/>
        </w:trPr>
        <w:tc>
          <w:tcPr>
            <w:tcW w:w="9225" w:type="dxa"/>
            <w:vAlign w:val="center"/>
          </w:tcPr>
          <w:p w14:paraId="341A47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本项目建设符合国家及地方产业政策，选址合理。营运期在确保污染治理设施正常运行的前提下，污染物能够做到达标排放，落实各项环境风险应急措施，本项目环境风险是可以接受，对周围环境影响较小。因此，在该项目在严格执行环保措施监督检查清单中各项环保措施的前提下，从环境保护角度分析，项目的建设是可行的。</w:t>
            </w:r>
          </w:p>
          <w:p w14:paraId="34D70418">
            <w:pPr>
              <w:spacing w:line="360" w:lineRule="auto"/>
              <w:rPr>
                <w:rFonts w:ascii="Times New Roman" w:hAnsi="Times New Roman" w:eastAsiaTheme="minorEastAsia"/>
                <w:color w:val="auto"/>
                <w:sz w:val="24"/>
                <w:szCs w:val="24"/>
                <w:highlight w:val="none"/>
              </w:rPr>
            </w:pPr>
          </w:p>
          <w:p w14:paraId="18C7B5B6">
            <w:pPr>
              <w:spacing w:line="360" w:lineRule="auto"/>
              <w:rPr>
                <w:rFonts w:ascii="Times New Roman" w:hAnsi="Times New Roman" w:eastAsiaTheme="minorEastAsia"/>
                <w:color w:val="auto"/>
                <w:sz w:val="24"/>
                <w:szCs w:val="24"/>
                <w:highlight w:val="none"/>
              </w:rPr>
            </w:pPr>
          </w:p>
          <w:p w14:paraId="4A6ADBB5">
            <w:pPr>
              <w:spacing w:after="120"/>
              <w:ind w:left="420" w:leftChars="200" w:firstLine="480" w:firstLineChars="200"/>
              <w:rPr>
                <w:rFonts w:ascii="Times New Roman" w:hAnsi="Times New Roman" w:eastAsiaTheme="minorEastAsia"/>
                <w:color w:val="auto"/>
                <w:sz w:val="24"/>
                <w:szCs w:val="24"/>
                <w:highlight w:val="none"/>
              </w:rPr>
            </w:pPr>
          </w:p>
          <w:p w14:paraId="40AA8081">
            <w:pPr>
              <w:rPr>
                <w:rFonts w:ascii="Times New Roman" w:hAnsi="Times New Roman" w:eastAsiaTheme="minorEastAsia"/>
                <w:color w:val="auto"/>
                <w:sz w:val="24"/>
                <w:szCs w:val="24"/>
                <w:highlight w:val="none"/>
              </w:rPr>
            </w:pPr>
          </w:p>
          <w:p w14:paraId="7C09FB42">
            <w:pPr>
              <w:spacing w:after="120"/>
              <w:ind w:left="420" w:leftChars="200" w:firstLine="480" w:firstLineChars="200"/>
              <w:rPr>
                <w:rFonts w:ascii="Times New Roman" w:hAnsi="Times New Roman" w:eastAsiaTheme="minorEastAsia"/>
                <w:color w:val="auto"/>
                <w:sz w:val="24"/>
                <w:szCs w:val="24"/>
                <w:highlight w:val="none"/>
              </w:rPr>
            </w:pPr>
          </w:p>
          <w:p w14:paraId="216E9B1E">
            <w:pPr>
              <w:rPr>
                <w:rFonts w:ascii="Times New Roman" w:hAnsi="Times New Roman" w:eastAsiaTheme="minorEastAsia"/>
                <w:color w:val="auto"/>
                <w:szCs w:val="24"/>
                <w:highlight w:val="none"/>
              </w:rPr>
            </w:pPr>
          </w:p>
          <w:p w14:paraId="78728CD8">
            <w:pPr>
              <w:spacing w:line="360" w:lineRule="auto"/>
              <w:rPr>
                <w:rFonts w:ascii="Times New Roman" w:hAnsi="Times New Roman" w:eastAsiaTheme="minorEastAsia"/>
                <w:color w:val="auto"/>
                <w:sz w:val="24"/>
                <w:szCs w:val="24"/>
                <w:highlight w:val="none"/>
              </w:rPr>
            </w:pPr>
          </w:p>
          <w:p w14:paraId="18235568">
            <w:pPr>
              <w:spacing w:line="360" w:lineRule="auto"/>
              <w:rPr>
                <w:rFonts w:ascii="Times New Roman" w:hAnsi="Times New Roman" w:eastAsiaTheme="minorEastAsia"/>
                <w:color w:val="auto"/>
                <w:sz w:val="24"/>
                <w:szCs w:val="24"/>
                <w:highlight w:val="none"/>
              </w:rPr>
            </w:pPr>
          </w:p>
          <w:p w14:paraId="2478D632">
            <w:pPr>
              <w:spacing w:line="360" w:lineRule="auto"/>
              <w:rPr>
                <w:rFonts w:ascii="Times New Roman" w:hAnsi="Times New Roman" w:eastAsiaTheme="minorEastAsia"/>
                <w:color w:val="auto"/>
                <w:sz w:val="24"/>
                <w:szCs w:val="24"/>
                <w:highlight w:val="none"/>
              </w:rPr>
            </w:pPr>
          </w:p>
          <w:p w14:paraId="5C8253EB">
            <w:pPr>
              <w:spacing w:line="360" w:lineRule="auto"/>
              <w:rPr>
                <w:rFonts w:ascii="Times New Roman" w:hAnsi="Times New Roman" w:eastAsiaTheme="minorEastAsia"/>
                <w:color w:val="auto"/>
                <w:sz w:val="24"/>
                <w:szCs w:val="24"/>
                <w:highlight w:val="none"/>
              </w:rPr>
            </w:pPr>
          </w:p>
          <w:p w14:paraId="6DCC1D7C">
            <w:pPr>
              <w:pStyle w:val="5"/>
              <w:rPr>
                <w:rFonts w:ascii="Times New Roman" w:hAnsi="Times New Roman"/>
                <w:color w:val="auto"/>
                <w:highlight w:val="none"/>
              </w:rPr>
            </w:pPr>
          </w:p>
          <w:p w14:paraId="500454B4">
            <w:pPr>
              <w:spacing w:line="360" w:lineRule="auto"/>
              <w:rPr>
                <w:rFonts w:ascii="Times New Roman" w:hAnsi="Times New Roman" w:eastAsiaTheme="minorEastAsia"/>
                <w:color w:val="auto"/>
                <w:sz w:val="24"/>
                <w:szCs w:val="24"/>
                <w:highlight w:val="none"/>
              </w:rPr>
            </w:pPr>
          </w:p>
          <w:p w14:paraId="3D2151EC">
            <w:pPr>
              <w:spacing w:line="360" w:lineRule="auto"/>
              <w:rPr>
                <w:rFonts w:ascii="Times New Roman" w:hAnsi="Times New Roman" w:eastAsiaTheme="minorEastAsia"/>
                <w:color w:val="auto"/>
                <w:sz w:val="24"/>
                <w:szCs w:val="24"/>
                <w:highlight w:val="none"/>
              </w:rPr>
            </w:pPr>
          </w:p>
          <w:p w14:paraId="238AD2EF">
            <w:pPr>
              <w:spacing w:line="360" w:lineRule="auto"/>
              <w:rPr>
                <w:rFonts w:ascii="Times New Roman" w:hAnsi="Times New Roman" w:eastAsiaTheme="minorEastAsia"/>
                <w:color w:val="auto"/>
                <w:sz w:val="24"/>
                <w:szCs w:val="24"/>
                <w:highlight w:val="none"/>
              </w:rPr>
            </w:pPr>
          </w:p>
          <w:p w14:paraId="193A5D2E">
            <w:pPr>
              <w:spacing w:line="360" w:lineRule="auto"/>
              <w:rPr>
                <w:rFonts w:ascii="Times New Roman" w:hAnsi="Times New Roman" w:eastAsiaTheme="minorEastAsia"/>
                <w:color w:val="auto"/>
                <w:sz w:val="24"/>
                <w:szCs w:val="24"/>
                <w:highlight w:val="none"/>
              </w:rPr>
            </w:pPr>
          </w:p>
          <w:p w14:paraId="3AFE00A7">
            <w:pPr>
              <w:spacing w:line="360" w:lineRule="auto"/>
              <w:rPr>
                <w:rFonts w:ascii="Times New Roman" w:hAnsi="Times New Roman" w:eastAsiaTheme="minorEastAsia"/>
                <w:color w:val="auto"/>
                <w:sz w:val="24"/>
                <w:szCs w:val="24"/>
                <w:highlight w:val="none"/>
              </w:rPr>
            </w:pPr>
          </w:p>
          <w:p w14:paraId="425B4C92">
            <w:pPr>
              <w:spacing w:line="360" w:lineRule="auto"/>
              <w:rPr>
                <w:rFonts w:ascii="Times New Roman" w:hAnsi="Times New Roman" w:eastAsiaTheme="minorEastAsia"/>
                <w:color w:val="auto"/>
                <w:sz w:val="24"/>
                <w:szCs w:val="24"/>
                <w:highlight w:val="none"/>
              </w:rPr>
            </w:pPr>
          </w:p>
          <w:p w14:paraId="7889E712">
            <w:pPr>
              <w:spacing w:line="360" w:lineRule="auto"/>
              <w:rPr>
                <w:rFonts w:ascii="Times New Roman" w:hAnsi="Times New Roman" w:eastAsiaTheme="minorEastAsia"/>
                <w:color w:val="auto"/>
                <w:sz w:val="24"/>
                <w:szCs w:val="24"/>
                <w:highlight w:val="none"/>
              </w:rPr>
            </w:pPr>
          </w:p>
          <w:p w14:paraId="357FC2DB">
            <w:pPr>
              <w:spacing w:line="360" w:lineRule="auto"/>
              <w:rPr>
                <w:rFonts w:ascii="Times New Roman" w:hAnsi="Times New Roman" w:eastAsiaTheme="minorEastAsia"/>
                <w:color w:val="auto"/>
                <w:sz w:val="24"/>
                <w:szCs w:val="24"/>
                <w:highlight w:val="none"/>
              </w:rPr>
            </w:pPr>
          </w:p>
          <w:p w14:paraId="7F41B111">
            <w:pPr>
              <w:spacing w:line="360" w:lineRule="auto"/>
              <w:rPr>
                <w:rFonts w:ascii="Times New Roman" w:hAnsi="Times New Roman" w:eastAsiaTheme="minorEastAsia"/>
                <w:color w:val="auto"/>
                <w:sz w:val="24"/>
                <w:szCs w:val="24"/>
                <w:highlight w:val="none"/>
              </w:rPr>
            </w:pPr>
          </w:p>
          <w:p w14:paraId="18A050B3">
            <w:pPr>
              <w:spacing w:line="360" w:lineRule="auto"/>
              <w:rPr>
                <w:rFonts w:ascii="Times New Roman" w:hAnsi="Times New Roman" w:eastAsiaTheme="minorEastAsia"/>
                <w:color w:val="auto"/>
                <w:sz w:val="24"/>
                <w:szCs w:val="24"/>
                <w:highlight w:val="none"/>
              </w:rPr>
            </w:pPr>
          </w:p>
          <w:p w14:paraId="27146CB2">
            <w:pPr>
              <w:pStyle w:val="13"/>
              <w:rPr>
                <w:rFonts w:ascii="Times New Roman" w:hAnsi="Times New Roman" w:eastAsiaTheme="minorEastAsia"/>
                <w:color w:val="auto"/>
                <w:sz w:val="24"/>
                <w:szCs w:val="24"/>
                <w:highlight w:val="none"/>
              </w:rPr>
            </w:pPr>
          </w:p>
          <w:p w14:paraId="1A84CB03">
            <w:pPr>
              <w:pStyle w:val="7"/>
              <w:rPr>
                <w:rFonts w:ascii="Times New Roman" w:hAnsi="Times New Roman" w:eastAsiaTheme="minorEastAsia"/>
                <w:color w:val="auto"/>
                <w:sz w:val="24"/>
                <w:szCs w:val="24"/>
                <w:highlight w:val="none"/>
              </w:rPr>
            </w:pPr>
          </w:p>
          <w:p w14:paraId="190C2C10">
            <w:pPr>
              <w:pStyle w:val="8"/>
              <w:rPr>
                <w:rFonts w:ascii="Times New Roman" w:hAnsi="Times New Roman" w:eastAsiaTheme="minorEastAsia"/>
                <w:color w:val="auto"/>
                <w:sz w:val="24"/>
                <w:szCs w:val="24"/>
                <w:highlight w:val="none"/>
              </w:rPr>
            </w:pPr>
          </w:p>
          <w:p w14:paraId="2863AE26">
            <w:pPr>
              <w:pStyle w:val="9"/>
              <w:rPr>
                <w:rFonts w:ascii="Times New Roman" w:hAnsi="Times New Roman" w:eastAsiaTheme="minorEastAsia"/>
                <w:color w:val="auto"/>
                <w:sz w:val="24"/>
                <w:szCs w:val="24"/>
                <w:highlight w:val="none"/>
              </w:rPr>
            </w:pPr>
          </w:p>
          <w:p w14:paraId="501ECA15">
            <w:pPr>
              <w:rPr>
                <w:rFonts w:ascii="Times New Roman" w:hAnsi="Times New Roman" w:eastAsiaTheme="minorEastAsia"/>
                <w:color w:val="auto"/>
                <w:sz w:val="24"/>
                <w:szCs w:val="24"/>
                <w:highlight w:val="none"/>
              </w:rPr>
            </w:pPr>
          </w:p>
          <w:p w14:paraId="4D106504">
            <w:pPr>
              <w:pStyle w:val="13"/>
              <w:rPr>
                <w:rFonts w:ascii="Times New Roman" w:hAnsi="Times New Roman" w:eastAsiaTheme="minorEastAsia"/>
                <w:color w:val="auto"/>
                <w:sz w:val="24"/>
                <w:szCs w:val="24"/>
                <w:highlight w:val="none"/>
              </w:rPr>
            </w:pPr>
          </w:p>
          <w:p w14:paraId="451D7D57">
            <w:pPr>
              <w:pStyle w:val="7"/>
              <w:rPr>
                <w:color w:val="auto"/>
                <w:highlight w:val="none"/>
              </w:rPr>
            </w:pPr>
          </w:p>
        </w:tc>
      </w:tr>
    </w:tbl>
    <w:p w14:paraId="718510A8">
      <w:pPr>
        <w:rPr>
          <w:rFonts w:ascii="Times New Roman" w:hAnsi="Times New Roman" w:eastAsiaTheme="minorEastAsia"/>
          <w:color w:val="auto"/>
          <w:highlight w:val="none"/>
        </w:rPr>
        <w:sectPr>
          <w:pgSz w:w="11906" w:h="16838"/>
          <w:pgMar w:top="1417" w:right="1531" w:bottom="1417" w:left="1531" w:header="851" w:footer="850" w:gutter="0"/>
          <w:pgBorders>
            <w:top w:val="none" w:sz="0" w:space="0"/>
            <w:left w:val="none" w:sz="0" w:space="0"/>
            <w:bottom w:val="none" w:sz="0" w:space="0"/>
            <w:right w:val="none" w:sz="0" w:space="0"/>
          </w:pgBorders>
          <w:cols w:space="720" w:num="1"/>
          <w:docGrid w:linePitch="312" w:charSpace="0"/>
        </w:sectPr>
      </w:pPr>
    </w:p>
    <w:p w14:paraId="4CBB79B9">
      <w:pPr>
        <w:widowControl/>
        <w:adjustRightInd w:val="0"/>
        <w:snapToGrid w:val="0"/>
        <w:jc w:val="left"/>
        <w:outlineLvl w:val="0"/>
        <w:rPr>
          <w:rFonts w:ascii="Times New Roman" w:hAnsi="Times New Roman" w:eastAsiaTheme="minorEastAsia"/>
          <w:snapToGrid w:val="0"/>
          <w:color w:val="auto"/>
          <w:kern w:val="0"/>
          <w:sz w:val="30"/>
          <w:szCs w:val="30"/>
          <w:highlight w:val="none"/>
        </w:rPr>
      </w:pPr>
      <w:bookmarkStart w:id="30" w:name="_Toc7230"/>
      <w:bookmarkStart w:id="31" w:name="_Toc24197"/>
      <w:bookmarkStart w:id="32" w:name="_Toc26292"/>
      <w:r>
        <w:rPr>
          <w:rFonts w:ascii="Times New Roman" w:hAnsi="Times New Roman" w:eastAsiaTheme="minorEastAsia"/>
          <w:snapToGrid w:val="0"/>
          <w:color w:val="auto"/>
          <w:kern w:val="0"/>
          <w:sz w:val="30"/>
          <w:szCs w:val="30"/>
          <w:highlight w:val="none"/>
        </w:rPr>
        <w:t>附表</w:t>
      </w:r>
      <w:bookmarkEnd w:id="30"/>
      <w:bookmarkEnd w:id="31"/>
      <w:bookmarkEnd w:id="32"/>
    </w:p>
    <w:p w14:paraId="18D7A62E">
      <w:pPr>
        <w:widowControl/>
        <w:adjustRightInd w:val="0"/>
        <w:snapToGrid w:val="0"/>
        <w:jc w:val="center"/>
        <w:outlineLvl w:val="0"/>
        <w:rPr>
          <w:rFonts w:ascii="Times New Roman" w:hAnsi="Times New Roman" w:eastAsiaTheme="minorEastAsia"/>
          <w:b/>
          <w:snapToGrid w:val="0"/>
          <w:color w:val="auto"/>
          <w:kern w:val="0"/>
          <w:sz w:val="38"/>
          <w:szCs w:val="38"/>
          <w:highlight w:val="none"/>
        </w:rPr>
      </w:pPr>
      <w:r>
        <w:rPr>
          <w:rFonts w:ascii="Times New Roman" w:hAnsi="Times New Roman" w:eastAsiaTheme="minorEastAsia"/>
          <w:b/>
          <w:snapToGrid w:val="0"/>
          <w:color w:val="auto"/>
          <w:kern w:val="0"/>
          <w:sz w:val="30"/>
          <w:szCs w:val="30"/>
          <w:highlight w:val="none"/>
        </w:rPr>
        <w:t xml:space="preserve">                      </w:t>
      </w:r>
      <w:bookmarkStart w:id="33" w:name="_Toc18385"/>
      <w:bookmarkStart w:id="34" w:name="_Toc22500"/>
      <w:r>
        <w:rPr>
          <w:rFonts w:ascii="Times New Roman" w:hAnsi="Times New Roman" w:eastAsiaTheme="minorEastAsia"/>
          <w:b/>
          <w:snapToGrid w:val="0"/>
          <w:color w:val="auto"/>
          <w:kern w:val="0"/>
          <w:sz w:val="30"/>
          <w:szCs w:val="30"/>
          <w:highlight w:val="none"/>
        </w:rPr>
        <w:t>建设项目污染物排放量汇总表            单位：t/a</w:t>
      </w:r>
      <w:bookmarkEnd w:id="33"/>
      <w:bookmarkEnd w:id="34"/>
    </w:p>
    <w:tbl>
      <w:tblPr>
        <w:tblStyle w:val="3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1888"/>
        <w:gridCol w:w="1509"/>
        <w:gridCol w:w="1257"/>
        <w:gridCol w:w="1675"/>
        <w:gridCol w:w="1534"/>
        <w:gridCol w:w="1733"/>
        <w:gridCol w:w="1927"/>
        <w:gridCol w:w="1083"/>
      </w:tblGrid>
      <w:tr w14:paraId="78AD12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43" w:type="pct"/>
            <w:tcBorders>
              <w:tl2br w:val="single" w:color="auto" w:sz="4" w:space="0"/>
            </w:tcBorders>
            <w:tcMar>
              <w:left w:w="28" w:type="dxa"/>
              <w:right w:w="28" w:type="dxa"/>
            </w:tcMar>
            <w:vAlign w:val="center"/>
          </w:tcPr>
          <w:p w14:paraId="2531DD1E">
            <w:pPr>
              <w:adjustRightInd w:val="0"/>
              <w:snapToGrid w:val="0"/>
              <w:jc w:val="center"/>
              <w:rPr>
                <w:rFonts w:ascii="Times New Roman" w:hAnsi="Times New Roman" w:eastAsiaTheme="minorEastAsia"/>
                <w:snapToGrid w:val="0"/>
                <w:color w:val="auto"/>
                <w:kern w:val="21"/>
                <w:szCs w:val="21"/>
                <w:highlight w:val="none"/>
              </w:rPr>
            </w:pPr>
            <w:r>
              <w:rPr>
                <w:rFonts w:hint="eastAsia" w:ascii="Times New Roman" w:hAnsi="Times New Roman" w:eastAsiaTheme="minorEastAsia"/>
                <w:snapToGrid w:val="0"/>
                <w:color w:val="auto"/>
                <w:kern w:val="21"/>
                <w:szCs w:val="21"/>
                <w:highlight w:val="none"/>
                <w:lang w:val="en-US" w:eastAsia="zh-CN"/>
              </w:rPr>
              <w:t xml:space="preserve">    </w:t>
            </w:r>
            <w:r>
              <w:rPr>
                <w:rFonts w:ascii="Times New Roman" w:hAnsi="Times New Roman" w:eastAsiaTheme="minorEastAsia"/>
                <w:snapToGrid w:val="0"/>
                <w:color w:val="auto"/>
                <w:kern w:val="21"/>
                <w:szCs w:val="21"/>
                <w:highlight w:val="none"/>
              </w:rPr>
              <w:t>项目</w:t>
            </w:r>
          </w:p>
          <w:p w14:paraId="0915755D">
            <w:pPr>
              <w:adjustRightInd w:val="0"/>
              <w:snapToGrid w:val="0"/>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分类</w:t>
            </w:r>
          </w:p>
        </w:tc>
        <w:tc>
          <w:tcPr>
            <w:tcW w:w="682" w:type="pct"/>
            <w:tcMar>
              <w:left w:w="28" w:type="dxa"/>
              <w:right w:w="28" w:type="dxa"/>
            </w:tcMar>
            <w:vAlign w:val="center"/>
          </w:tcPr>
          <w:p w14:paraId="649DBD03">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污染物名称</w:t>
            </w:r>
          </w:p>
        </w:tc>
        <w:tc>
          <w:tcPr>
            <w:tcW w:w="545" w:type="pct"/>
            <w:tcMar>
              <w:left w:w="28" w:type="dxa"/>
              <w:right w:w="28" w:type="dxa"/>
            </w:tcMar>
            <w:vAlign w:val="center"/>
          </w:tcPr>
          <w:p w14:paraId="325D3268">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现有工程</w:t>
            </w:r>
          </w:p>
          <w:p w14:paraId="57E36DAE">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排放量（固体废物产生量）</w:t>
            </w:r>
            <w:r>
              <w:rPr>
                <w:rFonts w:ascii="Times New Roman" w:hAnsi="Times New Roman" w:eastAsiaTheme="minorEastAsia"/>
                <w:snapToGrid w:val="0"/>
                <w:color w:val="auto"/>
                <w:kern w:val="21"/>
                <w:szCs w:val="21"/>
                <w:highlight w:val="none"/>
              </w:rPr>
              <w:fldChar w:fldCharType="begin"/>
            </w:r>
            <w:r>
              <w:rPr>
                <w:rFonts w:ascii="Times New Roman" w:hAnsi="Times New Roman" w:eastAsiaTheme="minorEastAsia"/>
                <w:snapToGrid w:val="0"/>
                <w:color w:val="auto"/>
                <w:kern w:val="21"/>
                <w:szCs w:val="21"/>
                <w:highlight w:val="none"/>
              </w:rPr>
              <w:instrText xml:space="preserve"> = 1 \* GB3 \* MERGEFORMAT </w:instrText>
            </w:r>
            <w:r>
              <w:rPr>
                <w:rFonts w:ascii="Times New Roman" w:hAnsi="Times New Roman" w:eastAsiaTheme="minorEastAsia"/>
                <w:snapToGrid w:val="0"/>
                <w:color w:val="auto"/>
                <w:kern w:val="21"/>
                <w:szCs w:val="21"/>
                <w:highlight w:val="none"/>
              </w:rPr>
              <w:fldChar w:fldCharType="separate"/>
            </w:r>
            <w:r>
              <w:rPr>
                <w:rFonts w:ascii="Times New Roman" w:hAnsi="Times New Roman" w:eastAsiaTheme="minorEastAsia"/>
                <w:color w:val="auto"/>
                <w:szCs w:val="21"/>
                <w:highlight w:val="none"/>
              </w:rPr>
              <w:t>①</w:t>
            </w:r>
            <w:r>
              <w:rPr>
                <w:rFonts w:ascii="Times New Roman" w:hAnsi="Times New Roman" w:eastAsiaTheme="minorEastAsia"/>
                <w:snapToGrid w:val="0"/>
                <w:color w:val="auto"/>
                <w:kern w:val="21"/>
                <w:szCs w:val="21"/>
                <w:highlight w:val="none"/>
              </w:rPr>
              <w:fldChar w:fldCharType="end"/>
            </w:r>
          </w:p>
        </w:tc>
        <w:tc>
          <w:tcPr>
            <w:tcW w:w="454" w:type="pct"/>
            <w:tcMar>
              <w:left w:w="28" w:type="dxa"/>
              <w:right w:w="28" w:type="dxa"/>
            </w:tcMar>
            <w:vAlign w:val="center"/>
          </w:tcPr>
          <w:p w14:paraId="766CF446">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现有工程</w:t>
            </w:r>
          </w:p>
          <w:p w14:paraId="49D6D40A">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许可排放量</w:t>
            </w:r>
          </w:p>
          <w:p w14:paraId="61A38D91">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fldChar w:fldCharType="begin"/>
            </w:r>
            <w:r>
              <w:rPr>
                <w:rFonts w:ascii="Times New Roman" w:hAnsi="Times New Roman" w:eastAsiaTheme="minorEastAsia"/>
                <w:snapToGrid w:val="0"/>
                <w:color w:val="auto"/>
                <w:kern w:val="21"/>
                <w:szCs w:val="21"/>
                <w:highlight w:val="none"/>
              </w:rPr>
              <w:instrText xml:space="preserve"> = 2 \* GB3 \* MERGEFORMAT </w:instrText>
            </w:r>
            <w:r>
              <w:rPr>
                <w:rFonts w:ascii="Times New Roman" w:hAnsi="Times New Roman" w:eastAsiaTheme="minorEastAsia"/>
                <w:snapToGrid w:val="0"/>
                <w:color w:val="auto"/>
                <w:kern w:val="21"/>
                <w:szCs w:val="21"/>
                <w:highlight w:val="none"/>
              </w:rPr>
              <w:fldChar w:fldCharType="separate"/>
            </w:r>
            <w:r>
              <w:rPr>
                <w:rFonts w:ascii="Times New Roman" w:hAnsi="Times New Roman" w:eastAsiaTheme="minorEastAsia"/>
                <w:snapToGrid w:val="0"/>
                <w:color w:val="auto"/>
                <w:kern w:val="21"/>
                <w:szCs w:val="21"/>
                <w:highlight w:val="none"/>
              </w:rPr>
              <w:t>②</w:t>
            </w:r>
            <w:r>
              <w:rPr>
                <w:rFonts w:ascii="Times New Roman" w:hAnsi="Times New Roman" w:eastAsiaTheme="minorEastAsia"/>
                <w:snapToGrid w:val="0"/>
                <w:color w:val="auto"/>
                <w:kern w:val="21"/>
                <w:szCs w:val="21"/>
                <w:highlight w:val="none"/>
              </w:rPr>
              <w:fldChar w:fldCharType="end"/>
            </w:r>
          </w:p>
        </w:tc>
        <w:tc>
          <w:tcPr>
            <w:tcW w:w="605" w:type="pct"/>
            <w:tcMar>
              <w:left w:w="28" w:type="dxa"/>
              <w:right w:w="28" w:type="dxa"/>
            </w:tcMar>
            <w:vAlign w:val="center"/>
          </w:tcPr>
          <w:p w14:paraId="706770B6">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在建工程</w:t>
            </w:r>
          </w:p>
          <w:p w14:paraId="3E53CFE7">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排放量（固体废物产生量）</w:t>
            </w:r>
            <w:r>
              <w:rPr>
                <w:rFonts w:ascii="Times New Roman" w:hAnsi="Times New Roman" w:eastAsiaTheme="minorEastAsia"/>
                <w:snapToGrid w:val="0"/>
                <w:color w:val="auto"/>
                <w:kern w:val="21"/>
                <w:szCs w:val="21"/>
                <w:highlight w:val="none"/>
              </w:rPr>
              <w:fldChar w:fldCharType="begin"/>
            </w:r>
            <w:r>
              <w:rPr>
                <w:rFonts w:ascii="Times New Roman" w:hAnsi="Times New Roman" w:eastAsiaTheme="minorEastAsia"/>
                <w:snapToGrid w:val="0"/>
                <w:color w:val="auto"/>
                <w:kern w:val="21"/>
                <w:szCs w:val="21"/>
                <w:highlight w:val="none"/>
              </w:rPr>
              <w:instrText xml:space="preserve"> = 3 \* GB3 \* MERGEFORMAT </w:instrText>
            </w:r>
            <w:r>
              <w:rPr>
                <w:rFonts w:ascii="Times New Roman" w:hAnsi="Times New Roman" w:eastAsiaTheme="minorEastAsia"/>
                <w:snapToGrid w:val="0"/>
                <w:color w:val="auto"/>
                <w:kern w:val="21"/>
                <w:szCs w:val="21"/>
                <w:highlight w:val="none"/>
              </w:rPr>
              <w:fldChar w:fldCharType="separate"/>
            </w:r>
            <w:r>
              <w:rPr>
                <w:rFonts w:ascii="Times New Roman" w:hAnsi="Times New Roman" w:eastAsiaTheme="minorEastAsia"/>
                <w:color w:val="auto"/>
                <w:szCs w:val="21"/>
                <w:highlight w:val="none"/>
              </w:rPr>
              <w:t>③</w:t>
            </w:r>
            <w:r>
              <w:rPr>
                <w:rFonts w:ascii="Times New Roman" w:hAnsi="Times New Roman" w:eastAsiaTheme="minorEastAsia"/>
                <w:snapToGrid w:val="0"/>
                <w:color w:val="auto"/>
                <w:kern w:val="21"/>
                <w:szCs w:val="21"/>
                <w:highlight w:val="none"/>
              </w:rPr>
              <w:fldChar w:fldCharType="end"/>
            </w:r>
          </w:p>
        </w:tc>
        <w:tc>
          <w:tcPr>
            <w:tcW w:w="554" w:type="pct"/>
            <w:tcMar>
              <w:left w:w="28" w:type="dxa"/>
              <w:right w:w="28" w:type="dxa"/>
            </w:tcMar>
            <w:vAlign w:val="center"/>
          </w:tcPr>
          <w:p w14:paraId="2BE6BF4B">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本项目</w:t>
            </w:r>
          </w:p>
          <w:p w14:paraId="6DA581C4">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排放量（固体废物产生量）</w:t>
            </w:r>
            <w:r>
              <w:rPr>
                <w:rFonts w:ascii="Times New Roman" w:hAnsi="Times New Roman" w:eastAsiaTheme="minorEastAsia"/>
                <w:snapToGrid w:val="0"/>
                <w:color w:val="auto"/>
                <w:kern w:val="21"/>
                <w:szCs w:val="21"/>
                <w:highlight w:val="none"/>
              </w:rPr>
              <w:fldChar w:fldCharType="begin"/>
            </w:r>
            <w:r>
              <w:rPr>
                <w:rFonts w:ascii="Times New Roman" w:hAnsi="Times New Roman" w:eastAsiaTheme="minorEastAsia"/>
                <w:snapToGrid w:val="0"/>
                <w:color w:val="auto"/>
                <w:kern w:val="21"/>
                <w:szCs w:val="21"/>
                <w:highlight w:val="none"/>
              </w:rPr>
              <w:instrText xml:space="preserve"> = 4 \* GB3 \* MERGEFORMAT </w:instrText>
            </w:r>
            <w:r>
              <w:rPr>
                <w:rFonts w:ascii="Times New Roman" w:hAnsi="Times New Roman" w:eastAsiaTheme="minorEastAsia"/>
                <w:snapToGrid w:val="0"/>
                <w:color w:val="auto"/>
                <w:kern w:val="21"/>
                <w:szCs w:val="21"/>
                <w:highlight w:val="none"/>
              </w:rPr>
              <w:fldChar w:fldCharType="separate"/>
            </w:r>
            <w:r>
              <w:rPr>
                <w:rFonts w:ascii="Times New Roman" w:hAnsi="Times New Roman" w:eastAsiaTheme="minorEastAsia"/>
                <w:color w:val="auto"/>
                <w:szCs w:val="21"/>
                <w:highlight w:val="none"/>
              </w:rPr>
              <w:t>④</w:t>
            </w:r>
            <w:r>
              <w:rPr>
                <w:rFonts w:ascii="Times New Roman" w:hAnsi="Times New Roman" w:eastAsiaTheme="minorEastAsia"/>
                <w:snapToGrid w:val="0"/>
                <w:color w:val="auto"/>
                <w:kern w:val="21"/>
                <w:szCs w:val="21"/>
                <w:highlight w:val="none"/>
              </w:rPr>
              <w:fldChar w:fldCharType="end"/>
            </w:r>
          </w:p>
        </w:tc>
        <w:tc>
          <w:tcPr>
            <w:tcW w:w="626" w:type="pct"/>
            <w:tcMar>
              <w:left w:w="28" w:type="dxa"/>
              <w:right w:w="28" w:type="dxa"/>
            </w:tcMar>
            <w:vAlign w:val="center"/>
          </w:tcPr>
          <w:p w14:paraId="2A5037ED">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以新带老削减量</w:t>
            </w:r>
          </w:p>
          <w:p w14:paraId="78540162">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（新建项目不填）</w:t>
            </w:r>
            <w:r>
              <w:rPr>
                <w:rFonts w:ascii="Times New Roman" w:hAnsi="Times New Roman" w:eastAsiaTheme="minorEastAsia"/>
                <w:snapToGrid w:val="0"/>
                <w:color w:val="auto"/>
                <w:kern w:val="21"/>
                <w:szCs w:val="21"/>
                <w:highlight w:val="none"/>
              </w:rPr>
              <w:fldChar w:fldCharType="begin"/>
            </w:r>
            <w:r>
              <w:rPr>
                <w:rFonts w:ascii="Times New Roman" w:hAnsi="Times New Roman" w:eastAsiaTheme="minorEastAsia"/>
                <w:snapToGrid w:val="0"/>
                <w:color w:val="auto"/>
                <w:kern w:val="21"/>
                <w:szCs w:val="21"/>
                <w:highlight w:val="none"/>
              </w:rPr>
              <w:instrText xml:space="preserve"> = 5 \* GB3 \* MERGEFORMAT </w:instrText>
            </w:r>
            <w:r>
              <w:rPr>
                <w:rFonts w:ascii="Times New Roman" w:hAnsi="Times New Roman" w:eastAsiaTheme="minorEastAsia"/>
                <w:snapToGrid w:val="0"/>
                <w:color w:val="auto"/>
                <w:kern w:val="21"/>
                <w:szCs w:val="21"/>
                <w:highlight w:val="none"/>
              </w:rPr>
              <w:fldChar w:fldCharType="separate"/>
            </w:r>
            <w:r>
              <w:rPr>
                <w:rFonts w:ascii="Times New Roman" w:hAnsi="Times New Roman" w:eastAsiaTheme="minorEastAsia"/>
                <w:color w:val="auto"/>
                <w:szCs w:val="21"/>
                <w:highlight w:val="none"/>
              </w:rPr>
              <w:t>⑤</w:t>
            </w:r>
            <w:r>
              <w:rPr>
                <w:rFonts w:ascii="Times New Roman" w:hAnsi="Times New Roman" w:eastAsiaTheme="minorEastAsia"/>
                <w:snapToGrid w:val="0"/>
                <w:color w:val="auto"/>
                <w:kern w:val="21"/>
                <w:szCs w:val="21"/>
                <w:highlight w:val="none"/>
              </w:rPr>
              <w:fldChar w:fldCharType="end"/>
            </w:r>
          </w:p>
        </w:tc>
        <w:tc>
          <w:tcPr>
            <w:tcW w:w="696" w:type="pct"/>
            <w:tcMar>
              <w:left w:w="28" w:type="dxa"/>
              <w:right w:w="28" w:type="dxa"/>
            </w:tcMar>
            <w:vAlign w:val="center"/>
          </w:tcPr>
          <w:p w14:paraId="6B3BB333">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本项目建成后</w:t>
            </w:r>
          </w:p>
          <w:p w14:paraId="070735F8">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全厂排放量（固体废物产生量）</w:t>
            </w:r>
            <w:r>
              <w:rPr>
                <w:rFonts w:ascii="Times New Roman" w:hAnsi="Times New Roman" w:eastAsiaTheme="minorEastAsia"/>
                <w:snapToGrid w:val="0"/>
                <w:color w:val="auto"/>
                <w:kern w:val="21"/>
                <w:szCs w:val="21"/>
                <w:highlight w:val="none"/>
              </w:rPr>
              <w:fldChar w:fldCharType="begin"/>
            </w:r>
            <w:r>
              <w:rPr>
                <w:rFonts w:ascii="Times New Roman" w:hAnsi="Times New Roman" w:eastAsiaTheme="minorEastAsia"/>
                <w:snapToGrid w:val="0"/>
                <w:color w:val="auto"/>
                <w:kern w:val="21"/>
                <w:szCs w:val="21"/>
                <w:highlight w:val="none"/>
              </w:rPr>
              <w:instrText xml:space="preserve"> = 6 \* GB3 \* MERGEFORMAT </w:instrText>
            </w:r>
            <w:r>
              <w:rPr>
                <w:rFonts w:ascii="Times New Roman" w:hAnsi="Times New Roman" w:eastAsiaTheme="minorEastAsia"/>
                <w:snapToGrid w:val="0"/>
                <w:color w:val="auto"/>
                <w:kern w:val="21"/>
                <w:szCs w:val="21"/>
                <w:highlight w:val="none"/>
              </w:rPr>
              <w:fldChar w:fldCharType="separate"/>
            </w:r>
            <w:r>
              <w:rPr>
                <w:rFonts w:ascii="Times New Roman" w:hAnsi="Times New Roman" w:eastAsiaTheme="minorEastAsia"/>
                <w:color w:val="auto"/>
                <w:szCs w:val="21"/>
                <w:highlight w:val="none"/>
              </w:rPr>
              <w:t>⑥</w:t>
            </w:r>
            <w:r>
              <w:rPr>
                <w:rFonts w:ascii="Times New Roman" w:hAnsi="Times New Roman" w:eastAsiaTheme="minorEastAsia"/>
                <w:snapToGrid w:val="0"/>
                <w:color w:val="auto"/>
                <w:kern w:val="21"/>
                <w:szCs w:val="21"/>
                <w:highlight w:val="none"/>
              </w:rPr>
              <w:fldChar w:fldCharType="end"/>
            </w:r>
          </w:p>
        </w:tc>
        <w:tc>
          <w:tcPr>
            <w:tcW w:w="391" w:type="pct"/>
            <w:tcMar>
              <w:left w:w="28" w:type="dxa"/>
              <w:right w:w="28" w:type="dxa"/>
            </w:tcMar>
            <w:vAlign w:val="center"/>
          </w:tcPr>
          <w:p w14:paraId="4681E27F">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变化量</w:t>
            </w:r>
          </w:p>
          <w:p w14:paraId="1EB2C94B">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fldChar w:fldCharType="begin"/>
            </w:r>
            <w:r>
              <w:rPr>
                <w:rFonts w:ascii="Times New Roman" w:hAnsi="Times New Roman" w:eastAsiaTheme="minorEastAsia"/>
                <w:snapToGrid w:val="0"/>
                <w:color w:val="auto"/>
                <w:kern w:val="21"/>
                <w:szCs w:val="21"/>
                <w:highlight w:val="none"/>
              </w:rPr>
              <w:instrText xml:space="preserve"> = 7 \* GB3 \* MERGEFORMAT </w:instrText>
            </w:r>
            <w:r>
              <w:rPr>
                <w:rFonts w:ascii="Times New Roman" w:hAnsi="Times New Roman" w:eastAsiaTheme="minorEastAsia"/>
                <w:snapToGrid w:val="0"/>
                <w:color w:val="auto"/>
                <w:kern w:val="21"/>
                <w:szCs w:val="21"/>
                <w:highlight w:val="none"/>
              </w:rPr>
              <w:fldChar w:fldCharType="separate"/>
            </w:r>
            <w:r>
              <w:rPr>
                <w:rFonts w:ascii="Times New Roman" w:hAnsi="Times New Roman" w:eastAsiaTheme="minorEastAsia"/>
                <w:color w:val="auto"/>
                <w:szCs w:val="21"/>
                <w:highlight w:val="none"/>
              </w:rPr>
              <w:t>⑦</w:t>
            </w:r>
            <w:r>
              <w:rPr>
                <w:rFonts w:ascii="Times New Roman" w:hAnsi="Times New Roman" w:eastAsiaTheme="minorEastAsia"/>
                <w:snapToGrid w:val="0"/>
                <w:color w:val="auto"/>
                <w:kern w:val="21"/>
                <w:szCs w:val="21"/>
                <w:highlight w:val="none"/>
              </w:rPr>
              <w:fldChar w:fldCharType="end"/>
            </w:r>
          </w:p>
        </w:tc>
      </w:tr>
      <w:tr w14:paraId="352B64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443" w:type="pct"/>
            <w:vMerge w:val="restart"/>
            <w:vAlign w:val="center"/>
          </w:tcPr>
          <w:p w14:paraId="51A84B2D">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废气</w:t>
            </w:r>
          </w:p>
        </w:tc>
        <w:tc>
          <w:tcPr>
            <w:tcW w:w="682" w:type="pct"/>
            <w:vAlign w:val="center"/>
          </w:tcPr>
          <w:p w14:paraId="6C4FC2DC">
            <w:pPr>
              <w:spacing w:line="225" w:lineRule="exact"/>
              <w:ind w:left="107" w:right="96"/>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color w:val="auto"/>
                <w:position w:val="2"/>
                <w:szCs w:val="21"/>
                <w:highlight w:val="none"/>
              </w:rPr>
              <w:t>SO</w:t>
            </w:r>
            <w:r>
              <w:rPr>
                <w:rFonts w:ascii="Times New Roman" w:hAnsi="Times New Roman" w:eastAsiaTheme="minorEastAsia"/>
                <w:color w:val="auto"/>
                <w:szCs w:val="21"/>
                <w:highlight w:val="none"/>
                <w:vertAlign w:val="subscript"/>
              </w:rPr>
              <w:t>2</w:t>
            </w:r>
          </w:p>
        </w:tc>
        <w:tc>
          <w:tcPr>
            <w:tcW w:w="545" w:type="pct"/>
            <w:vAlign w:val="center"/>
          </w:tcPr>
          <w:p w14:paraId="35249EBE">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454" w:type="pct"/>
            <w:vAlign w:val="center"/>
          </w:tcPr>
          <w:p w14:paraId="62171D68">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605" w:type="pct"/>
            <w:vAlign w:val="center"/>
          </w:tcPr>
          <w:p w14:paraId="7E49F40C">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554" w:type="pct"/>
            <w:vAlign w:val="center"/>
          </w:tcPr>
          <w:p w14:paraId="57115944">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626" w:type="pct"/>
            <w:vAlign w:val="center"/>
          </w:tcPr>
          <w:p w14:paraId="66110DC1">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696" w:type="pct"/>
            <w:vAlign w:val="center"/>
          </w:tcPr>
          <w:p w14:paraId="27F58222">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391" w:type="pct"/>
            <w:vAlign w:val="center"/>
          </w:tcPr>
          <w:p w14:paraId="3C7E5682">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r>
      <w:tr w14:paraId="178810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443" w:type="pct"/>
            <w:vMerge w:val="continue"/>
            <w:vAlign w:val="center"/>
          </w:tcPr>
          <w:p w14:paraId="2C5D5D36">
            <w:pPr>
              <w:adjustRightInd w:val="0"/>
              <w:snapToGrid w:val="0"/>
              <w:jc w:val="center"/>
              <w:rPr>
                <w:rFonts w:ascii="Times New Roman" w:hAnsi="Times New Roman" w:eastAsiaTheme="minorEastAsia"/>
                <w:snapToGrid w:val="0"/>
                <w:color w:val="auto"/>
                <w:kern w:val="21"/>
                <w:szCs w:val="21"/>
                <w:highlight w:val="none"/>
              </w:rPr>
            </w:pPr>
          </w:p>
        </w:tc>
        <w:tc>
          <w:tcPr>
            <w:tcW w:w="682" w:type="pct"/>
            <w:vAlign w:val="center"/>
          </w:tcPr>
          <w:p w14:paraId="5E646AEE">
            <w:pPr>
              <w:spacing w:line="225" w:lineRule="exact"/>
              <w:ind w:left="107" w:right="96"/>
              <w:jc w:val="center"/>
              <w:rPr>
                <w:rFonts w:ascii="Times New Roman" w:hAnsi="Times New Roman" w:eastAsiaTheme="minorEastAsia"/>
                <w:color w:val="auto"/>
                <w:kern w:val="0"/>
                <w:szCs w:val="21"/>
                <w:highlight w:val="none"/>
              </w:rPr>
            </w:pPr>
            <w:r>
              <w:rPr>
                <w:rFonts w:ascii="Times New Roman" w:hAnsi="Times New Roman" w:eastAsiaTheme="minorEastAsia"/>
                <w:color w:val="auto"/>
                <w:position w:val="2"/>
                <w:szCs w:val="21"/>
                <w:highlight w:val="none"/>
              </w:rPr>
              <w:t>NO</w:t>
            </w:r>
            <w:r>
              <w:rPr>
                <w:rFonts w:ascii="Times New Roman" w:hAnsi="Times New Roman" w:eastAsiaTheme="minorEastAsia"/>
                <w:color w:val="auto"/>
                <w:szCs w:val="21"/>
                <w:highlight w:val="none"/>
              </w:rPr>
              <w:t>x</w:t>
            </w:r>
          </w:p>
        </w:tc>
        <w:tc>
          <w:tcPr>
            <w:tcW w:w="545" w:type="pct"/>
            <w:vAlign w:val="center"/>
          </w:tcPr>
          <w:p w14:paraId="468A5AA1">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454" w:type="pct"/>
            <w:vAlign w:val="center"/>
          </w:tcPr>
          <w:p w14:paraId="277F03F5">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605" w:type="pct"/>
            <w:vAlign w:val="center"/>
          </w:tcPr>
          <w:p w14:paraId="68827326">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554" w:type="pct"/>
            <w:vAlign w:val="center"/>
          </w:tcPr>
          <w:p w14:paraId="148892F2">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626" w:type="pct"/>
            <w:vAlign w:val="center"/>
          </w:tcPr>
          <w:p w14:paraId="1C4A2EE2">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696" w:type="pct"/>
            <w:vAlign w:val="center"/>
          </w:tcPr>
          <w:p w14:paraId="73C29FAE">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391" w:type="pct"/>
            <w:vAlign w:val="center"/>
          </w:tcPr>
          <w:p w14:paraId="24D28F27">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r>
      <w:tr w14:paraId="4ADC03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443" w:type="pct"/>
            <w:vMerge w:val="continue"/>
            <w:vAlign w:val="center"/>
          </w:tcPr>
          <w:p w14:paraId="347D8377">
            <w:pPr>
              <w:adjustRightInd w:val="0"/>
              <w:snapToGrid w:val="0"/>
              <w:jc w:val="center"/>
              <w:rPr>
                <w:rFonts w:ascii="Times New Roman" w:hAnsi="Times New Roman" w:eastAsiaTheme="minorEastAsia"/>
                <w:snapToGrid w:val="0"/>
                <w:color w:val="auto"/>
                <w:kern w:val="21"/>
                <w:szCs w:val="21"/>
                <w:highlight w:val="none"/>
              </w:rPr>
            </w:pPr>
          </w:p>
        </w:tc>
        <w:tc>
          <w:tcPr>
            <w:tcW w:w="682" w:type="pct"/>
            <w:vAlign w:val="center"/>
          </w:tcPr>
          <w:p w14:paraId="666C08A8">
            <w:pPr>
              <w:spacing w:before="51"/>
              <w:ind w:left="105" w:right="96"/>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颗粒物</w:t>
            </w:r>
          </w:p>
        </w:tc>
        <w:tc>
          <w:tcPr>
            <w:tcW w:w="545" w:type="pct"/>
            <w:vAlign w:val="center"/>
          </w:tcPr>
          <w:p w14:paraId="12461C46">
            <w:pPr>
              <w:adjustRightInd w:val="0"/>
              <w:snapToGrid w:val="0"/>
              <w:jc w:val="center"/>
              <w:rPr>
                <w:rFonts w:ascii="Times New Roman" w:hAnsi="Times New Roman" w:eastAsiaTheme="minorEastAsia"/>
                <w:color w:val="auto"/>
                <w:kern w:val="0"/>
                <w:szCs w:val="21"/>
                <w:highlight w:val="none"/>
              </w:rPr>
            </w:pPr>
            <w:r>
              <w:rPr>
                <w:rFonts w:ascii="Times New Roman" w:hAnsi="Times New Roman" w:eastAsiaTheme="minorEastAsia"/>
                <w:snapToGrid w:val="0"/>
                <w:color w:val="auto"/>
                <w:kern w:val="21"/>
                <w:szCs w:val="21"/>
                <w:highlight w:val="none"/>
              </w:rPr>
              <w:t>/</w:t>
            </w:r>
          </w:p>
        </w:tc>
        <w:tc>
          <w:tcPr>
            <w:tcW w:w="454" w:type="pct"/>
            <w:vAlign w:val="center"/>
          </w:tcPr>
          <w:p w14:paraId="61FDD5A5">
            <w:pPr>
              <w:adjustRightInd w:val="0"/>
              <w:snapToGrid w:val="0"/>
              <w:jc w:val="center"/>
              <w:rPr>
                <w:rFonts w:ascii="Times New Roman" w:hAnsi="Times New Roman" w:eastAsiaTheme="minorEastAsia"/>
                <w:color w:val="auto"/>
                <w:kern w:val="0"/>
                <w:szCs w:val="21"/>
                <w:highlight w:val="none"/>
              </w:rPr>
            </w:pPr>
            <w:r>
              <w:rPr>
                <w:rFonts w:ascii="Times New Roman" w:hAnsi="Times New Roman" w:eastAsiaTheme="minorEastAsia"/>
                <w:snapToGrid w:val="0"/>
                <w:color w:val="auto"/>
                <w:kern w:val="21"/>
                <w:szCs w:val="21"/>
                <w:highlight w:val="none"/>
              </w:rPr>
              <w:t>/</w:t>
            </w:r>
          </w:p>
        </w:tc>
        <w:tc>
          <w:tcPr>
            <w:tcW w:w="605" w:type="pct"/>
            <w:vAlign w:val="center"/>
          </w:tcPr>
          <w:p w14:paraId="13101168">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554" w:type="pct"/>
            <w:vAlign w:val="center"/>
          </w:tcPr>
          <w:p w14:paraId="4F9C2FDF">
            <w:pPr>
              <w:adjustRightInd w:val="0"/>
              <w:snapToGrid w:val="0"/>
              <w:jc w:val="center"/>
              <w:rPr>
                <w:rFonts w:ascii="Times New Roman" w:hAnsi="Times New Roman" w:eastAsiaTheme="minorEastAsia"/>
                <w:color w:val="auto"/>
                <w:kern w:val="0"/>
                <w:szCs w:val="21"/>
                <w:highlight w:val="none"/>
              </w:rPr>
            </w:pPr>
            <w:r>
              <w:rPr>
                <w:rFonts w:ascii="Times New Roman" w:hAnsi="Times New Roman" w:eastAsiaTheme="minorEastAsia"/>
                <w:snapToGrid w:val="0"/>
                <w:color w:val="auto"/>
                <w:kern w:val="21"/>
                <w:szCs w:val="21"/>
                <w:highlight w:val="none"/>
              </w:rPr>
              <w:t>/</w:t>
            </w:r>
          </w:p>
        </w:tc>
        <w:tc>
          <w:tcPr>
            <w:tcW w:w="626" w:type="pct"/>
            <w:vAlign w:val="center"/>
          </w:tcPr>
          <w:p w14:paraId="1B684562">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696" w:type="pct"/>
            <w:vAlign w:val="center"/>
          </w:tcPr>
          <w:p w14:paraId="7C20C47B">
            <w:pPr>
              <w:adjustRightInd w:val="0"/>
              <w:snapToGrid w:val="0"/>
              <w:jc w:val="center"/>
              <w:rPr>
                <w:rFonts w:ascii="Times New Roman" w:hAnsi="Times New Roman" w:eastAsiaTheme="minorEastAsia"/>
                <w:color w:val="auto"/>
                <w:kern w:val="0"/>
                <w:szCs w:val="21"/>
                <w:highlight w:val="none"/>
              </w:rPr>
            </w:pPr>
            <w:r>
              <w:rPr>
                <w:rFonts w:ascii="Times New Roman" w:hAnsi="Times New Roman" w:eastAsiaTheme="minorEastAsia"/>
                <w:snapToGrid w:val="0"/>
                <w:color w:val="auto"/>
                <w:kern w:val="21"/>
                <w:szCs w:val="21"/>
                <w:highlight w:val="none"/>
              </w:rPr>
              <w:t>/</w:t>
            </w:r>
          </w:p>
        </w:tc>
        <w:tc>
          <w:tcPr>
            <w:tcW w:w="391" w:type="pct"/>
            <w:vAlign w:val="center"/>
          </w:tcPr>
          <w:p w14:paraId="77FA1DE2">
            <w:pPr>
              <w:adjustRightInd w:val="0"/>
              <w:snapToGrid w:val="0"/>
              <w:jc w:val="center"/>
              <w:rPr>
                <w:rFonts w:ascii="Times New Roman" w:hAnsi="Times New Roman" w:eastAsiaTheme="minorEastAsia"/>
                <w:color w:val="auto"/>
                <w:kern w:val="0"/>
                <w:szCs w:val="21"/>
                <w:highlight w:val="none"/>
              </w:rPr>
            </w:pPr>
            <w:r>
              <w:rPr>
                <w:rFonts w:ascii="Times New Roman" w:hAnsi="Times New Roman" w:eastAsiaTheme="minorEastAsia"/>
                <w:snapToGrid w:val="0"/>
                <w:color w:val="auto"/>
                <w:kern w:val="21"/>
                <w:szCs w:val="21"/>
                <w:highlight w:val="none"/>
              </w:rPr>
              <w:t>/</w:t>
            </w:r>
          </w:p>
        </w:tc>
      </w:tr>
      <w:tr w14:paraId="4D96D4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443" w:type="pct"/>
            <w:vMerge w:val="continue"/>
            <w:vAlign w:val="center"/>
          </w:tcPr>
          <w:p w14:paraId="42DD9B66">
            <w:pPr>
              <w:adjustRightInd w:val="0"/>
              <w:snapToGrid w:val="0"/>
              <w:jc w:val="center"/>
              <w:rPr>
                <w:rFonts w:ascii="Times New Roman" w:hAnsi="Times New Roman" w:eastAsiaTheme="minorEastAsia"/>
                <w:snapToGrid w:val="0"/>
                <w:color w:val="auto"/>
                <w:kern w:val="21"/>
                <w:szCs w:val="21"/>
                <w:highlight w:val="none"/>
              </w:rPr>
            </w:pPr>
          </w:p>
        </w:tc>
        <w:tc>
          <w:tcPr>
            <w:tcW w:w="682" w:type="pct"/>
            <w:vAlign w:val="center"/>
          </w:tcPr>
          <w:p w14:paraId="3E02E2ED">
            <w:pPr>
              <w:spacing w:line="225" w:lineRule="exact"/>
              <w:ind w:left="96" w:right="96"/>
              <w:jc w:val="center"/>
              <w:rPr>
                <w:rFonts w:ascii="Times New Roman" w:hAnsi="Times New Roman" w:eastAsiaTheme="minorEastAsia"/>
                <w:color w:val="auto"/>
                <w:szCs w:val="21"/>
                <w:highlight w:val="none"/>
              </w:rPr>
            </w:pPr>
            <w:r>
              <w:rPr>
                <w:rFonts w:ascii="Times New Roman" w:hAnsi="Times New Roman" w:eastAsiaTheme="minorEastAsia"/>
                <w:color w:val="auto"/>
                <w:position w:val="2"/>
                <w:szCs w:val="21"/>
                <w:highlight w:val="none"/>
              </w:rPr>
              <w:t>VOC</w:t>
            </w:r>
            <w:r>
              <w:rPr>
                <w:rFonts w:ascii="Times New Roman" w:hAnsi="Times New Roman" w:eastAsiaTheme="minorEastAsia"/>
                <w:color w:val="auto"/>
                <w:szCs w:val="21"/>
                <w:highlight w:val="none"/>
                <w:vertAlign w:val="subscript"/>
              </w:rPr>
              <w:t>S</w:t>
            </w:r>
          </w:p>
        </w:tc>
        <w:tc>
          <w:tcPr>
            <w:tcW w:w="545" w:type="pct"/>
            <w:vAlign w:val="center"/>
          </w:tcPr>
          <w:p w14:paraId="5AFB91CD">
            <w:pPr>
              <w:adjustRightInd w:val="0"/>
              <w:snapToGrid w:val="0"/>
              <w:jc w:val="center"/>
              <w:rPr>
                <w:rFonts w:ascii="Times New Roman" w:hAnsi="Times New Roman" w:eastAsiaTheme="minorEastAsia"/>
                <w:color w:val="auto"/>
                <w:kern w:val="0"/>
                <w:szCs w:val="21"/>
                <w:highlight w:val="none"/>
              </w:rPr>
            </w:pPr>
            <w:r>
              <w:rPr>
                <w:rFonts w:ascii="Times New Roman" w:hAnsi="Times New Roman" w:eastAsiaTheme="minorEastAsia"/>
                <w:snapToGrid w:val="0"/>
                <w:color w:val="auto"/>
                <w:kern w:val="21"/>
                <w:szCs w:val="21"/>
                <w:highlight w:val="none"/>
              </w:rPr>
              <w:t>/</w:t>
            </w:r>
          </w:p>
        </w:tc>
        <w:tc>
          <w:tcPr>
            <w:tcW w:w="454" w:type="pct"/>
            <w:vAlign w:val="center"/>
          </w:tcPr>
          <w:p w14:paraId="7106989C">
            <w:pPr>
              <w:adjustRightInd w:val="0"/>
              <w:snapToGrid w:val="0"/>
              <w:jc w:val="center"/>
              <w:rPr>
                <w:rFonts w:ascii="Times New Roman" w:hAnsi="Times New Roman" w:eastAsiaTheme="minorEastAsia"/>
                <w:color w:val="auto"/>
                <w:kern w:val="0"/>
                <w:szCs w:val="21"/>
                <w:highlight w:val="none"/>
              </w:rPr>
            </w:pPr>
            <w:r>
              <w:rPr>
                <w:rFonts w:ascii="Times New Roman" w:hAnsi="Times New Roman" w:eastAsiaTheme="minorEastAsia"/>
                <w:snapToGrid w:val="0"/>
                <w:color w:val="auto"/>
                <w:kern w:val="21"/>
                <w:szCs w:val="21"/>
                <w:highlight w:val="none"/>
              </w:rPr>
              <w:t>/</w:t>
            </w:r>
          </w:p>
        </w:tc>
        <w:tc>
          <w:tcPr>
            <w:tcW w:w="605" w:type="pct"/>
            <w:vAlign w:val="center"/>
          </w:tcPr>
          <w:p w14:paraId="320D36A9">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554" w:type="pct"/>
            <w:vAlign w:val="center"/>
          </w:tcPr>
          <w:p w14:paraId="273AD9EC">
            <w:pPr>
              <w:adjustRightInd w:val="0"/>
              <w:snapToGrid w:val="0"/>
              <w:jc w:val="center"/>
              <w:rPr>
                <w:rFonts w:ascii="Times New Roman" w:hAnsi="Times New Roman" w:eastAsiaTheme="minorEastAsia"/>
                <w:color w:val="auto"/>
                <w:kern w:val="0"/>
                <w:szCs w:val="21"/>
                <w:highlight w:val="none"/>
              </w:rPr>
            </w:pPr>
            <w:r>
              <w:rPr>
                <w:rFonts w:ascii="Times New Roman" w:hAnsi="Times New Roman" w:eastAsiaTheme="minorEastAsia"/>
                <w:snapToGrid w:val="0"/>
                <w:color w:val="auto"/>
                <w:kern w:val="21"/>
                <w:szCs w:val="21"/>
                <w:highlight w:val="none"/>
              </w:rPr>
              <w:t>/</w:t>
            </w:r>
          </w:p>
        </w:tc>
        <w:tc>
          <w:tcPr>
            <w:tcW w:w="626" w:type="pct"/>
            <w:vAlign w:val="center"/>
          </w:tcPr>
          <w:p w14:paraId="5E8C26A4">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696" w:type="pct"/>
            <w:vAlign w:val="center"/>
          </w:tcPr>
          <w:p w14:paraId="41A4CFAC">
            <w:pPr>
              <w:adjustRightInd w:val="0"/>
              <w:snapToGrid w:val="0"/>
              <w:jc w:val="center"/>
              <w:rPr>
                <w:rFonts w:ascii="Times New Roman" w:hAnsi="Times New Roman" w:eastAsiaTheme="minorEastAsia"/>
                <w:color w:val="auto"/>
                <w:kern w:val="0"/>
                <w:szCs w:val="21"/>
                <w:highlight w:val="none"/>
              </w:rPr>
            </w:pPr>
            <w:r>
              <w:rPr>
                <w:rFonts w:ascii="Times New Roman" w:hAnsi="Times New Roman" w:eastAsiaTheme="minorEastAsia"/>
                <w:snapToGrid w:val="0"/>
                <w:color w:val="auto"/>
                <w:kern w:val="21"/>
                <w:szCs w:val="21"/>
                <w:highlight w:val="none"/>
              </w:rPr>
              <w:t>/</w:t>
            </w:r>
          </w:p>
        </w:tc>
        <w:tc>
          <w:tcPr>
            <w:tcW w:w="391" w:type="pct"/>
            <w:vAlign w:val="center"/>
          </w:tcPr>
          <w:p w14:paraId="331CE35A">
            <w:pPr>
              <w:adjustRightInd w:val="0"/>
              <w:snapToGrid w:val="0"/>
              <w:jc w:val="center"/>
              <w:rPr>
                <w:rFonts w:ascii="Times New Roman" w:hAnsi="Times New Roman" w:eastAsiaTheme="minorEastAsia"/>
                <w:color w:val="auto"/>
                <w:kern w:val="0"/>
                <w:szCs w:val="21"/>
                <w:highlight w:val="none"/>
              </w:rPr>
            </w:pPr>
            <w:r>
              <w:rPr>
                <w:rFonts w:ascii="Times New Roman" w:hAnsi="Times New Roman" w:eastAsiaTheme="minorEastAsia"/>
                <w:snapToGrid w:val="0"/>
                <w:color w:val="auto"/>
                <w:kern w:val="21"/>
                <w:szCs w:val="21"/>
                <w:highlight w:val="none"/>
              </w:rPr>
              <w:t>/</w:t>
            </w:r>
          </w:p>
        </w:tc>
      </w:tr>
      <w:tr w14:paraId="68DA1E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443" w:type="pct"/>
            <w:vMerge w:val="continue"/>
            <w:vAlign w:val="center"/>
          </w:tcPr>
          <w:p w14:paraId="0BFC394C">
            <w:pPr>
              <w:adjustRightInd w:val="0"/>
              <w:snapToGrid w:val="0"/>
              <w:jc w:val="center"/>
              <w:rPr>
                <w:rFonts w:ascii="Times New Roman" w:hAnsi="Times New Roman" w:eastAsiaTheme="minorEastAsia"/>
                <w:snapToGrid w:val="0"/>
                <w:color w:val="auto"/>
                <w:kern w:val="21"/>
                <w:szCs w:val="21"/>
                <w:highlight w:val="none"/>
              </w:rPr>
            </w:pPr>
          </w:p>
        </w:tc>
        <w:tc>
          <w:tcPr>
            <w:tcW w:w="682" w:type="pct"/>
            <w:vAlign w:val="center"/>
          </w:tcPr>
          <w:p w14:paraId="7AC668DA">
            <w:pPr>
              <w:spacing w:line="225" w:lineRule="exact"/>
              <w:ind w:left="96" w:right="96"/>
              <w:jc w:val="center"/>
              <w:rPr>
                <w:rFonts w:hint="eastAsia" w:ascii="Times New Roman" w:hAnsi="Times New Roman" w:eastAsiaTheme="minorEastAsia"/>
                <w:color w:val="auto"/>
                <w:position w:val="2"/>
                <w:szCs w:val="21"/>
                <w:highlight w:val="none"/>
                <w:lang w:val="en-US" w:eastAsia="zh-CN"/>
              </w:rPr>
            </w:pPr>
            <w:r>
              <w:rPr>
                <w:rFonts w:hint="eastAsia" w:ascii="Times New Roman" w:hAnsi="Times New Roman" w:eastAsiaTheme="minorEastAsia"/>
                <w:color w:val="auto"/>
                <w:position w:val="2"/>
                <w:szCs w:val="21"/>
                <w:highlight w:val="none"/>
                <w:lang w:val="en-US" w:eastAsia="zh-CN"/>
              </w:rPr>
              <w:t>硫酸雾</w:t>
            </w:r>
          </w:p>
        </w:tc>
        <w:tc>
          <w:tcPr>
            <w:tcW w:w="545" w:type="pct"/>
            <w:vAlign w:val="center"/>
          </w:tcPr>
          <w:p w14:paraId="635C24EC">
            <w:pPr>
              <w:adjustRightInd w:val="0"/>
              <w:snapToGrid w:val="0"/>
              <w:jc w:val="center"/>
              <w:rPr>
                <w:rFonts w:hint="default" w:ascii="Times New Roman" w:hAnsi="Times New Roman" w:eastAsiaTheme="minorEastAsia"/>
                <w:color w:val="auto"/>
                <w:kern w:val="0"/>
                <w:szCs w:val="21"/>
                <w:highlight w:val="none"/>
                <w:lang w:val="en-US" w:eastAsia="zh-CN"/>
              </w:rPr>
            </w:pPr>
            <w:r>
              <w:rPr>
                <w:rFonts w:ascii="Times New Roman" w:hAnsi="Times New Roman" w:eastAsiaTheme="minorEastAsia"/>
                <w:snapToGrid w:val="0"/>
                <w:color w:val="auto"/>
                <w:kern w:val="21"/>
                <w:szCs w:val="21"/>
                <w:highlight w:val="none"/>
              </w:rPr>
              <w:t>/</w:t>
            </w:r>
          </w:p>
        </w:tc>
        <w:tc>
          <w:tcPr>
            <w:tcW w:w="454" w:type="pct"/>
            <w:vAlign w:val="center"/>
          </w:tcPr>
          <w:p w14:paraId="1EF37C54">
            <w:pPr>
              <w:adjustRightInd w:val="0"/>
              <w:snapToGrid w:val="0"/>
              <w:jc w:val="center"/>
              <w:rPr>
                <w:rFonts w:ascii="Times New Roman" w:hAnsi="Times New Roman" w:eastAsiaTheme="minorEastAsia"/>
                <w:color w:val="auto"/>
                <w:kern w:val="0"/>
                <w:szCs w:val="21"/>
                <w:highlight w:val="none"/>
              </w:rPr>
            </w:pPr>
            <w:r>
              <w:rPr>
                <w:rFonts w:ascii="Times New Roman" w:hAnsi="Times New Roman" w:eastAsiaTheme="minorEastAsia"/>
                <w:snapToGrid w:val="0"/>
                <w:color w:val="auto"/>
                <w:kern w:val="21"/>
                <w:szCs w:val="21"/>
                <w:highlight w:val="none"/>
              </w:rPr>
              <w:t>/</w:t>
            </w:r>
          </w:p>
        </w:tc>
        <w:tc>
          <w:tcPr>
            <w:tcW w:w="605" w:type="pct"/>
            <w:vAlign w:val="center"/>
          </w:tcPr>
          <w:p w14:paraId="5EFE0F07">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554" w:type="pct"/>
            <w:vAlign w:val="center"/>
          </w:tcPr>
          <w:p w14:paraId="74C3005B">
            <w:pPr>
              <w:adjustRightInd w:val="0"/>
              <w:snapToGrid w:val="0"/>
              <w:jc w:val="center"/>
              <w:rPr>
                <w:rFonts w:hint="default" w:ascii="Times New Roman" w:hAnsi="Times New Roman" w:eastAsiaTheme="minorEastAsia"/>
                <w:color w:val="auto"/>
                <w:kern w:val="0"/>
                <w:szCs w:val="21"/>
                <w:highlight w:val="none"/>
                <w:lang w:val="en-US"/>
              </w:rPr>
            </w:pPr>
            <w:r>
              <w:rPr>
                <w:rFonts w:hint="eastAsia" w:ascii="Times New Roman" w:hAnsi="Times New Roman" w:eastAsiaTheme="minorEastAsia"/>
                <w:snapToGrid w:val="0"/>
                <w:color w:val="auto"/>
                <w:kern w:val="21"/>
                <w:szCs w:val="21"/>
                <w:highlight w:val="none"/>
                <w:lang w:val="en-US" w:eastAsia="zh-CN"/>
              </w:rPr>
              <w:t>0.032</w:t>
            </w:r>
          </w:p>
        </w:tc>
        <w:tc>
          <w:tcPr>
            <w:tcW w:w="626" w:type="pct"/>
            <w:vAlign w:val="center"/>
          </w:tcPr>
          <w:p w14:paraId="7C17C5E3">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696" w:type="pct"/>
            <w:vAlign w:val="center"/>
          </w:tcPr>
          <w:p w14:paraId="36BEF618">
            <w:pPr>
              <w:adjustRightInd w:val="0"/>
              <w:snapToGrid w:val="0"/>
              <w:jc w:val="center"/>
              <w:rPr>
                <w:rFonts w:ascii="Times New Roman" w:hAnsi="Times New Roman" w:eastAsiaTheme="minorEastAsia"/>
                <w:color w:val="auto"/>
                <w:kern w:val="0"/>
                <w:szCs w:val="21"/>
                <w:highlight w:val="none"/>
              </w:rPr>
            </w:pPr>
            <w:r>
              <w:rPr>
                <w:rFonts w:hint="eastAsia" w:ascii="Times New Roman" w:hAnsi="Times New Roman" w:eastAsiaTheme="minorEastAsia"/>
                <w:snapToGrid w:val="0"/>
                <w:color w:val="auto"/>
                <w:kern w:val="21"/>
                <w:szCs w:val="21"/>
                <w:highlight w:val="none"/>
                <w:lang w:val="en-US" w:eastAsia="zh-CN"/>
              </w:rPr>
              <w:t>0.032</w:t>
            </w:r>
          </w:p>
        </w:tc>
        <w:tc>
          <w:tcPr>
            <w:tcW w:w="391" w:type="pct"/>
            <w:vAlign w:val="center"/>
          </w:tcPr>
          <w:p w14:paraId="53554785">
            <w:pPr>
              <w:adjustRightInd w:val="0"/>
              <w:snapToGrid w:val="0"/>
              <w:jc w:val="center"/>
              <w:rPr>
                <w:rFonts w:hint="default" w:ascii="Times New Roman" w:hAnsi="Times New Roman" w:eastAsiaTheme="minorEastAsia"/>
                <w:color w:val="auto"/>
                <w:kern w:val="0"/>
                <w:szCs w:val="21"/>
                <w:highlight w:val="none"/>
                <w:lang w:val="en-US"/>
              </w:rPr>
            </w:pPr>
            <w:r>
              <w:rPr>
                <w:rFonts w:hint="eastAsia" w:ascii="Times New Roman" w:hAnsi="Times New Roman" w:eastAsiaTheme="minorEastAsia"/>
                <w:snapToGrid w:val="0"/>
                <w:color w:val="auto"/>
                <w:kern w:val="21"/>
                <w:szCs w:val="21"/>
                <w:highlight w:val="none"/>
                <w:lang w:val="en-US" w:eastAsia="zh-CN"/>
              </w:rPr>
              <w:t>+0.032</w:t>
            </w:r>
          </w:p>
        </w:tc>
      </w:tr>
      <w:tr w14:paraId="75217A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443" w:type="pct"/>
            <w:vMerge w:val="restart"/>
            <w:vAlign w:val="center"/>
          </w:tcPr>
          <w:p w14:paraId="6AEAA57D">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废水</w:t>
            </w:r>
          </w:p>
        </w:tc>
        <w:tc>
          <w:tcPr>
            <w:tcW w:w="682" w:type="pct"/>
            <w:vAlign w:val="center"/>
          </w:tcPr>
          <w:p w14:paraId="10DAC05B">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color w:val="auto"/>
                <w:szCs w:val="21"/>
                <w:highlight w:val="none"/>
              </w:rPr>
              <w:t>COD</w:t>
            </w:r>
          </w:p>
        </w:tc>
        <w:tc>
          <w:tcPr>
            <w:tcW w:w="545" w:type="pct"/>
            <w:vAlign w:val="center"/>
          </w:tcPr>
          <w:p w14:paraId="2718C1B4">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454" w:type="pct"/>
            <w:vAlign w:val="center"/>
          </w:tcPr>
          <w:p w14:paraId="22C1BEA8">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605" w:type="pct"/>
            <w:vAlign w:val="center"/>
          </w:tcPr>
          <w:p w14:paraId="415EC871">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554" w:type="pct"/>
            <w:vAlign w:val="center"/>
          </w:tcPr>
          <w:p w14:paraId="39EABC48">
            <w:pPr>
              <w:keepNext w:val="0"/>
              <w:keepLines w:val="0"/>
              <w:pageBreakBefore w:val="0"/>
              <w:kinsoku/>
              <w:wordWrap/>
              <w:overflowPunct/>
              <w:topLinePunct w:val="0"/>
              <w:autoSpaceDE/>
              <w:autoSpaceDN/>
              <w:bidi w:val="0"/>
              <w:adjustRightInd/>
              <w:snapToGrid/>
              <w:spacing w:line="0" w:lineRule="atLeast"/>
              <w:jc w:val="center"/>
              <w:textAlignment w:val="auto"/>
              <w:rPr>
                <w:rFonts w:ascii="Times New Roman" w:hAnsi="Times New Roman" w:eastAsiaTheme="minorEastAsia"/>
                <w:snapToGrid w:val="0"/>
                <w:color w:val="auto"/>
                <w:kern w:val="21"/>
                <w:szCs w:val="21"/>
                <w:highlight w:val="none"/>
              </w:rPr>
            </w:pPr>
            <w:r>
              <w:rPr>
                <w:rFonts w:hint="default" w:ascii="Times New Roman" w:hAnsi="Times New Roman" w:eastAsia="宋体" w:cs="Times New Roman"/>
                <w:color w:val="auto"/>
                <w:sz w:val="21"/>
                <w:szCs w:val="21"/>
                <w:highlight w:val="none"/>
                <w:lang w:val="en-US" w:eastAsia="zh-CN"/>
              </w:rPr>
              <w:t>0.060</w:t>
            </w:r>
          </w:p>
        </w:tc>
        <w:tc>
          <w:tcPr>
            <w:tcW w:w="626" w:type="pct"/>
            <w:vAlign w:val="center"/>
          </w:tcPr>
          <w:p w14:paraId="0D5854E8">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696" w:type="pct"/>
            <w:vAlign w:val="center"/>
          </w:tcPr>
          <w:p w14:paraId="6FA8071C">
            <w:pPr>
              <w:keepNext w:val="0"/>
              <w:keepLines w:val="0"/>
              <w:pageBreakBefore w:val="0"/>
              <w:kinsoku/>
              <w:wordWrap/>
              <w:overflowPunct/>
              <w:topLinePunct w:val="0"/>
              <w:autoSpaceDE/>
              <w:autoSpaceDN/>
              <w:bidi w:val="0"/>
              <w:adjustRightInd/>
              <w:snapToGrid/>
              <w:spacing w:line="0" w:lineRule="atLeast"/>
              <w:jc w:val="center"/>
              <w:textAlignment w:val="auto"/>
              <w:rPr>
                <w:rFonts w:ascii="Times New Roman" w:hAnsi="Times New Roman" w:eastAsiaTheme="minorEastAsia"/>
                <w:snapToGrid w:val="0"/>
                <w:color w:val="auto"/>
                <w:kern w:val="21"/>
                <w:szCs w:val="21"/>
                <w:highlight w:val="none"/>
              </w:rPr>
            </w:pPr>
            <w:r>
              <w:rPr>
                <w:rFonts w:hint="default" w:ascii="Times New Roman" w:hAnsi="Times New Roman" w:eastAsia="宋体" w:cs="Times New Roman"/>
                <w:color w:val="auto"/>
                <w:sz w:val="21"/>
                <w:szCs w:val="21"/>
                <w:highlight w:val="none"/>
                <w:lang w:val="en-US" w:eastAsia="zh-CN"/>
              </w:rPr>
              <w:t>0.060</w:t>
            </w:r>
          </w:p>
        </w:tc>
        <w:tc>
          <w:tcPr>
            <w:tcW w:w="391" w:type="pct"/>
            <w:vAlign w:val="center"/>
          </w:tcPr>
          <w:p w14:paraId="223EE77E">
            <w:pPr>
              <w:keepNext w:val="0"/>
              <w:keepLines w:val="0"/>
              <w:pageBreakBefore w:val="0"/>
              <w:kinsoku/>
              <w:wordWrap/>
              <w:overflowPunct/>
              <w:topLinePunct w:val="0"/>
              <w:autoSpaceDE/>
              <w:autoSpaceDN/>
              <w:bidi w:val="0"/>
              <w:adjustRightInd/>
              <w:snapToGrid/>
              <w:spacing w:line="0" w:lineRule="atLeast"/>
              <w:jc w:val="center"/>
              <w:textAlignment w:val="auto"/>
              <w:rPr>
                <w:rFonts w:ascii="Times New Roman" w:hAnsi="Times New Roman" w:eastAsiaTheme="minorEastAsia"/>
                <w:snapToGrid w:val="0"/>
                <w:color w:val="auto"/>
                <w:kern w:val="21"/>
                <w:szCs w:val="21"/>
                <w:highlight w:val="none"/>
              </w:rPr>
            </w:pP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0.060</w:t>
            </w:r>
          </w:p>
        </w:tc>
      </w:tr>
      <w:tr w14:paraId="10EA52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443" w:type="pct"/>
            <w:vMerge w:val="continue"/>
            <w:vAlign w:val="center"/>
          </w:tcPr>
          <w:p w14:paraId="376FDCF2">
            <w:pPr>
              <w:adjustRightInd w:val="0"/>
              <w:snapToGrid w:val="0"/>
              <w:jc w:val="center"/>
              <w:rPr>
                <w:rFonts w:ascii="Times New Roman" w:hAnsi="Times New Roman" w:eastAsiaTheme="minorEastAsia"/>
                <w:snapToGrid w:val="0"/>
                <w:color w:val="auto"/>
                <w:kern w:val="21"/>
                <w:szCs w:val="21"/>
                <w:highlight w:val="none"/>
              </w:rPr>
            </w:pPr>
          </w:p>
        </w:tc>
        <w:tc>
          <w:tcPr>
            <w:tcW w:w="682" w:type="pct"/>
            <w:vAlign w:val="center"/>
          </w:tcPr>
          <w:p w14:paraId="6E7C8816">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color w:val="auto"/>
                <w:szCs w:val="21"/>
                <w:highlight w:val="none"/>
              </w:rPr>
              <w:t>氨氮</w:t>
            </w:r>
          </w:p>
        </w:tc>
        <w:tc>
          <w:tcPr>
            <w:tcW w:w="545" w:type="pct"/>
            <w:vAlign w:val="center"/>
          </w:tcPr>
          <w:p w14:paraId="39483DCD">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454" w:type="pct"/>
            <w:vAlign w:val="center"/>
          </w:tcPr>
          <w:p w14:paraId="5866862E">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605" w:type="pct"/>
            <w:vAlign w:val="center"/>
          </w:tcPr>
          <w:p w14:paraId="075F442E">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554" w:type="pct"/>
            <w:vAlign w:val="center"/>
          </w:tcPr>
          <w:p w14:paraId="3974A967">
            <w:pPr>
              <w:keepNext w:val="0"/>
              <w:keepLines w:val="0"/>
              <w:pageBreakBefore w:val="0"/>
              <w:kinsoku/>
              <w:wordWrap/>
              <w:overflowPunct/>
              <w:topLinePunct w:val="0"/>
              <w:autoSpaceDE/>
              <w:autoSpaceDN/>
              <w:bidi w:val="0"/>
              <w:adjustRightInd/>
              <w:snapToGrid/>
              <w:spacing w:line="0" w:lineRule="atLeast"/>
              <w:jc w:val="center"/>
              <w:textAlignment w:val="auto"/>
              <w:rPr>
                <w:rFonts w:ascii="Times New Roman" w:hAnsi="Times New Roman" w:eastAsiaTheme="minorEastAsia"/>
                <w:snapToGrid w:val="0"/>
                <w:color w:val="auto"/>
                <w:kern w:val="21"/>
                <w:szCs w:val="21"/>
                <w:highlight w:val="none"/>
              </w:rPr>
            </w:pPr>
            <w:r>
              <w:rPr>
                <w:rFonts w:hint="default" w:ascii="Times New Roman" w:hAnsi="Times New Roman" w:eastAsia="宋体" w:cs="Times New Roman"/>
                <w:color w:val="auto"/>
                <w:sz w:val="21"/>
                <w:szCs w:val="21"/>
                <w:highlight w:val="none"/>
                <w:lang w:val="en-US" w:eastAsia="zh-CN"/>
              </w:rPr>
              <w:t>0.00</w:t>
            </w:r>
            <w:r>
              <w:rPr>
                <w:rFonts w:hint="eastAsia" w:ascii="Times New Roman" w:hAnsi="Times New Roman" w:cs="Times New Roman"/>
                <w:color w:val="auto"/>
                <w:sz w:val="21"/>
                <w:szCs w:val="21"/>
                <w:highlight w:val="none"/>
                <w:lang w:val="en-US" w:eastAsia="zh-CN"/>
              </w:rPr>
              <w:t>4</w:t>
            </w:r>
          </w:p>
        </w:tc>
        <w:tc>
          <w:tcPr>
            <w:tcW w:w="626" w:type="pct"/>
            <w:vAlign w:val="center"/>
          </w:tcPr>
          <w:p w14:paraId="7FD73E0A">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696" w:type="pct"/>
            <w:vAlign w:val="center"/>
          </w:tcPr>
          <w:p w14:paraId="2878A047">
            <w:pPr>
              <w:keepNext w:val="0"/>
              <w:keepLines w:val="0"/>
              <w:pageBreakBefore w:val="0"/>
              <w:kinsoku/>
              <w:wordWrap/>
              <w:overflowPunct/>
              <w:topLinePunct w:val="0"/>
              <w:autoSpaceDE/>
              <w:autoSpaceDN/>
              <w:bidi w:val="0"/>
              <w:adjustRightInd/>
              <w:snapToGrid/>
              <w:spacing w:line="0" w:lineRule="atLeast"/>
              <w:jc w:val="center"/>
              <w:textAlignment w:val="auto"/>
              <w:rPr>
                <w:rFonts w:ascii="Times New Roman" w:hAnsi="Times New Roman" w:eastAsiaTheme="minorEastAsia"/>
                <w:snapToGrid w:val="0"/>
                <w:color w:val="auto"/>
                <w:kern w:val="21"/>
                <w:szCs w:val="21"/>
                <w:highlight w:val="none"/>
              </w:rPr>
            </w:pPr>
            <w:r>
              <w:rPr>
                <w:rFonts w:hint="default" w:ascii="Times New Roman" w:hAnsi="Times New Roman" w:eastAsia="宋体" w:cs="Times New Roman"/>
                <w:color w:val="auto"/>
                <w:sz w:val="21"/>
                <w:szCs w:val="21"/>
                <w:highlight w:val="none"/>
                <w:lang w:val="en-US" w:eastAsia="zh-CN"/>
              </w:rPr>
              <w:t>0.00</w:t>
            </w:r>
            <w:r>
              <w:rPr>
                <w:rFonts w:hint="eastAsia" w:ascii="Times New Roman" w:hAnsi="Times New Roman" w:cs="Times New Roman"/>
                <w:color w:val="auto"/>
                <w:sz w:val="21"/>
                <w:szCs w:val="21"/>
                <w:highlight w:val="none"/>
                <w:lang w:val="en-US" w:eastAsia="zh-CN"/>
              </w:rPr>
              <w:t>4</w:t>
            </w:r>
          </w:p>
        </w:tc>
        <w:tc>
          <w:tcPr>
            <w:tcW w:w="391" w:type="pct"/>
            <w:vAlign w:val="center"/>
          </w:tcPr>
          <w:p w14:paraId="232964AC">
            <w:pPr>
              <w:keepNext w:val="0"/>
              <w:keepLines w:val="0"/>
              <w:pageBreakBefore w:val="0"/>
              <w:kinsoku/>
              <w:wordWrap/>
              <w:overflowPunct/>
              <w:topLinePunct w:val="0"/>
              <w:autoSpaceDE/>
              <w:autoSpaceDN/>
              <w:bidi w:val="0"/>
              <w:adjustRightInd/>
              <w:snapToGrid/>
              <w:spacing w:line="0" w:lineRule="atLeast"/>
              <w:jc w:val="center"/>
              <w:textAlignment w:val="auto"/>
              <w:rPr>
                <w:rFonts w:ascii="Times New Roman" w:hAnsi="Times New Roman" w:eastAsiaTheme="minorEastAsia"/>
                <w:snapToGrid w:val="0"/>
                <w:color w:val="auto"/>
                <w:kern w:val="21"/>
                <w:szCs w:val="21"/>
                <w:highlight w:val="none"/>
              </w:rPr>
            </w:pP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0.00</w:t>
            </w:r>
            <w:r>
              <w:rPr>
                <w:rFonts w:hint="eastAsia" w:ascii="Times New Roman" w:hAnsi="Times New Roman" w:cs="Times New Roman"/>
                <w:color w:val="auto"/>
                <w:sz w:val="21"/>
                <w:szCs w:val="21"/>
                <w:highlight w:val="none"/>
                <w:lang w:val="en-US" w:eastAsia="zh-CN"/>
              </w:rPr>
              <w:t>4</w:t>
            </w:r>
          </w:p>
        </w:tc>
      </w:tr>
      <w:tr w14:paraId="60B83F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443" w:type="pct"/>
            <w:vMerge w:val="continue"/>
            <w:vAlign w:val="center"/>
          </w:tcPr>
          <w:p w14:paraId="54BE14DA">
            <w:pPr>
              <w:adjustRightInd w:val="0"/>
              <w:snapToGrid w:val="0"/>
              <w:jc w:val="center"/>
              <w:rPr>
                <w:rFonts w:ascii="Times New Roman" w:hAnsi="Times New Roman" w:eastAsiaTheme="minorEastAsia"/>
                <w:snapToGrid w:val="0"/>
                <w:color w:val="auto"/>
                <w:kern w:val="21"/>
                <w:szCs w:val="21"/>
                <w:highlight w:val="none"/>
              </w:rPr>
            </w:pPr>
          </w:p>
        </w:tc>
        <w:tc>
          <w:tcPr>
            <w:tcW w:w="682" w:type="pct"/>
            <w:vAlign w:val="center"/>
          </w:tcPr>
          <w:p w14:paraId="52D896E6">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color w:val="auto"/>
                <w:szCs w:val="21"/>
                <w:highlight w:val="none"/>
              </w:rPr>
              <w:t>总氮</w:t>
            </w:r>
          </w:p>
        </w:tc>
        <w:tc>
          <w:tcPr>
            <w:tcW w:w="545" w:type="pct"/>
            <w:vAlign w:val="center"/>
          </w:tcPr>
          <w:p w14:paraId="721B66CA">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454" w:type="pct"/>
            <w:vAlign w:val="center"/>
          </w:tcPr>
          <w:p w14:paraId="750D95B6">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605" w:type="pct"/>
            <w:vAlign w:val="center"/>
          </w:tcPr>
          <w:p w14:paraId="33EDDCE2">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554" w:type="pct"/>
            <w:vAlign w:val="center"/>
          </w:tcPr>
          <w:p w14:paraId="4C95519A">
            <w:pPr>
              <w:keepNext w:val="0"/>
              <w:keepLines w:val="0"/>
              <w:pageBreakBefore w:val="0"/>
              <w:kinsoku/>
              <w:wordWrap/>
              <w:overflowPunct/>
              <w:topLinePunct w:val="0"/>
              <w:autoSpaceDE/>
              <w:autoSpaceDN/>
              <w:bidi w:val="0"/>
              <w:adjustRightInd/>
              <w:snapToGrid/>
              <w:spacing w:line="0" w:lineRule="atLeast"/>
              <w:jc w:val="center"/>
              <w:textAlignment w:val="auto"/>
              <w:rPr>
                <w:rFonts w:ascii="Times New Roman" w:hAnsi="Times New Roman" w:eastAsiaTheme="minorEastAsia"/>
                <w:snapToGrid w:val="0"/>
                <w:color w:val="auto"/>
                <w:kern w:val="21"/>
                <w:szCs w:val="21"/>
                <w:highlight w:val="none"/>
              </w:rPr>
            </w:pPr>
            <w:r>
              <w:rPr>
                <w:rFonts w:hint="default" w:ascii="Times New Roman" w:hAnsi="Times New Roman" w:eastAsia="宋体" w:cs="Times New Roman"/>
                <w:color w:val="auto"/>
                <w:sz w:val="21"/>
                <w:szCs w:val="21"/>
                <w:highlight w:val="none"/>
                <w:lang w:val="en-US" w:eastAsia="zh-CN"/>
              </w:rPr>
              <w:t>0.00</w:t>
            </w:r>
            <w:r>
              <w:rPr>
                <w:rFonts w:hint="eastAsia" w:ascii="Times New Roman" w:hAnsi="Times New Roman" w:cs="Times New Roman"/>
                <w:color w:val="auto"/>
                <w:sz w:val="21"/>
                <w:szCs w:val="21"/>
                <w:highlight w:val="none"/>
                <w:lang w:val="en-US" w:eastAsia="zh-CN"/>
              </w:rPr>
              <w:t>5</w:t>
            </w:r>
          </w:p>
        </w:tc>
        <w:tc>
          <w:tcPr>
            <w:tcW w:w="626" w:type="pct"/>
            <w:vAlign w:val="center"/>
          </w:tcPr>
          <w:p w14:paraId="488F1A01">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696" w:type="pct"/>
            <w:vAlign w:val="center"/>
          </w:tcPr>
          <w:p w14:paraId="7477C49D">
            <w:pPr>
              <w:keepNext w:val="0"/>
              <w:keepLines w:val="0"/>
              <w:pageBreakBefore w:val="0"/>
              <w:kinsoku/>
              <w:wordWrap/>
              <w:overflowPunct/>
              <w:topLinePunct w:val="0"/>
              <w:autoSpaceDE/>
              <w:autoSpaceDN/>
              <w:bidi w:val="0"/>
              <w:adjustRightInd/>
              <w:snapToGrid/>
              <w:spacing w:line="0" w:lineRule="atLeast"/>
              <w:jc w:val="center"/>
              <w:textAlignment w:val="auto"/>
              <w:rPr>
                <w:rFonts w:ascii="Times New Roman" w:hAnsi="Times New Roman" w:eastAsiaTheme="minorEastAsia"/>
                <w:snapToGrid w:val="0"/>
                <w:color w:val="auto"/>
                <w:kern w:val="21"/>
                <w:szCs w:val="21"/>
                <w:highlight w:val="none"/>
              </w:rPr>
            </w:pPr>
            <w:r>
              <w:rPr>
                <w:rFonts w:hint="default" w:ascii="Times New Roman" w:hAnsi="Times New Roman" w:eastAsia="宋体" w:cs="Times New Roman"/>
                <w:color w:val="auto"/>
                <w:sz w:val="21"/>
                <w:szCs w:val="21"/>
                <w:highlight w:val="none"/>
                <w:lang w:val="en-US" w:eastAsia="zh-CN"/>
              </w:rPr>
              <w:t>0.00</w:t>
            </w:r>
            <w:r>
              <w:rPr>
                <w:rFonts w:hint="eastAsia" w:ascii="Times New Roman" w:hAnsi="Times New Roman" w:cs="Times New Roman"/>
                <w:color w:val="auto"/>
                <w:sz w:val="21"/>
                <w:szCs w:val="21"/>
                <w:highlight w:val="none"/>
                <w:lang w:val="en-US" w:eastAsia="zh-CN"/>
              </w:rPr>
              <w:t>5</w:t>
            </w:r>
          </w:p>
        </w:tc>
        <w:tc>
          <w:tcPr>
            <w:tcW w:w="391" w:type="pct"/>
            <w:vAlign w:val="center"/>
          </w:tcPr>
          <w:p w14:paraId="1693E365">
            <w:pPr>
              <w:keepNext w:val="0"/>
              <w:keepLines w:val="0"/>
              <w:pageBreakBefore w:val="0"/>
              <w:kinsoku/>
              <w:wordWrap/>
              <w:overflowPunct/>
              <w:topLinePunct w:val="0"/>
              <w:autoSpaceDE/>
              <w:autoSpaceDN/>
              <w:bidi w:val="0"/>
              <w:adjustRightInd/>
              <w:snapToGrid/>
              <w:spacing w:line="0" w:lineRule="atLeast"/>
              <w:jc w:val="center"/>
              <w:textAlignment w:val="auto"/>
              <w:rPr>
                <w:rFonts w:ascii="Times New Roman" w:hAnsi="Times New Roman" w:eastAsiaTheme="minorEastAsia"/>
                <w:snapToGrid w:val="0"/>
                <w:color w:val="auto"/>
                <w:kern w:val="21"/>
                <w:szCs w:val="21"/>
                <w:highlight w:val="none"/>
              </w:rPr>
            </w:pP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0.00</w:t>
            </w:r>
            <w:r>
              <w:rPr>
                <w:rFonts w:hint="eastAsia" w:ascii="Times New Roman" w:hAnsi="Times New Roman" w:cs="Times New Roman"/>
                <w:color w:val="auto"/>
                <w:sz w:val="21"/>
                <w:szCs w:val="21"/>
                <w:highlight w:val="none"/>
                <w:lang w:val="en-US" w:eastAsia="zh-CN"/>
              </w:rPr>
              <w:t>5</w:t>
            </w:r>
          </w:p>
        </w:tc>
      </w:tr>
      <w:tr w14:paraId="655918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9" w:hRule="exact"/>
          <w:jc w:val="center"/>
        </w:trPr>
        <w:tc>
          <w:tcPr>
            <w:tcW w:w="443" w:type="pct"/>
            <w:vMerge w:val="continue"/>
            <w:vAlign w:val="center"/>
          </w:tcPr>
          <w:p w14:paraId="71C78E78">
            <w:pPr>
              <w:adjustRightInd w:val="0"/>
              <w:snapToGrid w:val="0"/>
              <w:jc w:val="center"/>
              <w:rPr>
                <w:rFonts w:ascii="Times New Roman" w:hAnsi="Times New Roman" w:eastAsiaTheme="minorEastAsia"/>
                <w:snapToGrid w:val="0"/>
                <w:color w:val="auto"/>
                <w:kern w:val="21"/>
                <w:szCs w:val="21"/>
                <w:highlight w:val="none"/>
              </w:rPr>
            </w:pPr>
          </w:p>
        </w:tc>
        <w:tc>
          <w:tcPr>
            <w:tcW w:w="682" w:type="pct"/>
            <w:vAlign w:val="center"/>
          </w:tcPr>
          <w:p w14:paraId="48F9E398">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color w:val="auto"/>
                <w:szCs w:val="21"/>
                <w:highlight w:val="none"/>
              </w:rPr>
              <w:t>总磷</w:t>
            </w:r>
          </w:p>
        </w:tc>
        <w:tc>
          <w:tcPr>
            <w:tcW w:w="545" w:type="pct"/>
            <w:vAlign w:val="center"/>
          </w:tcPr>
          <w:p w14:paraId="337CCA60">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454" w:type="pct"/>
            <w:vAlign w:val="center"/>
          </w:tcPr>
          <w:p w14:paraId="55C56D86">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605" w:type="pct"/>
            <w:vAlign w:val="center"/>
          </w:tcPr>
          <w:p w14:paraId="3500C701">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554" w:type="pct"/>
            <w:vAlign w:val="center"/>
          </w:tcPr>
          <w:p w14:paraId="53EDABBA">
            <w:pPr>
              <w:keepNext w:val="0"/>
              <w:keepLines w:val="0"/>
              <w:pageBreakBefore w:val="0"/>
              <w:kinsoku/>
              <w:wordWrap/>
              <w:overflowPunct/>
              <w:topLinePunct w:val="0"/>
              <w:autoSpaceDE/>
              <w:autoSpaceDN/>
              <w:bidi w:val="0"/>
              <w:adjustRightInd/>
              <w:snapToGrid/>
              <w:spacing w:line="0" w:lineRule="atLeast"/>
              <w:jc w:val="center"/>
              <w:textAlignment w:val="auto"/>
              <w:rPr>
                <w:rFonts w:ascii="Times New Roman" w:hAnsi="Times New Roman" w:eastAsiaTheme="minorEastAsia"/>
                <w:snapToGrid w:val="0"/>
                <w:color w:val="auto"/>
                <w:kern w:val="21"/>
                <w:szCs w:val="21"/>
                <w:highlight w:val="none"/>
              </w:rPr>
            </w:pPr>
            <w:r>
              <w:rPr>
                <w:rFonts w:hint="default" w:ascii="Times New Roman" w:hAnsi="Times New Roman" w:eastAsia="宋体" w:cs="Times New Roman"/>
                <w:color w:val="auto"/>
                <w:sz w:val="21"/>
                <w:szCs w:val="21"/>
                <w:highlight w:val="none"/>
                <w:lang w:val="en-US" w:eastAsia="zh-CN"/>
              </w:rPr>
              <w:t>0.000</w:t>
            </w:r>
            <w:r>
              <w:rPr>
                <w:rFonts w:hint="eastAsia" w:ascii="Times New Roman" w:hAnsi="Times New Roman" w:cs="Times New Roman"/>
                <w:color w:val="auto"/>
                <w:sz w:val="21"/>
                <w:szCs w:val="21"/>
                <w:highlight w:val="none"/>
                <w:lang w:val="en-US" w:eastAsia="zh-CN"/>
              </w:rPr>
              <w:t>4</w:t>
            </w:r>
          </w:p>
        </w:tc>
        <w:tc>
          <w:tcPr>
            <w:tcW w:w="626" w:type="pct"/>
            <w:vAlign w:val="center"/>
          </w:tcPr>
          <w:p w14:paraId="53E11224">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696" w:type="pct"/>
            <w:vAlign w:val="center"/>
          </w:tcPr>
          <w:p w14:paraId="49736423">
            <w:pPr>
              <w:keepNext w:val="0"/>
              <w:keepLines w:val="0"/>
              <w:pageBreakBefore w:val="0"/>
              <w:kinsoku/>
              <w:wordWrap/>
              <w:overflowPunct/>
              <w:topLinePunct w:val="0"/>
              <w:autoSpaceDE/>
              <w:autoSpaceDN/>
              <w:bidi w:val="0"/>
              <w:adjustRightInd/>
              <w:snapToGrid/>
              <w:spacing w:line="0" w:lineRule="atLeast"/>
              <w:jc w:val="center"/>
              <w:textAlignment w:val="auto"/>
              <w:rPr>
                <w:rFonts w:ascii="Times New Roman" w:hAnsi="Times New Roman" w:eastAsiaTheme="minorEastAsia"/>
                <w:snapToGrid w:val="0"/>
                <w:color w:val="auto"/>
                <w:kern w:val="21"/>
                <w:szCs w:val="21"/>
                <w:highlight w:val="none"/>
              </w:rPr>
            </w:pPr>
            <w:r>
              <w:rPr>
                <w:rFonts w:hint="default" w:ascii="Times New Roman" w:hAnsi="Times New Roman" w:eastAsia="宋体" w:cs="Times New Roman"/>
                <w:color w:val="auto"/>
                <w:sz w:val="21"/>
                <w:szCs w:val="21"/>
                <w:highlight w:val="none"/>
                <w:lang w:val="en-US" w:eastAsia="zh-CN"/>
              </w:rPr>
              <w:t>0.000</w:t>
            </w:r>
            <w:r>
              <w:rPr>
                <w:rFonts w:hint="eastAsia" w:ascii="Times New Roman" w:hAnsi="Times New Roman" w:cs="Times New Roman"/>
                <w:color w:val="auto"/>
                <w:sz w:val="21"/>
                <w:szCs w:val="21"/>
                <w:highlight w:val="none"/>
                <w:lang w:val="en-US" w:eastAsia="zh-CN"/>
              </w:rPr>
              <w:t>4</w:t>
            </w:r>
          </w:p>
        </w:tc>
        <w:tc>
          <w:tcPr>
            <w:tcW w:w="391" w:type="pct"/>
            <w:vAlign w:val="center"/>
          </w:tcPr>
          <w:p w14:paraId="79D3114F">
            <w:pPr>
              <w:keepNext w:val="0"/>
              <w:keepLines w:val="0"/>
              <w:pageBreakBefore w:val="0"/>
              <w:kinsoku/>
              <w:wordWrap/>
              <w:overflowPunct/>
              <w:topLinePunct w:val="0"/>
              <w:autoSpaceDE/>
              <w:autoSpaceDN/>
              <w:bidi w:val="0"/>
              <w:adjustRightInd/>
              <w:snapToGrid/>
              <w:spacing w:line="0" w:lineRule="atLeast"/>
              <w:jc w:val="center"/>
              <w:textAlignment w:val="auto"/>
              <w:rPr>
                <w:rFonts w:ascii="Times New Roman" w:hAnsi="Times New Roman" w:eastAsiaTheme="minorEastAsia"/>
                <w:snapToGrid w:val="0"/>
                <w:color w:val="auto"/>
                <w:kern w:val="21"/>
                <w:szCs w:val="21"/>
                <w:highlight w:val="none"/>
              </w:rPr>
            </w:pP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0.000</w:t>
            </w:r>
            <w:r>
              <w:rPr>
                <w:rFonts w:hint="eastAsia" w:ascii="Times New Roman" w:hAnsi="Times New Roman" w:cs="Times New Roman"/>
                <w:color w:val="auto"/>
                <w:sz w:val="21"/>
                <w:szCs w:val="21"/>
                <w:highlight w:val="none"/>
                <w:lang w:val="en-US" w:eastAsia="zh-CN"/>
              </w:rPr>
              <w:t>4</w:t>
            </w:r>
          </w:p>
        </w:tc>
      </w:tr>
      <w:tr w14:paraId="299DEA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7" w:hRule="exact"/>
          <w:jc w:val="center"/>
        </w:trPr>
        <w:tc>
          <w:tcPr>
            <w:tcW w:w="443" w:type="pct"/>
            <w:vAlign w:val="center"/>
          </w:tcPr>
          <w:p w14:paraId="7F9A4A3A">
            <w:pPr>
              <w:adjustRightInd w:val="0"/>
              <w:snapToGrid w:val="0"/>
              <w:jc w:val="center"/>
              <w:rPr>
                <w:rFonts w:hint="eastAsia" w:ascii="Times New Roman" w:hAnsi="Times New Roman" w:eastAsiaTheme="minorEastAsia"/>
                <w:snapToGrid w:val="0"/>
                <w:color w:val="auto"/>
                <w:kern w:val="21"/>
                <w:szCs w:val="21"/>
                <w:highlight w:val="none"/>
                <w:lang w:val="en-US" w:eastAsia="zh-CN"/>
              </w:rPr>
            </w:pPr>
            <w:r>
              <w:rPr>
                <w:rFonts w:hint="eastAsia" w:ascii="Times New Roman" w:hAnsi="Times New Roman" w:eastAsiaTheme="minorEastAsia"/>
                <w:snapToGrid w:val="0"/>
                <w:color w:val="auto"/>
                <w:kern w:val="21"/>
                <w:szCs w:val="21"/>
                <w:highlight w:val="none"/>
                <w:lang w:val="en-US" w:eastAsia="zh-CN"/>
              </w:rPr>
              <w:t>一般</w:t>
            </w:r>
            <w:r>
              <w:rPr>
                <w:rFonts w:ascii="Times New Roman" w:hAnsi="Times New Roman" w:eastAsiaTheme="minorEastAsia"/>
                <w:snapToGrid w:val="0"/>
                <w:color w:val="auto"/>
                <w:kern w:val="21"/>
                <w:szCs w:val="21"/>
                <w:highlight w:val="none"/>
              </w:rPr>
              <w:t>工业固体废物</w:t>
            </w:r>
          </w:p>
        </w:tc>
        <w:tc>
          <w:tcPr>
            <w:tcW w:w="1888" w:type="dxa"/>
            <w:vAlign w:val="center"/>
          </w:tcPr>
          <w:p w14:paraId="7E23821D">
            <w:pPr>
              <w:adjustRightInd w:val="0"/>
              <w:snapToGrid w:val="0"/>
              <w:jc w:val="center"/>
              <w:rPr>
                <w:rFonts w:hint="eastAsia" w:ascii="Times New Roman" w:hAnsi="Times New Roman" w:eastAsiaTheme="minorEastAsia"/>
                <w:color w:val="auto"/>
                <w:szCs w:val="21"/>
                <w:highlight w:val="none"/>
                <w:lang w:eastAsia="zh-CN"/>
              </w:rPr>
            </w:pPr>
            <w:r>
              <w:rPr>
                <w:rFonts w:ascii="Times New Roman" w:hAnsi="Times New Roman" w:eastAsiaTheme="minorEastAsia"/>
                <w:snapToGrid w:val="0"/>
                <w:color w:val="auto"/>
                <w:kern w:val="21"/>
                <w:szCs w:val="21"/>
                <w:highlight w:val="none"/>
              </w:rPr>
              <w:t>/</w:t>
            </w:r>
          </w:p>
        </w:tc>
        <w:tc>
          <w:tcPr>
            <w:tcW w:w="1509" w:type="dxa"/>
            <w:vAlign w:val="center"/>
          </w:tcPr>
          <w:p w14:paraId="1DC724D1">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1257" w:type="dxa"/>
            <w:vAlign w:val="center"/>
          </w:tcPr>
          <w:p w14:paraId="2F1A92AE">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1675" w:type="dxa"/>
            <w:vAlign w:val="center"/>
          </w:tcPr>
          <w:p w14:paraId="135ACFE9">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1534" w:type="dxa"/>
            <w:vAlign w:val="center"/>
          </w:tcPr>
          <w:p w14:paraId="0F48B4B0">
            <w:pPr>
              <w:adjustRightInd w:val="0"/>
              <w:snapToGrid w:val="0"/>
              <w:jc w:val="center"/>
              <w:rPr>
                <w:rFonts w:hint="eastAsia" w:ascii="Times New Roman" w:hAnsi="Times New Roman" w:eastAsiaTheme="minorEastAsia"/>
                <w:snapToGrid w:val="0"/>
                <w:color w:val="auto"/>
                <w:kern w:val="21"/>
                <w:szCs w:val="21"/>
                <w:highlight w:val="none"/>
                <w:lang w:val="en-US" w:eastAsia="zh-CN"/>
              </w:rPr>
            </w:pPr>
            <w:r>
              <w:rPr>
                <w:rFonts w:ascii="Times New Roman" w:hAnsi="Times New Roman" w:eastAsiaTheme="minorEastAsia"/>
                <w:snapToGrid w:val="0"/>
                <w:color w:val="auto"/>
                <w:kern w:val="21"/>
                <w:szCs w:val="21"/>
                <w:highlight w:val="none"/>
              </w:rPr>
              <w:t>/</w:t>
            </w:r>
          </w:p>
        </w:tc>
        <w:tc>
          <w:tcPr>
            <w:tcW w:w="1733" w:type="dxa"/>
            <w:vAlign w:val="center"/>
          </w:tcPr>
          <w:p w14:paraId="372A834D">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1927" w:type="dxa"/>
            <w:vAlign w:val="center"/>
          </w:tcPr>
          <w:p w14:paraId="16D1F42D">
            <w:pPr>
              <w:adjustRightInd w:val="0"/>
              <w:snapToGrid w:val="0"/>
              <w:jc w:val="center"/>
              <w:rPr>
                <w:rFonts w:hint="eastAsia" w:ascii="Times New Roman" w:hAnsi="Times New Roman" w:eastAsiaTheme="minorEastAsia"/>
                <w:snapToGrid w:val="0"/>
                <w:color w:val="auto"/>
                <w:kern w:val="21"/>
                <w:szCs w:val="21"/>
                <w:highlight w:val="none"/>
                <w:lang w:val="en-US" w:eastAsia="zh-CN"/>
              </w:rPr>
            </w:pPr>
            <w:r>
              <w:rPr>
                <w:rFonts w:ascii="Times New Roman" w:hAnsi="Times New Roman" w:eastAsiaTheme="minorEastAsia"/>
                <w:snapToGrid w:val="0"/>
                <w:color w:val="auto"/>
                <w:kern w:val="21"/>
                <w:szCs w:val="21"/>
                <w:highlight w:val="none"/>
              </w:rPr>
              <w:t>/</w:t>
            </w:r>
          </w:p>
        </w:tc>
        <w:tc>
          <w:tcPr>
            <w:tcW w:w="1083" w:type="dxa"/>
            <w:vAlign w:val="center"/>
          </w:tcPr>
          <w:p w14:paraId="2BCEB0F5">
            <w:pPr>
              <w:adjustRightInd w:val="0"/>
              <w:snapToGrid w:val="0"/>
              <w:jc w:val="center"/>
              <w:rPr>
                <w:rFonts w:hint="eastAsia" w:ascii="Times New Roman" w:hAnsi="Times New Roman" w:eastAsiaTheme="minorEastAsia"/>
                <w:snapToGrid w:val="0"/>
                <w:color w:val="auto"/>
                <w:kern w:val="21"/>
                <w:szCs w:val="21"/>
                <w:highlight w:val="none"/>
                <w:lang w:val="en-US" w:eastAsia="zh-CN"/>
              </w:rPr>
            </w:pPr>
            <w:r>
              <w:rPr>
                <w:rFonts w:ascii="Times New Roman" w:hAnsi="Times New Roman" w:eastAsiaTheme="minorEastAsia"/>
                <w:snapToGrid w:val="0"/>
                <w:color w:val="auto"/>
                <w:kern w:val="21"/>
                <w:szCs w:val="21"/>
                <w:highlight w:val="none"/>
              </w:rPr>
              <w:t>/</w:t>
            </w:r>
          </w:p>
        </w:tc>
      </w:tr>
      <w:tr w14:paraId="69BB25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443" w:type="pct"/>
            <w:vMerge w:val="restart"/>
            <w:vAlign w:val="center"/>
          </w:tcPr>
          <w:p w14:paraId="4DEA05E4">
            <w:pPr>
              <w:adjustRightInd w:val="0"/>
              <w:snapToGrid w:val="0"/>
              <w:jc w:val="center"/>
              <w:rPr>
                <w:rFonts w:ascii="Times New Roman" w:hAnsi="Times New Roman" w:eastAsiaTheme="minorEastAsia"/>
                <w:snapToGrid w:val="0"/>
                <w:color w:val="auto"/>
                <w:kern w:val="21"/>
                <w:szCs w:val="21"/>
                <w:highlight w:val="none"/>
              </w:rPr>
            </w:pPr>
            <w:r>
              <w:rPr>
                <w:rFonts w:hint="eastAsia" w:ascii="Times New Roman" w:hAnsi="Times New Roman" w:eastAsiaTheme="minorEastAsia"/>
                <w:snapToGrid w:val="0"/>
                <w:color w:val="auto"/>
                <w:kern w:val="21"/>
                <w:szCs w:val="21"/>
                <w:highlight w:val="none"/>
                <w:lang w:val="en-US" w:eastAsia="zh-CN"/>
              </w:rPr>
              <w:t>危险</w:t>
            </w:r>
            <w:r>
              <w:rPr>
                <w:rFonts w:ascii="Times New Roman" w:hAnsi="Times New Roman" w:eastAsiaTheme="minorEastAsia"/>
                <w:snapToGrid w:val="0"/>
                <w:color w:val="auto"/>
                <w:kern w:val="21"/>
                <w:szCs w:val="21"/>
                <w:highlight w:val="none"/>
              </w:rPr>
              <w:t>废物</w:t>
            </w:r>
          </w:p>
        </w:tc>
        <w:tc>
          <w:tcPr>
            <w:tcW w:w="682" w:type="pct"/>
            <w:vAlign w:val="center"/>
          </w:tcPr>
          <w:p w14:paraId="221D92F7">
            <w:pPr>
              <w:adjustRightInd w:val="0"/>
              <w:snapToGrid w:val="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废电解液</w:t>
            </w:r>
          </w:p>
        </w:tc>
        <w:tc>
          <w:tcPr>
            <w:tcW w:w="545" w:type="pct"/>
            <w:vAlign w:val="center"/>
          </w:tcPr>
          <w:p w14:paraId="1D60B3EE">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454" w:type="pct"/>
            <w:vAlign w:val="center"/>
          </w:tcPr>
          <w:p w14:paraId="3E4B8B8A">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605" w:type="pct"/>
            <w:vAlign w:val="center"/>
          </w:tcPr>
          <w:p w14:paraId="7FDD0F58">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554" w:type="pct"/>
            <w:vAlign w:val="center"/>
          </w:tcPr>
          <w:p w14:paraId="2D7FE5B8">
            <w:pPr>
              <w:adjustRightInd w:val="0"/>
              <w:snapToGrid w:val="0"/>
              <w:jc w:val="center"/>
              <w:rPr>
                <w:rFonts w:hint="default" w:ascii="Times New Roman" w:hAnsi="Times New Roman" w:eastAsiaTheme="minorEastAsia"/>
                <w:snapToGrid w:val="0"/>
                <w:color w:val="auto"/>
                <w:kern w:val="21"/>
                <w:szCs w:val="21"/>
                <w:highlight w:val="none"/>
                <w:lang w:val="en-US" w:eastAsia="zh-CN"/>
              </w:rPr>
            </w:pPr>
            <w:r>
              <w:rPr>
                <w:rFonts w:hint="eastAsia" w:ascii="Times New Roman" w:hAnsi="Times New Roman" w:eastAsiaTheme="minorEastAsia"/>
                <w:snapToGrid w:val="0"/>
                <w:color w:val="auto"/>
                <w:kern w:val="21"/>
                <w:szCs w:val="21"/>
                <w:highlight w:val="none"/>
                <w:lang w:val="en-US" w:eastAsia="zh-CN"/>
              </w:rPr>
              <w:t>0.15</w:t>
            </w:r>
          </w:p>
        </w:tc>
        <w:tc>
          <w:tcPr>
            <w:tcW w:w="626" w:type="pct"/>
            <w:vAlign w:val="center"/>
          </w:tcPr>
          <w:p w14:paraId="1BFDC1EB">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696" w:type="pct"/>
            <w:vAlign w:val="center"/>
          </w:tcPr>
          <w:p w14:paraId="59629275">
            <w:pPr>
              <w:adjustRightInd w:val="0"/>
              <w:snapToGrid w:val="0"/>
              <w:jc w:val="center"/>
              <w:rPr>
                <w:rFonts w:ascii="Times New Roman" w:hAnsi="Times New Roman" w:eastAsiaTheme="minorEastAsia"/>
                <w:snapToGrid w:val="0"/>
                <w:color w:val="auto"/>
                <w:kern w:val="21"/>
                <w:szCs w:val="21"/>
                <w:highlight w:val="none"/>
              </w:rPr>
            </w:pPr>
            <w:r>
              <w:rPr>
                <w:rFonts w:hint="eastAsia" w:ascii="Times New Roman" w:hAnsi="Times New Roman" w:eastAsiaTheme="minorEastAsia"/>
                <w:snapToGrid w:val="0"/>
                <w:color w:val="auto"/>
                <w:kern w:val="21"/>
                <w:szCs w:val="21"/>
                <w:highlight w:val="none"/>
                <w:lang w:val="en-US" w:eastAsia="zh-CN"/>
              </w:rPr>
              <w:t>0.15</w:t>
            </w:r>
          </w:p>
        </w:tc>
        <w:tc>
          <w:tcPr>
            <w:tcW w:w="391" w:type="pct"/>
            <w:vAlign w:val="center"/>
          </w:tcPr>
          <w:p w14:paraId="35E88C9B">
            <w:pPr>
              <w:adjustRightInd w:val="0"/>
              <w:snapToGrid w:val="0"/>
              <w:jc w:val="center"/>
              <w:rPr>
                <w:rFonts w:ascii="Times New Roman" w:hAnsi="Times New Roman" w:eastAsiaTheme="minorEastAsia"/>
                <w:snapToGrid w:val="0"/>
                <w:color w:val="auto"/>
                <w:kern w:val="21"/>
                <w:szCs w:val="21"/>
                <w:highlight w:val="none"/>
              </w:rPr>
            </w:pPr>
            <w:r>
              <w:rPr>
                <w:rFonts w:hint="eastAsia" w:ascii="Times New Roman" w:hAnsi="Times New Roman" w:eastAsiaTheme="minorEastAsia"/>
                <w:snapToGrid w:val="0"/>
                <w:color w:val="auto"/>
                <w:kern w:val="21"/>
                <w:szCs w:val="21"/>
                <w:highlight w:val="none"/>
                <w:lang w:val="en-US" w:eastAsia="zh-CN"/>
              </w:rPr>
              <w:t>+0.15</w:t>
            </w:r>
          </w:p>
        </w:tc>
      </w:tr>
      <w:tr w14:paraId="274ACE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7" w:hRule="exact"/>
          <w:jc w:val="center"/>
        </w:trPr>
        <w:tc>
          <w:tcPr>
            <w:tcW w:w="443" w:type="pct"/>
            <w:vMerge w:val="continue"/>
            <w:vAlign w:val="center"/>
          </w:tcPr>
          <w:p w14:paraId="693C6B94">
            <w:pPr>
              <w:adjustRightInd w:val="0"/>
              <w:snapToGrid w:val="0"/>
              <w:jc w:val="center"/>
              <w:rPr>
                <w:rFonts w:ascii="Times New Roman" w:hAnsi="Times New Roman" w:eastAsiaTheme="minorEastAsia"/>
                <w:snapToGrid w:val="0"/>
                <w:color w:val="auto"/>
                <w:kern w:val="21"/>
                <w:szCs w:val="21"/>
                <w:highlight w:val="none"/>
              </w:rPr>
            </w:pPr>
          </w:p>
        </w:tc>
        <w:tc>
          <w:tcPr>
            <w:tcW w:w="682" w:type="pct"/>
            <w:vAlign w:val="center"/>
          </w:tcPr>
          <w:p w14:paraId="36DE105F">
            <w:pPr>
              <w:adjustRightInd w:val="0"/>
              <w:snapToGrid w:val="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沾染电解液的废拖把、废抹布</w:t>
            </w:r>
          </w:p>
        </w:tc>
        <w:tc>
          <w:tcPr>
            <w:tcW w:w="545" w:type="pct"/>
            <w:vAlign w:val="center"/>
          </w:tcPr>
          <w:p w14:paraId="5867AE6A">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454" w:type="pct"/>
            <w:vAlign w:val="center"/>
          </w:tcPr>
          <w:p w14:paraId="451289FB">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605" w:type="pct"/>
            <w:vAlign w:val="center"/>
          </w:tcPr>
          <w:p w14:paraId="45D95C7C">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554" w:type="pct"/>
            <w:vAlign w:val="center"/>
          </w:tcPr>
          <w:p w14:paraId="633706CF">
            <w:pPr>
              <w:adjustRightInd w:val="0"/>
              <w:snapToGrid w:val="0"/>
              <w:jc w:val="center"/>
              <w:rPr>
                <w:rFonts w:hint="default" w:ascii="Times New Roman" w:hAnsi="Times New Roman" w:eastAsiaTheme="minorEastAsia"/>
                <w:snapToGrid w:val="0"/>
                <w:color w:val="auto"/>
                <w:kern w:val="21"/>
                <w:szCs w:val="21"/>
                <w:highlight w:val="none"/>
                <w:lang w:val="en-US" w:eastAsia="zh-CN"/>
              </w:rPr>
            </w:pPr>
            <w:r>
              <w:rPr>
                <w:rFonts w:hint="eastAsia" w:ascii="Times New Roman" w:hAnsi="Times New Roman" w:eastAsiaTheme="minorEastAsia"/>
                <w:snapToGrid w:val="0"/>
                <w:color w:val="auto"/>
                <w:kern w:val="21"/>
                <w:szCs w:val="21"/>
                <w:highlight w:val="none"/>
                <w:lang w:val="en-US" w:eastAsia="zh-CN"/>
              </w:rPr>
              <w:t>0.2</w:t>
            </w:r>
          </w:p>
        </w:tc>
        <w:tc>
          <w:tcPr>
            <w:tcW w:w="626" w:type="pct"/>
            <w:vAlign w:val="center"/>
          </w:tcPr>
          <w:p w14:paraId="06774B1A">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696" w:type="pct"/>
            <w:vAlign w:val="center"/>
          </w:tcPr>
          <w:p w14:paraId="397D5C8A">
            <w:pPr>
              <w:adjustRightInd w:val="0"/>
              <w:snapToGrid w:val="0"/>
              <w:jc w:val="center"/>
              <w:rPr>
                <w:rFonts w:ascii="Times New Roman" w:hAnsi="Times New Roman" w:eastAsiaTheme="minorEastAsia"/>
                <w:snapToGrid w:val="0"/>
                <w:color w:val="auto"/>
                <w:kern w:val="21"/>
                <w:szCs w:val="21"/>
                <w:highlight w:val="none"/>
              </w:rPr>
            </w:pPr>
            <w:r>
              <w:rPr>
                <w:rFonts w:hint="eastAsia" w:ascii="Times New Roman" w:hAnsi="Times New Roman" w:eastAsiaTheme="minorEastAsia"/>
                <w:snapToGrid w:val="0"/>
                <w:color w:val="auto"/>
                <w:kern w:val="21"/>
                <w:szCs w:val="21"/>
                <w:highlight w:val="none"/>
                <w:lang w:val="en-US" w:eastAsia="zh-CN"/>
              </w:rPr>
              <w:t>0.2</w:t>
            </w:r>
          </w:p>
        </w:tc>
        <w:tc>
          <w:tcPr>
            <w:tcW w:w="391" w:type="pct"/>
            <w:vAlign w:val="center"/>
          </w:tcPr>
          <w:p w14:paraId="43A5A185">
            <w:pPr>
              <w:adjustRightInd w:val="0"/>
              <w:snapToGrid w:val="0"/>
              <w:jc w:val="center"/>
              <w:rPr>
                <w:rFonts w:ascii="Times New Roman" w:hAnsi="Times New Roman" w:eastAsiaTheme="minorEastAsia"/>
                <w:snapToGrid w:val="0"/>
                <w:color w:val="auto"/>
                <w:kern w:val="21"/>
                <w:szCs w:val="21"/>
                <w:highlight w:val="none"/>
              </w:rPr>
            </w:pPr>
            <w:r>
              <w:rPr>
                <w:rFonts w:hint="eastAsia" w:ascii="Times New Roman" w:hAnsi="Times New Roman" w:eastAsiaTheme="minorEastAsia"/>
                <w:snapToGrid w:val="0"/>
                <w:color w:val="auto"/>
                <w:kern w:val="21"/>
                <w:szCs w:val="21"/>
                <w:highlight w:val="none"/>
                <w:lang w:val="en-US" w:eastAsia="zh-CN"/>
              </w:rPr>
              <w:t>+0.2</w:t>
            </w:r>
          </w:p>
        </w:tc>
      </w:tr>
      <w:tr w14:paraId="3F8016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9" w:hRule="exact"/>
          <w:jc w:val="center"/>
        </w:trPr>
        <w:tc>
          <w:tcPr>
            <w:tcW w:w="443" w:type="pct"/>
            <w:vMerge w:val="continue"/>
            <w:vAlign w:val="center"/>
          </w:tcPr>
          <w:p w14:paraId="5BB66ED6">
            <w:pPr>
              <w:adjustRightInd w:val="0"/>
              <w:snapToGrid w:val="0"/>
              <w:jc w:val="center"/>
              <w:rPr>
                <w:rFonts w:ascii="Times New Roman" w:hAnsi="Times New Roman" w:eastAsiaTheme="minorEastAsia"/>
                <w:snapToGrid w:val="0"/>
                <w:color w:val="auto"/>
                <w:kern w:val="21"/>
                <w:szCs w:val="21"/>
                <w:highlight w:val="none"/>
              </w:rPr>
            </w:pPr>
          </w:p>
        </w:tc>
        <w:tc>
          <w:tcPr>
            <w:tcW w:w="682" w:type="pct"/>
            <w:vAlign w:val="center"/>
          </w:tcPr>
          <w:p w14:paraId="261C3B0C">
            <w:pPr>
              <w:adjustRightInd w:val="0"/>
              <w:snapToGrid w:val="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沾染电解液的废劳保用品</w:t>
            </w:r>
          </w:p>
        </w:tc>
        <w:tc>
          <w:tcPr>
            <w:tcW w:w="545" w:type="pct"/>
            <w:vAlign w:val="center"/>
          </w:tcPr>
          <w:p w14:paraId="34A2D6F3">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454" w:type="pct"/>
            <w:vAlign w:val="center"/>
          </w:tcPr>
          <w:p w14:paraId="36A31E88">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605" w:type="pct"/>
            <w:vAlign w:val="center"/>
          </w:tcPr>
          <w:p w14:paraId="70A2C904">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554" w:type="pct"/>
            <w:vAlign w:val="center"/>
          </w:tcPr>
          <w:p w14:paraId="5320FC86">
            <w:pPr>
              <w:adjustRightInd w:val="0"/>
              <w:snapToGrid w:val="0"/>
              <w:jc w:val="center"/>
              <w:rPr>
                <w:rFonts w:hint="default" w:ascii="Times New Roman" w:hAnsi="Times New Roman" w:eastAsiaTheme="minorEastAsia"/>
                <w:color w:val="auto"/>
                <w:kern w:val="0"/>
                <w:szCs w:val="21"/>
                <w:highlight w:val="none"/>
                <w:lang w:val="en-US" w:eastAsia="zh-CN"/>
              </w:rPr>
            </w:pPr>
            <w:r>
              <w:rPr>
                <w:rFonts w:hint="eastAsia" w:ascii="Times New Roman" w:hAnsi="Times New Roman" w:eastAsiaTheme="minorEastAsia"/>
                <w:snapToGrid w:val="0"/>
                <w:color w:val="auto"/>
                <w:kern w:val="21"/>
                <w:szCs w:val="21"/>
                <w:highlight w:val="none"/>
                <w:lang w:val="en-US" w:eastAsia="zh-CN"/>
              </w:rPr>
              <w:t>0.1</w:t>
            </w:r>
          </w:p>
        </w:tc>
        <w:tc>
          <w:tcPr>
            <w:tcW w:w="626" w:type="pct"/>
            <w:vAlign w:val="center"/>
          </w:tcPr>
          <w:p w14:paraId="25545C76">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696" w:type="pct"/>
            <w:vAlign w:val="center"/>
          </w:tcPr>
          <w:p w14:paraId="5761CB02">
            <w:pPr>
              <w:adjustRightInd w:val="0"/>
              <w:snapToGrid w:val="0"/>
              <w:jc w:val="center"/>
              <w:rPr>
                <w:rFonts w:ascii="Times New Roman" w:hAnsi="Times New Roman" w:eastAsiaTheme="minorEastAsia"/>
                <w:snapToGrid w:val="0"/>
                <w:color w:val="auto"/>
                <w:kern w:val="21"/>
                <w:szCs w:val="21"/>
                <w:highlight w:val="none"/>
              </w:rPr>
            </w:pPr>
            <w:r>
              <w:rPr>
                <w:rFonts w:hint="eastAsia" w:ascii="Times New Roman" w:hAnsi="Times New Roman" w:eastAsiaTheme="minorEastAsia"/>
                <w:snapToGrid w:val="0"/>
                <w:color w:val="auto"/>
                <w:kern w:val="21"/>
                <w:szCs w:val="21"/>
                <w:highlight w:val="none"/>
                <w:lang w:val="en-US" w:eastAsia="zh-CN"/>
              </w:rPr>
              <w:t>0.1</w:t>
            </w:r>
          </w:p>
        </w:tc>
        <w:tc>
          <w:tcPr>
            <w:tcW w:w="391" w:type="pct"/>
            <w:vAlign w:val="center"/>
          </w:tcPr>
          <w:p w14:paraId="004B0CF8">
            <w:pPr>
              <w:adjustRightInd w:val="0"/>
              <w:snapToGrid w:val="0"/>
              <w:jc w:val="center"/>
              <w:rPr>
                <w:rFonts w:ascii="Times New Roman" w:hAnsi="Times New Roman" w:eastAsiaTheme="minorEastAsia"/>
                <w:snapToGrid w:val="0"/>
                <w:color w:val="auto"/>
                <w:kern w:val="21"/>
                <w:szCs w:val="21"/>
                <w:highlight w:val="none"/>
              </w:rPr>
            </w:pPr>
            <w:r>
              <w:rPr>
                <w:rFonts w:hint="eastAsia" w:ascii="Times New Roman" w:hAnsi="Times New Roman" w:eastAsiaTheme="minorEastAsia"/>
                <w:snapToGrid w:val="0"/>
                <w:color w:val="auto"/>
                <w:kern w:val="21"/>
                <w:szCs w:val="21"/>
                <w:highlight w:val="none"/>
                <w:lang w:val="en-US" w:eastAsia="zh-CN"/>
              </w:rPr>
              <w:t>+0.1</w:t>
            </w:r>
          </w:p>
        </w:tc>
      </w:tr>
      <w:tr w14:paraId="640BD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443" w:type="pct"/>
            <w:vMerge w:val="continue"/>
            <w:vAlign w:val="center"/>
          </w:tcPr>
          <w:p w14:paraId="76652E6D">
            <w:pPr>
              <w:adjustRightInd w:val="0"/>
              <w:snapToGrid w:val="0"/>
              <w:jc w:val="center"/>
              <w:rPr>
                <w:rFonts w:ascii="Times New Roman" w:hAnsi="Times New Roman" w:eastAsiaTheme="minorEastAsia"/>
                <w:snapToGrid w:val="0"/>
                <w:color w:val="auto"/>
                <w:kern w:val="21"/>
                <w:szCs w:val="21"/>
                <w:highlight w:val="none"/>
              </w:rPr>
            </w:pPr>
          </w:p>
        </w:tc>
        <w:tc>
          <w:tcPr>
            <w:tcW w:w="682" w:type="pct"/>
            <w:vAlign w:val="center"/>
          </w:tcPr>
          <w:p w14:paraId="307949E5">
            <w:pPr>
              <w:adjustRightInd w:val="0"/>
              <w:snapToGrid w:val="0"/>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rPr>
              <w:t>沾染电解液的</w:t>
            </w:r>
            <w:r>
              <w:rPr>
                <w:rFonts w:hint="eastAsia" w:ascii="Times New Roman" w:hAnsi="Times New Roman" w:eastAsiaTheme="minorEastAsia"/>
                <w:color w:val="auto"/>
                <w:szCs w:val="21"/>
                <w:highlight w:val="none"/>
                <w:lang w:val="en-US" w:eastAsia="zh-CN"/>
              </w:rPr>
              <w:t>破损箱子</w:t>
            </w:r>
          </w:p>
        </w:tc>
        <w:tc>
          <w:tcPr>
            <w:tcW w:w="545" w:type="pct"/>
            <w:vAlign w:val="center"/>
          </w:tcPr>
          <w:p w14:paraId="3F593F45">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454" w:type="pct"/>
            <w:vAlign w:val="center"/>
          </w:tcPr>
          <w:p w14:paraId="1EB756D0">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605" w:type="pct"/>
            <w:vAlign w:val="center"/>
          </w:tcPr>
          <w:p w14:paraId="0DA009AF">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554" w:type="pct"/>
            <w:vAlign w:val="center"/>
          </w:tcPr>
          <w:p w14:paraId="6CDFF0ED">
            <w:pPr>
              <w:adjustRightInd w:val="0"/>
              <w:snapToGrid w:val="0"/>
              <w:jc w:val="center"/>
              <w:rPr>
                <w:rFonts w:hint="default" w:ascii="Times New Roman" w:hAnsi="Times New Roman" w:eastAsiaTheme="minorEastAsia"/>
                <w:snapToGrid w:val="0"/>
                <w:color w:val="auto"/>
                <w:kern w:val="21"/>
                <w:szCs w:val="21"/>
                <w:highlight w:val="none"/>
                <w:lang w:val="en-US" w:eastAsia="zh-CN"/>
              </w:rPr>
            </w:pPr>
            <w:r>
              <w:rPr>
                <w:rFonts w:hint="eastAsia" w:ascii="Times New Roman" w:hAnsi="Times New Roman" w:eastAsiaTheme="minorEastAsia"/>
                <w:snapToGrid w:val="0"/>
                <w:color w:val="auto"/>
                <w:kern w:val="21"/>
                <w:szCs w:val="21"/>
                <w:highlight w:val="none"/>
                <w:lang w:val="en-US" w:eastAsia="zh-CN"/>
              </w:rPr>
              <w:t>0.1</w:t>
            </w:r>
          </w:p>
        </w:tc>
        <w:tc>
          <w:tcPr>
            <w:tcW w:w="626" w:type="pct"/>
            <w:vAlign w:val="center"/>
          </w:tcPr>
          <w:p w14:paraId="62BAB5BB">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696" w:type="pct"/>
            <w:vAlign w:val="center"/>
          </w:tcPr>
          <w:p w14:paraId="20D1144F">
            <w:pPr>
              <w:adjustRightInd w:val="0"/>
              <w:snapToGrid w:val="0"/>
              <w:jc w:val="center"/>
              <w:rPr>
                <w:rFonts w:ascii="Times New Roman" w:hAnsi="Times New Roman" w:eastAsiaTheme="minorEastAsia"/>
                <w:snapToGrid w:val="0"/>
                <w:color w:val="auto"/>
                <w:kern w:val="21"/>
                <w:szCs w:val="21"/>
                <w:highlight w:val="none"/>
              </w:rPr>
            </w:pPr>
            <w:r>
              <w:rPr>
                <w:rFonts w:hint="eastAsia" w:ascii="Times New Roman" w:hAnsi="Times New Roman" w:eastAsiaTheme="minorEastAsia"/>
                <w:snapToGrid w:val="0"/>
                <w:color w:val="auto"/>
                <w:kern w:val="21"/>
                <w:szCs w:val="21"/>
                <w:highlight w:val="none"/>
                <w:lang w:val="en-US" w:eastAsia="zh-CN"/>
              </w:rPr>
              <w:t>0.1</w:t>
            </w:r>
          </w:p>
        </w:tc>
        <w:tc>
          <w:tcPr>
            <w:tcW w:w="391" w:type="pct"/>
            <w:vAlign w:val="center"/>
          </w:tcPr>
          <w:p w14:paraId="2FEF85C5">
            <w:pPr>
              <w:adjustRightInd w:val="0"/>
              <w:snapToGrid w:val="0"/>
              <w:jc w:val="center"/>
              <w:rPr>
                <w:rFonts w:ascii="Times New Roman" w:hAnsi="Times New Roman" w:eastAsiaTheme="minorEastAsia"/>
                <w:snapToGrid w:val="0"/>
                <w:color w:val="auto"/>
                <w:kern w:val="21"/>
                <w:szCs w:val="21"/>
                <w:highlight w:val="none"/>
              </w:rPr>
            </w:pPr>
            <w:r>
              <w:rPr>
                <w:rFonts w:hint="eastAsia" w:ascii="Times New Roman" w:hAnsi="Times New Roman" w:eastAsiaTheme="minorEastAsia"/>
                <w:snapToGrid w:val="0"/>
                <w:color w:val="auto"/>
                <w:kern w:val="21"/>
                <w:szCs w:val="21"/>
                <w:highlight w:val="none"/>
                <w:lang w:val="en-US" w:eastAsia="zh-CN"/>
              </w:rPr>
              <w:t>+0.1</w:t>
            </w:r>
          </w:p>
        </w:tc>
      </w:tr>
      <w:tr w14:paraId="2366E2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 w:hRule="exact"/>
          <w:jc w:val="center"/>
        </w:trPr>
        <w:tc>
          <w:tcPr>
            <w:tcW w:w="443" w:type="pct"/>
            <w:vMerge w:val="continue"/>
            <w:vAlign w:val="center"/>
          </w:tcPr>
          <w:p w14:paraId="4B36C7E7">
            <w:pPr>
              <w:adjustRightInd w:val="0"/>
              <w:snapToGrid w:val="0"/>
              <w:jc w:val="center"/>
              <w:rPr>
                <w:rFonts w:ascii="Times New Roman" w:hAnsi="Times New Roman" w:eastAsiaTheme="minorEastAsia"/>
                <w:snapToGrid w:val="0"/>
                <w:color w:val="auto"/>
                <w:kern w:val="21"/>
                <w:szCs w:val="21"/>
                <w:highlight w:val="none"/>
              </w:rPr>
            </w:pPr>
          </w:p>
        </w:tc>
        <w:tc>
          <w:tcPr>
            <w:tcW w:w="1888" w:type="dxa"/>
            <w:vAlign w:val="center"/>
          </w:tcPr>
          <w:p w14:paraId="49A294E2">
            <w:pPr>
              <w:adjustRightInd w:val="0"/>
              <w:snapToGrid w:val="0"/>
              <w:jc w:val="center"/>
              <w:rPr>
                <w:rFonts w:hint="eastAsia"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废</w:t>
            </w:r>
            <w:r>
              <w:rPr>
                <w:rFonts w:hint="eastAsia" w:ascii="Times New Roman" w:hAnsi="Times New Roman" w:eastAsiaTheme="minorEastAsia"/>
                <w:color w:val="auto"/>
                <w:szCs w:val="21"/>
                <w:highlight w:val="none"/>
                <w:lang w:val="en-US" w:eastAsia="zh-CN"/>
              </w:rPr>
              <w:t>脱硫</w:t>
            </w:r>
            <w:r>
              <w:rPr>
                <w:rFonts w:hint="eastAsia" w:ascii="Times New Roman" w:hAnsi="Times New Roman" w:eastAsiaTheme="minorEastAsia"/>
                <w:color w:val="auto"/>
                <w:szCs w:val="21"/>
                <w:highlight w:val="none"/>
              </w:rPr>
              <w:t>塔吸收液</w:t>
            </w:r>
          </w:p>
        </w:tc>
        <w:tc>
          <w:tcPr>
            <w:tcW w:w="1509" w:type="dxa"/>
            <w:vAlign w:val="center"/>
          </w:tcPr>
          <w:p w14:paraId="6A278A5B">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1257" w:type="dxa"/>
            <w:vAlign w:val="center"/>
          </w:tcPr>
          <w:p w14:paraId="406D5F40">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1675" w:type="dxa"/>
            <w:vAlign w:val="center"/>
          </w:tcPr>
          <w:p w14:paraId="22762358">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1534" w:type="dxa"/>
            <w:vAlign w:val="center"/>
          </w:tcPr>
          <w:p w14:paraId="78EC46B3">
            <w:pPr>
              <w:adjustRightInd w:val="0"/>
              <w:snapToGrid w:val="0"/>
              <w:jc w:val="center"/>
              <w:rPr>
                <w:rFonts w:hint="default" w:ascii="Times New Roman" w:hAnsi="Times New Roman" w:eastAsiaTheme="minorEastAsia"/>
                <w:snapToGrid w:val="0"/>
                <w:color w:val="auto"/>
                <w:kern w:val="21"/>
                <w:szCs w:val="21"/>
                <w:highlight w:val="none"/>
                <w:lang w:val="en-US" w:eastAsia="zh-CN"/>
              </w:rPr>
            </w:pPr>
            <w:r>
              <w:rPr>
                <w:rFonts w:hint="eastAsia" w:ascii="Times New Roman" w:hAnsi="Times New Roman" w:eastAsiaTheme="minorEastAsia"/>
                <w:snapToGrid w:val="0"/>
                <w:color w:val="auto"/>
                <w:kern w:val="21"/>
                <w:szCs w:val="21"/>
                <w:highlight w:val="none"/>
                <w:lang w:val="en-US" w:eastAsia="zh-CN"/>
              </w:rPr>
              <w:t>3.528</w:t>
            </w:r>
          </w:p>
        </w:tc>
        <w:tc>
          <w:tcPr>
            <w:tcW w:w="1733" w:type="dxa"/>
            <w:vAlign w:val="center"/>
          </w:tcPr>
          <w:p w14:paraId="5C241105">
            <w:pPr>
              <w:adjustRightInd w:val="0"/>
              <w:snapToGrid w:val="0"/>
              <w:jc w:val="center"/>
              <w:rPr>
                <w:rFonts w:ascii="Times New Roman" w:hAnsi="Times New Roman" w:eastAsiaTheme="minorEastAsia"/>
                <w:snapToGrid w:val="0"/>
                <w:color w:val="auto"/>
                <w:kern w:val="21"/>
                <w:szCs w:val="21"/>
                <w:highlight w:val="none"/>
              </w:rPr>
            </w:pPr>
            <w:r>
              <w:rPr>
                <w:rFonts w:ascii="Times New Roman" w:hAnsi="Times New Roman" w:eastAsiaTheme="minorEastAsia"/>
                <w:snapToGrid w:val="0"/>
                <w:color w:val="auto"/>
                <w:kern w:val="21"/>
                <w:szCs w:val="21"/>
                <w:highlight w:val="none"/>
              </w:rPr>
              <w:t>/</w:t>
            </w:r>
          </w:p>
        </w:tc>
        <w:tc>
          <w:tcPr>
            <w:tcW w:w="1927" w:type="dxa"/>
            <w:vAlign w:val="center"/>
          </w:tcPr>
          <w:p w14:paraId="2AB57183">
            <w:pPr>
              <w:adjustRightInd w:val="0"/>
              <w:snapToGrid w:val="0"/>
              <w:jc w:val="center"/>
              <w:rPr>
                <w:rFonts w:hint="default" w:ascii="Times New Roman" w:hAnsi="Times New Roman" w:eastAsiaTheme="minorEastAsia"/>
                <w:snapToGrid w:val="0"/>
                <w:color w:val="auto"/>
                <w:kern w:val="21"/>
                <w:szCs w:val="21"/>
                <w:highlight w:val="none"/>
                <w:lang w:val="en-US" w:eastAsia="zh-CN"/>
              </w:rPr>
            </w:pPr>
            <w:r>
              <w:rPr>
                <w:rFonts w:hint="eastAsia" w:ascii="Times New Roman" w:hAnsi="Times New Roman" w:eastAsiaTheme="minorEastAsia"/>
                <w:snapToGrid w:val="0"/>
                <w:color w:val="auto"/>
                <w:kern w:val="21"/>
                <w:szCs w:val="21"/>
                <w:highlight w:val="none"/>
                <w:lang w:val="en-US" w:eastAsia="zh-CN"/>
              </w:rPr>
              <w:t>3.528</w:t>
            </w:r>
          </w:p>
        </w:tc>
        <w:tc>
          <w:tcPr>
            <w:tcW w:w="1083" w:type="dxa"/>
            <w:vAlign w:val="center"/>
          </w:tcPr>
          <w:p w14:paraId="6A271552">
            <w:pPr>
              <w:adjustRightInd w:val="0"/>
              <w:snapToGrid w:val="0"/>
              <w:jc w:val="center"/>
              <w:rPr>
                <w:rFonts w:hint="default" w:ascii="Times New Roman" w:hAnsi="Times New Roman" w:eastAsiaTheme="minorEastAsia"/>
                <w:snapToGrid w:val="0"/>
                <w:color w:val="auto"/>
                <w:kern w:val="21"/>
                <w:szCs w:val="21"/>
                <w:highlight w:val="none"/>
                <w:lang w:val="en-US" w:eastAsia="zh-CN"/>
              </w:rPr>
            </w:pPr>
            <w:r>
              <w:rPr>
                <w:rFonts w:hint="eastAsia" w:ascii="Times New Roman" w:hAnsi="Times New Roman" w:eastAsiaTheme="minorEastAsia"/>
                <w:snapToGrid w:val="0"/>
                <w:color w:val="auto"/>
                <w:kern w:val="21"/>
                <w:szCs w:val="21"/>
                <w:highlight w:val="none"/>
                <w:lang w:val="en-US" w:eastAsia="zh-CN"/>
              </w:rPr>
              <w:t>+3.528</w:t>
            </w:r>
          </w:p>
        </w:tc>
      </w:tr>
    </w:tbl>
    <w:p w14:paraId="6D8BA5A4">
      <w:pPr>
        <w:pStyle w:val="4"/>
        <w:bidi w:val="0"/>
        <w:rPr>
          <w:rFonts w:ascii="Times New Roman" w:hAnsi="Times New Roman" w:eastAsiaTheme="minorEastAsia"/>
          <w:color w:val="auto"/>
          <w:sz w:val="24"/>
          <w:szCs w:val="24"/>
          <w:highlight w:val="none"/>
        </w:rPr>
      </w:pPr>
      <w:r>
        <w:rPr>
          <w:rFonts w:ascii="Times New Roman" w:hAnsi="Times New Roman" w:eastAsiaTheme="minorEastAsia"/>
          <w:snapToGrid w:val="0"/>
          <w:color w:val="auto"/>
          <w:kern w:val="21"/>
          <w:sz w:val="24"/>
          <w:szCs w:val="24"/>
          <w:highlight w:val="none"/>
        </w:rPr>
        <w:t>注：</w:t>
      </w:r>
      <w:r>
        <w:rPr>
          <w:rFonts w:ascii="Times New Roman" w:hAnsi="Times New Roman" w:eastAsiaTheme="minorEastAsia"/>
          <w:snapToGrid w:val="0"/>
          <w:color w:val="auto"/>
          <w:spacing w:val="-16"/>
          <w:kern w:val="21"/>
          <w:sz w:val="24"/>
          <w:szCs w:val="24"/>
          <w:highlight w:val="none"/>
        </w:rPr>
        <w:fldChar w:fldCharType="begin"/>
      </w:r>
      <w:r>
        <w:rPr>
          <w:rFonts w:ascii="Times New Roman" w:hAnsi="Times New Roman" w:eastAsiaTheme="minorEastAsia"/>
          <w:snapToGrid w:val="0"/>
          <w:color w:val="auto"/>
          <w:spacing w:val="-16"/>
          <w:kern w:val="21"/>
          <w:sz w:val="24"/>
          <w:szCs w:val="24"/>
          <w:highlight w:val="none"/>
        </w:rPr>
        <w:instrText xml:space="preserve"> = 6 \* GB3 \* MERGEFORMAT </w:instrText>
      </w:r>
      <w:r>
        <w:rPr>
          <w:rFonts w:ascii="Times New Roman" w:hAnsi="Times New Roman" w:eastAsiaTheme="minorEastAsia"/>
          <w:snapToGrid w:val="0"/>
          <w:color w:val="auto"/>
          <w:spacing w:val="-16"/>
          <w:kern w:val="21"/>
          <w:sz w:val="24"/>
          <w:szCs w:val="24"/>
          <w:highlight w:val="none"/>
        </w:rPr>
        <w:fldChar w:fldCharType="separate"/>
      </w:r>
      <w:r>
        <w:rPr>
          <w:rFonts w:ascii="Times New Roman" w:hAnsi="Times New Roman" w:eastAsiaTheme="minorEastAsia"/>
          <w:color w:val="auto"/>
          <w:kern w:val="0"/>
          <w:sz w:val="24"/>
          <w:szCs w:val="24"/>
          <w:highlight w:val="none"/>
        </w:rPr>
        <w:t>⑥</w:t>
      </w:r>
      <w:r>
        <w:rPr>
          <w:rFonts w:ascii="Times New Roman" w:hAnsi="Times New Roman" w:eastAsiaTheme="minorEastAsia"/>
          <w:snapToGrid w:val="0"/>
          <w:color w:val="auto"/>
          <w:spacing w:val="-16"/>
          <w:kern w:val="21"/>
          <w:sz w:val="24"/>
          <w:szCs w:val="24"/>
          <w:highlight w:val="none"/>
        </w:rPr>
        <w:fldChar w:fldCharType="end"/>
      </w:r>
      <w:r>
        <w:rPr>
          <w:rFonts w:ascii="Times New Roman" w:hAnsi="Times New Roman" w:eastAsiaTheme="minorEastAsia"/>
          <w:snapToGrid w:val="0"/>
          <w:color w:val="auto"/>
          <w:spacing w:val="-16"/>
          <w:kern w:val="21"/>
          <w:sz w:val="24"/>
          <w:szCs w:val="24"/>
          <w:highlight w:val="none"/>
        </w:rPr>
        <w:t>=</w:t>
      </w:r>
      <w:r>
        <w:rPr>
          <w:rFonts w:ascii="Times New Roman" w:hAnsi="Times New Roman" w:eastAsiaTheme="minorEastAsia"/>
          <w:snapToGrid w:val="0"/>
          <w:color w:val="auto"/>
          <w:spacing w:val="-6"/>
          <w:kern w:val="21"/>
          <w:sz w:val="24"/>
          <w:szCs w:val="24"/>
          <w:highlight w:val="none"/>
        </w:rPr>
        <w:fldChar w:fldCharType="begin"/>
      </w:r>
      <w:r>
        <w:rPr>
          <w:rFonts w:ascii="Times New Roman" w:hAnsi="Times New Roman" w:eastAsiaTheme="minorEastAsia"/>
          <w:snapToGrid w:val="0"/>
          <w:color w:val="auto"/>
          <w:spacing w:val="-6"/>
          <w:kern w:val="21"/>
          <w:sz w:val="24"/>
          <w:szCs w:val="24"/>
          <w:highlight w:val="none"/>
        </w:rPr>
        <w:instrText xml:space="preserve"> = 1 \* GB3 \* MERGEFORMAT </w:instrText>
      </w:r>
      <w:r>
        <w:rPr>
          <w:rFonts w:ascii="Times New Roman" w:hAnsi="Times New Roman" w:eastAsiaTheme="minorEastAsia"/>
          <w:snapToGrid w:val="0"/>
          <w:color w:val="auto"/>
          <w:spacing w:val="-6"/>
          <w:kern w:val="21"/>
          <w:sz w:val="24"/>
          <w:szCs w:val="24"/>
          <w:highlight w:val="none"/>
        </w:rPr>
        <w:fldChar w:fldCharType="separate"/>
      </w:r>
      <w:r>
        <w:rPr>
          <w:rFonts w:ascii="Times New Roman" w:hAnsi="Times New Roman" w:eastAsiaTheme="minorEastAsia"/>
          <w:color w:val="auto"/>
          <w:kern w:val="0"/>
          <w:sz w:val="24"/>
          <w:szCs w:val="24"/>
          <w:highlight w:val="none"/>
        </w:rPr>
        <w:t>①</w:t>
      </w:r>
      <w:r>
        <w:rPr>
          <w:rFonts w:ascii="Times New Roman" w:hAnsi="Times New Roman" w:eastAsiaTheme="minorEastAsia"/>
          <w:snapToGrid w:val="0"/>
          <w:color w:val="auto"/>
          <w:spacing w:val="-6"/>
          <w:kern w:val="21"/>
          <w:sz w:val="24"/>
          <w:szCs w:val="24"/>
          <w:highlight w:val="none"/>
        </w:rPr>
        <w:fldChar w:fldCharType="end"/>
      </w:r>
      <w:r>
        <w:rPr>
          <w:rFonts w:ascii="Times New Roman" w:hAnsi="Times New Roman" w:eastAsiaTheme="minorEastAsia"/>
          <w:snapToGrid w:val="0"/>
          <w:color w:val="auto"/>
          <w:spacing w:val="-6"/>
          <w:kern w:val="21"/>
          <w:sz w:val="24"/>
          <w:szCs w:val="24"/>
          <w:highlight w:val="none"/>
        </w:rPr>
        <w:t>+</w:t>
      </w:r>
      <w:r>
        <w:rPr>
          <w:rFonts w:ascii="Times New Roman" w:hAnsi="Times New Roman" w:eastAsiaTheme="minorEastAsia"/>
          <w:snapToGrid w:val="0"/>
          <w:color w:val="auto"/>
          <w:spacing w:val="-6"/>
          <w:kern w:val="21"/>
          <w:sz w:val="24"/>
          <w:szCs w:val="24"/>
          <w:highlight w:val="none"/>
        </w:rPr>
        <w:fldChar w:fldCharType="begin"/>
      </w:r>
      <w:r>
        <w:rPr>
          <w:rFonts w:ascii="Times New Roman" w:hAnsi="Times New Roman" w:eastAsiaTheme="minorEastAsia"/>
          <w:snapToGrid w:val="0"/>
          <w:color w:val="auto"/>
          <w:spacing w:val="-6"/>
          <w:kern w:val="21"/>
          <w:sz w:val="24"/>
          <w:szCs w:val="24"/>
          <w:highlight w:val="none"/>
        </w:rPr>
        <w:instrText xml:space="preserve"> = 3 \* GB3 \* MERGEFORMAT </w:instrText>
      </w:r>
      <w:r>
        <w:rPr>
          <w:rFonts w:ascii="Times New Roman" w:hAnsi="Times New Roman" w:eastAsiaTheme="minorEastAsia"/>
          <w:snapToGrid w:val="0"/>
          <w:color w:val="auto"/>
          <w:spacing w:val="-6"/>
          <w:kern w:val="21"/>
          <w:sz w:val="24"/>
          <w:szCs w:val="24"/>
          <w:highlight w:val="none"/>
        </w:rPr>
        <w:fldChar w:fldCharType="separate"/>
      </w:r>
      <w:r>
        <w:rPr>
          <w:rFonts w:ascii="Times New Roman" w:hAnsi="Times New Roman" w:eastAsiaTheme="minorEastAsia"/>
          <w:color w:val="auto"/>
          <w:kern w:val="0"/>
          <w:sz w:val="24"/>
          <w:szCs w:val="24"/>
          <w:highlight w:val="none"/>
        </w:rPr>
        <w:t>③</w:t>
      </w:r>
      <w:r>
        <w:rPr>
          <w:rFonts w:ascii="Times New Roman" w:hAnsi="Times New Roman" w:eastAsiaTheme="minorEastAsia"/>
          <w:snapToGrid w:val="0"/>
          <w:color w:val="auto"/>
          <w:spacing w:val="-6"/>
          <w:kern w:val="21"/>
          <w:sz w:val="24"/>
          <w:szCs w:val="24"/>
          <w:highlight w:val="none"/>
        </w:rPr>
        <w:fldChar w:fldCharType="end"/>
      </w:r>
      <w:r>
        <w:rPr>
          <w:rFonts w:ascii="Times New Roman" w:hAnsi="Times New Roman" w:eastAsiaTheme="minorEastAsia"/>
          <w:snapToGrid w:val="0"/>
          <w:color w:val="auto"/>
          <w:spacing w:val="-6"/>
          <w:kern w:val="21"/>
          <w:sz w:val="24"/>
          <w:szCs w:val="24"/>
          <w:highlight w:val="none"/>
        </w:rPr>
        <w:t>+</w:t>
      </w:r>
      <w:r>
        <w:rPr>
          <w:rFonts w:ascii="Times New Roman" w:hAnsi="Times New Roman" w:eastAsiaTheme="minorEastAsia"/>
          <w:snapToGrid w:val="0"/>
          <w:color w:val="auto"/>
          <w:spacing w:val="-6"/>
          <w:kern w:val="21"/>
          <w:sz w:val="24"/>
          <w:szCs w:val="24"/>
          <w:highlight w:val="none"/>
        </w:rPr>
        <w:fldChar w:fldCharType="begin"/>
      </w:r>
      <w:r>
        <w:rPr>
          <w:rFonts w:ascii="Times New Roman" w:hAnsi="Times New Roman" w:eastAsiaTheme="minorEastAsia"/>
          <w:snapToGrid w:val="0"/>
          <w:color w:val="auto"/>
          <w:spacing w:val="-6"/>
          <w:kern w:val="21"/>
          <w:sz w:val="24"/>
          <w:szCs w:val="24"/>
          <w:highlight w:val="none"/>
        </w:rPr>
        <w:instrText xml:space="preserve"> = 4 \* GB3 \* MERGEFORMAT </w:instrText>
      </w:r>
      <w:r>
        <w:rPr>
          <w:rFonts w:ascii="Times New Roman" w:hAnsi="Times New Roman" w:eastAsiaTheme="minorEastAsia"/>
          <w:snapToGrid w:val="0"/>
          <w:color w:val="auto"/>
          <w:spacing w:val="-6"/>
          <w:kern w:val="21"/>
          <w:sz w:val="24"/>
          <w:szCs w:val="24"/>
          <w:highlight w:val="none"/>
        </w:rPr>
        <w:fldChar w:fldCharType="separate"/>
      </w:r>
      <w:r>
        <w:rPr>
          <w:rFonts w:ascii="Times New Roman" w:hAnsi="Times New Roman" w:eastAsiaTheme="minorEastAsia"/>
          <w:color w:val="auto"/>
          <w:kern w:val="0"/>
          <w:sz w:val="24"/>
          <w:szCs w:val="24"/>
          <w:highlight w:val="none"/>
        </w:rPr>
        <w:t>④</w:t>
      </w:r>
      <w:r>
        <w:rPr>
          <w:rFonts w:ascii="Times New Roman" w:hAnsi="Times New Roman" w:eastAsiaTheme="minorEastAsia"/>
          <w:snapToGrid w:val="0"/>
          <w:color w:val="auto"/>
          <w:spacing w:val="-6"/>
          <w:kern w:val="21"/>
          <w:sz w:val="24"/>
          <w:szCs w:val="24"/>
          <w:highlight w:val="none"/>
        </w:rPr>
        <w:fldChar w:fldCharType="end"/>
      </w:r>
      <w:r>
        <w:rPr>
          <w:rFonts w:ascii="Times New Roman" w:hAnsi="Times New Roman" w:eastAsiaTheme="minorEastAsia"/>
          <w:snapToGrid w:val="0"/>
          <w:color w:val="auto"/>
          <w:spacing w:val="-6"/>
          <w:kern w:val="21"/>
          <w:sz w:val="24"/>
          <w:szCs w:val="24"/>
          <w:highlight w:val="none"/>
        </w:rPr>
        <w:t>-</w:t>
      </w:r>
      <w:r>
        <w:rPr>
          <w:rFonts w:ascii="Times New Roman" w:hAnsi="Times New Roman" w:eastAsiaTheme="minorEastAsia"/>
          <w:snapToGrid w:val="0"/>
          <w:color w:val="auto"/>
          <w:spacing w:val="-16"/>
          <w:kern w:val="21"/>
          <w:sz w:val="24"/>
          <w:szCs w:val="24"/>
          <w:highlight w:val="none"/>
        </w:rPr>
        <w:fldChar w:fldCharType="begin"/>
      </w:r>
      <w:r>
        <w:rPr>
          <w:rFonts w:ascii="Times New Roman" w:hAnsi="Times New Roman" w:eastAsiaTheme="minorEastAsia"/>
          <w:snapToGrid w:val="0"/>
          <w:color w:val="auto"/>
          <w:spacing w:val="-16"/>
          <w:kern w:val="21"/>
          <w:sz w:val="24"/>
          <w:szCs w:val="24"/>
          <w:highlight w:val="none"/>
        </w:rPr>
        <w:instrText xml:space="preserve"> = 5 \* GB3 \* MERGEFORMAT </w:instrText>
      </w:r>
      <w:r>
        <w:rPr>
          <w:rFonts w:ascii="Times New Roman" w:hAnsi="Times New Roman" w:eastAsiaTheme="minorEastAsia"/>
          <w:snapToGrid w:val="0"/>
          <w:color w:val="auto"/>
          <w:spacing w:val="-16"/>
          <w:kern w:val="21"/>
          <w:sz w:val="24"/>
          <w:szCs w:val="24"/>
          <w:highlight w:val="none"/>
        </w:rPr>
        <w:fldChar w:fldCharType="separate"/>
      </w:r>
      <w:r>
        <w:rPr>
          <w:rFonts w:ascii="Times New Roman" w:hAnsi="Times New Roman" w:eastAsiaTheme="minorEastAsia"/>
          <w:color w:val="auto"/>
          <w:kern w:val="0"/>
          <w:sz w:val="24"/>
          <w:szCs w:val="24"/>
          <w:highlight w:val="none"/>
        </w:rPr>
        <w:t>⑤</w:t>
      </w:r>
      <w:r>
        <w:rPr>
          <w:rFonts w:ascii="Times New Roman" w:hAnsi="Times New Roman" w:eastAsiaTheme="minorEastAsia"/>
          <w:snapToGrid w:val="0"/>
          <w:color w:val="auto"/>
          <w:spacing w:val="-16"/>
          <w:kern w:val="21"/>
          <w:sz w:val="24"/>
          <w:szCs w:val="24"/>
          <w:highlight w:val="none"/>
        </w:rPr>
        <w:fldChar w:fldCharType="end"/>
      </w:r>
      <w:r>
        <w:rPr>
          <w:rFonts w:ascii="Times New Roman" w:hAnsi="Times New Roman" w:eastAsiaTheme="minorEastAsia"/>
          <w:snapToGrid w:val="0"/>
          <w:color w:val="auto"/>
          <w:spacing w:val="-16"/>
          <w:kern w:val="21"/>
          <w:sz w:val="24"/>
          <w:szCs w:val="24"/>
          <w:highlight w:val="none"/>
        </w:rPr>
        <w:t>；</w:t>
      </w:r>
      <w:r>
        <w:rPr>
          <w:rFonts w:ascii="Times New Roman" w:hAnsi="Times New Roman" w:eastAsiaTheme="minorEastAsia"/>
          <w:snapToGrid w:val="0"/>
          <w:color w:val="auto"/>
          <w:spacing w:val="-6"/>
          <w:kern w:val="21"/>
          <w:sz w:val="24"/>
          <w:szCs w:val="24"/>
          <w:highlight w:val="none"/>
        </w:rPr>
        <w:fldChar w:fldCharType="begin"/>
      </w:r>
      <w:r>
        <w:rPr>
          <w:rFonts w:ascii="Times New Roman" w:hAnsi="Times New Roman" w:eastAsiaTheme="minorEastAsia"/>
          <w:snapToGrid w:val="0"/>
          <w:color w:val="auto"/>
          <w:spacing w:val="-6"/>
          <w:kern w:val="21"/>
          <w:sz w:val="24"/>
          <w:szCs w:val="24"/>
          <w:highlight w:val="none"/>
        </w:rPr>
        <w:instrText xml:space="preserve"> = 7 \* GB3 \* MERGEFORMAT </w:instrText>
      </w:r>
      <w:r>
        <w:rPr>
          <w:rFonts w:ascii="Times New Roman" w:hAnsi="Times New Roman" w:eastAsiaTheme="minorEastAsia"/>
          <w:snapToGrid w:val="0"/>
          <w:color w:val="auto"/>
          <w:spacing w:val="-6"/>
          <w:kern w:val="21"/>
          <w:sz w:val="24"/>
          <w:szCs w:val="24"/>
          <w:highlight w:val="none"/>
        </w:rPr>
        <w:fldChar w:fldCharType="separate"/>
      </w:r>
      <w:r>
        <w:rPr>
          <w:rFonts w:ascii="Times New Roman" w:hAnsi="Times New Roman" w:eastAsiaTheme="minorEastAsia"/>
          <w:color w:val="auto"/>
          <w:kern w:val="0"/>
          <w:sz w:val="24"/>
          <w:szCs w:val="24"/>
          <w:highlight w:val="none"/>
        </w:rPr>
        <w:t>⑦</w:t>
      </w:r>
      <w:r>
        <w:rPr>
          <w:rFonts w:ascii="Times New Roman" w:hAnsi="Times New Roman" w:eastAsiaTheme="minorEastAsia"/>
          <w:snapToGrid w:val="0"/>
          <w:color w:val="auto"/>
          <w:spacing w:val="-6"/>
          <w:kern w:val="21"/>
          <w:sz w:val="24"/>
          <w:szCs w:val="24"/>
          <w:highlight w:val="none"/>
        </w:rPr>
        <w:fldChar w:fldCharType="end"/>
      </w:r>
      <w:r>
        <w:rPr>
          <w:rFonts w:ascii="Times New Roman" w:hAnsi="Times New Roman" w:eastAsiaTheme="minorEastAsia"/>
          <w:snapToGrid w:val="0"/>
          <w:color w:val="auto"/>
          <w:spacing w:val="-6"/>
          <w:kern w:val="21"/>
          <w:sz w:val="24"/>
          <w:szCs w:val="24"/>
          <w:highlight w:val="none"/>
        </w:rPr>
        <w:t>=</w:t>
      </w:r>
      <w:r>
        <w:rPr>
          <w:rFonts w:ascii="Times New Roman" w:hAnsi="Times New Roman" w:eastAsiaTheme="minorEastAsia"/>
          <w:snapToGrid w:val="0"/>
          <w:color w:val="auto"/>
          <w:spacing w:val="-16"/>
          <w:kern w:val="21"/>
          <w:sz w:val="24"/>
          <w:szCs w:val="24"/>
          <w:highlight w:val="none"/>
        </w:rPr>
        <w:fldChar w:fldCharType="begin"/>
      </w:r>
      <w:r>
        <w:rPr>
          <w:rFonts w:ascii="Times New Roman" w:hAnsi="Times New Roman" w:eastAsiaTheme="minorEastAsia"/>
          <w:snapToGrid w:val="0"/>
          <w:color w:val="auto"/>
          <w:spacing w:val="-16"/>
          <w:kern w:val="21"/>
          <w:sz w:val="24"/>
          <w:szCs w:val="24"/>
          <w:highlight w:val="none"/>
        </w:rPr>
        <w:instrText xml:space="preserve"> = 6 \* GB3 \* MERGEFORMAT </w:instrText>
      </w:r>
      <w:r>
        <w:rPr>
          <w:rFonts w:ascii="Times New Roman" w:hAnsi="Times New Roman" w:eastAsiaTheme="minorEastAsia"/>
          <w:snapToGrid w:val="0"/>
          <w:color w:val="auto"/>
          <w:spacing w:val="-16"/>
          <w:kern w:val="21"/>
          <w:sz w:val="24"/>
          <w:szCs w:val="24"/>
          <w:highlight w:val="none"/>
        </w:rPr>
        <w:fldChar w:fldCharType="separate"/>
      </w:r>
      <w:r>
        <w:rPr>
          <w:rFonts w:ascii="Times New Roman" w:hAnsi="Times New Roman" w:eastAsiaTheme="minorEastAsia"/>
          <w:color w:val="auto"/>
          <w:kern w:val="0"/>
          <w:sz w:val="24"/>
          <w:szCs w:val="24"/>
          <w:highlight w:val="none"/>
        </w:rPr>
        <w:t>⑥</w:t>
      </w:r>
      <w:r>
        <w:rPr>
          <w:rFonts w:ascii="Times New Roman" w:hAnsi="Times New Roman" w:eastAsiaTheme="minorEastAsia"/>
          <w:snapToGrid w:val="0"/>
          <w:color w:val="auto"/>
          <w:spacing w:val="-16"/>
          <w:kern w:val="21"/>
          <w:sz w:val="24"/>
          <w:szCs w:val="24"/>
          <w:highlight w:val="none"/>
        </w:rPr>
        <w:fldChar w:fldCharType="end"/>
      </w:r>
      <w:r>
        <w:rPr>
          <w:rFonts w:ascii="Times New Roman" w:hAnsi="Times New Roman" w:eastAsiaTheme="minorEastAsia"/>
          <w:snapToGrid w:val="0"/>
          <w:color w:val="auto"/>
          <w:spacing w:val="-16"/>
          <w:kern w:val="21"/>
          <w:sz w:val="24"/>
          <w:szCs w:val="24"/>
          <w:highlight w:val="none"/>
        </w:rPr>
        <w:t>-</w:t>
      </w:r>
      <w:r>
        <w:rPr>
          <w:rFonts w:ascii="Times New Roman" w:hAnsi="Times New Roman" w:eastAsiaTheme="minorEastAsia"/>
          <w:snapToGrid w:val="0"/>
          <w:color w:val="auto"/>
          <w:spacing w:val="-6"/>
          <w:kern w:val="21"/>
          <w:sz w:val="24"/>
          <w:szCs w:val="24"/>
          <w:highlight w:val="none"/>
        </w:rPr>
        <w:fldChar w:fldCharType="begin"/>
      </w:r>
      <w:r>
        <w:rPr>
          <w:rFonts w:ascii="Times New Roman" w:hAnsi="Times New Roman" w:eastAsiaTheme="minorEastAsia"/>
          <w:snapToGrid w:val="0"/>
          <w:color w:val="auto"/>
          <w:spacing w:val="-6"/>
          <w:kern w:val="21"/>
          <w:sz w:val="24"/>
          <w:szCs w:val="24"/>
          <w:highlight w:val="none"/>
        </w:rPr>
        <w:instrText xml:space="preserve"> = 1 \* GB3 \* MERGEFORMAT </w:instrText>
      </w:r>
      <w:r>
        <w:rPr>
          <w:rFonts w:ascii="Times New Roman" w:hAnsi="Times New Roman" w:eastAsiaTheme="minorEastAsia"/>
          <w:snapToGrid w:val="0"/>
          <w:color w:val="auto"/>
          <w:spacing w:val="-6"/>
          <w:kern w:val="21"/>
          <w:sz w:val="24"/>
          <w:szCs w:val="24"/>
          <w:highlight w:val="none"/>
        </w:rPr>
        <w:fldChar w:fldCharType="separate"/>
      </w:r>
      <w:r>
        <w:rPr>
          <w:rFonts w:ascii="Times New Roman" w:hAnsi="Times New Roman" w:eastAsiaTheme="minorEastAsia"/>
          <w:color w:val="auto"/>
          <w:kern w:val="0"/>
          <w:sz w:val="24"/>
          <w:szCs w:val="24"/>
          <w:highlight w:val="none"/>
        </w:rPr>
        <w:t>①</w:t>
      </w:r>
      <w:r>
        <w:rPr>
          <w:rFonts w:ascii="Times New Roman" w:hAnsi="Times New Roman" w:eastAsiaTheme="minorEastAsia"/>
          <w:snapToGrid w:val="0"/>
          <w:color w:val="auto"/>
          <w:spacing w:val="-6"/>
          <w:kern w:val="21"/>
          <w:sz w:val="24"/>
          <w:szCs w:val="24"/>
          <w:highlight w:val="none"/>
        </w:rPr>
        <w:fldChar w:fldCharType="end"/>
      </w:r>
    </w:p>
    <w:sectPr>
      <w:headerReference r:id="rId11" w:type="first"/>
      <w:footerReference r:id="rId14" w:type="first"/>
      <w:headerReference r:id="rId9" w:type="default"/>
      <w:footerReference r:id="rId12" w:type="default"/>
      <w:headerReference r:id="rId10" w:type="even"/>
      <w:footerReference r:id="rId13" w:type="even"/>
      <w:pgSz w:w="16838" w:h="11906" w:orient="landscape"/>
      <w:pgMar w:top="1797" w:right="1531" w:bottom="1230" w:left="1531"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MS Mincho">
    <w:altName w:val="MS Gothic"/>
    <w:panose1 w:val="02020609040205080304"/>
    <w:charset w:val="80"/>
    <w:family w:val="roman"/>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TimesNewRomanPSMT">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F077A">
    <w:pPr>
      <w:snapToGrid w:val="0"/>
      <w:ind w:right="360" w:firstLine="360"/>
      <w:jc w:val="center"/>
      <w:rPr>
        <w:rFonts w:ascii="Times New Roman" w:hAnsi="Times New Roman"/>
        <w:kern w:val="0"/>
        <w:sz w:val="18"/>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961E9">
    <w:pPr>
      <w:snapToGrid w:val="0"/>
      <w:jc w:val="left"/>
      <w:rPr>
        <w:rFonts w:ascii="Times New Roman" w:hAnsi="Times New Roman"/>
        <w:kern w:val="0"/>
        <w:sz w:val="18"/>
        <w:szCs w:val="20"/>
      </w:rPr>
    </w:pPr>
    <w:r>
      <w:rPr>
        <w:rFonts w:ascii="Times New Roman" w:hAnsi="Times New Roman"/>
        <w:kern w:val="0"/>
        <w:sz w:val="18"/>
        <w:szCs w:val="20"/>
      </w:rPr>
      <w:fldChar w:fldCharType="begin"/>
    </w:r>
    <w:r>
      <w:rPr>
        <w:rFonts w:ascii="Times New Roman" w:hAnsi="Times New Roman"/>
        <w:kern w:val="0"/>
        <w:sz w:val="18"/>
        <w:szCs w:val="20"/>
      </w:rPr>
      <w:instrText xml:space="preserve">PAGE   \* MERGEFORMAT</w:instrText>
    </w:r>
    <w:r>
      <w:rPr>
        <w:rFonts w:ascii="Times New Roman" w:hAnsi="Times New Roman"/>
        <w:kern w:val="0"/>
        <w:sz w:val="18"/>
        <w:szCs w:val="20"/>
      </w:rPr>
      <w:fldChar w:fldCharType="separate"/>
    </w:r>
    <w:r>
      <w:rPr>
        <w:rFonts w:ascii="Times New Roman" w:hAnsi="Times New Roman"/>
        <w:kern w:val="0"/>
        <w:sz w:val="18"/>
        <w:szCs w:val="20"/>
        <w:lang w:val="zh-CN"/>
      </w:rPr>
      <w:t>2</w:t>
    </w:r>
    <w:r>
      <w:rPr>
        <w:rFonts w:ascii="Times New Roman" w:hAnsi="Times New Roman"/>
        <w:kern w:val="0"/>
        <w:sz w:val="18"/>
        <w:szCs w:val="20"/>
      </w:rPr>
      <w:fldChar w:fldCharType="end"/>
    </w:r>
  </w:p>
  <w:p w14:paraId="1E88311E">
    <w:pPr>
      <w:snapToGrid w:val="0"/>
      <w:ind w:right="360" w:firstLine="360"/>
      <w:jc w:val="left"/>
      <w:rPr>
        <w:rFonts w:ascii="Times New Roman" w:hAnsi="Times New Roman"/>
        <w:kern w:val="0"/>
        <w:sz w:val="18"/>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28497">
    <w:pPr>
      <w:snapToGrid w:val="0"/>
      <w:ind w:right="360" w:firstLine="360"/>
      <w:jc w:val="center"/>
      <w:rPr>
        <w:rFonts w:ascii="Times New Roman" w:hAnsi="Times New Roman"/>
        <w:kern w:val="0"/>
        <w:sz w:val="18"/>
        <w:szCs w:val="20"/>
      </w:rPr>
    </w:pPr>
    <w:r>
      <w:rPr>
        <w:rFonts w:ascii="Times New Roman" w:hAnsi="Times New Roman"/>
        <w:kern w:val="0"/>
        <w:sz w:val="18"/>
        <w:szCs w:val="20"/>
      </w:rPr>
      <w:pict>
        <v:shape id="_x0000_s3073" o:spid="_x0000_s3073"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F06p8kBAACb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pt6GqJg3fc4sgv379dfvy6/PxK&#10;brJAfYAa8x4DZqbh3g+4NrMf0Jl5Dyra/EVGBOMo7/kqrxwSEfnRerVeVxgSGJsviM+enocI6a30&#10;lmSjoRHnV2Tlp/eQxtQ5JVdz/kEbU2Zo3F8OxMwelnsfe8xWGvbDRGjv2zPy6XH0DXW46ZSYdw6V&#10;zVsyG3E29rNxDFEfurJGuR6Eu2PCJkpvucIIOxXGmRV2037lpfjzXrKe/qn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oXTqnyQEAAJsDAAAOAAAAAAAAAAEAIAAAAB4BAABkcnMvZTJvRG9j&#10;LnhtbFBLBQYAAAAABgAGAFkBAABZBQAAAAA=&#10;">
          <v:path/>
          <v:fill on="f" focussize="0,0"/>
          <v:stroke on="f" joinstyle="miter"/>
          <v:imagedata o:title=""/>
          <o:lock v:ext="edit"/>
          <v:textbox inset="0mm,0mm,0mm,0mm" style="mso-fit-shape-to-text:t;">
            <w:txbxContent>
              <w:p w14:paraId="341FA289">
                <w:pPr>
                  <w:snapToGrid w:val="0"/>
                  <w:jc w:val="left"/>
                  <w:rPr>
                    <w:rFonts w:ascii="Times New Roman" w:hAnsi="Times New Roman"/>
                    <w:kern w:val="0"/>
                    <w:sz w:val="18"/>
                    <w:szCs w:val="20"/>
                  </w:rPr>
                </w:pPr>
                <w:r>
                  <w:rPr>
                    <w:rFonts w:ascii="Times New Roman" w:hAnsi="Times New Roman"/>
                    <w:kern w:val="0"/>
                    <w:sz w:val="18"/>
                    <w:szCs w:val="20"/>
                  </w:rPr>
                  <w:fldChar w:fldCharType="begin"/>
                </w:r>
                <w:r>
                  <w:rPr>
                    <w:rFonts w:ascii="Times New Roman" w:hAnsi="Times New Roman"/>
                    <w:kern w:val="0"/>
                    <w:sz w:val="18"/>
                    <w:szCs w:val="20"/>
                  </w:rPr>
                  <w:instrText xml:space="preserve"> PAGE  \* MERGEFORMAT </w:instrText>
                </w:r>
                <w:r>
                  <w:rPr>
                    <w:rFonts w:ascii="Times New Roman" w:hAnsi="Times New Roman"/>
                    <w:kern w:val="0"/>
                    <w:sz w:val="18"/>
                    <w:szCs w:val="20"/>
                  </w:rPr>
                  <w:fldChar w:fldCharType="separate"/>
                </w:r>
                <w:r>
                  <w:rPr>
                    <w:rFonts w:ascii="Times New Roman" w:hAnsi="Times New Roman"/>
                    <w:kern w:val="0"/>
                    <w:sz w:val="18"/>
                    <w:szCs w:val="20"/>
                  </w:rPr>
                  <w:t>1</w:t>
                </w:r>
                <w:r>
                  <w:rPr>
                    <w:rFonts w:ascii="Times New Roman" w:hAnsi="Times New Roman"/>
                    <w:kern w:val="0"/>
                    <w:sz w:val="18"/>
                    <w:szCs w:val="20"/>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49EF4">
    <w:pPr>
      <w:snapToGrid w:val="0"/>
      <w:jc w:val="center"/>
      <w:rPr>
        <w:rFonts w:ascii="Times New Roman" w:hAnsi="Times New Roman"/>
        <w:kern w:val="0"/>
        <w:sz w:val="18"/>
        <w:szCs w:val="20"/>
      </w:rPr>
    </w:pPr>
    <w:r>
      <w:rPr>
        <w:rFonts w:ascii="Times New Roman" w:hAnsi="Times New Roman"/>
        <w:kern w:val="0"/>
        <w:sz w:val="18"/>
        <w:szCs w:val="20"/>
      </w:rPr>
      <w:pict>
        <v:shape id="_x0000_s3074" o:spid="_x0000_s3074"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DY3vcfgAQAAwAMAAA4AAAAA&#10;AAAAAQAgAAAAHgEAAGRycy9lMm9Eb2MueG1sUEsFBgAAAAAGAAYAWQEAAHAFAAAAAA==&#10;">
          <v:path/>
          <v:fill on="f" focussize="0,0"/>
          <v:stroke on="f" joinstyle="miter"/>
          <v:imagedata o:title=""/>
          <o:lock v:ext="edit"/>
          <v:textbox inset="0mm,0mm,0mm,0mm" style="mso-fit-shape-to-text:t;">
            <w:txbxContent>
              <w:p w14:paraId="1B7950CA">
                <w:pPr>
                  <w:snapToGrid w:val="0"/>
                  <w:jc w:val="left"/>
                  <w:rPr>
                    <w:rFonts w:ascii="Times New Roman" w:hAnsi="Times New Roman"/>
                    <w:kern w:val="0"/>
                    <w:sz w:val="18"/>
                    <w:szCs w:val="20"/>
                  </w:rPr>
                </w:pPr>
                <w:r>
                  <w:rPr>
                    <w:rFonts w:ascii="Times New Roman" w:hAnsi="Times New Roman"/>
                    <w:kern w:val="0"/>
                    <w:sz w:val="18"/>
                    <w:szCs w:val="20"/>
                  </w:rPr>
                  <w:fldChar w:fldCharType="begin"/>
                </w:r>
                <w:r>
                  <w:rPr>
                    <w:rFonts w:ascii="Times New Roman" w:hAnsi="Times New Roman"/>
                    <w:kern w:val="0"/>
                    <w:sz w:val="18"/>
                    <w:szCs w:val="20"/>
                  </w:rPr>
                  <w:instrText xml:space="preserve"> PAGE  \* MERGEFORMAT </w:instrText>
                </w:r>
                <w:r>
                  <w:rPr>
                    <w:rFonts w:ascii="Times New Roman" w:hAnsi="Times New Roman"/>
                    <w:kern w:val="0"/>
                    <w:sz w:val="18"/>
                    <w:szCs w:val="20"/>
                  </w:rPr>
                  <w:fldChar w:fldCharType="separate"/>
                </w:r>
                <w:r>
                  <w:rPr>
                    <w:rFonts w:ascii="Times New Roman" w:hAnsi="Times New Roman"/>
                    <w:kern w:val="0"/>
                    <w:sz w:val="18"/>
                    <w:szCs w:val="20"/>
                  </w:rPr>
                  <w:t>33</w:t>
                </w:r>
                <w:r>
                  <w:rPr>
                    <w:rFonts w:ascii="Times New Roman" w:hAnsi="Times New Roman"/>
                    <w:kern w:val="0"/>
                    <w:sz w:val="18"/>
                    <w:szCs w:val="20"/>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1AE18">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CBC06">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42B6B">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CD0E7">
    <w:pPr>
      <w:snapToGrid w:val="0"/>
      <w:jc w:val="center"/>
      <w:rPr>
        <w:rFonts w:ascii="Times New Roman" w:hAnsi="Times New Roman"/>
        <w:kern w:val="0"/>
        <w:sz w:val="18"/>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5AAB9">
    <w:pPr>
      <w:snapToGrid w:val="0"/>
      <w:jc w:val="center"/>
      <w:rPr>
        <w:rFonts w:ascii="Times New Roman" w:hAnsi="Times New Roman"/>
        <w:kern w:val="0"/>
        <w:sz w:val="18"/>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CC0A3">
    <w:pPr>
      <w:pStyle w:val="19"/>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74F2C">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B8493">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F86D56"/>
    <w:multiLevelType w:val="singleLevel"/>
    <w:tmpl w:val="87F86D56"/>
    <w:lvl w:ilvl="0" w:tentative="0">
      <w:start w:val="2"/>
      <w:numFmt w:val="decimal"/>
      <w:suff w:val="nothing"/>
      <w:lvlText w:val="%1、"/>
      <w:lvlJc w:val="left"/>
    </w:lvl>
  </w:abstractNum>
  <w:abstractNum w:abstractNumId="1">
    <w:nsid w:val="BF754C00"/>
    <w:multiLevelType w:val="singleLevel"/>
    <w:tmpl w:val="BF754C00"/>
    <w:lvl w:ilvl="0" w:tentative="0">
      <w:start w:val="6"/>
      <w:numFmt w:val="decimal"/>
      <w:suff w:val="nothing"/>
      <w:lvlText w:val="%1、"/>
      <w:lvlJc w:val="left"/>
    </w:lvl>
  </w:abstractNum>
  <w:abstractNum w:abstractNumId="2">
    <w:nsid w:val="1711E2B7"/>
    <w:multiLevelType w:val="singleLevel"/>
    <w:tmpl w:val="1711E2B7"/>
    <w:lvl w:ilvl="0" w:tentative="0">
      <w:start w:val="3"/>
      <w:numFmt w:val="decimal"/>
      <w:suff w:val="nothing"/>
      <w:lvlText w:val="（%1）"/>
      <w:lvlJc w:val="left"/>
    </w:lvl>
  </w:abstractNum>
  <w:abstractNum w:abstractNumId="3">
    <w:nsid w:val="505D6A5D"/>
    <w:multiLevelType w:val="singleLevel"/>
    <w:tmpl w:val="505D6A5D"/>
    <w:lvl w:ilvl="0" w:tentative="0">
      <w:start w:val="1"/>
      <w:numFmt w:val="decimal"/>
      <w:pStyle w:val="60"/>
      <w:lvlText w:val="%1."/>
      <w:lvlJc w:val="left"/>
      <w:pPr>
        <w:tabs>
          <w:tab w:val="left" w:pos="312"/>
        </w:tabs>
      </w:pPr>
    </w:lvl>
  </w:abstractNum>
  <w:abstractNum w:abstractNumId="4">
    <w:nsid w:val="7D336190"/>
    <w:multiLevelType w:val="multilevel"/>
    <w:tmpl w:val="7D336190"/>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zBmNTdjNGNiZTdhNDgyODlmMjNhOGE2NzgwZTcyNzEifQ=="/>
  </w:docVars>
  <w:rsids>
    <w:rsidRoot w:val="00B30981"/>
    <w:rsid w:val="00006432"/>
    <w:rsid w:val="000118DC"/>
    <w:rsid w:val="00025BE5"/>
    <w:rsid w:val="00035CE5"/>
    <w:rsid w:val="00036CB2"/>
    <w:rsid w:val="00041B76"/>
    <w:rsid w:val="00042E4B"/>
    <w:rsid w:val="00046416"/>
    <w:rsid w:val="00051A93"/>
    <w:rsid w:val="000536C6"/>
    <w:rsid w:val="00060670"/>
    <w:rsid w:val="0006644A"/>
    <w:rsid w:val="00070A88"/>
    <w:rsid w:val="00077EAB"/>
    <w:rsid w:val="000813D2"/>
    <w:rsid w:val="00090C49"/>
    <w:rsid w:val="00096AC9"/>
    <w:rsid w:val="000A02BB"/>
    <w:rsid w:val="000A118F"/>
    <w:rsid w:val="000A3196"/>
    <w:rsid w:val="000B119F"/>
    <w:rsid w:val="000C5EF0"/>
    <w:rsid w:val="000D6C0E"/>
    <w:rsid w:val="000E18E7"/>
    <w:rsid w:val="000E1C03"/>
    <w:rsid w:val="00101614"/>
    <w:rsid w:val="001150CE"/>
    <w:rsid w:val="001207C9"/>
    <w:rsid w:val="001315EB"/>
    <w:rsid w:val="001330C6"/>
    <w:rsid w:val="001352D7"/>
    <w:rsid w:val="00137274"/>
    <w:rsid w:val="00140462"/>
    <w:rsid w:val="00145C25"/>
    <w:rsid w:val="00150D84"/>
    <w:rsid w:val="00166098"/>
    <w:rsid w:val="001663A9"/>
    <w:rsid w:val="00174996"/>
    <w:rsid w:val="0017658F"/>
    <w:rsid w:val="00190FA9"/>
    <w:rsid w:val="00194454"/>
    <w:rsid w:val="00194E74"/>
    <w:rsid w:val="00194F64"/>
    <w:rsid w:val="001964A2"/>
    <w:rsid w:val="001A7BEE"/>
    <w:rsid w:val="001A7D1C"/>
    <w:rsid w:val="001B58F2"/>
    <w:rsid w:val="001B6803"/>
    <w:rsid w:val="001C3B77"/>
    <w:rsid w:val="001C536A"/>
    <w:rsid w:val="001D3A85"/>
    <w:rsid w:val="001E6E99"/>
    <w:rsid w:val="002059FD"/>
    <w:rsid w:val="00212F0D"/>
    <w:rsid w:val="002267BD"/>
    <w:rsid w:val="00237633"/>
    <w:rsid w:val="00255997"/>
    <w:rsid w:val="002771D7"/>
    <w:rsid w:val="00281E4E"/>
    <w:rsid w:val="002907C3"/>
    <w:rsid w:val="002A5CE0"/>
    <w:rsid w:val="002A6768"/>
    <w:rsid w:val="002B3474"/>
    <w:rsid w:val="002B3C41"/>
    <w:rsid w:val="002B5F3A"/>
    <w:rsid w:val="002B7B0B"/>
    <w:rsid w:val="002C3EF2"/>
    <w:rsid w:val="002D25B5"/>
    <w:rsid w:val="002D5FF2"/>
    <w:rsid w:val="002E2152"/>
    <w:rsid w:val="002E5291"/>
    <w:rsid w:val="002E7C3C"/>
    <w:rsid w:val="002F0224"/>
    <w:rsid w:val="002F659F"/>
    <w:rsid w:val="002F718B"/>
    <w:rsid w:val="00300583"/>
    <w:rsid w:val="00301A96"/>
    <w:rsid w:val="00313EEA"/>
    <w:rsid w:val="00330B84"/>
    <w:rsid w:val="00331693"/>
    <w:rsid w:val="00342569"/>
    <w:rsid w:val="00342C26"/>
    <w:rsid w:val="00351C7F"/>
    <w:rsid w:val="00352B47"/>
    <w:rsid w:val="003532FE"/>
    <w:rsid w:val="00353E68"/>
    <w:rsid w:val="00354CAB"/>
    <w:rsid w:val="003568EF"/>
    <w:rsid w:val="00357AE7"/>
    <w:rsid w:val="003634CE"/>
    <w:rsid w:val="003654EF"/>
    <w:rsid w:val="00374377"/>
    <w:rsid w:val="00380338"/>
    <w:rsid w:val="0038153F"/>
    <w:rsid w:val="00384237"/>
    <w:rsid w:val="00391221"/>
    <w:rsid w:val="003A0DDD"/>
    <w:rsid w:val="003A519A"/>
    <w:rsid w:val="003B17AC"/>
    <w:rsid w:val="003C190D"/>
    <w:rsid w:val="003C46C0"/>
    <w:rsid w:val="003D46A6"/>
    <w:rsid w:val="003F1551"/>
    <w:rsid w:val="003F2780"/>
    <w:rsid w:val="003F6138"/>
    <w:rsid w:val="00415815"/>
    <w:rsid w:val="00421E98"/>
    <w:rsid w:val="00427714"/>
    <w:rsid w:val="0043168F"/>
    <w:rsid w:val="00434D5D"/>
    <w:rsid w:val="0043538D"/>
    <w:rsid w:val="00441AB7"/>
    <w:rsid w:val="00441FEB"/>
    <w:rsid w:val="004438DD"/>
    <w:rsid w:val="00456D6B"/>
    <w:rsid w:val="00463C4D"/>
    <w:rsid w:val="00464134"/>
    <w:rsid w:val="00480C0E"/>
    <w:rsid w:val="00482BF6"/>
    <w:rsid w:val="0048596F"/>
    <w:rsid w:val="00486B19"/>
    <w:rsid w:val="004A13CF"/>
    <w:rsid w:val="004A1F3E"/>
    <w:rsid w:val="004B087A"/>
    <w:rsid w:val="004B0993"/>
    <w:rsid w:val="004B1CB6"/>
    <w:rsid w:val="004B6461"/>
    <w:rsid w:val="004B72CE"/>
    <w:rsid w:val="004C0977"/>
    <w:rsid w:val="004D3F4F"/>
    <w:rsid w:val="004E095B"/>
    <w:rsid w:val="004F470C"/>
    <w:rsid w:val="004F4F3F"/>
    <w:rsid w:val="005054D1"/>
    <w:rsid w:val="00513C90"/>
    <w:rsid w:val="0051462B"/>
    <w:rsid w:val="00515C94"/>
    <w:rsid w:val="00525083"/>
    <w:rsid w:val="00526591"/>
    <w:rsid w:val="00532235"/>
    <w:rsid w:val="00532505"/>
    <w:rsid w:val="00535E6F"/>
    <w:rsid w:val="00537875"/>
    <w:rsid w:val="00544D88"/>
    <w:rsid w:val="005550FB"/>
    <w:rsid w:val="00555B7C"/>
    <w:rsid w:val="00560741"/>
    <w:rsid w:val="00560FBD"/>
    <w:rsid w:val="0056174C"/>
    <w:rsid w:val="0056544F"/>
    <w:rsid w:val="00571D05"/>
    <w:rsid w:val="00571E3A"/>
    <w:rsid w:val="00584591"/>
    <w:rsid w:val="005874BE"/>
    <w:rsid w:val="00591A26"/>
    <w:rsid w:val="005A1BAA"/>
    <w:rsid w:val="005A2CCF"/>
    <w:rsid w:val="005C46ED"/>
    <w:rsid w:val="005D0C41"/>
    <w:rsid w:val="005E0952"/>
    <w:rsid w:val="005E277E"/>
    <w:rsid w:val="005E2931"/>
    <w:rsid w:val="005E5FBD"/>
    <w:rsid w:val="005F23B2"/>
    <w:rsid w:val="005F257F"/>
    <w:rsid w:val="0060014C"/>
    <w:rsid w:val="0060163B"/>
    <w:rsid w:val="006030AE"/>
    <w:rsid w:val="006032C8"/>
    <w:rsid w:val="006132C6"/>
    <w:rsid w:val="006132CA"/>
    <w:rsid w:val="00643171"/>
    <w:rsid w:val="00645396"/>
    <w:rsid w:val="00646250"/>
    <w:rsid w:val="00647F04"/>
    <w:rsid w:val="0065058F"/>
    <w:rsid w:val="00653853"/>
    <w:rsid w:val="006543F5"/>
    <w:rsid w:val="006560C1"/>
    <w:rsid w:val="00656658"/>
    <w:rsid w:val="00656C94"/>
    <w:rsid w:val="006573F3"/>
    <w:rsid w:val="00657C98"/>
    <w:rsid w:val="00672BEE"/>
    <w:rsid w:val="00684006"/>
    <w:rsid w:val="0069224A"/>
    <w:rsid w:val="00694C2F"/>
    <w:rsid w:val="00696793"/>
    <w:rsid w:val="006A7CB5"/>
    <w:rsid w:val="006B05E1"/>
    <w:rsid w:val="006B5794"/>
    <w:rsid w:val="006B59E3"/>
    <w:rsid w:val="006C148F"/>
    <w:rsid w:val="006C365C"/>
    <w:rsid w:val="006C3756"/>
    <w:rsid w:val="006C7D39"/>
    <w:rsid w:val="006E048A"/>
    <w:rsid w:val="006E0801"/>
    <w:rsid w:val="006E322B"/>
    <w:rsid w:val="006E406C"/>
    <w:rsid w:val="006E47A5"/>
    <w:rsid w:val="007001BF"/>
    <w:rsid w:val="00700427"/>
    <w:rsid w:val="007007DA"/>
    <w:rsid w:val="00710982"/>
    <w:rsid w:val="007201DC"/>
    <w:rsid w:val="007264FB"/>
    <w:rsid w:val="007324DE"/>
    <w:rsid w:val="0073702E"/>
    <w:rsid w:val="00742241"/>
    <w:rsid w:val="00757F99"/>
    <w:rsid w:val="00762369"/>
    <w:rsid w:val="0076497D"/>
    <w:rsid w:val="00774FEC"/>
    <w:rsid w:val="00782C61"/>
    <w:rsid w:val="007863F3"/>
    <w:rsid w:val="007879BC"/>
    <w:rsid w:val="00791D7F"/>
    <w:rsid w:val="00792C31"/>
    <w:rsid w:val="00793C3D"/>
    <w:rsid w:val="007B6089"/>
    <w:rsid w:val="007C2F27"/>
    <w:rsid w:val="007C5681"/>
    <w:rsid w:val="007D1C8F"/>
    <w:rsid w:val="007D3A32"/>
    <w:rsid w:val="007D515D"/>
    <w:rsid w:val="007E50CB"/>
    <w:rsid w:val="007F4790"/>
    <w:rsid w:val="00802876"/>
    <w:rsid w:val="00821310"/>
    <w:rsid w:val="00822AFF"/>
    <w:rsid w:val="00824FB8"/>
    <w:rsid w:val="00826E88"/>
    <w:rsid w:val="00831F19"/>
    <w:rsid w:val="008408F5"/>
    <w:rsid w:val="00842ACD"/>
    <w:rsid w:val="0084628F"/>
    <w:rsid w:val="00851F9F"/>
    <w:rsid w:val="00856098"/>
    <w:rsid w:val="0085768F"/>
    <w:rsid w:val="00866A2A"/>
    <w:rsid w:val="008715BC"/>
    <w:rsid w:val="00882ACD"/>
    <w:rsid w:val="0088371A"/>
    <w:rsid w:val="00893D97"/>
    <w:rsid w:val="008A6985"/>
    <w:rsid w:val="008A7C60"/>
    <w:rsid w:val="008B3D7B"/>
    <w:rsid w:val="008C0705"/>
    <w:rsid w:val="008C0DCF"/>
    <w:rsid w:val="008C5FAF"/>
    <w:rsid w:val="008C712B"/>
    <w:rsid w:val="008D3FB5"/>
    <w:rsid w:val="008D48A5"/>
    <w:rsid w:val="008E2454"/>
    <w:rsid w:val="008E4483"/>
    <w:rsid w:val="008E7386"/>
    <w:rsid w:val="008F049C"/>
    <w:rsid w:val="008F2721"/>
    <w:rsid w:val="008F6718"/>
    <w:rsid w:val="00900DCE"/>
    <w:rsid w:val="00904E22"/>
    <w:rsid w:val="009203F6"/>
    <w:rsid w:val="0092105D"/>
    <w:rsid w:val="009239B3"/>
    <w:rsid w:val="00924C8E"/>
    <w:rsid w:val="00927EE0"/>
    <w:rsid w:val="00927F50"/>
    <w:rsid w:val="00952469"/>
    <w:rsid w:val="00952896"/>
    <w:rsid w:val="00954BF3"/>
    <w:rsid w:val="009566FA"/>
    <w:rsid w:val="0096388B"/>
    <w:rsid w:val="00963B04"/>
    <w:rsid w:val="00981599"/>
    <w:rsid w:val="009819AD"/>
    <w:rsid w:val="009839C1"/>
    <w:rsid w:val="00983A11"/>
    <w:rsid w:val="00990A16"/>
    <w:rsid w:val="009A1CB6"/>
    <w:rsid w:val="009A5FE7"/>
    <w:rsid w:val="009A634C"/>
    <w:rsid w:val="009B3D0A"/>
    <w:rsid w:val="009C512B"/>
    <w:rsid w:val="009D1FF6"/>
    <w:rsid w:val="009E098D"/>
    <w:rsid w:val="009E5299"/>
    <w:rsid w:val="009E5E4C"/>
    <w:rsid w:val="009F04C6"/>
    <w:rsid w:val="009F36B4"/>
    <w:rsid w:val="00A014A8"/>
    <w:rsid w:val="00A06A7B"/>
    <w:rsid w:val="00A13099"/>
    <w:rsid w:val="00A159C8"/>
    <w:rsid w:val="00A15E5B"/>
    <w:rsid w:val="00A1759C"/>
    <w:rsid w:val="00A21143"/>
    <w:rsid w:val="00A24455"/>
    <w:rsid w:val="00A25ED8"/>
    <w:rsid w:val="00A31BBB"/>
    <w:rsid w:val="00A41753"/>
    <w:rsid w:val="00A431B4"/>
    <w:rsid w:val="00A44EBE"/>
    <w:rsid w:val="00A50FF8"/>
    <w:rsid w:val="00A63A00"/>
    <w:rsid w:val="00A67B98"/>
    <w:rsid w:val="00A72E09"/>
    <w:rsid w:val="00AA7C07"/>
    <w:rsid w:val="00AB4199"/>
    <w:rsid w:val="00AB6034"/>
    <w:rsid w:val="00AC0BA5"/>
    <w:rsid w:val="00AC6C4F"/>
    <w:rsid w:val="00AD22EB"/>
    <w:rsid w:val="00AD23D7"/>
    <w:rsid w:val="00AD4935"/>
    <w:rsid w:val="00AD4FE8"/>
    <w:rsid w:val="00AE174A"/>
    <w:rsid w:val="00AE2DE2"/>
    <w:rsid w:val="00AE6DDB"/>
    <w:rsid w:val="00AF045D"/>
    <w:rsid w:val="00AF7146"/>
    <w:rsid w:val="00B00E83"/>
    <w:rsid w:val="00B04A99"/>
    <w:rsid w:val="00B07DE7"/>
    <w:rsid w:val="00B15C3D"/>
    <w:rsid w:val="00B2561D"/>
    <w:rsid w:val="00B25E0C"/>
    <w:rsid w:val="00B30981"/>
    <w:rsid w:val="00B309E7"/>
    <w:rsid w:val="00B41354"/>
    <w:rsid w:val="00B41623"/>
    <w:rsid w:val="00B453AE"/>
    <w:rsid w:val="00B474AA"/>
    <w:rsid w:val="00B63EEF"/>
    <w:rsid w:val="00B64148"/>
    <w:rsid w:val="00B746CD"/>
    <w:rsid w:val="00B833B1"/>
    <w:rsid w:val="00B86321"/>
    <w:rsid w:val="00B94351"/>
    <w:rsid w:val="00BA1F4A"/>
    <w:rsid w:val="00BA1FC8"/>
    <w:rsid w:val="00BA393A"/>
    <w:rsid w:val="00BA44B3"/>
    <w:rsid w:val="00BA6D3A"/>
    <w:rsid w:val="00BB04D7"/>
    <w:rsid w:val="00BB5179"/>
    <w:rsid w:val="00BB5D5B"/>
    <w:rsid w:val="00BB718B"/>
    <w:rsid w:val="00BC206C"/>
    <w:rsid w:val="00BC3D53"/>
    <w:rsid w:val="00BC73A0"/>
    <w:rsid w:val="00BE06F1"/>
    <w:rsid w:val="00BE55DA"/>
    <w:rsid w:val="00BE57AD"/>
    <w:rsid w:val="00BE78B9"/>
    <w:rsid w:val="00BF330F"/>
    <w:rsid w:val="00BF4331"/>
    <w:rsid w:val="00C043B8"/>
    <w:rsid w:val="00C04BAC"/>
    <w:rsid w:val="00C1561B"/>
    <w:rsid w:val="00C20A78"/>
    <w:rsid w:val="00C24CD2"/>
    <w:rsid w:val="00C2592A"/>
    <w:rsid w:val="00C355B6"/>
    <w:rsid w:val="00C35793"/>
    <w:rsid w:val="00C52C02"/>
    <w:rsid w:val="00C52D87"/>
    <w:rsid w:val="00C53445"/>
    <w:rsid w:val="00C53FF6"/>
    <w:rsid w:val="00C54C75"/>
    <w:rsid w:val="00C56B06"/>
    <w:rsid w:val="00C615C2"/>
    <w:rsid w:val="00C64CBA"/>
    <w:rsid w:val="00C74F93"/>
    <w:rsid w:val="00C77842"/>
    <w:rsid w:val="00C855FB"/>
    <w:rsid w:val="00C906A6"/>
    <w:rsid w:val="00C90FF9"/>
    <w:rsid w:val="00C94D0C"/>
    <w:rsid w:val="00C95616"/>
    <w:rsid w:val="00CA40A3"/>
    <w:rsid w:val="00CA548C"/>
    <w:rsid w:val="00CB4D0B"/>
    <w:rsid w:val="00CB55F9"/>
    <w:rsid w:val="00CC30CB"/>
    <w:rsid w:val="00CC7685"/>
    <w:rsid w:val="00CC7AEB"/>
    <w:rsid w:val="00CD0984"/>
    <w:rsid w:val="00CD146F"/>
    <w:rsid w:val="00CD77FD"/>
    <w:rsid w:val="00CE4F42"/>
    <w:rsid w:val="00CF0CF0"/>
    <w:rsid w:val="00CF45A4"/>
    <w:rsid w:val="00D06C9F"/>
    <w:rsid w:val="00D11D19"/>
    <w:rsid w:val="00D14EA3"/>
    <w:rsid w:val="00D17AC6"/>
    <w:rsid w:val="00D21129"/>
    <w:rsid w:val="00D34C47"/>
    <w:rsid w:val="00D361A9"/>
    <w:rsid w:val="00D366DA"/>
    <w:rsid w:val="00D4119E"/>
    <w:rsid w:val="00D4208F"/>
    <w:rsid w:val="00D43727"/>
    <w:rsid w:val="00D53F46"/>
    <w:rsid w:val="00D563C7"/>
    <w:rsid w:val="00D655F5"/>
    <w:rsid w:val="00D809B2"/>
    <w:rsid w:val="00D85B52"/>
    <w:rsid w:val="00DA010E"/>
    <w:rsid w:val="00DB01D6"/>
    <w:rsid w:val="00DB4F8C"/>
    <w:rsid w:val="00DC2764"/>
    <w:rsid w:val="00DD1C3A"/>
    <w:rsid w:val="00DD68D9"/>
    <w:rsid w:val="00DD6ADF"/>
    <w:rsid w:val="00DD6B81"/>
    <w:rsid w:val="00DE0589"/>
    <w:rsid w:val="00DE3871"/>
    <w:rsid w:val="00DF0E4D"/>
    <w:rsid w:val="00DF1C36"/>
    <w:rsid w:val="00E019EB"/>
    <w:rsid w:val="00E12201"/>
    <w:rsid w:val="00E20A5C"/>
    <w:rsid w:val="00E21448"/>
    <w:rsid w:val="00E23528"/>
    <w:rsid w:val="00E42B4A"/>
    <w:rsid w:val="00E505BE"/>
    <w:rsid w:val="00E51BFC"/>
    <w:rsid w:val="00E55D97"/>
    <w:rsid w:val="00E63DC3"/>
    <w:rsid w:val="00E73294"/>
    <w:rsid w:val="00E77748"/>
    <w:rsid w:val="00E81419"/>
    <w:rsid w:val="00E8163D"/>
    <w:rsid w:val="00E8228E"/>
    <w:rsid w:val="00E87E24"/>
    <w:rsid w:val="00EA77F9"/>
    <w:rsid w:val="00EB3D7E"/>
    <w:rsid w:val="00EB45E1"/>
    <w:rsid w:val="00EB5348"/>
    <w:rsid w:val="00EB56A2"/>
    <w:rsid w:val="00EB5716"/>
    <w:rsid w:val="00EB7552"/>
    <w:rsid w:val="00EC039F"/>
    <w:rsid w:val="00EC79B2"/>
    <w:rsid w:val="00ED16BF"/>
    <w:rsid w:val="00ED2980"/>
    <w:rsid w:val="00EE3C6A"/>
    <w:rsid w:val="00EE61D3"/>
    <w:rsid w:val="00EF195D"/>
    <w:rsid w:val="00EF5CAA"/>
    <w:rsid w:val="00EF7EE1"/>
    <w:rsid w:val="00F02F0F"/>
    <w:rsid w:val="00F10C19"/>
    <w:rsid w:val="00F17F9E"/>
    <w:rsid w:val="00F23E73"/>
    <w:rsid w:val="00F303C7"/>
    <w:rsid w:val="00F30B63"/>
    <w:rsid w:val="00F321DE"/>
    <w:rsid w:val="00F41E0E"/>
    <w:rsid w:val="00F44D45"/>
    <w:rsid w:val="00F45C6C"/>
    <w:rsid w:val="00F50489"/>
    <w:rsid w:val="00F51ABE"/>
    <w:rsid w:val="00F563CB"/>
    <w:rsid w:val="00F62EB9"/>
    <w:rsid w:val="00F65209"/>
    <w:rsid w:val="00F670A3"/>
    <w:rsid w:val="00F6788F"/>
    <w:rsid w:val="00F93D83"/>
    <w:rsid w:val="00F97477"/>
    <w:rsid w:val="00F97D20"/>
    <w:rsid w:val="00FA0788"/>
    <w:rsid w:val="00FA3E69"/>
    <w:rsid w:val="00FA526E"/>
    <w:rsid w:val="00FB161A"/>
    <w:rsid w:val="00FE1F60"/>
    <w:rsid w:val="00FE406F"/>
    <w:rsid w:val="00FE6CE2"/>
    <w:rsid w:val="00FF04DA"/>
    <w:rsid w:val="017B5688"/>
    <w:rsid w:val="018C1895"/>
    <w:rsid w:val="01972E56"/>
    <w:rsid w:val="025F0B06"/>
    <w:rsid w:val="026043E7"/>
    <w:rsid w:val="02CB3234"/>
    <w:rsid w:val="03165668"/>
    <w:rsid w:val="03696720"/>
    <w:rsid w:val="036E49E1"/>
    <w:rsid w:val="03904983"/>
    <w:rsid w:val="03CB16C5"/>
    <w:rsid w:val="04E23606"/>
    <w:rsid w:val="053E1658"/>
    <w:rsid w:val="05432019"/>
    <w:rsid w:val="056621AB"/>
    <w:rsid w:val="06707908"/>
    <w:rsid w:val="069C40D7"/>
    <w:rsid w:val="07623E7D"/>
    <w:rsid w:val="078828AD"/>
    <w:rsid w:val="07D875E5"/>
    <w:rsid w:val="07DB21CB"/>
    <w:rsid w:val="092E1232"/>
    <w:rsid w:val="09306D58"/>
    <w:rsid w:val="09B34BB8"/>
    <w:rsid w:val="0A6A629A"/>
    <w:rsid w:val="0A856C30"/>
    <w:rsid w:val="0AB3789B"/>
    <w:rsid w:val="0AE73BEA"/>
    <w:rsid w:val="0AF10769"/>
    <w:rsid w:val="0B772A1C"/>
    <w:rsid w:val="0BC35C62"/>
    <w:rsid w:val="0D0273AB"/>
    <w:rsid w:val="0D5F7C0C"/>
    <w:rsid w:val="0D6B035F"/>
    <w:rsid w:val="0DAD5625"/>
    <w:rsid w:val="0E3966AF"/>
    <w:rsid w:val="0E625C06"/>
    <w:rsid w:val="0EA24254"/>
    <w:rsid w:val="0F0525C2"/>
    <w:rsid w:val="0F36499C"/>
    <w:rsid w:val="0F44355D"/>
    <w:rsid w:val="0FF527F6"/>
    <w:rsid w:val="101300BD"/>
    <w:rsid w:val="10AC6A1D"/>
    <w:rsid w:val="11803044"/>
    <w:rsid w:val="123A0C48"/>
    <w:rsid w:val="1246139A"/>
    <w:rsid w:val="12484BE2"/>
    <w:rsid w:val="128D6FC9"/>
    <w:rsid w:val="13A871E9"/>
    <w:rsid w:val="1444633F"/>
    <w:rsid w:val="14CB3DD9"/>
    <w:rsid w:val="14E75183"/>
    <w:rsid w:val="158A3C94"/>
    <w:rsid w:val="15F66C34"/>
    <w:rsid w:val="164666A6"/>
    <w:rsid w:val="16B5089D"/>
    <w:rsid w:val="173659C2"/>
    <w:rsid w:val="17D11706"/>
    <w:rsid w:val="18362936"/>
    <w:rsid w:val="184719C8"/>
    <w:rsid w:val="184E1A57"/>
    <w:rsid w:val="18A60DE5"/>
    <w:rsid w:val="18B76B4E"/>
    <w:rsid w:val="19793E03"/>
    <w:rsid w:val="198E5CD8"/>
    <w:rsid w:val="198F0819"/>
    <w:rsid w:val="19BC0005"/>
    <w:rsid w:val="19E27BFB"/>
    <w:rsid w:val="1A197394"/>
    <w:rsid w:val="1A9A6727"/>
    <w:rsid w:val="1AD6357B"/>
    <w:rsid w:val="1B1262BE"/>
    <w:rsid w:val="1BA50EE0"/>
    <w:rsid w:val="1C281B11"/>
    <w:rsid w:val="1CC40332"/>
    <w:rsid w:val="1E731769"/>
    <w:rsid w:val="1F02489B"/>
    <w:rsid w:val="1F4E5D32"/>
    <w:rsid w:val="1F6602D7"/>
    <w:rsid w:val="207812B9"/>
    <w:rsid w:val="20B45646"/>
    <w:rsid w:val="20B6593D"/>
    <w:rsid w:val="21FE03AF"/>
    <w:rsid w:val="221700ED"/>
    <w:rsid w:val="22370D00"/>
    <w:rsid w:val="22460F43"/>
    <w:rsid w:val="23855F5A"/>
    <w:rsid w:val="23AF6207"/>
    <w:rsid w:val="23BD6FE3"/>
    <w:rsid w:val="23D20CE0"/>
    <w:rsid w:val="241C75F2"/>
    <w:rsid w:val="2492046F"/>
    <w:rsid w:val="24E940BD"/>
    <w:rsid w:val="258C4EBE"/>
    <w:rsid w:val="25D21167"/>
    <w:rsid w:val="25EF06A5"/>
    <w:rsid w:val="263A491A"/>
    <w:rsid w:val="263B7010"/>
    <w:rsid w:val="26722306"/>
    <w:rsid w:val="26FD42C6"/>
    <w:rsid w:val="27244C60"/>
    <w:rsid w:val="274517C9"/>
    <w:rsid w:val="27FF6A4F"/>
    <w:rsid w:val="289C1917"/>
    <w:rsid w:val="28B409B4"/>
    <w:rsid w:val="29115E06"/>
    <w:rsid w:val="29E96D83"/>
    <w:rsid w:val="2A3D0E7D"/>
    <w:rsid w:val="2A7A4E70"/>
    <w:rsid w:val="2A8940C2"/>
    <w:rsid w:val="2A9767DF"/>
    <w:rsid w:val="2AD52E64"/>
    <w:rsid w:val="2ADD1C95"/>
    <w:rsid w:val="2C012824"/>
    <w:rsid w:val="2C2E2368"/>
    <w:rsid w:val="2C3F1E8C"/>
    <w:rsid w:val="2C545CF6"/>
    <w:rsid w:val="2D8F379E"/>
    <w:rsid w:val="2E224612"/>
    <w:rsid w:val="2EFC4E63"/>
    <w:rsid w:val="2F0A0C8E"/>
    <w:rsid w:val="2F3A598B"/>
    <w:rsid w:val="2F3B2C46"/>
    <w:rsid w:val="2F9F78B1"/>
    <w:rsid w:val="2FCC6F2B"/>
    <w:rsid w:val="30221FB4"/>
    <w:rsid w:val="30963095"/>
    <w:rsid w:val="31B15667"/>
    <w:rsid w:val="31D10FF3"/>
    <w:rsid w:val="324234D5"/>
    <w:rsid w:val="339715FE"/>
    <w:rsid w:val="342B6231"/>
    <w:rsid w:val="34BF705E"/>
    <w:rsid w:val="34E56399"/>
    <w:rsid w:val="35702107"/>
    <w:rsid w:val="35B244CD"/>
    <w:rsid w:val="36806D1D"/>
    <w:rsid w:val="37C13C9D"/>
    <w:rsid w:val="37E56DDC"/>
    <w:rsid w:val="38AF6981"/>
    <w:rsid w:val="38B8629F"/>
    <w:rsid w:val="39BC7E91"/>
    <w:rsid w:val="3A3D6D67"/>
    <w:rsid w:val="3A640028"/>
    <w:rsid w:val="3A9D573E"/>
    <w:rsid w:val="3B0B739D"/>
    <w:rsid w:val="3B4F53FD"/>
    <w:rsid w:val="3BBE7635"/>
    <w:rsid w:val="3BF70E8C"/>
    <w:rsid w:val="3C8E444E"/>
    <w:rsid w:val="3CD43C71"/>
    <w:rsid w:val="3CE440AF"/>
    <w:rsid w:val="3CEE6712"/>
    <w:rsid w:val="3CF13D46"/>
    <w:rsid w:val="3DA70690"/>
    <w:rsid w:val="3E703177"/>
    <w:rsid w:val="3E86529B"/>
    <w:rsid w:val="3F073ADC"/>
    <w:rsid w:val="3F206224"/>
    <w:rsid w:val="3F6B4B32"/>
    <w:rsid w:val="3F8F762D"/>
    <w:rsid w:val="40A351F4"/>
    <w:rsid w:val="40DB5220"/>
    <w:rsid w:val="40E37C31"/>
    <w:rsid w:val="412479F7"/>
    <w:rsid w:val="412B12FB"/>
    <w:rsid w:val="422E312E"/>
    <w:rsid w:val="42440BA3"/>
    <w:rsid w:val="42892A5A"/>
    <w:rsid w:val="437454B8"/>
    <w:rsid w:val="442944F4"/>
    <w:rsid w:val="448D05FC"/>
    <w:rsid w:val="44CD30D2"/>
    <w:rsid w:val="45575091"/>
    <w:rsid w:val="46195EA3"/>
    <w:rsid w:val="46401681"/>
    <w:rsid w:val="46587D6C"/>
    <w:rsid w:val="4711482A"/>
    <w:rsid w:val="47332F94"/>
    <w:rsid w:val="47356B05"/>
    <w:rsid w:val="47370C23"/>
    <w:rsid w:val="478D7C2E"/>
    <w:rsid w:val="47990211"/>
    <w:rsid w:val="47C3256A"/>
    <w:rsid w:val="47DF0138"/>
    <w:rsid w:val="4812529F"/>
    <w:rsid w:val="482F19AD"/>
    <w:rsid w:val="485B27A2"/>
    <w:rsid w:val="486C49B0"/>
    <w:rsid w:val="49DD673C"/>
    <w:rsid w:val="4A206A16"/>
    <w:rsid w:val="4AB45B59"/>
    <w:rsid w:val="4ACE1952"/>
    <w:rsid w:val="4B15399D"/>
    <w:rsid w:val="4B517FDE"/>
    <w:rsid w:val="4B716C29"/>
    <w:rsid w:val="4CDB2104"/>
    <w:rsid w:val="4D265A75"/>
    <w:rsid w:val="4D3418DA"/>
    <w:rsid w:val="4DD107D2"/>
    <w:rsid w:val="4DEA5270"/>
    <w:rsid w:val="4EE81E90"/>
    <w:rsid w:val="4EED3F2E"/>
    <w:rsid w:val="4EFB4CDF"/>
    <w:rsid w:val="4F2A1121"/>
    <w:rsid w:val="4F4A3571"/>
    <w:rsid w:val="50AD2009"/>
    <w:rsid w:val="534B1803"/>
    <w:rsid w:val="53933738"/>
    <w:rsid w:val="53F52E26"/>
    <w:rsid w:val="541E53A4"/>
    <w:rsid w:val="545821FD"/>
    <w:rsid w:val="547A66A6"/>
    <w:rsid w:val="55A10325"/>
    <w:rsid w:val="55B05857"/>
    <w:rsid w:val="55CE6CAA"/>
    <w:rsid w:val="55DB65AE"/>
    <w:rsid w:val="567B1298"/>
    <w:rsid w:val="573A23FB"/>
    <w:rsid w:val="576C0528"/>
    <w:rsid w:val="578C61FE"/>
    <w:rsid w:val="594B23BF"/>
    <w:rsid w:val="5A4F15C4"/>
    <w:rsid w:val="5A7D47FA"/>
    <w:rsid w:val="5B726329"/>
    <w:rsid w:val="5B85605C"/>
    <w:rsid w:val="5B9D04F6"/>
    <w:rsid w:val="5C0C0B0B"/>
    <w:rsid w:val="5CA23C7B"/>
    <w:rsid w:val="5CB07109"/>
    <w:rsid w:val="5D0B2591"/>
    <w:rsid w:val="5D3C099D"/>
    <w:rsid w:val="5E2D6537"/>
    <w:rsid w:val="5EDA046D"/>
    <w:rsid w:val="5EF6599C"/>
    <w:rsid w:val="5FCF3D4A"/>
    <w:rsid w:val="5FE97DAA"/>
    <w:rsid w:val="602821E6"/>
    <w:rsid w:val="60732927"/>
    <w:rsid w:val="60B052B6"/>
    <w:rsid w:val="60C211B9"/>
    <w:rsid w:val="61687413"/>
    <w:rsid w:val="61A22D98"/>
    <w:rsid w:val="61AF1358"/>
    <w:rsid w:val="62BB6808"/>
    <w:rsid w:val="6330492C"/>
    <w:rsid w:val="64281C7B"/>
    <w:rsid w:val="648F5856"/>
    <w:rsid w:val="6494654B"/>
    <w:rsid w:val="65156747"/>
    <w:rsid w:val="65164B45"/>
    <w:rsid w:val="65402FF4"/>
    <w:rsid w:val="65434337"/>
    <w:rsid w:val="65E676F8"/>
    <w:rsid w:val="68014CBD"/>
    <w:rsid w:val="68D91796"/>
    <w:rsid w:val="69825989"/>
    <w:rsid w:val="6A5C61DA"/>
    <w:rsid w:val="6B3D425E"/>
    <w:rsid w:val="6B8579B3"/>
    <w:rsid w:val="6BD83249"/>
    <w:rsid w:val="6BE40B7D"/>
    <w:rsid w:val="6C12412D"/>
    <w:rsid w:val="6C30791F"/>
    <w:rsid w:val="6CE07597"/>
    <w:rsid w:val="6DA000E0"/>
    <w:rsid w:val="6EAE093D"/>
    <w:rsid w:val="6ED76777"/>
    <w:rsid w:val="6EE306E9"/>
    <w:rsid w:val="6F106A8F"/>
    <w:rsid w:val="6F1C1487"/>
    <w:rsid w:val="6F3538EF"/>
    <w:rsid w:val="6F781A2D"/>
    <w:rsid w:val="6FC22F83"/>
    <w:rsid w:val="701E3040"/>
    <w:rsid w:val="70351EB5"/>
    <w:rsid w:val="70E21403"/>
    <w:rsid w:val="714605A4"/>
    <w:rsid w:val="716A2049"/>
    <w:rsid w:val="717C2E0B"/>
    <w:rsid w:val="71A37E47"/>
    <w:rsid w:val="72086C48"/>
    <w:rsid w:val="72CB733B"/>
    <w:rsid w:val="72DB63C7"/>
    <w:rsid w:val="73025D8D"/>
    <w:rsid w:val="7419513C"/>
    <w:rsid w:val="746A1E3C"/>
    <w:rsid w:val="74AD4072"/>
    <w:rsid w:val="74F87447"/>
    <w:rsid w:val="754B57C9"/>
    <w:rsid w:val="758B25E9"/>
    <w:rsid w:val="764C5733"/>
    <w:rsid w:val="768052EC"/>
    <w:rsid w:val="76BA547C"/>
    <w:rsid w:val="76BD44A5"/>
    <w:rsid w:val="76FF4ABD"/>
    <w:rsid w:val="77324E93"/>
    <w:rsid w:val="773C1E6E"/>
    <w:rsid w:val="776B6BD0"/>
    <w:rsid w:val="779B562B"/>
    <w:rsid w:val="77A411C1"/>
    <w:rsid w:val="77A64F39"/>
    <w:rsid w:val="78C84C94"/>
    <w:rsid w:val="797535A9"/>
    <w:rsid w:val="79927E6B"/>
    <w:rsid w:val="79EC7CAE"/>
    <w:rsid w:val="7A5E5F9F"/>
    <w:rsid w:val="7A792AB0"/>
    <w:rsid w:val="7ABB2CBA"/>
    <w:rsid w:val="7ABC1AED"/>
    <w:rsid w:val="7ACC115A"/>
    <w:rsid w:val="7B084A14"/>
    <w:rsid w:val="7B4069D8"/>
    <w:rsid w:val="7B430CF1"/>
    <w:rsid w:val="7B783090"/>
    <w:rsid w:val="7BA21EBB"/>
    <w:rsid w:val="7BFC5A6F"/>
    <w:rsid w:val="7C5B09E8"/>
    <w:rsid w:val="7CAC4242"/>
    <w:rsid w:val="7D036989"/>
    <w:rsid w:val="7D0D160C"/>
    <w:rsid w:val="7D0E21AB"/>
    <w:rsid w:val="7D456FA2"/>
    <w:rsid w:val="7D493B5B"/>
    <w:rsid w:val="7D4A280A"/>
    <w:rsid w:val="7DD81BC4"/>
    <w:rsid w:val="7E0C73F1"/>
    <w:rsid w:val="7E4234E1"/>
    <w:rsid w:val="7E5F5EB7"/>
    <w:rsid w:val="7ED07BE5"/>
    <w:rsid w:val="7F473AE0"/>
    <w:rsid w:val="7FB328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2"/>
        <o:r id="V:Rule2" type="connector" idref="#_x0000_s2053"/>
        <o:r id="V:Rule3" type="connector" idref="#_x0000_s2057"/>
        <o:r id="V:Rule4" type="connector" idref="#_x0000_s2058"/>
        <o:r id="V:Rule5" type="connector" idref="#_x0000_s2060"/>
        <o:r id="V:Rule6" type="connector" idref="#_x0000_s2061"/>
        <o:r id="V:Rule7" type="connector" idref="#_x0000_s2062"/>
        <o:r id="V:Rule8" type="connector" idref="#_x0000_s2065"/>
        <o:r id="V:Rule9" type="connector" idref="#_x0000_s2067"/>
        <o:r id="V:Rule10" type="connector" idref="#_x0000_s2070"/>
        <o:r id="V:Rule11" type="connector" idref="#_x0000_s2073"/>
        <o:r id="V:Rule12" type="connector" idref="#_x0000_s2074"/>
        <o:r id="V:Rule13" type="connector" idref="#_x0000_s2076"/>
        <o:r id="V:Rule14" type="connector" idref="#_x0000_s2078"/>
        <o:r id="V:Rule15" type="connector" idref="#_x0000_s2079">
          <o:proxy start="" idref="#_x0000_s2056" connectloc="3"/>
          <o:proxy end="" idref="#_x0000_s2054" connectloc="1"/>
        </o:r>
        <o:r id="V:Rule16" type="connector" idref="#_x0000_s2081"/>
        <o:r id="V:Rule17" type="connector" idref="#_x0000_s2085"/>
        <o:r id="V:Rule18" type="connector" idref="#_x0000_s2094">
          <o:proxy start="" idref="#_x0000_s2089" connectloc="2"/>
        </o:r>
        <o:r id="V:Rule19" type="connector" idref="#_x0000_s2095"/>
        <o:r id="V:Rule20" type="connector" idref="#_x0000_s2098"/>
        <o:r id="V:Rule21" type="connector" idref="#_x0000_s2099"/>
        <o:r id="V:Rule22" type="connector" idref="#_x0000_s2101"/>
        <o:r id="V:Rule23" type="connector" idref="#_x0000_s2104"/>
        <o:r id="V:Rule24" type="connector" idref="#_x0000_s2106"/>
        <o:r id="V:Rule25" type="connector" idref="#_x0000_s2107"/>
        <o:r id="V:Rule26" type="connector" idref="#_x0000_s2108"/>
        <o:r id="V:Rule27" type="connector" idref="#_x0000_s2114"/>
        <o:r id="V:Rule28" type="connector" idref="#_x0000_s2116"/>
        <o:r id="V:Rule29" type="connector" idref="#_x0000_s2117"/>
        <o:r id="V:Rule30" type="connector" idref="#_x0000_s2120"/>
        <o:r id="V:Rule31" type="connector" idref="#_x0000_s2121"/>
        <o:r id="V:Rule32" type="connector" idref="#_x0000_s2122"/>
        <o:r id="V:Rule33" type="connector" idref="#_x0000_s2124"/>
        <o:r id="V:Rule34" type="connector" idref="#_x0000_s2125"/>
        <o:r id="V:Rule35" type="connector" idref="#_x0000_s2127"/>
        <o:r id="V:Rule36" type="connector" idref="#_x0000_s212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3"/>
    <w:next w:val="1"/>
    <w:qFormat/>
    <w:uiPriority w:val="0"/>
    <w:pPr>
      <w:keepNext/>
      <w:keepLines/>
      <w:spacing w:before="340" w:after="330" w:line="576" w:lineRule="auto"/>
      <w:outlineLvl w:val="0"/>
    </w:pPr>
    <w:rPr>
      <w:kern w:val="44"/>
      <w:sz w:val="44"/>
    </w:rPr>
  </w:style>
  <w:style w:type="paragraph" w:styleId="4">
    <w:name w:val="heading 2"/>
    <w:basedOn w:val="1"/>
    <w:next w:val="1"/>
    <w:qFormat/>
    <w:uiPriority w:val="0"/>
    <w:pPr>
      <w:keepNext/>
      <w:keepLines/>
      <w:spacing w:before="260" w:after="260" w:line="416" w:lineRule="auto"/>
      <w:outlineLvl w:val="1"/>
    </w:pPr>
    <w:rPr>
      <w:rFonts w:ascii="Cambria" w:hAnsi="Cambria"/>
      <w:b/>
      <w:bCs/>
      <w:sz w:val="32"/>
      <w:szCs w:val="32"/>
    </w:rPr>
  </w:style>
  <w:style w:type="paragraph" w:styleId="3">
    <w:name w:val="heading 3"/>
    <w:basedOn w:val="1"/>
    <w:next w:val="1"/>
    <w:link w:val="65"/>
    <w:qFormat/>
    <w:uiPriority w:val="9"/>
    <w:pPr>
      <w:spacing w:line="480" w:lineRule="exact"/>
      <w:outlineLvl w:val="2"/>
    </w:pPr>
    <w:rPr>
      <w:rFonts w:ascii="Times New Roman" w:hAnsi="Times New Roman"/>
      <w:b/>
      <w:bCs/>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link w:val="59"/>
    <w:qFormat/>
    <w:uiPriority w:val="0"/>
    <w:pPr>
      <w:ind w:firstLine="420" w:firstLineChars="200"/>
    </w:pPr>
  </w:style>
  <w:style w:type="paragraph" w:customStyle="1" w:styleId="6">
    <w:name w:val="样式 正文文本 + 首行缩进:  2 字符"/>
    <w:basedOn w:val="7"/>
    <w:next w:val="1"/>
    <w:qFormat/>
    <w:uiPriority w:val="99"/>
    <w:pPr>
      <w:spacing w:after="200" w:line="480" w:lineRule="exact"/>
      <w:ind w:firstLine="480" w:firstLineChars="200"/>
    </w:pPr>
    <w:rPr>
      <w:rFonts w:ascii="宋体" w:hAnsi="宋体"/>
      <w:sz w:val="24"/>
    </w:rPr>
  </w:style>
  <w:style w:type="paragraph" w:styleId="7">
    <w:name w:val="Body Text"/>
    <w:basedOn w:val="1"/>
    <w:next w:val="8"/>
    <w:link w:val="62"/>
    <w:qFormat/>
    <w:uiPriority w:val="0"/>
    <w:pPr>
      <w:widowControl/>
      <w:snapToGrid w:val="0"/>
      <w:spacing w:before="60" w:after="160" w:line="259" w:lineRule="auto"/>
      <w:ind w:right="113"/>
    </w:pPr>
    <w:rPr>
      <w:kern w:val="0"/>
      <w:sz w:val="18"/>
      <w:szCs w:val="20"/>
    </w:rPr>
  </w:style>
  <w:style w:type="paragraph" w:customStyle="1" w:styleId="8">
    <w:name w:val="style4"/>
    <w:basedOn w:val="1"/>
    <w:next w:val="9"/>
    <w:qFormat/>
    <w:uiPriority w:val="0"/>
    <w:pPr>
      <w:widowControl/>
      <w:spacing w:before="280" w:after="280"/>
    </w:pPr>
    <w:rPr>
      <w:rFonts w:ascii="宋体"/>
      <w:sz w:val="18"/>
    </w:rPr>
  </w:style>
  <w:style w:type="paragraph" w:customStyle="1" w:styleId="9">
    <w:name w:val="2"/>
    <w:basedOn w:val="1"/>
    <w:next w:val="1"/>
    <w:qFormat/>
    <w:uiPriority w:val="0"/>
  </w:style>
  <w:style w:type="paragraph" w:styleId="10">
    <w:name w:val="Document Map"/>
    <w:basedOn w:val="1"/>
    <w:link w:val="51"/>
    <w:qFormat/>
    <w:uiPriority w:val="0"/>
    <w:rPr>
      <w:rFonts w:ascii="宋体"/>
      <w:sz w:val="18"/>
      <w:szCs w:val="18"/>
    </w:rPr>
  </w:style>
  <w:style w:type="paragraph" w:styleId="11">
    <w:name w:val="annotation text"/>
    <w:basedOn w:val="1"/>
    <w:qFormat/>
    <w:uiPriority w:val="0"/>
    <w:pPr>
      <w:jc w:val="left"/>
    </w:pPr>
    <w:rPr>
      <w:kern w:val="0"/>
      <w:sz w:val="24"/>
      <w:szCs w:val="20"/>
    </w:rPr>
  </w:style>
  <w:style w:type="paragraph" w:styleId="12">
    <w:name w:val="Body Text Indent"/>
    <w:basedOn w:val="1"/>
    <w:qFormat/>
    <w:uiPriority w:val="0"/>
    <w:pPr>
      <w:spacing w:after="120"/>
      <w:ind w:left="420" w:leftChars="200"/>
    </w:pPr>
    <w:rPr>
      <w:kern w:val="0"/>
      <w:sz w:val="24"/>
      <w:szCs w:val="20"/>
    </w:rPr>
  </w:style>
  <w:style w:type="paragraph" w:styleId="13">
    <w:name w:val="Block Text"/>
    <w:basedOn w:val="1"/>
    <w:next w:val="7"/>
    <w:unhideWhenUsed/>
    <w:qFormat/>
    <w:uiPriority w:val="99"/>
    <w:pPr>
      <w:adjustRightInd w:val="0"/>
      <w:snapToGrid w:val="0"/>
      <w:spacing w:line="440" w:lineRule="exact"/>
      <w:ind w:left="402" w:right="108" w:firstLine="450"/>
    </w:pPr>
    <w:rPr>
      <w:rFonts w:ascii="宋体" w:hAnsi="宋体"/>
      <w:sz w:val="24"/>
      <w:szCs w:val="20"/>
    </w:rPr>
  </w:style>
  <w:style w:type="paragraph" w:styleId="14">
    <w:name w:val="Plain Text"/>
    <w:basedOn w:val="1"/>
    <w:next w:val="15"/>
    <w:link w:val="57"/>
    <w:qFormat/>
    <w:uiPriority w:val="0"/>
    <w:rPr>
      <w:rFonts w:ascii="宋体" w:hAnsi="Courier New" w:cs="Courier New"/>
      <w:szCs w:val="21"/>
    </w:rPr>
  </w:style>
  <w:style w:type="paragraph" w:customStyle="1" w:styleId="15">
    <w:name w:val="正本"/>
    <w:basedOn w:val="1"/>
    <w:qFormat/>
    <w:uiPriority w:val="0"/>
    <w:pPr>
      <w:adjustRightInd w:val="0"/>
      <w:snapToGrid w:val="0"/>
      <w:spacing w:line="360" w:lineRule="auto"/>
      <w:ind w:firstLine="200" w:firstLineChars="200"/>
    </w:pPr>
    <w:rPr>
      <w:rFonts w:ascii="宋体"/>
      <w:sz w:val="24"/>
    </w:rPr>
  </w:style>
  <w:style w:type="paragraph" w:styleId="16">
    <w:name w:val="toc 8"/>
    <w:basedOn w:val="1"/>
    <w:next w:val="1"/>
    <w:unhideWhenUsed/>
    <w:qFormat/>
    <w:uiPriority w:val="39"/>
    <w:pPr>
      <w:ind w:left="1470"/>
      <w:jc w:val="left"/>
    </w:pPr>
    <w:rPr>
      <w:rFonts w:cs="Calibri"/>
      <w:sz w:val="18"/>
      <w:szCs w:val="18"/>
    </w:rPr>
  </w:style>
  <w:style w:type="paragraph" w:styleId="17">
    <w:name w:val="Balloon Text"/>
    <w:basedOn w:val="1"/>
    <w:link w:val="35"/>
    <w:qFormat/>
    <w:uiPriority w:val="0"/>
    <w:rPr>
      <w:sz w:val="18"/>
      <w:szCs w:val="18"/>
    </w:rPr>
  </w:style>
  <w:style w:type="paragraph" w:styleId="18">
    <w:name w:val="footer"/>
    <w:basedOn w:val="1"/>
    <w:link w:val="36"/>
    <w:qFormat/>
    <w:uiPriority w:val="0"/>
    <w:pPr>
      <w:tabs>
        <w:tab w:val="center" w:pos="4153"/>
        <w:tab w:val="right" w:pos="8306"/>
      </w:tabs>
      <w:snapToGrid w:val="0"/>
      <w:jc w:val="left"/>
    </w:pPr>
    <w:rPr>
      <w:sz w:val="18"/>
      <w:szCs w:val="18"/>
    </w:rPr>
  </w:style>
  <w:style w:type="paragraph" w:styleId="19">
    <w:name w:val="header"/>
    <w:basedOn w:val="1"/>
    <w:next w:val="1"/>
    <w:link w:val="37"/>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0"/>
  </w:style>
  <w:style w:type="paragraph" w:styleId="21">
    <w:name w:val="toc 2"/>
    <w:basedOn w:val="1"/>
    <w:next w:val="1"/>
    <w:qFormat/>
    <w:uiPriority w:val="0"/>
    <w:pPr>
      <w:spacing w:line="360" w:lineRule="auto"/>
    </w:pPr>
    <w:rPr>
      <w:rFonts w:ascii="Times New Roman" w:hAnsi="Times New Roman"/>
      <w:sz w:val="30"/>
    </w:rPr>
  </w:style>
  <w:style w:type="paragraph" w:styleId="22">
    <w:name w:val="Body Text 2"/>
    <w:basedOn w:val="1"/>
    <w:unhideWhenUsed/>
    <w:qFormat/>
    <w:uiPriority w:val="99"/>
    <w:pPr>
      <w:spacing w:after="120" w:line="480" w:lineRule="auto"/>
    </w:pPr>
  </w:style>
  <w:style w:type="paragraph" w:styleId="23">
    <w:name w:val="Normal (Web)"/>
    <w:basedOn w:val="1"/>
    <w:next w:val="16"/>
    <w:link w:val="66"/>
    <w:qFormat/>
    <w:uiPriority w:val="0"/>
    <w:pPr>
      <w:widowControl/>
      <w:spacing w:before="100" w:beforeAutospacing="1" w:after="100" w:afterAutospacing="1"/>
      <w:jc w:val="left"/>
    </w:pPr>
    <w:rPr>
      <w:rFonts w:ascii="宋体" w:hAnsi="宋体"/>
      <w:kern w:val="0"/>
      <w:sz w:val="24"/>
      <w:szCs w:val="20"/>
    </w:rPr>
  </w:style>
  <w:style w:type="paragraph" w:styleId="24">
    <w:name w:val="Body Text First Indent"/>
    <w:basedOn w:val="7"/>
    <w:next w:val="25"/>
    <w:qFormat/>
    <w:uiPriority w:val="0"/>
    <w:pPr>
      <w:keepNext w:val="0"/>
      <w:keepLines w:val="0"/>
      <w:widowControl w:val="0"/>
      <w:suppressLineNumbers w:val="0"/>
      <w:spacing w:before="0" w:beforeLines="0" w:beforeAutospacing="0" w:after="120" w:afterLines="0" w:afterAutospacing="0"/>
      <w:ind w:left="0" w:right="0" w:firstLine="420" w:firstLineChars="100"/>
      <w:jc w:val="both"/>
    </w:pPr>
    <w:rPr>
      <w:rFonts w:hint="default" w:ascii="Times New Roman" w:hAnsi="Times New Roman" w:eastAsia="宋体" w:cs="Times New Roman"/>
      <w:kern w:val="2"/>
      <w:sz w:val="21"/>
      <w:szCs w:val="24"/>
      <w:lang w:val="en-US" w:eastAsia="zh-CN" w:bidi="ar"/>
    </w:rPr>
  </w:style>
  <w:style w:type="paragraph" w:styleId="25">
    <w:name w:val="Body Text First Indent 2"/>
    <w:basedOn w:val="12"/>
    <w:next w:val="26"/>
    <w:semiHidden/>
    <w:qFormat/>
    <w:uiPriority w:val="99"/>
    <w:pPr>
      <w:ind w:firstLine="420"/>
    </w:pPr>
  </w:style>
  <w:style w:type="paragraph" w:customStyle="1" w:styleId="26">
    <w:name w:val="Default"/>
    <w:basedOn w:val="27"/>
    <w:next w:val="29"/>
    <w:qFormat/>
    <w:uiPriority w:val="0"/>
    <w:pPr>
      <w:autoSpaceDE w:val="0"/>
      <w:autoSpaceDN w:val="0"/>
    </w:pPr>
    <w:rPr>
      <w:rFonts w:hAnsi="宋体" w:eastAsia="宋体" w:cs="宋体"/>
      <w:color w:val="000000"/>
      <w:sz w:val="24"/>
    </w:rPr>
  </w:style>
  <w:style w:type="paragraph" w:customStyle="1" w:styleId="27">
    <w:name w:val="纯文本1"/>
    <w:basedOn w:val="28"/>
    <w:next w:val="14"/>
    <w:qFormat/>
    <w:uiPriority w:val="0"/>
    <w:pPr>
      <w:adjustRightInd w:val="0"/>
      <w:jc w:val="center"/>
      <w:textAlignment w:val="baseline"/>
    </w:pPr>
    <w:rPr>
      <w:rFonts w:ascii="宋体" w:hAnsi="Courier New"/>
    </w:rPr>
  </w:style>
  <w:style w:type="paragraph" w:customStyle="1" w:styleId="28">
    <w:name w:val="正文_0"/>
    <w:next w:val="27"/>
    <w:qFormat/>
    <w:uiPriority w:val="0"/>
    <w:pPr>
      <w:widowControl w:val="0"/>
      <w:jc w:val="both"/>
    </w:pPr>
    <w:rPr>
      <w:rFonts w:ascii="Calibri" w:hAnsi="Calibri" w:eastAsia="仿宋_GB2312" w:cs="Times New Roman"/>
      <w:kern w:val="2"/>
      <w:sz w:val="32"/>
      <w:szCs w:val="24"/>
      <w:lang w:val="en-US" w:eastAsia="zh-CN" w:bidi="ar-SA"/>
    </w:rPr>
  </w:style>
  <w:style w:type="paragraph" w:customStyle="1" w:styleId="29">
    <w:name w:val="Char Char Char Char Char Char Char Char Char Char Char Char Char"/>
    <w:basedOn w:val="1"/>
    <w:next w:val="30"/>
    <w:qFormat/>
    <w:uiPriority w:val="0"/>
    <w:rPr>
      <w:szCs w:val="20"/>
    </w:rPr>
  </w:style>
  <w:style w:type="paragraph" w:customStyle="1" w:styleId="30">
    <w:name w:val="point101"/>
    <w:basedOn w:val="1"/>
    <w:qFormat/>
    <w:uiPriority w:val="0"/>
    <w:pPr>
      <w:widowControl/>
      <w:spacing w:before="100" w:beforeAutospacing="1" w:after="100" w:afterAutospacing="1" w:line="390" w:lineRule="atLeast"/>
    </w:pPr>
    <w:rPr>
      <w:rFonts w:ascii="宋体" w:hAnsi="宋体" w:cs="宋体"/>
      <w:spacing w:val="5"/>
      <w:sz w:val="18"/>
      <w:szCs w:val="18"/>
    </w:rPr>
  </w:style>
  <w:style w:type="table" w:styleId="32">
    <w:name w:val="Table Grid"/>
    <w:basedOn w:val="3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annotation reference"/>
    <w:qFormat/>
    <w:uiPriority w:val="0"/>
    <w:rPr>
      <w:sz w:val="21"/>
    </w:rPr>
  </w:style>
  <w:style w:type="character" w:customStyle="1" w:styleId="35">
    <w:name w:val="批注框文本 Char"/>
    <w:link w:val="17"/>
    <w:qFormat/>
    <w:uiPriority w:val="0"/>
    <w:rPr>
      <w:rFonts w:ascii="Calibri" w:hAnsi="Calibri"/>
      <w:kern w:val="2"/>
      <w:sz w:val="18"/>
      <w:szCs w:val="18"/>
    </w:rPr>
  </w:style>
  <w:style w:type="character" w:customStyle="1" w:styleId="36">
    <w:name w:val="页脚 Char"/>
    <w:link w:val="18"/>
    <w:qFormat/>
    <w:uiPriority w:val="0"/>
    <w:rPr>
      <w:rFonts w:ascii="Calibri" w:hAnsi="Calibri"/>
      <w:kern w:val="2"/>
      <w:sz w:val="18"/>
      <w:szCs w:val="18"/>
    </w:rPr>
  </w:style>
  <w:style w:type="character" w:customStyle="1" w:styleId="37">
    <w:name w:val="页眉 Char"/>
    <w:link w:val="19"/>
    <w:qFormat/>
    <w:uiPriority w:val="0"/>
    <w:rPr>
      <w:rFonts w:ascii="Calibri" w:hAnsi="Calibri"/>
      <w:kern w:val="2"/>
      <w:sz w:val="18"/>
      <w:szCs w:val="18"/>
    </w:rPr>
  </w:style>
  <w:style w:type="paragraph" w:customStyle="1" w:styleId="38">
    <w:name w:val="WPSOffice手动目录 1"/>
    <w:qFormat/>
    <w:uiPriority w:val="0"/>
    <w:rPr>
      <w:rFonts w:ascii="Times New Roman" w:hAnsi="Times New Roman" w:eastAsia="宋体" w:cs="Times New Roman"/>
      <w:lang w:val="en-US" w:eastAsia="zh-CN" w:bidi="ar-SA"/>
    </w:rPr>
  </w:style>
  <w:style w:type="paragraph" w:customStyle="1" w:styleId="39">
    <w:name w:val="Table Paragraph"/>
    <w:basedOn w:val="1"/>
    <w:qFormat/>
    <w:uiPriority w:val="1"/>
    <w:pPr>
      <w:jc w:val="center"/>
    </w:pPr>
    <w:rPr>
      <w:rFonts w:ascii="宋体" w:hAnsi="宋体" w:cs="宋体"/>
    </w:rPr>
  </w:style>
  <w:style w:type="paragraph" w:customStyle="1" w:styleId="40">
    <w:name w:val="三级标题"/>
    <w:basedOn w:val="1"/>
    <w:next w:val="1"/>
    <w:qFormat/>
    <w:uiPriority w:val="0"/>
    <w:pPr>
      <w:spacing w:line="360" w:lineRule="auto"/>
    </w:pPr>
    <w:rPr>
      <w:rFonts w:ascii="宋体" w:hAnsi="宋体"/>
      <w:sz w:val="24"/>
    </w:rPr>
  </w:style>
  <w:style w:type="paragraph" w:customStyle="1" w:styleId="41">
    <w:name w:val="正文文本1"/>
    <w:basedOn w:val="1"/>
    <w:qFormat/>
    <w:uiPriority w:val="0"/>
    <w:pPr>
      <w:shd w:val="clear" w:color="auto" w:fill="FFFFFF"/>
      <w:spacing w:line="768" w:lineRule="exact"/>
    </w:pPr>
    <w:rPr>
      <w:rFonts w:ascii="MingLiU" w:hAnsi="MingLiU" w:eastAsia="MingLiU" w:cs="MingLiU"/>
      <w:spacing w:val="20"/>
      <w:sz w:val="26"/>
      <w:szCs w:val="26"/>
    </w:rPr>
  </w:style>
  <w:style w:type="paragraph" w:customStyle="1" w:styleId="42">
    <w:name w:val="表格内容"/>
    <w:basedOn w:val="1"/>
    <w:link w:val="63"/>
    <w:qFormat/>
    <w:uiPriority w:val="0"/>
    <w:pPr>
      <w:spacing w:line="360" w:lineRule="exact"/>
      <w:jc w:val="center"/>
    </w:pPr>
    <w:rPr>
      <w:szCs w:val="21"/>
    </w:rPr>
  </w:style>
  <w:style w:type="character" w:customStyle="1" w:styleId="43">
    <w:name w:val="正文文本 + Batang"/>
    <w:qFormat/>
    <w:uiPriority w:val="0"/>
    <w:rPr>
      <w:rFonts w:ascii="Batang" w:hAnsi="Batang" w:eastAsia="Batang" w:cs="Batang"/>
      <w:b/>
      <w:bCs/>
      <w:snapToGrid w:val="0"/>
      <w:color w:val="000000"/>
      <w:spacing w:val="-10"/>
      <w:w w:val="100"/>
      <w:position w:val="0"/>
      <w:sz w:val="26"/>
      <w:szCs w:val="26"/>
      <w:u w:val="none"/>
      <w:lang w:val="zh-CN"/>
    </w:rPr>
  </w:style>
  <w:style w:type="character" w:customStyle="1" w:styleId="44">
    <w:name w:val="font41"/>
    <w:qFormat/>
    <w:uiPriority w:val="0"/>
    <w:rPr>
      <w:rFonts w:hint="eastAsia" w:ascii="宋体" w:hAnsi="宋体" w:eastAsia="宋体" w:cs="宋体"/>
      <w:color w:val="000000"/>
      <w:sz w:val="20"/>
      <w:szCs w:val="20"/>
      <w:u w:val="none"/>
    </w:rPr>
  </w:style>
  <w:style w:type="character" w:customStyle="1" w:styleId="45">
    <w:name w:val="font21"/>
    <w:qFormat/>
    <w:uiPriority w:val="0"/>
    <w:rPr>
      <w:rFonts w:hint="default" w:ascii="Times New Roman" w:hAnsi="Times New Roman" w:cs="Times New Roman"/>
      <w:color w:val="000000"/>
      <w:sz w:val="24"/>
      <w:szCs w:val="24"/>
      <w:u w:val="none"/>
      <w:vertAlign w:val="subscript"/>
    </w:rPr>
  </w:style>
  <w:style w:type="character" w:customStyle="1" w:styleId="46">
    <w:name w:val="font11"/>
    <w:qFormat/>
    <w:uiPriority w:val="0"/>
    <w:rPr>
      <w:rFonts w:hint="eastAsia" w:ascii="宋体" w:hAnsi="宋体" w:eastAsia="宋体" w:cs="宋体"/>
      <w:color w:val="000000"/>
      <w:sz w:val="24"/>
      <w:szCs w:val="24"/>
      <w:u w:val="none"/>
      <w:vertAlign w:val="subscript"/>
    </w:rPr>
  </w:style>
  <w:style w:type="character" w:customStyle="1" w:styleId="47">
    <w:name w:val="font31"/>
    <w:qFormat/>
    <w:uiPriority w:val="0"/>
    <w:rPr>
      <w:rFonts w:hint="default" w:ascii="Times New Roman" w:hAnsi="Times New Roman" w:cs="Times New Roman"/>
      <w:color w:val="000000"/>
      <w:sz w:val="21"/>
      <w:szCs w:val="21"/>
      <w:u w:val="none"/>
    </w:rPr>
  </w:style>
  <w:style w:type="paragraph" w:customStyle="1" w:styleId="48">
    <w:name w:val="正文1"/>
    <w:basedOn w:val="1"/>
    <w:qFormat/>
    <w:uiPriority w:val="99"/>
    <w:pPr>
      <w:adjustRightInd w:val="0"/>
      <w:snapToGrid w:val="0"/>
      <w:spacing w:line="440" w:lineRule="exact"/>
      <w:ind w:firstLine="200" w:firstLineChars="200"/>
    </w:pPr>
    <w:rPr>
      <w:sz w:val="24"/>
      <w:szCs w:val="20"/>
    </w:rPr>
  </w:style>
  <w:style w:type="paragraph" w:customStyle="1" w:styleId="49">
    <w:name w:val="lh-正文-报告表"/>
    <w:basedOn w:val="1"/>
    <w:qFormat/>
    <w:uiPriority w:val="0"/>
    <w:pPr>
      <w:spacing w:line="360" w:lineRule="auto"/>
      <w:ind w:firstLine="480" w:firstLineChars="200"/>
    </w:pPr>
    <w:rPr>
      <w:kern w:val="0"/>
      <w:sz w:val="24"/>
      <w:szCs w:val="21"/>
    </w:rPr>
  </w:style>
  <w:style w:type="paragraph" w:customStyle="1" w:styleId="50">
    <w:name w:val="表格"/>
    <w:basedOn w:val="1"/>
    <w:next w:val="1"/>
    <w:link w:val="53"/>
    <w:qFormat/>
    <w:uiPriority w:val="0"/>
    <w:pPr>
      <w:adjustRightInd w:val="0"/>
      <w:snapToGrid w:val="0"/>
      <w:spacing w:beforeLines="10" w:afterLines="10" w:line="259" w:lineRule="auto"/>
      <w:jc w:val="center"/>
    </w:pPr>
    <w:rPr>
      <w:rFonts w:ascii="宋体"/>
      <w:kern w:val="0"/>
      <w:szCs w:val="20"/>
    </w:rPr>
  </w:style>
  <w:style w:type="character" w:customStyle="1" w:styleId="51">
    <w:name w:val="文档结构图 Char"/>
    <w:basedOn w:val="33"/>
    <w:link w:val="10"/>
    <w:qFormat/>
    <w:uiPriority w:val="0"/>
    <w:rPr>
      <w:rFonts w:ascii="宋体" w:hAnsi="Calibri"/>
      <w:kern w:val="2"/>
      <w:sz w:val="18"/>
      <w:szCs w:val="18"/>
    </w:rPr>
  </w:style>
  <w:style w:type="paragraph" w:styleId="52">
    <w:name w:val="List Paragraph"/>
    <w:basedOn w:val="1"/>
    <w:qFormat/>
    <w:uiPriority w:val="99"/>
    <w:pPr>
      <w:ind w:firstLine="420" w:firstLineChars="200"/>
    </w:pPr>
  </w:style>
  <w:style w:type="character" w:customStyle="1" w:styleId="53">
    <w:name w:val="表格 Char"/>
    <w:link w:val="50"/>
    <w:qFormat/>
    <w:locked/>
    <w:uiPriority w:val="0"/>
    <w:rPr>
      <w:rFonts w:ascii="宋体" w:hAnsi="Calibri"/>
      <w:sz w:val="21"/>
    </w:rPr>
  </w:style>
  <w:style w:type="paragraph" w:customStyle="1" w:styleId="54">
    <w:name w:val="S报告正文"/>
    <w:basedOn w:val="1"/>
    <w:qFormat/>
    <w:uiPriority w:val="0"/>
    <w:pPr>
      <w:adjustRightInd w:val="0"/>
      <w:snapToGrid w:val="0"/>
      <w:spacing w:line="480" w:lineRule="exact"/>
      <w:ind w:firstLine="510"/>
      <w:jc w:val="left"/>
    </w:pPr>
    <w:rPr>
      <w:rFonts w:ascii="Times New Roman" w:hAnsi="Times New Roman"/>
      <w:sz w:val="24"/>
      <w:szCs w:val="24"/>
    </w:rPr>
  </w:style>
  <w:style w:type="paragraph" w:customStyle="1" w:styleId="55">
    <w:name w:val="表格文字"/>
    <w:basedOn w:val="12"/>
    <w:next w:val="1"/>
    <w:link w:val="56"/>
    <w:qFormat/>
    <w:uiPriority w:val="0"/>
    <w:pPr>
      <w:adjustRightInd w:val="0"/>
      <w:snapToGrid w:val="0"/>
      <w:spacing w:beforeLines="20" w:afterLines="20"/>
      <w:ind w:left="0" w:leftChars="0"/>
      <w:jc w:val="center"/>
    </w:pPr>
    <w:rPr>
      <w:rFonts w:ascii="宋体" w:hAnsi="Courier New" w:cs="Courier New"/>
      <w:sz w:val="20"/>
      <w:szCs w:val="21"/>
    </w:rPr>
  </w:style>
  <w:style w:type="character" w:customStyle="1" w:styleId="56">
    <w:name w:val="表格文字 Char"/>
    <w:link w:val="55"/>
    <w:qFormat/>
    <w:uiPriority w:val="0"/>
    <w:rPr>
      <w:rFonts w:ascii="宋体" w:hAnsi="Courier New" w:cs="Courier New"/>
      <w:szCs w:val="21"/>
    </w:rPr>
  </w:style>
  <w:style w:type="character" w:customStyle="1" w:styleId="57">
    <w:name w:val="纯文本 Char"/>
    <w:basedOn w:val="33"/>
    <w:link w:val="14"/>
    <w:qFormat/>
    <w:uiPriority w:val="0"/>
    <w:rPr>
      <w:rFonts w:ascii="宋体" w:hAnsi="Courier New" w:cs="Courier New"/>
      <w:kern w:val="2"/>
      <w:sz w:val="21"/>
      <w:szCs w:val="21"/>
    </w:rPr>
  </w:style>
  <w:style w:type="character" w:customStyle="1" w:styleId="58">
    <w:name w:val="纯文本 Char2"/>
    <w:qFormat/>
    <w:uiPriority w:val="0"/>
    <w:rPr>
      <w:rFonts w:ascii="宋体" w:hAnsi="Courier New"/>
      <w:spacing w:val="5"/>
      <w:kern w:val="2"/>
      <w:sz w:val="25"/>
      <w:szCs w:val="21"/>
    </w:rPr>
  </w:style>
  <w:style w:type="character" w:customStyle="1" w:styleId="59">
    <w:name w:val="正文缩进 Char"/>
    <w:link w:val="5"/>
    <w:qFormat/>
    <w:uiPriority w:val="0"/>
    <w:rPr>
      <w:rFonts w:ascii="Calibri" w:hAnsi="Calibri"/>
      <w:kern w:val="2"/>
      <w:sz w:val="21"/>
      <w:szCs w:val="22"/>
    </w:rPr>
  </w:style>
  <w:style w:type="paragraph" w:customStyle="1" w:styleId="60">
    <w:name w:val="lh-表题--报告表"/>
    <w:basedOn w:val="1"/>
    <w:qFormat/>
    <w:uiPriority w:val="0"/>
    <w:pPr>
      <w:keepNext/>
      <w:widowControl/>
      <w:numPr>
        <w:ilvl w:val="0"/>
        <w:numId w:val="1"/>
      </w:numPr>
      <w:spacing w:beforeLines="50"/>
      <w:jc w:val="center"/>
    </w:pPr>
    <w:rPr>
      <w:rFonts w:ascii="Times New Roman" w:hAnsi="Times New Roman"/>
      <w:snapToGrid w:val="0"/>
      <w:kern w:val="0"/>
      <w:sz w:val="24"/>
      <w:szCs w:val="21"/>
    </w:rPr>
  </w:style>
  <w:style w:type="paragraph" w:customStyle="1" w:styleId="61">
    <w:name w:val="lh-表格文字-报告表"/>
    <w:qFormat/>
    <w:uiPriority w:val="0"/>
    <w:pPr>
      <w:jc w:val="center"/>
    </w:pPr>
    <w:rPr>
      <w:rFonts w:ascii="Times New Roman" w:hAnsi="Times New Roman" w:eastAsia="宋体" w:cs="Times New Roman"/>
      <w:snapToGrid w:val="0"/>
      <w:sz w:val="21"/>
      <w:szCs w:val="24"/>
      <w:lang w:val="en-US" w:eastAsia="zh-CN" w:bidi="ar-SA"/>
    </w:rPr>
  </w:style>
  <w:style w:type="character" w:customStyle="1" w:styleId="62">
    <w:name w:val="正文文本 Char"/>
    <w:link w:val="7"/>
    <w:qFormat/>
    <w:locked/>
    <w:uiPriority w:val="0"/>
    <w:rPr>
      <w:rFonts w:ascii="Calibri" w:hAnsi="Calibri"/>
      <w:sz w:val="18"/>
    </w:rPr>
  </w:style>
  <w:style w:type="character" w:customStyle="1" w:styleId="63">
    <w:name w:val="表格内容 Char"/>
    <w:link w:val="42"/>
    <w:qFormat/>
    <w:locked/>
    <w:uiPriority w:val="0"/>
    <w:rPr>
      <w:rFonts w:ascii="Calibri" w:hAnsi="Calibri"/>
      <w:kern w:val="2"/>
      <w:sz w:val="21"/>
      <w:szCs w:val="21"/>
    </w:rPr>
  </w:style>
  <w:style w:type="paragraph" w:customStyle="1" w:styleId="64">
    <w:name w:val="正文正"/>
    <w:basedOn w:val="1"/>
    <w:qFormat/>
    <w:uiPriority w:val="0"/>
    <w:pPr>
      <w:ind w:firstLine="560" w:firstLineChars="200"/>
    </w:pPr>
    <w:rPr>
      <w:rFonts w:ascii="Times New Roman" w:hAnsi="Times New Roman"/>
      <w:sz w:val="28"/>
      <w:szCs w:val="24"/>
    </w:rPr>
  </w:style>
  <w:style w:type="character" w:customStyle="1" w:styleId="65">
    <w:name w:val="标题 3 Char"/>
    <w:basedOn w:val="33"/>
    <w:link w:val="3"/>
    <w:qFormat/>
    <w:uiPriority w:val="9"/>
    <w:rPr>
      <w:b/>
      <w:bCs/>
      <w:kern w:val="2"/>
      <w:sz w:val="28"/>
      <w:szCs w:val="28"/>
    </w:rPr>
  </w:style>
  <w:style w:type="character" w:customStyle="1" w:styleId="66">
    <w:name w:val="普通(网站) Char"/>
    <w:link w:val="23"/>
    <w:qFormat/>
    <w:uiPriority w:val="0"/>
    <w:rPr>
      <w:rFonts w:ascii="宋体" w:hAnsi="宋体"/>
      <w:sz w:val="24"/>
    </w:rPr>
  </w:style>
  <w:style w:type="character" w:customStyle="1" w:styleId="67">
    <w:name w:val="font61"/>
    <w:basedOn w:val="33"/>
    <w:qFormat/>
    <w:uiPriority w:val="0"/>
    <w:rPr>
      <w:rFonts w:hint="default" w:ascii="Times New Roman" w:hAnsi="Times New Roman" w:cs="Times New Roman"/>
      <w:b/>
      <w:color w:val="000000"/>
      <w:sz w:val="16"/>
      <w:szCs w:val="16"/>
      <w:u w:val="none"/>
    </w:rPr>
  </w:style>
  <w:style w:type="paragraph" w:customStyle="1" w:styleId="68">
    <w:name w:val="p0"/>
    <w:basedOn w:val="1"/>
    <w:qFormat/>
    <w:uiPriority w:val="0"/>
    <w:pPr>
      <w:widowControl/>
    </w:pPr>
    <w:rPr>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NULL"/><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wmf"/><Relationship Id="rId40" Type="http://schemas.openxmlformats.org/officeDocument/2006/relationships/image" Target="media/image25.wmf"/><Relationship Id="rId4" Type="http://schemas.openxmlformats.org/officeDocument/2006/relationships/header" Target="header2.xml"/><Relationship Id="rId39" Type="http://schemas.openxmlformats.org/officeDocument/2006/relationships/image" Target="media/image24.wmf"/><Relationship Id="rId38" Type="http://schemas.openxmlformats.org/officeDocument/2006/relationships/image" Target="media/image23.wmf"/><Relationship Id="rId37" Type="http://schemas.openxmlformats.org/officeDocument/2006/relationships/image" Target="media/image22.wmf"/><Relationship Id="rId36" Type="http://schemas.openxmlformats.org/officeDocument/2006/relationships/image" Target="media/image21.wmf"/><Relationship Id="rId35" Type="http://schemas.openxmlformats.org/officeDocument/2006/relationships/image" Target="media/image20.wmf"/><Relationship Id="rId34" Type="http://schemas.openxmlformats.org/officeDocument/2006/relationships/image" Target="media/image19.wmf"/><Relationship Id="rId33" Type="http://schemas.openxmlformats.org/officeDocument/2006/relationships/image" Target="media/image18.wmf"/><Relationship Id="rId32" Type="http://schemas.openxmlformats.org/officeDocument/2006/relationships/image" Target="media/image17.wmf"/><Relationship Id="rId31" Type="http://schemas.openxmlformats.org/officeDocument/2006/relationships/image" Target="media/image16.wmf"/><Relationship Id="rId30" Type="http://schemas.openxmlformats.org/officeDocument/2006/relationships/image" Target="media/image15.wmf"/><Relationship Id="rId3" Type="http://schemas.openxmlformats.org/officeDocument/2006/relationships/header" Target="header1.xml"/><Relationship Id="rId29" Type="http://schemas.openxmlformats.org/officeDocument/2006/relationships/image" Target="media/image14.wmf"/><Relationship Id="rId28" Type="http://schemas.openxmlformats.org/officeDocument/2006/relationships/image" Target="media/image13.wmf"/><Relationship Id="rId27" Type="http://schemas.openxmlformats.org/officeDocument/2006/relationships/image" Target="media/image12.wmf"/><Relationship Id="rId26" Type="http://schemas.openxmlformats.org/officeDocument/2006/relationships/image" Target="media/image11.wmf"/><Relationship Id="rId25" Type="http://schemas.openxmlformats.org/officeDocument/2006/relationships/image" Target="media/image10.wmf"/><Relationship Id="rId24" Type="http://schemas.openxmlformats.org/officeDocument/2006/relationships/image" Target="media/image9.wmf"/><Relationship Id="rId23" Type="http://schemas.openxmlformats.org/officeDocument/2006/relationships/image" Target="media/image8.wmf"/><Relationship Id="rId22" Type="http://schemas.openxmlformats.org/officeDocument/2006/relationships/image" Target="media/image7.wmf"/><Relationship Id="rId21" Type="http://schemas.openxmlformats.org/officeDocument/2006/relationships/image" Target="media/image6.wmf"/><Relationship Id="rId20" Type="http://schemas.openxmlformats.org/officeDocument/2006/relationships/image" Target="media/image5.wmf"/><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image" Target="media/image3.wmf"/><Relationship Id="rId17" Type="http://schemas.openxmlformats.org/officeDocument/2006/relationships/image" Target="media/image2.wmf"/><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3073"/>
    <customShpInfo spid="_x0000_s3074"/>
    <customShpInfo spid="_x0000_s2050"/>
    <customShpInfo spid="_x0000_s2082"/>
    <customShpInfo spid="_x0000_s2051"/>
    <customShpInfo spid="_x0000_s2054"/>
    <customShpInfo spid="_x0000_s2052"/>
    <customShpInfo spid="_x0000_s2079"/>
    <customShpInfo spid="_x0000_s2057"/>
    <customShpInfo spid="_x0000_s2058"/>
    <customShpInfo spid="_x0000_s2056"/>
    <customShpInfo spid="_x0000_s2063"/>
    <customShpInfo spid="_x0000_s2059"/>
    <customShpInfo spid="_x0000_s2060"/>
    <customShpInfo spid="_x0000_s2061"/>
    <customShpInfo spid="_x0000_s2062"/>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144"/>
    <customShpInfo spid="_x0000_s2053"/>
    <customShpInfo spid="_x0000_s2075"/>
    <customShpInfo spid="_x0000_s2076"/>
    <customShpInfo spid="_x0000_s2077"/>
    <customShpInfo spid="_x0000_s2083"/>
    <customShpInfo spid="_x0000_s2078"/>
    <customShpInfo spid="_x0000_s2080"/>
    <customShpInfo spid="_x0000_s2081"/>
    <customShpInfo spid="_x0000_s2085"/>
    <customShpInfo spid="_x0000_s2084"/>
    <customShpInfo spid="_x0000_s2089"/>
    <customShpInfo spid="_x0000_s2092"/>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3"/>
    <customShpInfo spid="_x0000_s2111"/>
    <customShpInfo spid="_x0000_s2112"/>
    <customShpInfo spid="_x0000_s2114"/>
    <customShpInfo spid="_x0000_s2115"/>
    <customShpInfo spid="_x0000_s2116"/>
    <customShpInfo spid="_x0000_s2117"/>
    <customShpInfo spid="_x0000_s2119"/>
    <customShpInfo spid="_x0000_s2118"/>
    <customShpInfo spid="_x0000_s2120"/>
    <customShpInfo spid="_x0000_s2121"/>
    <customShpInfo spid="_x0000_s2123"/>
    <customShpInfo spid="_x0000_s2122"/>
    <customShpInfo spid="_x0000_s2124"/>
    <customShpInfo spid="_x0000_s2125"/>
    <customShpInfo spid="_x0000_s2126"/>
    <customShpInfo spid="_x0000_s2127"/>
    <customShpInfo spid="_x0000_s2128"/>
    <customShpInfo spid="_x0000_s2129"/>
    <customShpInfo spid="_x0000_s2130"/>
    <customShpInfo spid="_x0000_s2140"/>
    <customShpInfo spid="_x0000_s2139"/>
    <customShpInfo spid="_x0000_s2141"/>
    <customShpInfo spid="_x0000_s2138"/>
    <customShpInfo spid="_x0000_s2131"/>
    <customShpInfo spid="_x0000_s2135"/>
    <customShpInfo spid="_x0000_s2132"/>
    <customShpInfo spid="_x0000_s2137"/>
    <customShpInfo spid="_x0000_s2133"/>
    <customShpInfo spid="_x0000_s2136"/>
    <customShpInfo spid="_x0000_s2142"/>
    <customShpInfo spid="_x0000_s214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E75D31-DBBE-40A3-966E-672103ACF798}">
  <ds:schemaRefs/>
</ds:datastoreItem>
</file>

<file path=docProps/app.xml><?xml version="1.0" encoding="utf-8"?>
<Properties xmlns="http://schemas.openxmlformats.org/officeDocument/2006/extended-properties" xmlns:vt="http://schemas.openxmlformats.org/officeDocument/2006/docPropsVTypes">
  <Template>Normal.dotm</Template>
  <Company>GWM</Company>
  <Pages>75</Pages>
  <Words>22395</Words>
  <Characters>23473</Characters>
  <Lines>80</Lines>
  <Paragraphs>101</Paragraphs>
  <TotalTime>166</TotalTime>
  <ScaleCrop>false</ScaleCrop>
  <LinksUpToDate>false</LinksUpToDate>
  <CharactersWithSpaces>23631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2022-11-09T00:38:00Z</dcterms:created>
  <dc:creator>Administrator</dc:creator>
  <cp:lastModifiedBy>123</cp:lastModifiedBy>
  <cp:lastPrinted>2025-06-04T07:24:00Z</cp:lastPrinted>
  <dcterms:modified xsi:type="dcterms:W3CDTF">2025-06-05T06:14:49Z</dcterms:modified>
  <cp:revision>740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B15210CEA3E743D6AB35E15FD44260AE_13</vt:lpwstr>
  </property>
  <property fmtid="{D5CDD505-2E9C-101B-9397-08002B2CF9AE}" pid="4" name="KSOTemplateDocerSaveRecord">
    <vt:lpwstr>eyJoZGlkIjoiNzBmNTdjNGNiZTdhNDgyODlmMjNhOGE2NzgwZTcyNzEiLCJ1c2VySWQiOiIyNDE3NDc1NjYifQ==</vt:lpwstr>
  </property>
</Properties>
</file>