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78" w:lineRule="exact"/>
        <w:jc w:val="left"/>
        <w:rPr>
          <w:rFonts w:ascii="仿宋_GB2312" w:hAnsi="宋体" w:cs="宋体"/>
          <w:color w:val="000000"/>
          <w:sz w:val="32"/>
          <w:szCs w:val="32"/>
        </w:rPr>
      </w:pPr>
      <w:r>
        <w:rPr>
          <w:rFonts w:hint="eastAsia" w:ascii="仿宋_GB2312" w:hAnsi="宋体" w:cs="宋体"/>
          <w:color w:val="000000"/>
          <w:sz w:val="32"/>
          <w:szCs w:val="32"/>
        </w:rPr>
        <w:t>附件1</w:t>
      </w:r>
    </w:p>
    <w:p>
      <w:pPr>
        <w:spacing w:line="360" w:lineRule="auto"/>
        <w:jc w:val="center"/>
        <w:rPr>
          <w:rFonts w:ascii="宋体" w:hAnsi="宋体" w:eastAsia="宋体"/>
          <w:b/>
          <w:sz w:val="44"/>
          <w:szCs w:val="44"/>
        </w:rPr>
      </w:pPr>
      <w:r>
        <w:rPr>
          <w:rFonts w:hint="eastAsia" w:ascii="宋体" w:hAnsi="宋体" w:eastAsia="宋体"/>
          <w:b/>
          <w:sz w:val="44"/>
          <w:szCs w:val="44"/>
        </w:rPr>
        <w:t>保定市徐水区师昌绪学校</w:t>
      </w:r>
    </w:p>
    <w:p>
      <w:pPr>
        <w:spacing w:line="360" w:lineRule="auto"/>
        <w:jc w:val="center"/>
        <w:rPr>
          <w:rFonts w:ascii="宋体" w:hAnsi="宋体" w:eastAsia="宋体"/>
          <w:b/>
          <w:sz w:val="44"/>
          <w:szCs w:val="44"/>
        </w:rPr>
      </w:pPr>
      <w:r>
        <w:rPr>
          <w:rFonts w:ascii="宋体" w:hAnsi="宋体" w:eastAsia="宋体"/>
          <w:b/>
          <w:sz w:val="44"/>
          <w:szCs w:val="44"/>
        </w:rPr>
        <w:t>2021年</w:t>
      </w:r>
      <w:r>
        <w:rPr>
          <w:rFonts w:hint="eastAsia" w:ascii="宋体" w:hAnsi="宋体" w:eastAsia="宋体"/>
          <w:b/>
          <w:sz w:val="44"/>
          <w:szCs w:val="44"/>
        </w:rPr>
        <w:t>单位</w:t>
      </w:r>
      <w:r>
        <w:rPr>
          <w:rFonts w:ascii="宋体" w:hAnsi="宋体" w:eastAsia="宋体"/>
          <w:b/>
          <w:sz w:val="44"/>
          <w:szCs w:val="44"/>
        </w:rPr>
        <w:t>预算公开说明</w:t>
      </w:r>
    </w:p>
    <w:p>
      <w:pPr>
        <w:tabs>
          <w:tab w:val="left" w:pos="5274"/>
        </w:tabs>
        <w:spacing w:line="360" w:lineRule="auto"/>
        <w:ind w:firstLine="640" w:firstLineChars="200"/>
        <w:rPr>
          <w:rFonts w:ascii="仿宋" w:hAnsi="仿宋" w:eastAsia="仿宋"/>
          <w:sz w:val="32"/>
          <w:szCs w:val="32"/>
        </w:rPr>
      </w:pPr>
      <w:r>
        <w:rPr>
          <w:rFonts w:ascii="仿宋" w:hAnsi="仿宋" w:eastAsia="仿宋"/>
          <w:sz w:val="32"/>
          <w:szCs w:val="32"/>
        </w:rPr>
        <w:tab/>
      </w:r>
    </w:p>
    <w:p>
      <w:pPr>
        <w:spacing w:line="360" w:lineRule="auto"/>
        <w:ind w:firstLine="640" w:firstLineChars="200"/>
        <w:rPr>
          <w:rFonts w:ascii="仿宋" w:hAnsi="仿宋" w:eastAsia="仿宋"/>
          <w:sz w:val="32"/>
          <w:szCs w:val="32"/>
        </w:rPr>
      </w:pPr>
      <w:r>
        <w:rPr>
          <w:rFonts w:hint="eastAsia" w:ascii="仿宋" w:hAnsi="仿宋" w:eastAsia="仿宋"/>
          <w:sz w:val="32"/>
          <w:szCs w:val="32"/>
        </w:rPr>
        <w:t>按照《</w:t>
      </w:r>
      <w:r>
        <w:rPr>
          <w:rFonts w:hint="eastAsia" w:ascii="仿宋" w:hAnsi="仿宋" w:eastAsia="仿宋"/>
          <w:sz w:val="32"/>
          <w:szCs w:val="32"/>
          <w:lang w:eastAsia="zh-CN"/>
        </w:rPr>
        <w:t>中华人民共和国</w:t>
      </w:r>
      <w:r>
        <w:rPr>
          <w:rFonts w:hint="eastAsia" w:ascii="仿宋" w:hAnsi="仿宋" w:eastAsia="仿宋"/>
          <w:sz w:val="32"/>
          <w:szCs w:val="32"/>
        </w:rPr>
        <w:t>预算法》、《地方预决算公开操作规程》等文件规定，现将我单位预算信息公开如下：</w:t>
      </w:r>
    </w:p>
    <w:p>
      <w:pPr>
        <w:jc w:val="center"/>
        <w:outlineLvl w:val="0"/>
        <w:rPr>
          <w:rFonts w:ascii="方正小标宋_GBK" w:eastAsia="方正小标宋_GBK"/>
          <w:sz w:val="44"/>
        </w:rPr>
      </w:pPr>
      <w:r>
        <w:rPr>
          <w:rFonts w:hint="eastAsia" w:ascii="方正小标宋_GBK" w:eastAsia="方正小标宋_GBK"/>
          <w:sz w:val="44"/>
        </w:rPr>
        <w:t>第一部分</w:t>
      </w:r>
      <w:r>
        <w:rPr>
          <w:rFonts w:ascii="方正小标宋_GBK" w:eastAsia="方正小标宋_GBK"/>
          <w:sz w:val="44"/>
        </w:rPr>
        <w:t>:单位职责及机构设置情况</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一、单位职责</w:t>
      </w:r>
    </w:p>
    <w:p>
      <w:pPr>
        <w:ind w:firstLine="640" w:firstLineChars="200"/>
        <w:jc w:val="left"/>
        <w:rPr>
          <w:rFonts w:ascii="仿宋" w:hAnsi="仿宋" w:eastAsia="仿宋"/>
          <w:bCs/>
          <w:sz w:val="32"/>
          <w:szCs w:val="32"/>
        </w:rPr>
      </w:pPr>
      <w:r>
        <w:rPr>
          <w:rFonts w:ascii="仿宋" w:hAnsi="仿宋" w:eastAsia="仿宋"/>
          <w:bCs/>
          <w:sz w:val="32"/>
          <w:szCs w:val="32"/>
        </w:rPr>
        <w:t>（一）贯彻落实教育和体育工作方针、政策、法律、法规，负责教育体制、办学体制、学校管理体制及城乡教育综合改革的统筹规划和协调指导；落实教育优先发展的战略地位，推动全区教育和体育事业改革发展。</w:t>
      </w:r>
    </w:p>
    <w:p>
      <w:pPr>
        <w:ind w:firstLine="640" w:firstLineChars="200"/>
        <w:jc w:val="left"/>
        <w:rPr>
          <w:rFonts w:ascii="仿宋" w:hAnsi="仿宋" w:eastAsia="仿宋"/>
          <w:bCs/>
          <w:sz w:val="32"/>
          <w:szCs w:val="32"/>
        </w:rPr>
      </w:pPr>
      <w:r>
        <w:rPr>
          <w:rFonts w:hint="eastAsia" w:ascii="仿宋" w:hAnsi="仿宋" w:eastAsia="仿宋"/>
          <w:bCs/>
          <w:sz w:val="32"/>
          <w:szCs w:val="32"/>
        </w:rPr>
        <w:t>（二）提高义务教育公用经费保障水平，改善办学条件，均衡配置基础教育资源，缩小城乡、区域、校际之间办学差距，落实学生资助政策。</w:t>
      </w:r>
    </w:p>
    <w:p>
      <w:pPr>
        <w:ind w:firstLine="640" w:firstLineChars="200"/>
        <w:jc w:val="left"/>
        <w:rPr>
          <w:rFonts w:ascii="仿宋" w:hAnsi="仿宋" w:eastAsia="仿宋"/>
          <w:bCs/>
          <w:sz w:val="32"/>
          <w:szCs w:val="32"/>
        </w:rPr>
      </w:pPr>
      <w:r>
        <w:rPr>
          <w:rFonts w:hint="eastAsia" w:ascii="仿宋" w:hAnsi="仿宋" w:eastAsia="仿宋"/>
          <w:bCs/>
          <w:sz w:val="32"/>
          <w:szCs w:val="32"/>
        </w:rPr>
        <w:t>（三）推进农村义务教育经费保障机制改革，提高农村中小学公用经费水平，完善校舍维修改造长效机制，为农村学生免费提供教科书。</w:t>
      </w:r>
    </w:p>
    <w:p>
      <w:pPr>
        <w:ind w:firstLine="640" w:firstLineChars="200"/>
        <w:jc w:val="left"/>
        <w:rPr>
          <w:rFonts w:ascii="仿宋" w:hAnsi="仿宋" w:eastAsia="仿宋"/>
          <w:bCs/>
          <w:sz w:val="32"/>
          <w:szCs w:val="32"/>
        </w:rPr>
      </w:pPr>
      <w:r>
        <w:rPr>
          <w:rFonts w:ascii="仿宋" w:hAnsi="仿宋" w:eastAsia="仿宋"/>
          <w:bCs/>
          <w:sz w:val="32"/>
          <w:szCs w:val="32"/>
        </w:rPr>
        <w:t>（四）承办区委、区政府和上级教育行政部门交办的其他事项。</w:t>
      </w:r>
    </w:p>
    <w:p>
      <w:pPr>
        <w:spacing w:line="360" w:lineRule="auto"/>
        <w:ind w:firstLine="640" w:firstLineChars="200"/>
        <w:rPr>
          <w:rFonts w:ascii="仿宋" w:hAnsi="仿宋" w:eastAsia="仿宋"/>
          <w:sz w:val="32"/>
          <w:szCs w:val="32"/>
        </w:rPr>
      </w:pP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二、机构设置</w:t>
      </w:r>
    </w:p>
    <w:tbl>
      <w:tblPr>
        <w:tblStyle w:val="5"/>
        <w:tblW w:w="10063"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992"/>
        <w:gridCol w:w="2692"/>
        <w:gridCol w:w="1701"/>
        <w:gridCol w:w="1418"/>
        <w:gridCol w:w="326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tblHeader/>
          <w:jc w:val="center"/>
        </w:trPr>
        <w:tc>
          <w:tcPr>
            <w:tcW w:w="992" w:type="dxa"/>
            <w:tcBorders>
              <w:top w:val="single" w:color="auto" w:sz="4" w:space="0"/>
              <w:left w:val="single" w:color="auto" w:sz="4" w:space="0"/>
              <w:bottom w:val="single" w:color="auto" w:sz="4" w:space="0"/>
            </w:tcBorders>
            <w:shd w:val="clear" w:color="auto" w:fill="auto"/>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序号</w:t>
            </w:r>
          </w:p>
        </w:tc>
        <w:tc>
          <w:tcPr>
            <w:tcW w:w="2692"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单位名称</w:t>
            </w:r>
          </w:p>
        </w:tc>
        <w:tc>
          <w:tcPr>
            <w:tcW w:w="1701"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单位性质</w:t>
            </w:r>
          </w:p>
        </w:tc>
        <w:tc>
          <w:tcPr>
            <w:tcW w:w="1418"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单位规格</w:t>
            </w:r>
          </w:p>
        </w:tc>
        <w:tc>
          <w:tcPr>
            <w:tcW w:w="3260"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经费保障形式</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r>
              <w:rPr>
                <w:rFonts w:hint="eastAsia" w:ascii="仿宋_GB2312" w:hAnsi="仿宋" w:eastAsia="仿宋_GB2312"/>
                <w:bCs/>
                <w:sz w:val="24"/>
                <w:szCs w:val="24"/>
              </w:rPr>
              <w:t>1</w:t>
            </w:r>
          </w:p>
        </w:tc>
        <w:tc>
          <w:tcPr>
            <w:tcW w:w="2692" w:type="dxa"/>
            <w:tcBorders>
              <w:top w:val="single" w:color="auto" w:sz="4" w:space="0"/>
              <w:bottom w:val="single" w:color="auto" w:sz="4" w:space="0"/>
            </w:tcBorders>
            <w:vAlign w:val="center"/>
          </w:tcPr>
          <w:p>
            <w:pPr>
              <w:jc w:val="center"/>
              <w:rPr>
                <w:rFonts w:ascii="仿宋_GB2312" w:hAnsi="仿宋" w:eastAsia="仿宋_GB2312"/>
                <w:bCs/>
                <w:sz w:val="24"/>
                <w:szCs w:val="24"/>
              </w:rPr>
            </w:pPr>
            <w:r>
              <w:rPr>
                <w:rFonts w:ascii="仿宋_GB2312" w:hAnsi="仿宋" w:eastAsia="仿宋_GB2312"/>
                <w:bCs/>
                <w:sz w:val="24"/>
                <w:szCs w:val="24"/>
              </w:rPr>
              <w:t>保定市徐水区师昌绪学校</w:t>
            </w:r>
          </w:p>
        </w:tc>
        <w:tc>
          <w:tcPr>
            <w:tcW w:w="1701"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事业</w:t>
            </w:r>
          </w:p>
        </w:tc>
        <w:tc>
          <w:tcPr>
            <w:tcW w:w="1418" w:type="dxa"/>
            <w:vAlign w:val="center"/>
          </w:tcPr>
          <w:p>
            <w:pPr>
              <w:jc w:val="center"/>
              <w:rPr>
                <w:rFonts w:ascii="仿宋_GB2312" w:hAnsi="仿宋" w:eastAsia="仿宋_GB2312"/>
                <w:bCs/>
                <w:sz w:val="24"/>
                <w:szCs w:val="24"/>
              </w:rPr>
            </w:pPr>
            <w:r>
              <w:rPr>
                <w:rFonts w:ascii="仿宋_GB2312" w:hAnsi="仿宋" w:eastAsia="仿宋_GB2312"/>
                <w:bCs/>
                <w:sz w:val="24"/>
                <w:szCs w:val="24"/>
              </w:rPr>
              <w:t>未定行政级别</w:t>
            </w:r>
          </w:p>
        </w:tc>
        <w:tc>
          <w:tcPr>
            <w:tcW w:w="3260"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财政性资金基本保障</w:t>
            </w:r>
          </w:p>
        </w:tc>
      </w:tr>
    </w:tbl>
    <w:p>
      <w:pPr>
        <w:spacing w:line="360" w:lineRule="auto"/>
        <w:rPr>
          <w:rFonts w:ascii="仿宋" w:hAnsi="仿宋" w:eastAsia="仿宋"/>
          <w:b/>
          <w:sz w:val="32"/>
          <w:szCs w:val="32"/>
        </w:rPr>
      </w:pPr>
    </w:p>
    <w:p>
      <w:pPr>
        <w:jc w:val="center"/>
        <w:outlineLvl w:val="0"/>
        <w:rPr>
          <w:rFonts w:ascii="方正小标宋_GBK" w:eastAsia="方正小标宋_GBK"/>
          <w:sz w:val="44"/>
        </w:rPr>
      </w:pPr>
      <w:r>
        <w:rPr>
          <w:rFonts w:hint="eastAsia" w:ascii="方正小标宋_GBK" w:eastAsia="方正小标宋_GBK"/>
          <w:sz w:val="44"/>
        </w:rPr>
        <w:t>第二部分：单位预算安排的总体情况</w:t>
      </w:r>
      <w:r>
        <w:rPr>
          <w:rFonts w:ascii="方正小标宋_GBK" w:eastAsia="方正小标宋_GBK"/>
          <w:sz w:val="44"/>
        </w:rPr>
        <w:t xml:space="preserve"> </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按照预算管理有关规定，目前我区单位预算的编制实行综合预算制度，即全部收入和支出都反映</w:t>
      </w:r>
      <w:r>
        <w:rPr>
          <w:rFonts w:ascii="仿宋" w:hAnsi="仿宋" w:eastAsia="仿宋"/>
          <w:sz w:val="32"/>
          <w:szCs w:val="32"/>
        </w:rPr>
        <w:t>在</w:t>
      </w:r>
      <w:r>
        <w:rPr>
          <w:rFonts w:hint="eastAsia" w:ascii="仿宋" w:hAnsi="仿宋" w:eastAsia="仿宋"/>
          <w:sz w:val="32"/>
          <w:szCs w:val="32"/>
        </w:rPr>
        <w:t>预算中。我单位及所属事业单位的收支包含在单位预算中。</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一、收入说明</w:t>
      </w:r>
    </w:p>
    <w:p>
      <w:pPr>
        <w:spacing w:line="360" w:lineRule="auto"/>
        <w:ind w:firstLine="640" w:firstLineChars="200"/>
        <w:rPr>
          <w:rFonts w:ascii="仿宋" w:hAnsi="仿宋" w:eastAsia="仿宋"/>
          <w:sz w:val="32"/>
          <w:szCs w:val="32"/>
        </w:rPr>
      </w:pPr>
      <w:r>
        <w:rPr>
          <w:rFonts w:ascii="仿宋" w:hAnsi="仿宋" w:eastAsia="仿宋"/>
          <w:sz w:val="32"/>
          <w:szCs w:val="32"/>
        </w:rPr>
        <w:t>2021年预算收入为</w:t>
      </w:r>
      <w:r>
        <w:rPr>
          <w:rFonts w:hint="eastAsia" w:ascii="仿宋" w:hAnsi="仿宋" w:eastAsia="仿宋"/>
          <w:sz w:val="32"/>
          <w:szCs w:val="32"/>
        </w:rPr>
        <w:t>2431.3905</w:t>
      </w:r>
      <w:r>
        <w:rPr>
          <w:rFonts w:ascii="仿宋" w:hAnsi="仿宋" w:eastAsia="仿宋"/>
          <w:sz w:val="32"/>
          <w:szCs w:val="32"/>
        </w:rPr>
        <w:t>万元,其中：一般公共预算收入</w:t>
      </w:r>
      <w:r>
        <w:rPr>
          <w:rFonts w:hint="eastAsia" w:ascii="仿宋" w:hAnsi="仿宋" w:eastAsia="仿宋"/>
          <w:sz w:val="32"/>
          <w:szCs w:val="32"/>
        </w:rPr>
        <w:t>2431.3905</w:t>
      </w:r>
      <w:r>
        <w:rPr>
          <w:rFonts w:ascii="仿宋" w:hAnsi="仿宋" w:eastAsia="仿宋"/>
          <w:sz w:val="32"/>
          <w:szCs w:val="32"/>
        </w:rPr>
        <w:t>万元，基金预算收入</w:t>
      </w:r>
      <w:r>
        <w:rPr>
          <w:rFonts w:hint="eastAsia" w:ascii="仿宋" w:hAnsi="仿宋" w:eastAsia="仿宋"/>
          <w:sz w:val="32"/>
          <w:szCs w:val="32"/>
        </w:rPr>
        <w:t>0</w:t>
      </w:r>
      <w:r>
        <w:rPr>
          <w:rFonts w:ascii="仿宋" w:hAnsi="仿宋" w:eastAsia="仿宋"/>
          <w:sz w:val="32"/>
          <w:szCs w:val="32"/>
        </w:rPr>
        <w:t>万元，财政专户收入</w:t>
      </w:r>
      <w:r>
        <w:rPr>
          <w:rFonts w:hint="eastAsia" w:ascii="仿宋" w:hAnsi="仿宋" w:eastAsia="仿宋"/>
          <w:sz w:val="32"/>
          <w:szCs w:val="32"/>
        </w:rPr>
        <w:t>0</w:t>
      </w:r>
      <w:r>
        <w:rPr>
          <w:rFonts w:ascii="仿宋" w:hAnsi="仿宋" w:eastAsia="仿宋"/>
          <w:sz w:val="32"/>
          <w:szCs w:val="32"/>
        </w:rPr>
        <w:t>万元，其他来源收入</w:t>
      </w:r>
      <w:r>
        <w:rPr>
          <w:rFonts w:hint="eastAsia" w:ascii="仿宋" w:hAnsi="仿宋" w:eastAsia="仿宋"/>
          <w:sz w:val="32"/>
          <w:szCs w:val="32"/>
        </w:rPr>
        <w:t>0</w:t>
      </w:r>
      <w:r>
        <w:rPr>
          <w:rFonts w:ascii="仿宋" w:hAnsi="仿宋" w:eastAsia="仿宋"/>
          <w:sz w:val="32"/>
          <w:szCs w:val="32"/>
        </w:rPr>
        <w:t>万元。</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二、支出说明</w:t>
      </w:r>
    </w:p>
    <w:p>
      <w:pPr>
        <w:spacing w:line="360" w:lineRule="auto"/>
        <w:ind w:firstLine="640" w:firstLineChars="200"/>
        <w:rPr>
          <w:rFonts w:ascii="仿宋" w:hAnsi="仿宋" w:eastAsia="仿宋"/>
          <w:sz w:val="32"/>
          <w:szCs w:val="32"/>
        </w:rPr>
      </w:pPr>
      <w:r>
        <w:rPr>
          <w:rFonts w:ascii="仿宋" w:hAnsi="仿宋" w:eastAsia="仿宋"/>
          <w:sz w:val="32"/>
          <w:szCs w:val="32"/>
        </w:rPr>
        <w:t>2021年单位支出预算：</w:t>
      </w:r>
      <w:r>
        <w:rPr>
          <w:rFonts w:hint="eastAsia" w:ascii="仿宋" w:hAnsi="仿宋" w:eastAsia="仿宋"/>
          <w:sz w:val="32"/>
          <w:szCs w:val="32"/>
        </w:rPr>
        <w:t>2431.3905</w:t>
      </w:r>
      <w:r>
        <w:rPr>
          <w:rFonts w:ascii="仿宋" w:hAnsi="仿宋" w:eastAsia="仿宋"/>
          <w:sz w:val="32"/>
          <w:szCs w:val="32"/>
        </w:rPr>
        <w:t>万元</w:t>
      </w:r>
    </w:p>
    <w:p>
      <w:pPr>
        <w:spacing w:line="360" w:lineRule="auto"/>
        <w:ind w:firstLine="640" w:firstLineChars="200"/>
        <w:rPr>
          <w:rFonts w:ascii="仿宋" w:hAnsi="仿宋" w:eastAsia="仿宋"/>
          <w:sz w:val="32"/>
          <w:szCs w:val="32"/>
        </w:rPr>
      </w:pPr>
      <w:r>
        <w:rPr>
          <w:rFonts w:hint="eastAsia" w:ascii="仿宋" w:hAnsi="仿宋" w:eastAsia="仿宋"/>
          <w:sz w:val="32"/>
          <w:szCs w:val="32"/>
        </w:rPr>
        <w:t>基本支出208512万元</w:t>
      </w:r>
    </w:p>
    <w:p>
      <w:pPr>
        <w:spacing w:line="360" w:lineRule="auto"/>
        <w:ind w:firstLine="640" w:firstLineChars="200"/>
        <w:rPr>
          <w:rFonts w:ascii="仿宋" w:hAnsi="仿宋" w:eastAsia="仿宋"/>
          <w:sz w:val="32"/>
          <w:szCs w:val="32"/>
        </w:rPr>
      </w:pPr>
      <w:r>
        <w:rPr>
          <w:rFonts w:ascii="仿宋" w:hAnsi="仿宋" w:eastAsia="仿宋"/>
          <w:sz w:val="32"/>
          <w:szCs w:val="32"/>
        </w:rPr>
        <w:t xml:space="preserve">    其中：人员经费</w:t>
      </w:r>
      <w:r>
        <w:rPr>
          <w:rFonts w:hint="eastAsia" w:ascii="仿宋" w:hAnsi="仿宋" w:eastAsia="仿宋"/>
          <w:sz w:val="32"/>
          <w:szCs w:val="32"/>
        </w:rPr>
        <w:t>204798</w:t>
      </w:r>
      <w:r>
        <w:rPr>
          <w:rFonts w:ascii="仿宋" w:hAnsi="仿宋" w:eastAsia="仿宋"/>
          <w:sz w:val="32"/>
          <w:szCs w:val="32"/>
        </w:rPr>
        <w:t>万元</w:t>
      </w:r>
    </w:p>
    <w:p>
      <w:pPr>
        <w:spacing w:line="360" w:lineRule="auto"/>
        <w:ind w:firstLine="640" w:firstLineChars="200"/>
        <w:rPr>
          <w:rFonts w:ascii="仿宋" w:hAnsi="仿宋" w:eastAsia="仿宋"/>
          <w:sz w:val="32"/>
          <w:szCs w:val="32"/>
        </w:rPr>
      </w:pPr>
      <w:r>
        <w:rPr>
          <w:rFonts w:ascii="仿宋" w:hAnsi="仿宋" w:eastAsia="仿宋"/>
          <w:sz w:val="32"/>
          <w:szCs w:val="32"/>
        </w:rPr>
        <w:t xml:space="preserve">          日常公用经费</w:t>
      </w:r>
      <w:r>
        <w:rPr>
          <w:rFonts w:hint="eastAsia" w:ascii="仿宋" w:hAnsi="仿宋" w:eastAsia="仿宋"/>
          <w:sz w:val="32"/>
          <w:szCs w:val="32"/>
        </w:rPr>
        <w:t>37.14</w:t>
      </w:r>
      <w:r>
        <w:rPr>
          <w:rFonts w:ascii="仿宋" w:hAnsi="仿宋" w:eastAsia="仿宋"/>
          <w:sz w:val="32"/>
          <w:szCs w:val="32"/>
        </w:rPr>
        <w:t>万元</w:t>
      </w:r>
    </w:p>
    <w:p>
      <w:pPr>
        <w:spacing w:line="360" w:lineRule="auto"/>
        <w:ind w:firstLine="640" w:firstLineChars="200"/>
        <w:rPr>
          <w:rFonts w:ascii="仿宋" w:hAnsi="仿宋" w:eastAsia="仿宋"/>
          <w:sz w:val="32"/>
          <w:szCs w:val="32"/>
        </w:rPr>
      </w:pPr>
      <w:r>
        <w:rPr>
          <w:rFonts w:hint="eastAsia" w:ascii="仿宋" w:hAnsi="仿宋" w:eastAsia="仿宋"/>
          <w:sz w:val="32"/>
          <w:szCs w:val="32"/>
        </w:rPr>
        <w:t>项目支出</w:t>
      </w:r>
      <w:r>
        <w:rPr>
          <w:rFonts w:ascii="仿宋" w:hAnsi="仿宋" w:eastAsia="仿宋"/>
          <w:sz w:val="32"/>
          <w:szCs w:val="32"/>
        </w:rPr>
        <w:t xml:space="preserve"> </w:t>
      </w:r>
      <w:r>
        <w:rPr>
          <w:rFonts w:hint="eastAsia" w:ascii="仿宋" w:hAnsi="仿宋" w:eastAsia="仿宋"/>
          <w:sz w:val="32"/>
          <w:szCs w:val="32"/>
        </w:rPr>
        <w:t>346.2705</w:t>
      </w:r>
      <w:r>
        <w:rPr>
          <w:rFonts w:ascii="仿宋" w:hAnsi="仿宋" w:eastAsia="仿宋"/>
          <w:sz w:val="32"/>
          <w:szCs w:val="32"/>
        </w:rPr>
        <w:t>万元</w:t>
      </w:r>
    </w:p>
    <w:p>
      <w:pPr>
        <w:spacing w:line="360" w:lineRule="auto"/>
        <w:ind w:firstLine="640" w:firstLineChars="200"/>
        <w:rPr>
          <w:rFonts w:ascii="仿宋" w:hAnsi="仿宋" w:eastAsia="仿宋"/>
          <w:sz w:val="32"/>
          <w:szCs w:val="32"/>
        </w:rPr>
      </w:pPr>
      <w:r>
        <w:rPr>
          <w:rFonts w:ascii="仿宋" w:hAnsi="仿宋" w:eastAsia="仿宋"/>
          <w:sz w:val="32"/>
          <w:szCs w:val="32"/>
        </w:rPr>
        <w:t xml:space="preserve">    其中：本级支出</w:t>
      </w:r>
      <w:r>
        <w:rPr>
          <w:rFonts w:hint="eastAsia" w:ascii="仿宋" w:hAnsi="仿宋" w:eastAsia="仿宋"/>
          <w:sz w:val="32"/>
          <w:szCs w:val="32"/>
        </w:rPr>
        <w:t>346.2705</w:t>
      </w:r>
      <w:r>
        <w:rPr>
          <w:rFonts w:ascii="仿宋" w:hAnsi="仿宋" w:eastAsia="仿宋"/>
          <w:sz w:val="32"/>
          <w:szCs w:val="32"/>
        </w:rPr>
        <w:t>万元</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三、比上年增减情况</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本年度预算收支安排2431.3905万元，较上年增加743.3305</w:t>
      </w:r>
      <w:r>
        <w:rPr>
          <w:rFonts w:ascii="仿宋" w:hAnsi="仿宋" w:eastAsia="仿宋"/>
          <w:sz w:val="32"/>
          <w:szCs w:val="32"/>
        </w:rPr>
        <w:t>万元。其中:基本支出增加</w:t>
      </w:r>
      <w:r>
        <w:rPr>
          <w:rFonts w:hint="eastAsia" w:ascii="仿宋" w:hAnsi="仿宋" w:eastAsia="仿宋"/>
          <w:sz w:val="32"/>
          <w:szCs w:val="32"/>
        </w:rPr>
        <w:t>692.01</w:t>
      </w:r>
      <w:r>
        <w:rPr>
          <w:rFonts w:ascii="仿宋" w:hAnsi="仿宋" w:eastAsia="仿宋"/>
          <w:sz w:val="32"/>
          <w:szCs w:val="32"/>
        </w:rPr>
        <w:t>万元，主要原因是</w:t>
      </w:r>
      <w:r>
        <w:rPr>
          <w:rFonts w:hint="eastAsia" w:ascii="仿宋" w:hAnsi="仿宋" w:eastAsia="仿宋"/>
          <w:sz w:val="32"/>
          <w:szCs w:val="32"/>
        </w:rPr>
        <w:t>有</w:t>
      </w:r>
      <w:r>
        <w:rPr>
          <w:rFonts w:ascii="仿宋" w:hAnsi="仿宋" w:eastAsia="仿宋"/>
          <w:sz w:val="32"/>
          <w:szCs w:val="32"/>
        </w:rPr>
        <w:t>新调入教师</w:t>
      </w:r>
      <w:r>
        <w:rPr>
          <w:rFonts w:hint="eastAsia" w:ascii="仿宋" w:hAnsi="仿宋" w:eastAsia="仿宋"/>
          <w:sz w:val="32"/>
          <w:szCs w:val="32"/>
        </w:rPr>
        <w:t>。</w:t>
      </w:r>
      <w:r>
        <w:rPr>
          <w:rFonts w:ascii="仿宋" w:hAnsi="仿宋" w:eastAsia="仿宋"/>
          <w:sz w:val="32"/>
          <w:szCs w:val="32"/>
        </w:rPr>
        <w:t>项目支出增加</w:t>
      </w:r>
      <w:r>
        <w:rPr>
          <w:rFonts w:hint="eastAsia" w:ascii="仿宋" w:hAnsi="仿宋" w:eastAsia="仿宋"/>
          <w:sz w:val="32"/>
          <w:szCs w:val="32"/>
        </w:rPr>
        <w:t>51.3205</w:t>
      </w:r>
      <w:r>
        <w:rPr>
          <w:rFonts w:ascii="仿宋" w:hAnsi="仿宋" w:eastAsia="仿宋"/>
          <w:sz w:val="32"/>
          <w:szCs w:val="32"/>
        </w:rPr>
        <w:t>万元，主要原因是</w:t>
      </w:r>
      <w:r>
        <w:rPr>
          <w:rFonts w:hint="eastAsia" w:ascii="仿宋" w:hAnsi="仿宋" w:eastAsia="仿宋"/>
          <w:sz w:val="32"/>
          <w:szCs w:val="32"/>
        </w:rPr>
        <w:t>学生</w:t>
      </w:r>
      <w:r>
        <w:rPr>
          <w:rFonts w:ascii="仿宋" w:hAnsi="仿宋" w:eastAsia="仿宋"/>
          <w:sz w:val="32"/>
          <w:szCs w:val="32"/>
        </w:rPr>
        <w:t>人数增加，生均公用经费增加。</w:t>
      </w:r>
    </w:p>
    <w:p>
      <w:pPr>
        <w:spacing w:line="360" w:lineRule="auto"/>
        <w:ind w:firstLine="640" w:firstLineChars="200"/>
        <w:rPr>
          <w:rFonts w:ascii="仿宋" w:hAnsi="仿宋" w:eastAsia="仿宋"/>
          <w:sz w:val="32"/>
          <w:szCs w:val="32"/>
        </w:rPr>
      </w:pPr>
    </w:p>
    <w:p>
      <w:pPr>
        <w:jc w:val="center"/>
        <w:outlineLvl w:val="0"/>
        <w:rPr>
          <w:rFonts w:ascii="方正小标宋_GBK" w:eastAsia="方正小标宋_GBK"/>
          <w:sz w:val="44"/>
        </w:rPr>
      </w:pPr>
      <w:r>
        <w:rPr>
          <w:rFonts w:hint="eastAsia" w:ascii="方正小标宋_GBK" w:eastAsia="方正小标宋_GBK"/>
          <w:sz w:val="44"/>
        </w:rPr>
        <w:t>第三部分：单位运行经费安排情况</w:t>
      </w:r>
    </w:p>
    <w:p>
      <w:pPr>
        <w:spacing w:line="360" w:lineRule="auto"/>
        <w:ind w:firstLine="640" w:firstLineChars="200"/>
        <w:rPr>
          <w:rFonts w:ascii="仿宋" w:hAnsi="仿宋" w:eastAsia="仿宋"/>
          <w:b/>
          <w:sz w:val="32"/>
          <w:szCs w:val="32"/>
        </w:rPr>
      </w:pPr>
      <w:r>
        <w:rPr>
          <w:rFonts w:ascii="仿宋" w:hAnsi="仿宋" w:eastAsia="仿宋"/>
          <w:sz w:val="32"/>
          <w:szCs w:val="32"/>
        </w:rPr>
        <w:t>2021年我单位运行经费安排</w:t>
      </w:r>
      <w:r>
        <w:rPr>
          <w:rFonts w:hint="eastAsia" w:ascii="仿宋" w:hAnsi="仿宋" w:eastAsia="仿宋"/>
          <w:sz w:val="32"/>
          <w:szCs w:val="32"/>
        </w:rPr>
        <w:t>37.14</w:t>
      </w:r>
      <w:r>
        <w:rPr>
          <w:rFonts w:ascii="仿宋" w:hAnsi="仿宋" w:eastAsia="仿宋"/>
          <w:sz w:val="32"/>
          <w:szCs w:val="32"/>
        </w:rPr>
        <w:t>万元，其中工会经费</w:t>
      </w:r>
      <w:r>
        <w:rPr>
          <w:rFonts w:hint="eastAsia" w:ascii="仿宋" w:hAnsi="仿宋" w:eastAsia="仿宋"/>
          <w:sz w:val="32"/>
          <w:szCs w:val="32"/>
        </w:rPr>
        <w:t>22.14万</w:t>
      </w:r>
      <w:r>
        <w:rPr>
          <w:rFonts w:ascii="仿宋" w:hAnsi="仿宋" w:eastAsia="仿宋"/>
          <w:sz w:val="32"/>
          <w:szCs w:val="32"/>
        </w:rPr>
        <w:t>元、福利费15万元。</w:t>
      </w:r>
    </w:p>
    <w:p>
      <w:pPr>
        <w:spacing w:line="360" w:lineRule="auto"/>
        <w:jc w:val="center"/>
        <w:rPr>
          <w:rFonts w:ascii="黑体" w:hAnsi="黑体" w:eastAsia="黑体" w:cs="Times New Roman"/>
          <w:sz w:val="32"/>
          <w:szCs w:val="32"/>
        </w:rPr>
      </w:pPr>
    </w:p>
    <w:p>
      <w:pPr>
        <w:spacing w:line="360" w:lineRule="auto"/>
        <w:jc w:val="center"/>
        <w:rPr>
          <w:rFonts w:ascii="黑体" w:hAnsi="黑体" w:eastAsia="黑体" w:cs="Times New Roman"/>
          <w:sz w:val="32"/>
          <w:szCs w:val="32"/>
        </w:rPr>
      </w:pPr>
    </w:p>
    <w:p>
      <w:pPr>
        <w:jc w:val="center"/>
        <w:outlineLvl w:val="0"/>
        <w:rPr>
          <w:rFonts w:ascii="方正小标宋_GBK" w:eastAsia="方正小标宋_GBK"/>
          <w:sz w:val="44"/>
        </w:rPr>
      </w:pPr>
    </w:p>
    <w:p>
      <w:pPr>
        <w:jc w:val="center"/>
        <w:outlineLvl w:val="0"/>
        <w:rPr>
          <w:rFonts w:ascii="方正小标宋_GBK" w:eastAsia="方正小标宋_GBK"/>
          <w:sz w:val="44"/>
        </w:rPr>
      </w:pPr>
      <w:r>
        <w:rPr>
          <w:rFonts w:hint="eastAsia" w:ascii="方正小标宋_GBK" w:eastAsia="方正小标宋_GBK"/>
          <w:sz w:val="44"/>
        </w:rPr>
        <w:t>第四部分：财政拨款“三公”经费预算情况及增减变化原因</w:t>
      </w:r>
    </w:p>
    <w:tbl>
      <w:tblPr>
        <w:tblStyle w:val="5"/>
        <w:tblW w:w="5000" w:type="pct"/>
        <w:tblInd w:w="0" w:type="dxa"/>
        <w:tblLayout w:type="autofit"/>
        <w:tblCellMar>
          <w:top w:w="0" w:type="dxa"/>
          <w:left w:w="108" w:type="dxa"/>
          <w:bottom w:w="0" w:type="dxa"/>
          <w:right w:w="108" w:type="dxa"/>
        </w:tblCellMar>
      </w:tblPr>
      <w:tblGrid>
        <w:gridCol w:w="9515"/>
      </w:tblGrid>
      <w:tr>
        <w:tblPrEx>
          <w:tblCellMar>
            <w:top w:w="0" w:type="dxa"/>
            <w:left w:w="108" w:type="dxa"/>
            <w:bottom w:w="0" w:type="dxa"/>
            <w:right w:w="108" w:type="dxa"/>
          </w:tblCellMar>
        </w:tblPrEx>
        <w:trPr>
          <w:trHeight w:val="405" w:hRule="atLeast"/>
        </w:trPr>
        <w:tc>
          <w:tcPr>
            <w:tcW w:w="5000" w:type="pct"/>
            <w:tcBorders>
              <w:top w:val="nil"/>
              <w:left w:val="nil"/>
              <w:bottom w:val="nil"/>
              <w:right w:val="nil"/>
            </w:tcBorders>
            <w:shd w:val="clear" w:color="auto" w:fill="auto"/>
            <w:noWrap/>
            <w:vAlign w:val="center"/>
          </w:tcPr>
          <w:tbl>
            <w:tblPr>
              <w:tblStyle w:val="5"/>
              <w:tblW w:w="0" w:type="auto"/>
              <w:jc w:val="center"/>
              <w:tblLayout w:type="autofit"/>
              <w:tblCellMar>
                <w:top w:w="0" w:type="dxa"/>
                <w:left w:w="108" w:type="dxa"/>
                <w:bottom w:w="0" w:type="dxa"/>
                <w:right w:w="108" w:type="dxa"/>
              </w:tblCellMar>
            </w:tblPr>
            <w:tblGrid>
              <w:gridCol w:w="2163"/>
              <w:gridCol w:w="1276"/>
              <w:gridCol w:w="1418"/>
              <w:gridCol w:w="836"/>
              <w:gridCol w:w="2397"/>
            </w:tblGrid>
            <w:tr>
              <w:tblPrEx>
                <w:tblCellMar>
                  <w:top w:w="0" w:type="dxa"/>
                  <w:left w:w="108" w:type="dxa"/>
                  <w:bottom w:w="0" w:type="dxa"/>
                  <w:right w:w="108" w:type="dxa"/>
                </w:tblCellMar>
              </w:tblPrEx>
              <w:trPr>
                <w:trHeight w:val="405" w:hRule="atLeast"/>
                <w:jc w:val="center"/>
              </w:trPr>
              <w:tc>
                <w:tcPr>
                  <w:tcW w:w="8090" w:type="dxa"/>
                  <w:gridSpan w:val="5"/>
                  <w:tcBorders>
                    <w:top w:val="nil"/>
                    <w:left w:val="nil"/>
                    <w:bottom w:val="nil"/>
                    <w:right w:val="nil"/>
                  </w:tcBorders>
                  <w:vAlign w:val="center"/>
                </w:tcPr>
                <w:p>
                  <w:pPr>
                    <w:spacing w:line="360" w:lineRule="auto"/>
                    <w:rPr>
                      <w:rFonts w:ascii="黑体" w:hAnsi="黑体" w:eastAsia="黑体" w:cs="宋体"/>
                      <w:kern w:val="0"/>
                      <w:sz w:val="32"/>
                      <w:szCs w:val="32"/>
                    </w:rPr>
                  </w:pPr>
                </w:p>
              </w:tc>
            </w:tr>
            <w:tr>
              <w:tblPrEx>
                <w:tblCellMar>
                  <w:top w:w="0" w:type="dxa"/>
                  <w:left w:w="108" w:type="dxa"/>
                  <w:bottom w:w="0" w:type="dxa"/>
                  <w:right w:w="108" w:type="dxa"/>
                </w:tblCellMar>
              </w:tblPrEx>
              <w:trPr>
                <w:trHeight w:val="221" w:hRule="atLeast"/>
                <w:jc w:val="center"/>
              </w:trPr>
              <w:tc>
                <w:tcPr>
                  <w:tcW w:w="2163" w:type="dxa"/>
                  <w:tcBorders>
                    <w:top w:val="nil"/>
                    <w:left w:val="nil"/>
                    <w:bottom w:val="nil"/>
                    <w:right w:val="nil"/>
                  </w:tcBorders>
                  <w:vAlign w:val="center"/>
                </w:tcPr>
                <w:p>
                  <w:pPr>
                    <w:widowControl/>
                    <w:jc w:val="left"/>
                    <w:rPr>
                      <w:rFonts w:ascii="宋体" w:hAnsi="宋体" w:cs="宋体"/>
                      <w:kern w:val="0"/>
                      <w:sz w:val="24"/>
                      <w:szCs w:val="24"/>
                    </w:rPr>
                  </w:pPr>
                </w:p>
              </w:tc>
              <w:tc>
                <w:tcPr>
                  <w:tcW w:w="1276" w:type="dxa"/>
                  <w:tcBorders>
                    <w:top w:val="nil"/>
                    <w:left w:val="nil"/>
                    <w:bottom w:val="nil"/>
                    <w:right w:val="nil"/>
                  </w:tcBorders>
                  <w:vAlign w:val="center"/>
                </w:tcPr>
                <w:p>
                  <w:pPr>
                    <w:widowControl/>
                    <w:jc w:val="left"/>
                    <w:rPr>
                      <w:rFonts w:ascii="宋体" w:hAnsi="宋体" w:cs="宋体"/>
                      <w:kern w:val="0"/>
                      <w:sz w:val="24"/>
                      <w:szCs w:val="24"/>
                    </w:rPr>
                  </w:pPr>
                </w:p>
              </w:tc>
              <w:tc>
                <w:tcPr>
                  <w:tcW w:w="1418" w:type="dxa"/>
                  <w:tcBorders>
                    <w:top w:val="nil"/>
                    <w:left w:val="nil"/>
                    <w:bottom w:val="nil"/>
                    <w:right w:val="nil"/>
                  </w:tcBorders>
                  <w:vAlign w:val="center"/>
                </w:tcPr>
                <w:p>
                  <w:pPr>
                    <w:widowControl/>
                    <w:jc w:val="left"/>
                    <w:rPr>
                      <w:rFonts w:ascii="宋体" w:hAnsi="宋体" w:cs="宋体"/>
                      <w:kern w:val="0"/>
                      <w:sz w:val="24"/>
                      <w:szCs w:val="24"/>
                    </w:rPr>
                  </w:pPr>
                </w:p>
              </w:tc>
              <w:tc>
                <w:tcPr>
                  <w:tcW w:w="836" w:type="dxa"/>
                  <w:tcBorders>
                    <w:top w:val="nil"/>
                    <w:left w:val="nil"/>
                    <w:bottom w:val="nil"/>
                    <w:right w:val="nil"/>
                  </w:tcBorders>
                  <w:vAlign w:val="center"/>
                </w:tcPr>
                <w:p>
                  <w:pPr>
                    <w:widowControl/>
                    <w:jc w:val="left"/>
                    <w:rPr>
                      <w:rFonts w:ascii="宋体" w:hAnsi="宋体" w:cs="宋体"/>
                      <w:kern w:val="0"/>
                      <w:sz w:val="24"/>
                      <w:szCs w:val="24"/>
                    </w:rPr>
                  </w:pPr>
                </w:p>
              </w:tc>
              <w:tc>
                <w:tcPr>
                  <w:tcW w:w="2397" w:type="dxa"/>
                  <w:tcBorders>
                    <w:top w:val="nil"/>
                    <w:left w:val="nil"/>
                    <w:bottom w:val="nil"/>
                    <w:right w:val="nil"/>
                  </w:tcBorders>
                  <w:vAlign w:val="center"/>
                </w:tcPr>
                <w:p>
                  <w:pPr>
                    <w:widowControl/>
                    <w:jc w:val="right"/>
                    <w:rPr>
                      <w:rFonts w:ascii="宋体" w:hAnsi="宋体" w:cs="宋体"/>
                      <w:kern w:val="0"/>
                      <w:sz w:val="24"/>
                      <w:szCs w:val="24"/>
                    </w:rPr>
                  </w:pPr>
                  <w:r>
                    <w:rPr>
                      <w:rFonts w:hint="eastAsia" w:ascii="宋体" w:hAnsi="宋体" w:cs="宋体"/>
                      <w:kern w:val="0"/>
                      <w:sz w:val="24"/>
                      <w:szCs w:val="24"/>
                    </w:rPr>
                    <w:t>单位：万元</w:t>
                  </w:r>
                </w:p>
              </w:tc>
            </w:tr>
            <w:tr>
              <w:tblPrEx>
                <w:tblCellMar>
                  <w:top w:w="0" w:type="dxa"/>
                  <w:left w:w="108" w:type="dxa"/>
                  <w:bottom w:w="0" w:type="dxa"/>
                  <w:right w:w="108" w:type="dxa"/>
                </w:tblCellMar>
              </w:tblPrEx>
              <w:trPr>
                <w:trHeight w:val="285" w:hRule="atLeast"/>
                <w:jc w:val="center"/>
              </w:trPr>
              <w:tc>
                <w:tcPr>
                  <w:tcW w:w="21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项目名称</w:t>
                  </w:r>
                </w:p>
              </w:tc>
              <w:tc>
                <w:tcPr>
                  <w:tcW w:w="1276"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ascii="仿宋_GB2312" w:hAnsi="宋体" w:eastAsia="仿宋_GB2312" w:cs="宋体"/>
                      <w:b/>
                      <w:kern w:val="0"/>
                      <w:sz w:val="24"/>
                      <w:szCs w:val="24"/>
                    </w:rPr>
                    <w:t>2020</w:t>
                  </w:r>
                  <w:r>
                    <w:rPr>
                      <w:rFonts w:hint="eastAsia" w:ascii="仿宋_GB2312" w:hAnsi="宋体" w:eastAsia="仿宋_GB2312" w:cs="宋体"/>
                      <w:b/>
                      <w:kern w:val="0"/>
                      <w:sz w:val="24"/>
                      <w:szCs w:val="24"/>
                    </w:rPr>
                    <w:t>年度预算</w:t>
                  </w:r>
                </w:p>
              </w:tc>
              <w:tc>
                <w:tcPr>
                  <w:tcW w:w="1418"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ascii="仿宋_GB2312" w:hAnsi="宋体" w:eastAsia="仿宋_GB2312" w:cs="宋体"/>
                      <w:b/>
                      <w:kern w:val="0"/>
                      <w:sz w:val="24"/>
                      <w:szCs w:val="24"/>
                    </w:rPr>
                    <w:t>2021</w:t>
                  </w:r>
                  <w:r>
                    <w:rPr>
                      <w:rFonts w:hint="eastAsia" w:ascii="仿宋_GB2312" w:hAnsi="宋体" w:eastAsia="仿宋_GB2312" w:cs="宋体"/>
                      <w:b/>
                      <w:kern w:val="0"/>
                      <w:sz w:val="24"/>
                      <w:szCs w:val="24"/>
                    </w:rPr>
                    <w:t>年度预算</w:t>
                  </w:r>
                </w:p>
              </w:tc>
              <w:tc>
                <w:tcPr>
                  <w:tcW w:w="836"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增减金额</w:t>
                  </w:r>
                </w:p>
              </w:tc>
              <w:tc>
                <w:tcPr>
                  <w:tcW w:w="2397"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变化原因</w:t>
                  </w:r>
                </w:p>
              </w:tc>
            </w:tr>
            <w:tr>
              <w:tblPrEx>
                <w:tblCellMar>
                  <w:top w:w="0" w:type="dxa"/>
                  <w:left w:w="108" w:type="dxa"/>
                  <w:bottom w:w="0" w:type="dxa"/>
                  <w:right w:w="108" w:type="dxa"/>
                </w:tblCellMar>
              </w:tblPrEx>
              <w:trPr>
                <w:trHeight w:val="285"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因公出国经费</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公务用车购置经费</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570"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公务用车运行经费</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855"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公务接待费支出</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1140"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合计</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jc w:val="center"/>
              </w:trPr>
              <w:tc>
                <w:tcPr>
                  <w:tcW w:w="2163" w:type="dxa"/>
                  <w:tcBorders>
                    <w:top w:val="nil"/>
                    <w:left w:val="nil"/>
                    <w:bottom w:val="nil"/>
                    <w:right w:val="nil"/>
                  </w:tcBorders>
                  <w:vAlign w:val="center"/>
                </w:tcPr>
                <w:p>
                  <w:pPr>
                    <w:widowControl/>
                    <w:jc w:val="left"/>
                    <w:rPr>
                      <w:rFonts w:ascii="宋体" w:hAnsi="宋体" w:cs="宋体"/>
                      <w:kern w:val="0"/>
                      <w:sz w:val="24"/>
                      <w:szCs w:val="24"/>
                    </w:rPr>
                  </w:pPr>
                </w:p>
              </w:tc>
              <w:tc>
                <w:tcPr>
                  <w:tcW w:w="1276" w:type="dxa"/>
                  <w:tcBorders>
                    <w:top w:val="nil"/>
                    <w:left w:val="nil"/>
                    <w:bottom w:val="nil"/>
                    <w:right w:val="nil"/>
                  </w:tcBorders>
                  <w:vAlign w:val="center"/>
                </w:tcPr>
                <w:p>
                  <w:pPr>
                    <w:widowControl/>
                    <w:jc w:val="left"/>
                    <w:rPr>
                      <w:rFonts w:ascii="宋体" w:hAnsi="宋体" w:cs="宋体"/>
                      <w:kern w:val="0"/>
                      <w:sz w:val="24"/>
                      <w:szCs w:val="24"/>
                    </w:rPr>
                  </w:pPr>
                </w:p>
              </w:tc>
              <w:tc>
                <w:tcPr>
                  <w:tcW w:w="1418" w:type="dxa"/>
                  <w:tcBorders>
                    <w:top w:val="nil"/>
                    <w:left w:val="nil"/>
                    <w:bottom w:val="nil"/>
                    <w:right w:val="nil"/>
                  </w:tcBorders>
                  <w:vAlign w:val="center"/>
                </w:tcPr>
                <w:p>
                  <w:pPr>
                    <w:widowControl/>
                    <w:jc w:val="left"/>
                    <w:rPr>
                      <w:rFonts w:ascii="宋体" w:hAnsi="宋体" w:cs="宋体"/>
                      <w:kern w:val="0"/>
                      <w:sz w:val="24"/>
                      <w:szCs w:val="24"/>
                    </w:rPr>
                  </w:pPr>
                </w:p>
              </w:tc>
              <w:tc>
                <w:tcPr>
                  <w:tcW w:w="836" w:type="dxa"/>
                  <w:tcBorders>
                    <w:top w:val="nil"/>
                    <w:left w:val="nil"/>
                    <w:bottom w:val="nil"/>
                    <w:right w:val="nil"/>
                  </w:tcBorders>
                  <w:vAlign w:val="center"/>
                </w:tcPr>
                <w:p>
                  <w:pPr>
                    <w:widowControl/>
                    <w:jc w:val="left"/>
                    <w:rPr>
                      <w:rFonts w:ascii="宋体" w:hAnsi="宋体" w:cs="宋体"/>
                      <w:kern w:val="0"/>
                      <w:sz w:val="24"/>
                      <w:szCs w:val="24"/>
                    </w:rPr>
                  </w:pPr>
                </w:p>
              </w:tc>
              <w:tc>
                <w:tcPr>
                  <w:tcW w:w="2397" w:type="dxa"/>
                  <w:tcBorders>
                    <w:top w:val="nil"/>
                    <w:left w:val="nil"/>
                    <w:bottom w:val="nil"/>
                    <w:right w:val="nil"/>
                  </w:tcBorders>
                  <w:vAlign w:val="center"/>
                </w:tcPr>
                <w:p>
                  <w:pPr>
                    <w:widowControl/>
                    <w:jc w:val="left"/>
                    <w:rPr>
                      <w:rFonts w:ascii="宋体" w:hAnsi="宋体" w:cs="宋体"/>
                      <w:kern w:val="0"/>
                      <w:sz w:val="24"/>
                      <w:szCs w:val="24"/>
                    </w:rPr>
                  </w:pPr>
                </w:p>
              </w:tc>
            </w:tr>
          </w:tbl>
          <w:p>
            <w:pPr>
              <w:widowControl/>
              <w:spacing w:line="520" w:lineRule="exact"/>
              <w:ind w:right="480"/>
              <w:rPr>
                <w:rFonts w:ascii="仿宋" w:hAnsi="仿宋" w:eastAsia="仿宋" w:cs="宋体"/>
                <w:kern w:val="0"/>
                <w:sz w:val="24"/>
                <w:szCs w:val="24"/>
              </w:rPr>
            </w:pPr>
          </w:p>
        </w:tc>
      </w:tr>
    </w:tbl>
    <w:p>
      <w:pPr>
        <w:spacing w:line="360" w:lineRule="auto"/>
        <w:rPr>
          <w:rFonts w:ascii="黑体" w:hAnsi="黑体" w:eastAsia="黑体" w:cs="Times New Roman"/>
          <w:sz w:val="32"/>
          <w:szCs w:val="32"/>
        </w:rPr>
      </w:pPr>
      <w:r>
        <w:rPr>
          <w:rFonts w:hint="eastAsia" w:ascii="黑体" w:hAnsi="黑体" w:eastAsia="黑体" w:cs="Times New Roman"/>
          <w:sz w:val="32"/>
          <w:szCs w:val="32"/>
        </w:rPr>
        <w:t xml:space="preserve"> </w:t>
      </w:r>
      <w:r>
        <w:rPr>
          <w:rFonts w:ascii="黑体" w:hAnsi="黑体" w:eastAsia="黑体" w:cs="Times New Roman"/>
          <w:sz w:val="32"/>
          <w:szCs w:val="32"/>
        </w:rPr>
        <w:t xml:space="preserve">   </w:t>
      </w:r>
      <w:r>
        <w:rPr>
          <w:rFonts w:hint="eastAsia" w:ascii="黑体" w:hAnsi="黑体" w:eastAsia="黑体" w:cs="Times New Roman"/>
          <w:sz w:val="32"/>
          <w:szCs w:val="32"/>
        </w:rPr>
        <w:t>我</w:t>
      </w:r>
      <w:r>
        <w:rPr>
          <w:rFonts w:ascii="黑体" w:hAnsi="黑体" w:eastAsia="黑体" w:cs="Times New Roman"/>
          <w:sz w:val="32"/>
          <w:szCs w:val="32"/>
        </w:rPr>
        <w:t>单位无三公经费，以空表列示。</w:t>
      </w:r>
    </w:p>
    <w:p>
      <w:pPr>
        <w:spacing w:line="360" w:lineRule="auto"/>
        <w:rPr>
          <w:rFonts w:ascii="黑体" w:hAnsi="黑体" w:eastAsia="黑体" w:cs="Times New Roman"/>
          <w:sz w:val="32"/>
          <w:szCs w:val="32"/>
        </w:rPr>
      </w:pPr>
    </w:p>
    <w:p>
      <w:pPr>
        <w:jc w:val="center"/>
        <w:outlineLvl w:val="0"/>
        <w:rPr>
          <w:rFonts w:ascii="方正小标宋_GBK" w:eastAsia="方正小标宋_GBK"/>
          <w:sz w:val="44"/>
        </w:rPr>
      </w:pPr>
      <w:r>
        <w:rPr>
          <w:rFonts w:hint="eastAsia" w:ascii="方正小标宋_GBK" w:eastAsia="方正小标宋_GBK"/>
          <w:sz w:val="44"/>
        </w:rPr>
        <w:t>第五部分：预算绩效信息</w:t>
      </w:r>
    </w:p>
    <w:p>
      <w:pPr>
        <w:spacing w:line="360" w:lineRule="auto"/>
        <w:jc w:val="center"/>
        <w:rPr>
          <w:rFonts w:ascii="黑体" w:hAnsi="黑体" w:eastAsia="黑体" w:cs="Times New Roman"/>
          <w:sz w:val="32"/>
          <w:szCs w:val="32"/>
        </w:rPr>
      </w:pPr>
    </w:p>
    <w:p>
      <w:pPr>
        <w:jc w:val="center"/>
        <w:outlineLvl w:val="0"/>
        <w:rPr>
          <w:rFonts w:ascii="方正小标宋_GBK" w:eastAsia="方正小标宋_GBK"/>
          <w:sz w:val="44"/>
        </w:rPr>
      </w:pPr>
      <w:r>
        <w:rPr>
          <w:rFonts w:hint="eastAsia" w:ascii="方正小标宋_GBK" w:eastAsia="方正小标宋_GBK"/>
          <w:sz w:val="44"/>
        </w:rPr>
        <w:t>单位整体</w:t>
      </w:r>
      <w:r>
        <w:rPr>
          <w:rFonts w:ascii="方正小标宋_GBK" w:eastAsia="方正小标宋_GBK"/>
          <w:sz w:val="44"/>
        </w:rPr>
        <w:t>绩效目标</w:t>
      </w:r>
    </w:p>
    <w:p>
      <w:pPr>
        <w:spacing w:before="10" w:after="10"/>
        <w:ind w:firstLine="560"/>
        <w:outlineLvl w:val="1"/>
      </w:pPr>
      <w:bookmarkStart w:id="0" w:name="_Toc_2_2_0000000001"/>
      <w:r>
        <w:rPr>
          <w:rFonts w:ascii="方正黑体_GBK" w:hAnsi="方正黑体_GBK" w:eastAsia="方正黑体_GBK" w:cs="方正黑体_GBK"/>
          <w:color w:val="000000"/>
          <w:sz w:val="28"/>
        </w:rPr>
        <w:t>一、总体绩效目标</w:t>
      </w:r>
      <w:bookmarkEnd w:id="0"/>
    </w:p>
    <w:p>
      <w:pPr>
        <w:pStyle w:val="10"/>
      </w:pPr>
      <w:r>
        <w:t>202</w:t>
      </w:r>
      <w:r>
        <w:rPr>
          <w:rFonts w:hint="eastAsia"/>
          <w:lang w:eastAsia="zh-CN"/>
        </w:rPr>
        <w:t>1</w:t>
      </w:r>
      <w:r>
        <w:t>年</w:t>
      </w:r>
      <w:r>
        <w:rPr>
          <w:rFonts w:hint="eastAsia"/>
          <w:lang w:eastAsia="zh-CN"/>
        </w:rPr>
        <w:t>师昌绪</w:t>
      </w:r>
      <w:r>
        <w:t>学校工作的总体目标是：推进义务教育优质均衡发展、学前教育普及普惠发展，全力打造师德高尚的专业化教师队伍，持续推进教育基础设施建设，努力实现现代信息技术与教育教学深度融合，持之以恒地创建平安校园，强化教育高质量发展支撑保障；推动育人课堂创建，加快建设教育强区，办好人民满意教育，以一流的工作业绩助推我</w:t>
      </w:r>
      <w:r>
        <w:rPr>
          <w:rFonts w:hint="eastAsia"/>
          <w:lang w:eastAsia="zh-CN"/>
        </w:rPr>
        <w:t>单位</w:t>
      </w:r>
      <w:r>
        <w:t>教育工作在全市当先锋、做表率、走在前，以实际行动和优异成绩迎接党的二十大胜利召开。</w:t>
      </w:r>
    </w:p>
    <w:p>
      <w:pPr>
        <w:spacing w:before="10" w:after="10"/>
        <w:ind w:firstLine="560"/>
        <w:outlineLvl w:val="1"/>
      </w:pPr>
      <w:bookmarkStart w:id="1" w:name="_Toc_2_2_0000000002"/>
      <w:r>
        <w:rPr>
          <w:rFonts w:ascii="方正黑体_GBK" w:hAnsi="方正黑体_GBK" w:eastAsia="方正黑体_GBK" w:cs="方正黑体_GBK"/>
          <w:color w:val="000000"/>
          <w:sz w:val="28"/>
        </w:rPr>
        <w:t>二、分项绩效目标</w:t>
      </w:r>
      <w:bookmarkEnd w:id="1"/>
    </w:p>
    <w:p>
      <w:pPr>
        <w:pStyle w:val="11"/>
      </w:pPr>
      <w:r>
        <w:t>(一）全面加强思想政治建设。</w:t>
      </w:r>
    </w:p>
    <w:p>
      <w:pPr>
        <w:pStyle w:val="11"/>
      </w:pPr>
      <w:r>
        <w:t>绩效目标：把学习宣传贯彻习近平新时代中国特色社会主义思想作为首要政治任务，深入学习贯彻习近平总书记关于教育的重要论述。把习近平新时代中国特色社会主义思想和党的十九大、十九届历次全会和二十大精神纳入理论</w:t>
      </w:r>
      <w:r>
        <w:rPr>
          <w:rFonts w:hint="eastAsia"/>
          <w:lang w:eastAsia="zh-CN"/>
        </w:rPr>
        <w:t>学习</w:t>
      </w:r>
      <w:bookmarkStart w:id="10" w:name="_GoBack"/>
      <w:bookmarkEnd w:id="10"/>
      <w:r>
        <w:t>中心组必学材料，开展师生迎接、学习、宣传党的二十大专项行动，汇聚广大师生喜迎党的二十大浓厚氛围。健全完善常态化政治理论学习制度，抓实抓紧教职工政治理论学习，用党的创新理论武装头脑、指导实践、推动工作。加强思想政治工作，推动思想政治理论课改革创新，实现全员育人、全程育人、全方位育人，不断提高工作能力和思想政治工作水平。</w:t>
      </w:r>
    </w:p>
    <w:p>
      <w:pPr>
        <w:pStyle w:val="11"/>
      </w:pPr>
      <w:r>
        <w:t>（二）推动义务教育优质均衡发展。</w:t>
      </w:r>
    </w:p>
    <w:p>
      <w:pPr>
        <w:pStyle w:val="11"/>
      </w:pPr>
      <w:r>
        <w:t>绩效目标：持续打好“双减”攻坚战。坚持校外治理与校内提质协同发力，完善校外培训机构管理制度，要压减作业总量，优化作业设计，提升作业质量。全面提升课后服务水平。不断加强课后服务力量，丰富课后服务内容，落实义务教育学校课后服务“全覆盖”，保证课后服务时间，提高课后服务质量，满足学生多样化需求。</w:t>
      </w:r>
    </w:p>
    <w:p>
      <w:pPr>
        <w:pStyle w:val="11"/>
      </w:pPr>
      <w:r>
        <w:t>绩效指标：统一城乡义务教育年生均公用经费标准：小学735元、初中935元（均含取暖费85元）。为农村义务教育学生和城区家庭经济困难学生免费提供教科书。所有城乡义务教育阶段学生免费发放教科书，教师、学生对保障机制的综合满意度≥90%。</w:t>
      </w:r>
    </w:p>
    <w:p>
      <w:pPr>
        <w:pStyle w:val="11"/>
      </w:pPr>
      <w:r>
        <w:t>（</w:t>
      </w:r>
      <w:r>
        <w:rPr>
          <w:rFonts w:hint="eastAsia"/>
          <w:lang w:eastAsia="zh-CN"/>
        </w:rPr>
        <w:t>三</w:t>
      </w:r>
      <w:r>
        <w:t>）推进学校体育深入开展。</w:t>
      </w:r>
    </w:p>
    <w:p>
      <w:pPr>
        <w:pStyle w:val="11"/>
      </w:pPr>
      <w:r>
        <w:t>绩效目标：开足开齐体育课程，认真落实学生每天一小时体育活动时间。大力普及足球、篮球等集体项目，积极推进田径、轮滑等基础项目，广泛开展乒乓球、武术等优势项目，让每位学生掌握1至2项运动技能。</w:t>
      </w:r>
    </w:p>
    <w:p>
      <w:pPr>
        <w:pStyle w:val="11"/>
      </w:pPr>
      <w:r>
        <w:t>绩效指标：落实学生“体育家庭作业”制度，确保参与体质健康测试率95%以上，学校学生体检健康测试上报率100%。</w:t>
      </w:r>
    </w:p>
    <w:p>
      <w:pPr>
        <w:spacing w:before="10" w:after="10"/>
        <w:ind w:firstLine="560"/>
        <w:outlineLvl w:val="1"/>
      </w:pPr>
      <w:bookmarkStart w:id="2" w:name="_Toc_2_2_0000000003"/>
      <w:r>
        <w:rPr>
          <w:rFonts w:ascii="方正黑体_GBK" w:hAnsi="方正黑体_GBK" w:eastAsia="方正黑体_GBK" w:cs="方正黑体_GBK"/>
          <w:color w:val="000000"/>
          <w:sz w:val="28"/>
        </w:rPr>
        <w:t>三、工作保障措施</w:t>
      </w:r>
      <w:bookmarkEnd w:id="2"/>
    </w:p>
    <w:p>
      <w:pPr>
        <w:pStyle w:val="12"/>
      </w:pPr>
      <w:r>
        <w:t>（一）加强组织领导。建立健全教育领域预算绩效管理制度体系。围绕年度总体绩效目标和分项绩效目标，明确责任主体，细化落实措施，确保绩效目标年内全部完成。</w:t>
      </w:r>
    </w:p>
    <w:p>
      <w:pPr>
        <w:pStyle w:val="12"/>
      </w:pPr>
      <w:r>
        <w:t>（二）完善制度建设。继续完善财政资金绩效综合评价办法。开展专项资金和重点项目绩效自评工作，加强预算绩效评价结果应用，将绩效目标和绩效结果与预算安排有机衔接，作为安排下年度项目预算资金数额的一项重要依据，切实提高财政资金使用效益。</w:t>
      </w:r>
    </w:p>
    <w:p>
      <w:pPr>
        <w:pStyle w:val="12"/>
      </w:pPr>
      <w:r>
        <w:t>（三）加强支出管理。严格按照年初预算支出计划加快履行政府采购手续，尽快启动项目，进行资金支付。</w:t>
      </w:r>
    </w:p>
    <w:p>
      <w:pPr>
        <w:pStyle w:val="12"/>
      </w:pPr>
      <w:r>
        <w:t xml:space="preserve">（四）加强绩效运行监控。强化资金监管，指导各单位建立健全内控组织机构、机制建设和内部管理制度，加强对关键岗位人员管理，保证单位各项经济活动合法合规。      </w:t>
      </w:r>
    </w:p>
    <w:p>
      <w:pPr>
        <w:pStyle w:val="12"/>
      </w:pPr>
      <w:r>
        <w:t>（五）做好绩效自评。认真开展各项目的项目绩效自评工作，加强预算绩效评价结果应用，将绩效目标和绩效结果与预算安排有机衔接。建立健全教育经费使用管理全程监管体系，监管过程中发现偏离绩效目标的，及时予以纠正。</w:t>
      </w:r>
    </w:p>
    <w:p>
      <w:pPr>
        <w:pStyle w:val="12"/>
      </w:pPr>
      <w:r>
        <w:t>（六）规范财务资产管理。进一步完善财务管理制度，严格资产采购审批手续，加强固定资产登记、使用及报废处置管理，做到支出合理，物尽其用。</w:t>
      </w:r>
    </w:p>
    <w:p>
      <w:pPr>
        <w:pStyle w:val="12"/>
      </w:pPr>
      <w:r>
        <w:t>（七）加强内部监督。加强内部监督制度建设，对绩效运行情况、重大支出决策、资产处置及其他重要经济业务的决算和执行进行督导，对会计资料进行内部审计，并配合做好审计、财政监督等外部监督工作，确保财政资金安全有效。</w:t>
      </w:r>
    </w:p>
    <w:p>
      <w:pPr>
        <w:pStyle w:val="12"/>
      </w:pPr>
      <w:r>
        <w:t>（八）加强宣传培训力度。加强</w:t>
      </w:r>
      <w:r>
        <w:rPr>
          <w:rFonts w:hint="eastAsia"/>
          <w:lang w:eastAsia="zh-CN"/>
        </w:rPr>
        <w:t>教师</w:t>
      </w:r>
      <w:r>
        <w:t>培训，提高</w:t>
      </w:r>
      <w:r>
        <w:rPr>
          <w:rFonts w:hint="eastAsia"/>
          <w:lang w:eastAsia="zh-CN"/>
        </w:rPr>
        <w:t>学校</w:t>
      </w:r>
      <w:r>
        <w:t>教育业务素养；加大宣传力度，强化绩效预算管理意识，促进绩效预算管理水平进一步提升。</w:t>
      </w:r>
    </w:p>
    <w:p>
      <w:pPr>
        <w:spacing w:line="360" w:lineRule="auto"/>
        <w:ind w:firstLine="640" w:firstLineChars="200"/>
        <w:rPr>
          <w:rFonts w:ascii="仿宋" w:hAnsi="仿宋" w:eastAsia="仿宋"/>
          <w:sz w:val="32"/>
          <w:szCs w:val="32"/>
        </w:rPr>
      </w:pPr>
    </w:p>
    <w:p>
      <w:pPr>
        <w:spacing w:line="360" w:lineRule="auto"/>
        <w:ind w:firstLine="640" w:firstLineChars="200"/>
        <w:rPr>
          <w:rFonts w:ascii="仿宋" w:hAnsi="仿宋" w:eastAsia="仿宋"/>
          <w:sz w:val="32"/>
          <w:szCs w:val="32"/>
        </w:rPr>
      </w:pPr>
    </w:p>
    <w:p>
      <w:pPr>
        <w:jc w:val="center"/>
        <w:outlineLvl w:val="0"/>
        <w:rPr>
          <w:rFonts w:ascii="方正书宋_GBK" w:eastAsia="方正书宋_GBK"/>
        </w:rPr>
      </w:pPr>
      <w:r>
        <w:rPr>
          <w:rFonts w:hint="eastAsia" w:ascii="方正小标宋_GBK" w:eastAsia="方正小标宋_GBK"/>
          <w:sz w:val="44"/>
        </w:rPr>
        <w:t>预算项目绩效目标</w:t>
      </w:r>
      <w:r>
        <w:rPr>
          <w:rFonts w:ascii="方正书宋_GBK" w:eastAsia="方正书宋_GBK"/>
        </w:rPr>
        <w:t xml:space="preserve"> </w:t>
      </w:r>
    </w:p>
    <w:p>
      <w:pPr>
        <w:spacing w:line="360" w:lineRule="auto"/>
        <w:ind w:firstLine="640" w:firstLineChars="200"/>
        <w:rPr>
          <w:rFonts w:ascii="仿宋" w:hAnsi="仿宋" w:eastAsia="仿宋"/>
          <w:sz w:val="32"/>
          <w:szCs w:val="32"/>
        </w:rPr>
      </w:pPr>
    </w:p>
    <w:p>
      <w:pPr>
        <w:ind w:firstLine="562" w:firstLineChars="200"/>
        <w:jc w:val="left"/>
        <w:outlineLvl w:val="3"/>
        <w:rPr>
          <w:rFonts w:ascii="Times New Roman" w:hAnsi="宋体" w:eastAsia="宋体"/>
          <w:b/>
          <w:sz w:val="28"/>
        </w:rPr>
      </w:pPr>
      <w:bookmarkStart w:id="3" w:name="_Toc71388641"/>
      <w:r>
        <w:rPr>
          <w:rFonts w:ascii="方正仿宋_GBK" w:eastAsia="方正仿宋_GBK"/>
          <w:b/>
          <w:sz w:val="28"/>
        </w:rPr>
        <w:t>关于提前下达2021年城乡义务教育中央补助经费预算（直达资金）-公用经费绩效目标表</w:t>
      </w:r>
      <w:bookmarkEnd w:id="3"/>
      <w:r>
        <w:rPr>
          <w:rFonts w:ascii="方正仿宋_GBK" w:eastAsia="方正仿宋_GBK"/>
          <w:b/>
          <w:sz w:val="28"/>
        </w:rPr>
        <w:fldChar w:fldCharType="begin"/>
      </w:r>
      <w:r>
        <w:rPr>
          <w:rFonts w:ascii="方正仿宋_GBK" w:eastAsia="方正仿宋_GBK"/>
          <w:b/>
          <w:sz w:val="28"/>
        </w:rPr>
        <w:instrText xml:space="preserve"> TC 338、关于提前下达2021年城乡义务教育中央补助经费预算（直达资金）-公用经费绩效目标表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360055师昌绪学校</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130625210HQT2NM8GO6UP</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关于提前下达2021年城乡义务教育中央补助经费预算（直达资金）-公用经费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1426803.00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1426803.00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保障学校正常运转,提高义务教育学校办学水平.</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25.00%</w:t>
            </w: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60.00%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80.00%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1.保障义务教育阶段学校能够正常运转</w:t>
            </w:r>
          </w:p>
          <w:p>
            <w:pPr>
              <w:spacing w:line="300" w:lineRule="exact"/>
              <w:jc w:val="left"/>
              <w:rPr>
                <w:rFonts w:ascii="方正书宋_GBK" w:eastAsia="方正书宋_GBK"/>
              </w:rPr>
            </w:pPr>
            <w:r>
              <w:rPr>
                <w:rFonts w:ascii="方正书宋_GBK" w:eastAsia="方正书宋_GBK"/>
              </w:rPr>
              <w:t>2.保证所有义务教育学校均能享受义务教育公用经费</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义务教育学校覆盖率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保证所有义务教育阶段学校全部享受公用经费保障</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保障效果</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义务教育阶段学校能够正常运转</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资金支付及时性</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资金支付的及时程度</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义务教育办学成本</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保障义务教育阶段学校正常运转</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经济效益指标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成本利用率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有效利用各项支出成本，提高工作效能</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4" w:name="_Toc71388642"/>
      <w:r>
        <w:rPr>
          <w:rFonts w:ascii="方正仿宋_GBK" w:eastAsia="方正仿宋_GBK"/>
          <w:b/>
          <w:sz w:val="28"/>
        </w:rPr>
        <w:t>提前下达2021年城乡义务教育保障机制改革市级资金-公用经费绩效目标表</w:t>
      </w:r>
      <w:bookmarkEnd w:id="4"/>
      <w:r>
        <w:rPr>
          <w:rFonts w:ascii="方正仿宋_GBK" w:eastAsia="方正仿宋_GBK"/>
          <w:b/>
          <w:sz w:val="28"/>
        </w:rPr>
        <w:fldChar w:fldCharType="begin"/>
      </w:r>
      <w:r>
        <w:rPr>
          <w:rFonts w:ascii="方正仿宋_GBK" w:eastAsia="方正仿宋_GBK"/>
          <w:b/>
          <w:sz w:val="28"/>
        </w:rPr>
        <w:instrText xml:space="preserve"> TC 339、提前下达2021年城乡义务教育保障机制改革市级资金-公用经费绩效目标表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360055师昌绪学校</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130625215RE1T5A1HBF16</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提前下达2021年城乡义务教育保障机制改革市级资金-公用经费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516071.00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516071.00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保障义务教育阶段学校能够正常运转，保证所有义务教育学校均能享受义务教育公用经费，减轻家长负担。</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30.00%</w:t>
            </w: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60.00%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80.00%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1.保障义务教育阶段学校能够正常运转</w:t>
            </w:r>
          </w:p>
          <w:p>
            <w:pPr>
              <w:spacing w:line="300" w:lineRule="exact"/>
              <w:jc w:val="left"/>
              <w:rPr>
                <w:rFonts w:ascii="方正书宋_GBK" w:eastAsia="方正书宋_GBK"/>
              </w:rPr>
            </w:pPr>
            <w:r>
              <w:rPr>
                <w:rFonts w:ascii="方正书宋_GBK" w:eastAsia="方正书宋_GBK"/>
              </w:rPr>
              <w:t>2.保证所有义务教育学校均能享受义务教育公用经费</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义务教育学校覆盖率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保证所有义务教育阶段学校全部享受公用经费保障</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保障效果</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义务教育阶段学校能够正常运转</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资金支付及时性</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资金支付的及时程度</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义务教育办学成本</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保障义务教育阶段学校正常运转</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经济效益指标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可持续性服务</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可持续性服务</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资金的使用效率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资金的使用效率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生态效益指标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工作专业性不断提升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工作专业性不断提升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可持续影响指标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满足生态环保要求</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满足生态环保要求</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满意度指标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服务对象满意度指标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群众满意度</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群众满意度</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5" w:name="_Toc71388643"/>
      <w:r>
        <w:rPr>
          <w:rFonts w:ascii="方正仿宋_GBK" w:eastAsia="方正仿宋_GBK"/>
          <w:b/>
          <w:sz w:val="28"/>
        </w:rPr>
        <w:t>义务教育公用经费区级配套绩效目标表</w:t>
      </w:r>
      <w:bookmarkEnd w:id="5"/>
      <w:r>
        <w:rPr>
          <w:rFonts w:ascii="方正仿宋_GBK" w:eastAsia="方正仿宋_GBK"/>
          <w:b/>
          <w:sz w:val="28"/>
        </w:rPr>
        <w:fldChar w:fldCharType="begin"/>
      </w:r>
      <w:r>
        <w:rPr>
          <w:rFonts w:ascii="方正仿宋_GBK" w:eastAsia="方正仿宋_GBK"/>
          <w:b/>
          <w:sz w:val="28"/>
        </w:rPr>
        <w:instrText xml:space="preserve"> TC 340、义务教育公用经费区级配套绩效目标表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360055师昌绪学校</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130625219KOI5XG8TC3YL</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义务教育公用经费区级配套</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435131.00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435131.00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该项目用于保障义务教育阶段学校正常运转，提升义务教育学校办学水平。</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25.00%</w:t>
            </w: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60.00%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80.00%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1.保障义务教育阶段学校能够正常运转</w:t>
            </w:r>
          </w:p>
          <w:p>
            <w:pPr>
              <w:spacing w:line="300" w:lineRule="exact"/>
              <w:jc w:val="left"/>
              <w:rPr>
                <w:rFonts w:ascii="方正书宋_GBK" w:eastAsia="方正书宋_GBK"/>
              </w:rPr>
            </w:pPr>
            <w:r>
              <w:rPr>
                <w:rFonts w:ascii="方正书宋_GBK" w:eastAsia="方正书宋_GBK"/>
              </w:rPr>
              <w:t>2.保证所有义务教育学校均能享受义务教育公用经费</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义务教育学校覆盖率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保证所有义务教育阶段学校全部享受公用经费保障</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保障效果</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义务教育阶段学校能够正常运转</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资金支付及时性</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资金支付的及时程度</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义务教育办学成本</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保障义务教育阶段学校正常运转</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提高办学水平</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保障了学校的运转，提高了办学水平</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6" w:name="_Toc71388644"/>
      <w:r>
        <w:rPr>
          <w:rFonts w:ascii="方正仿宋_GBK" w:eastAsia="方正仿宋_GBK"/>
          <w:b/>
          <w:sz w:val="28"/>
        </w:rPr>
        <w:t>提前下达2021年城乡义务教育省级补助资金-困难学生生活补助绩效目标表</w:t>
      </w:r>
      <w:bookmarkEnd w:id="6"/>
      <w:r>
        <w:rPr>
          <w:rFonts w:ascii="方正仿宋_GBK" w:eastAsia="方正仿宋_GBK"/>
          <w:b/>
          <w:sz w:val="28"/>
        </w:rPr>
        <w:fldChar w:fldCharType="begin"/>
      </w:r>
      <w:r>
        <w:rPr>
          <w:rFonts w:ascii="方正仿宋_GBK" w:eastAsia="方正仿宋_GBK"/>
          <w:b/>
          <w:sz w:val="28"/>
        </w:rPr>
        <w:instrText xml:space="preserve"> TC 341、提前下达2021年城乡义务教育省级补助资金-困难学生生活补助绩效目标表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360055师昌绪学校</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13062521A3G0YVTM09FGE</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提前下达2021年城乡义务教育省级补助资金-困难学生生活补助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7125.00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7125.00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促进城乡义务教育均衡发展，对家庭经济困难学生进行生活补助。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1.响应国家号召，实现精准服贫。</w:t>
            </w:r>
          </w:p>
          <w:p>
            <w:pPr>
              <w:spacing w:line="300" w:lineRule="exact"/>
              <w:jc w:val="left"/>
              <w:rPr>
                <w:rFonts w:ascii="方正书宋_GBK" w:eastAsia="方正书宋_GBK"/>
              </w:rPr>
            </w:pPr>
            <w:r>
              <w:rPr>
                <w:rFonts w:ascii="方正书宋_GBK" w:eastAsia="方正书宋_GBK"/>
              </w:rPr>
              <w:t>2.对家庭经济困难学生进行生活补助。</w:t>
            </w:r>
          </w:p>
          <w:p>
            <w:pPr>
              <w:spacing w:line="300" w:lineRule="exact"/>
              <w:jc w:val="left"/>
              <w:rPr>
                <w:rFonts w:ascii="方正书宋_GBK" w:eastAsia="方正书宋_GBK"/>
              </w:rPr>
            </w:pPr>
            <w:r>
              <w:rPr>
                <w:rFonts w:ascii="方正书宋_GBK" w:eastAsia="方正书宋_GBK"/>
              </w:rPr>
              <w:t>3.促进义务教育均衡发展。</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完成率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按照要求和计划完成任务的项目在所有立项项目中的比例（百分比）</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保定市财政局、保定市教育局《关于提前下达2021年城乡义务教育省级助资金预算的通知》 保财教【2020】103号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家庭经济困难寄宿生补助率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对困难学生实施补助</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保定市财政局、保定市教育局《关于提前下达2021年城乡义务教育省级助资金预算的通知》 保财教【2020】103号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资金拨付率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实际拨付资金占应付资金的比率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保定市财政局、保定市教育局《关于提前下达2021年城乡义务教育省级助资金预算的通知》 保财教【2020】103号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资金发放率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资金能足额发放</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保定市财政局、保定市教育局《关于提前下达2021年城乡义务教育省级助资金预算的通知》 保财教【2020】103号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经济效益指标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发挥有限资金的最大效益</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发挥有限资金的最大效益</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≥98%</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保定市财政局、保定市教育局《关于提前下达2021年城乡义务教育省级助资金预算的通知》 保财教【2020】103号</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7" w:name="_Toc71388645"/>
      <w:r>
        <w:rPr>
          <w:rFonts w:ascii="方正仿宋_GBK" w:eastAsia="方正仿宋_GBK"/>
          <w:b/>
          <w:sz w:val="28"/>
        </w:rPr>
        <w:t>校园安保经费绩效目标表</w:t>
      </w:r>
      <w:bookmarkEnd w:id="7"/>
      <w:r>
        <w:rPr>
          <w:rFonts w:ascii="方正仿宋_GBK" w:eastAsia="方正仿宋_GBK"/>
          <w:b/>
          <w:sz w:val="28"/>
        </w:rPr>
        <w:fldChar w:fldCharType="begin"/>
      </w:r>
      <w:r>
        <w:rPr>
          <w:rFonts w:ascii="方正仿宋_GBK" w:eastAsia="方正仿宋_GBK"/>
          <w:b/>
          <w:sz w:val="28"/>
        </w:rPr>
        <w:instrText xml:space="preserve"> TC 342、校园安保经费绩效目标表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360055师昌绪学校</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13062521G1T3OGG6GSLQA</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校园安保经费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91200.00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91200.00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维持学校正常秩序，保障师生及财产安全。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25.00%</w:t>
            </w: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75.00%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1.维持学校正常秩序</w:t>
            </w:r>
          </w:p>
          <w:p>
            <w:pPr>
              <w:spacing w:line="300" w:lineRule="exact"/>
              <w:jc w:val="left"/>
              <w:rPr>
                <w:rFonts w:ascii="方正书宋_GBK" w:eastAsia="方正书宋_GBK"/>
              </w:rPr>
            </w:pPr>
            <w:r>
              <w:rPr>
                <w:rFonts w:ascii="方正书宋_GBK" w:eastAsia="方正书宋_GBK"/>
              </w:rPr>
              <w:t>2.切实保障师生安全</w:t>
            </w:r>
          </w:p>
          <w:p>
            <w:pPr>
              <w:spacing w:line="300" w:lineRule="exact"/>
              <w:jc w:val="left"/>
              <w:rPr>
                <w:rFonts w:ascii="方正书宋_GBK" w:eastAsia="方正书宋_GBK"/>
              </w:rPr>
            </w:pPr>
            <w:r>
              <w:rPr>
                <w:rFonts w:ascii="方正书宋_GBK" w:eastAsia="方正书宋_GBK"/>
              </w:rPr>
              <w:t>3.保障学校财产</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安保人数</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安保人数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4人</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校园安保保卫工作</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校园安保保卫工作</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≥98%</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资金支付及时率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根据年初预算及工作需要及时支付</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资金成本</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资金成本</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经济效益指标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资金的使用效率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资金的使用效率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≥98%</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测算依据</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8" w:name="_Toc71388646"/>
      <w:r>
        <w:rPr>
          <w:rFonts w:ascii="方正仿宋_GBK" w:eastAsia="方正仿宋_GBK"/>
          <w:b/>
          <w:sz w:val="28"/>
        </w:rPr>
        <w:t>关于提前下达2021年城乡义务教育中央补助经费预算（直达资金）-困难学生生活补助绩效目标表</w:t>
      </w:r>
      <w:bookmarkEnd w:id="8"/>
      <w:r>
        <w:rPr>
          <w:rFonts w:ascii="方正仿宋_GBK" w:eastAsia="方正仿宋_GBK"/>
          <w:b/>
          <w:sz w:val="28"/>
        </w:rPr>
        <w:fldChar w:fldCharType="begin"/>
      </w:r>
      <w:r>
        <w:rPr>
          <w:rFonts w:ascii="方正仿宋_GBK" w:eastAsia="方正仿宋_GBK"/>
          <w:b/>
          <w:sz w:val="28"/>
        </w:rPr>
        <w:instrText xml:space="preserve"> TC 343、关于提前下达2021年城乡义务教育中央补助经费预算（直达资金）-困难学生生活补助绩效目标表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360055师昌绪学校</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13062521SI302W2XDZ75X</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关于提前下达2021年城乡义务教育中央补助经费预算（直达资金）-困难学生生活补助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2375.00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2375.00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促进城乡义务教育均衡发展，对家庭经济困难学生进行生活补助。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1.响应国家号召，实现精准服贫。</w:t>
            </w:r>
          </w:p>
          <w:p>
            <w:pPr>
              <w:spacing w:line="300" w:lineRule="exact"/>
              <w:jc w:val="left"/>
              <w:rPr>
                <w:rFonts w:ascii="方正书宋_GBK" w:eastAsia="方正书宋_GBK"/>
              </w:rPr>
            </w:pPr>
            <w:r>
              <w:rPr>
                <w:rFonts w:ascii="方正书宋_GBK" w:eastAsia="方正书宋_GBK"/>
              </w:rPr>
              <w:t>2.对家庭经济困难学生进行生活补助。</w:t>
            </w:r>
          </w:p>
          <w:p>
            <w:pPr>
              <w:spacing w:line="300" w:lineRule="exact"/>
              <w:jc w:val="left"/>
              <w:rPr>
                <w:rFonts w:ascii="方正书宋_GBK" w:eastAsia="方正书宋_GBK"/>
              </w:rPr>
            </w:pPr>
            <w:r>
              <w:rPr>
                <w:rFonts w:ascii="方正书宋_GBK" w:eastAsia="方正书宋_GBK"/>
              </w:rPr>
              <w:t>3.促进义务教育均衡发展。</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完成率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按照要求和计划完成任务的项目在所有立项项目中的比例（百分比）</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保定市财政局、保定市教育局《关于提前下达2021年城乡义务教育中央补助经费预算（直达资金）保财教[2020]82号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家庭经济困难寄宿生补助率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对困难学生实施补助</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保定市财政局、保定市教育局《关于提前下达2021年城乡义务教育中央补助经费预算（直达资金）保财教[2020]82号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资金拨付率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实际拨付资金占应付资金的比率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保定市财政局、保定市教育局《关于提前下达2021年城乡义务教育中央补助经费预算（直达资金）保财教[2020]82号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资金发放率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资金能足额发放</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保定市财政局、保定市教育局《关于提前下达2021年城乡义务教育中央补助经费预算（直达资金）保财教[2020]82号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经济效益指标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发挥有限资金的最大效益</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发挥有限资金的最大效益</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≥98%</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保定市财政局、保定市教育局《关于提前下达2021年城乡义务教育中央补助经费预算（直达资金）保财教[2020]82号</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0" w:firstLineChars="200"/>
        <w:jc w:val="left"/>
        <w:outlineLvl w:val="3"/>
        <w:rPr>
          <w:rFonts w:ascii="Times New Roman" w:hAnsi="宋体" w:eastAsia="宋体"/>
          <w:b/>
          <w:sz w:val="28"/>
        </w:rPr>
      </w:pPr>
      <w:bookmarkStart w:id="9" w:name="_Toc71388647"/>
      <w:r>
        <w:rPr>
          <w:rFonts w:ascii="方正仿宋_GBK" w:eastAsia="方正仿宋_GBK"/>
          <w:b/>
          <w:sz w:val="28"/>
        </w:rPr>
        <w:t>义务教育阶段小学生营养改善计划地方试点区级资金绩效目标表</w:t>
      </w:r>
      <w:bookmarkEnd w:id="9"/>
      <w:r>
        <w:rPr>
          <w:rFonts w:ascii="方正仿宋_GBK" w:eastAsia="方正仿宋_GBK"/>
          <w:b/>
          <w:sz w:val="28"/>
        </w:rPr>
        <w:fldChar w:fldCharType="begin"/>
      </w:r>
      <w:r>
        <w:rPr>
          <w:rFonts w:ascii="方正仿宋_GBK" w:eastAsia="方正仿宋_GBK"/>
          <w:b/>
          <w:sz w:val="28"/>
        </w:rPr>
        <w:instrText xml:space="preserve"> TC 344、义务教育阶段小学生营养改善计划地方试点区级资金绩效目标表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360055师昌绪学校</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13062521T0C4H4QASDIIQ</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义务教育阶段小学生营养改善计划地方试点区级资金</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984000.00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984000.00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让学生合理健康饮食，保障身体营养供应,提高学生身体素质的同时，促进教育均衡发展。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25.00%</w:t>
            </w: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75.00%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1.通过营养餐改善计划，让学生合理健康饮食，保障身体营养供应。</w:t>
            </w:r>
          </w:p>
          <w:p>
            <w:pPr>
              <w:spacing w:line="300" w:lineRule="exact"/>
              <w:jc w:val="left"/>
              <w:rPr>
                <w:rFonts w:ascii="方正书宋_GBK" w:eastAsia="方正书宋_GBK"/>
              </w:rPr>
            </w:pPr>
            <w:r>
              <w:rPr>
                <w:rFonts w:ascii="方正书宋_GBK" w:eastAsia="方正书宋_GBK"/>
              </w:rPr>
              <w:t>2.提高学生身体素质的同时，促进教育均衡发展。</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享受营养餐学生达标率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营养餐覆盖情况</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优良率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鉴定合格等级项目数量占总数量的比例（百分比）</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≥99%</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资金到位及时率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资金金到位及时率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≥98%</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学生营养餐生均补助标准</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每个小学生每天（工作日）一盒学生奶，一枚熟鸡蛋。</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2.5元/人.天</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社会稳定水平</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通过实施营养餐改善计划，促进社会稳定水平逐步提高</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bl>
    <w:p/>
    <w:p>
      <w:pPr>
        <w:jc w:val="center"/>
        <w:outlineLvl w:val="0"/>
        <w:rPr>
          <w:rFonts w:ascii="方正小标宋_GBK" w:eastAsia="方正小标宋_GBK"/>
          <w:sz w:val="44"/>
        </w:rPr>
      </w:pPr>
    </w:p>
    <w:p>
      <w:pPr>
        <w:jc w:val="center"/>
        <w:outlineLvl w:val="0"/>
        <w:rPr>
          <w:rFonts w:ascii="方正小标宋_GBK" w:eastAsia="方正小标宋_GBK"/>
          <w:sz w:val="44"/>
        </w:rPr>
      </w:pPr>
    </w:p>
    <w:p>
      <w:pPr>
        <w:jc w:val="center"/>
        <w:outlineLvl w:val="0"/>
        <w:rPr>
          <w:rFonts w:ascii="方正小标宋_GBK" w:eastAsia="方正小标宋_GBK"/>
          <w:sz w:val="44"/>
        </w:rPr>
      </w:pPr>
    </w:p>
    <w:p>
      <w:pPr>
        <w:jc w:val="center"/>
        <w:outlineLvl w:val="0"/>
        <w:rPr>
          <w:rFonts w:ascii="方正小标宋_GBK" w:eastAsia="方正小标宋_GBK"/>
          <w:sz w:val="44"/>
        </w:rPr>
      </w:pPr>
    </w:p>
    <w:p>
      <w:pPr>
        <w:jc w:val="center"/>
        <w:outlineLvl w:val="0"/>
        <w:rPr>
          <w:rFonts w:ascii="方正小标宋_GBK" w:eastAsia="方正小标宋_GBK"/>
          <w:sz w:val="44"/>
        </w:rPr>
      </w:pPr>
    </w:p>
    <w:p>
      <w:pPr>
        <w:jc w:val="center"/>
        <w:outlineLvl w:val="0"/>
        <w:rPr>
          <w:rFonts w:ascii="方正小标宋_GBK" w:eastAsia="方正小标宋_GBK"/>
          <w:sz w:val="44"/>
        </w:rPr>
      </w:pPr>
      <w:r>
        <w:rPr>
          <w:rFonts w:hint="eastAsia" w:ascii="方正小标宋_GBK" w:eastAsia="方正小标宋_GBK"/>
          <w:sz w:val="44"/>
        </w:rPr>
        <w:t>第六部分：政府采购预算情况</w:t>
      </w:r>
    </w:p>
    <w:p>
      <w:pPr>
        <w:spacing w:line="360" w:lineRule="auto"/>
        <w:ind w:firstLine="640" w:firstLineChars="200"/>
        <w:rPr>
          <w:rFonts w:ascii="仿宋" w:hAnsi="仿宋" w:eastAsia="仿宋"/>
          <w:sz w:val="32"/>
          <w:szCs w:val="32"/>
        </w:rPr>
      </w:pPr>
      <w:r>
        <w:rPr>
          <w:rFonts w:hint="eastAsia" w:ascii="仿宋" w:hAnsi="仿宋" w:eastAsia="仿宋"/>
          <w:b/>
          <w:sz w:val="32"/>
          <w:szCs w:val="32"/>
        </w:rPr>
        <w:t>无政府采购预算的写</w:t>
      </w:r>
      <w:r>
        <w:rPr>
          <w:rFonts w:hint="eastAsia" w:ascii="仿宋" w:hAnsi="仿宋" w:eastAsia="仿宋"/>
          <w:sz w:val="32"/>
          <w:szCs w:val="32"/>
        </w:rPr>
        <w:t>：</w:t>
      </w:r>
      <w:r>
        <w:rPr>
          <w:rFonts w:ascii="仿宋" w:hAnsi="仿宋" w:eastAsia="仿宋"/>
          <w:sz w:val="32"/>
          <w:szCs w:val="32"/>
        </w:rPr>
        <w:t>2021年，我单位无政府采购预算，空表列示。</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0" w:type="dxa"/>
          <w:left w:w="108" w:type="dxa"/>
          <w:bottom w:w="0" w:type="dxa"/>
          <w:right w:w="108" w:type="dxa"/>
        </w:tblCellMar>
      </w:tblPr>
      <w:tblGrid>
        <w:gridCol w:w="792"/>
        <w:gridCol w:w="505"/>
        <w:gridCol w:w="530"/>
        <w:gridCol w:w="530"/>
        <w:gridCol w:w="468"/>
        <w:gridCol w:w="488"/>
        <w:gridCol w:w="488"/>
        <w:gridCol w:w="505"/>
        <w:gridCol w:w="505"/>
        <w:gridCol w:w="505"/>
        <w:gridCol w:w="505"/>
        <w:gridCol w:w="505"/>
        <w:gridCol w:w="505"/>
        <w:gridCol w:w="505"/>
        <w:gridCol w:w="505"/>
        <w:gridCol w:w="687"/>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7342" w:type="dxa"/>
            <w:gridSpan w:val="7"/>
            <w:tcBorders>
              <w:top w:val="single" w:color="FFFFFF" w:sz="6" w:space="0"/>
              <w:left w:val="single" w:color="FFFFFF" w:sz="6" w:space="0"/>
              <w:right w:val="single" w:color="FFFFFF" w:sz="6" w:space="0"/>
            </w:tcBorders>
            <w:vAlign w:val="center"/>
          </w:tcPr>
          <w:p>
            <w:pPr>
              <w:pStyle w:val="19"/>
            </w:pPr>
            <w:r>
              <w:t>360</w:t>
            </w:r>
            <w:r>
              <w:rPr>
                <w:rFonts w:hint="eastAsia"/>
                <w:lang w:eastAsia="zh-CN"/>
              </w:rPr>
              <w:t>055</w:t>
            </w:r>
            <w:r>
              <w:t>保定市徐水区师昌绪学校</w:t>
            </w:r>
          </w:p>
        </w:tc>
        <w:tc>
          <w:tcPr>
            <w:tcW w:w="8674" w:type="dxa"/>
            <w:gridSpan w:val="9"/>
            <w:tcBorders>
              <w:top w:val="single" w:color="FFFFFF" w:sz="6" w:space="0"/>
              <w:left w:val="single" w:color="FFFFFF" w:sz="6" w:space="0"/>
              <w:right w:val="single" w:color="FFFFFF" w:sz="6" w:space="0"/>
            </w:tcBorders>
            <w:vAlign w:val="center"/>
          </w:tcPr>
          <w:p>
            <w:pPr>
              <w:pStyle w:val="18"/>
            </w:pPr>
            <w: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2665" w:type="dxa"/>
            <w:gridSpan w:val="2"/>
            <w:vAlign w:val="center"/>
          </w:tcPr>
          <w:p>
            <w:pPr>
              <w:pStyle w:val="13"/>
            </w:pPr>
            <w:r>
              <w:t>政府采购项目来源</w:t>
            </w:r>
          </w:p>
        </w:tc>
        <w:tc>
          <w:tcPr>
            <w:tcW w:w="1134" w:type="dxa"/>
            <w:vMerge w:val="restart"/>
            <w:vAlign w:val="center"/>
          </w:tcPr>
          <w:p>
            <w:pPr>
              <w:pStyle w:val="13"/>
            </w:pPr>
            <w:r>
              <w:t>采购物品名称</w:t>
            </w:r>
          </w:p>
        </w:tc>
        <w:tc>
          <w:tcPr>
            <w:tcW w:w="1134" w:type="dxa"/>
            <w:vMerge w:val="restart"/>
            <w:vAlign w:val="center"/>
          </w:tcPr>
          <w:p>
            <w:pPr>
              <w:pStyle w:val="13"/>
            </w:pPr>
            <w:r>
              <w:t>政府采购目录序号</w:t>
            </w:r>
          </w:p>
        </w:tc>
        <w:tc>
          <w:tcPr>
            <w:tcW w:w="709" w:type="dxa"/>
            <w:vMerge w:val="restart"/>
            <w:vAlign w:val="center"/>
          </w:tcPr>
          <w:p>
            <w:pPr>
              <w:pStyle w:val="13"/>
            </w:pPr>
            <w:r>
              <w:t>计量  单位</w:t>
            </w:r>
          </w:p>
        </w:tc>
        <w:tc>
          <w:tcPr>
            <w:tcW w:w="850" w:type="dxa"/>
            <w:vMerge w:val="restart"/>
            <w:vAlign w:val="center"/>
          </w:tcPr>
          <w:p>
            <w:pPr>
              <w:pStyle w:val="13"/>
            </w:pPr>
            <w:r>
              <w:t>数量</w:t>
            </w:r>
          </w:p>
        </w:tc>
        <w:tc>
          <w:tcPr>
            <w:tcW w:w="850" w:type="dxa"/>
            <w:vMerge w:val="restart"/>
            <w:vAlign w:val="center"/>
          </w:tcPr>
          <w:p>
            <w:pPr>
              <w:pStyle w:val="13"/>
            </w:pPr>
            <w:r>
              <w:t>单价</w:t>
            </w:r>
          </w:p>
        </w:tc>
        <w:tc>
          <w:tcPr>
            <w:tcW w:w="7710" w:type="dxa"/>
            <w:gridSpan w:val="8"/>
            <w:vAlign w:val="center"/>
          </w:tcPr>
          <w:p>
            <w:pPr>
              <w:pStyle w:val="13"/>
            </w:pPr>
            <w:r>
              <w:t>政府采购金额（当年部门预算安排资金）</w:t>
            </w:r>
          </w:p>
        </w:tc>
        <w:tc>
          <w:tcPr>
            <w:tcW w:w="964" w:type="dxa"/>
            <w:vMerge w:val="restart"/>
            <w:vAlign w:val="center"/>
          </w:tcPr>
          <w:p>
            <w:pPr>
              <w:pStyle w:val="13"/>
            </w:pPr>
            <w:r>
              <w:t>2022年  预留中  小微企  业份额</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470" w:hRule="atLeast"/>
          <w:tblHeader/>
          <w:jc w:val="center"/>
        </w:trPr>
        <w:tc>
          <w:tcPr>
            <w:tcW w:w="1701" w:type="dxa"/>
            <w:vAlign w:val="center"/>
          </w:tcPr>
          <w:p>
            <w:pPr>
              <w:pStyle w:val="13"/>
            </w:pPr>
            <w:r>
              <w:t>项目名称</w:t>
            </w:r>
          </w:p>
        </w:tc>
        <w:tc>
          <w:tcPr>
            <w:tcW w:w="964" w:type="dxa"/>
            <w:vAlign w:val="center"/>
          </w:tcPr>
          <w:p>
            <w:pPr>
              <w:pStyle w:val="13"/>
            </w:pPr>
            <w:r>
              <w:t>预算    资金</w:t>
            </w:r>
          </w:p>
        </w:tc>
        <w:tc>
          <w:tcPr>
            <w:tcW w:w="1134" w:type="dxa"/>
            <w:vMerge w:val="continue"/>
          </w:tcPr>
          <w:p/>
        </w:tc>
        <w:tc>
          <w:tcPr>
            <w:tcW w:w="1134" w:type="dxa"/>
            <w:vMerge w:val="continue"/>
          </w:tcPr>
          <w:p/>
        </w:tc>
        <w:tc>
          <w:tcPr>
            <w:tcW w:w="709" w:type="dxa"/>
            <w:vMerge w:val="continue"/>
          </w:tcPr>
          <w:p/>
        </w:tc>
        <w:tc>
          <w:tcPr>
            <w:tcW w:w="850" w:type="dxa"/>
            <w:vMerge w:val="continue"/>
          </w:tcPr>
          <w:p/>
        </w:tc>
        <w:tc>
          <w:tcPr>
            <w:tcW w:w="850" w:type="dxa"/>
            <w:vMerge w:val="continue"/>
          </w:tcPr>
          <w:p/>
        </w:tc>
        <w:tc>
          <w:tcPr>
            <w:tcW w:w="964" w:type="dxa"/>
            <w:vAlign w:val="center"/>
          </w:tcPr>
          <w:p>
            <w:pPr>
              <w:pStyle w:val="13"/>
            </w:pPr>
            <w:r>
              <w:t>合计</w:t>
            </w:r>
          </w:p>
        </w:tc>
        <w:tc>
          <w:tcPr>
            <w:tcW w:w="964" w:type="dxa"/>
            <w:vAlign w:val="center"/>
          </w:tcPr>
          <w:p>
            <w:pPr>
              <w:pStyle w:val="13"/>
            </w:pPr>
            <w:r>
              <w:t>一般公共预算拨款</w:t>
            </w:r>
          </w:p>
        </w:tc>
        <w:tc>
          <w:tcPr>
            <w:tcW w:w="964" w:type="dxa"/>
            <w:vAlign w:val="center"/>
          </w:tcPr>
          <w:p>
            <w:pPr>
              <w:pStyle w:val="13"/>
            </w:pPr>
            <w:r>
              <w:t>基金预算拨款</w:t>
            </w:r>
          </w:p>
        </w:tc>
        <w:tc>
          <w:tcPr>
            <w:tcW w:w="964" w:type="dxa"/>
            <w:vAlign w:val="center"/>
          </w:tcPr>
          <w:p>
            <w:pPr>
              <w:pStyle w:val="13"/>
            </w:pPr>
            <w:r>
              <w:t>国有资本经营预算拨款</w:t>
            </w:r>
          </w:p>
        </w:tc>
        <w:tc>
          <w:tcPr>
            <w:tcW w:w="964" w:type="dxa"/>
            <w:vAlign w:val="center"/>
          </w:tcPr>
          <w:p>
            <w:pPr>
              <w:pStyle w:val="13"/>
            </w:pPr>
            <w:r>
              <w:t>财政专户核拨</w:t>
            </w:r>
          </w:p>
        </w:tc>
        <w:tc>
          <w:tcPr>
            <w:tcW w:w="964" w:type="dxa"/>
            <w:vAlign w:val="center"/>
          </w:tcPr>
          <w:p>
            <w:pPr>
              <w:pStyle w:val="13"/>
            </w:pPr>
            <w:r>
              <w:t>单位    资金</w:t>
            </w:r>
          </w:p>
        </w:tc>
        <w:tc>
          <w:tcPr>
            <w:tcW w:w="964" w:type="dxa"/>
            <w:vAlign w:val="center"/>
          </w:tcPr>
          <w:p>
            <w:pPr>
              <w:pStyle w:val="13"/>
            </w:pPr>
            <w:r>
              <w:t>财政拨    款结转</w:t>
            </w:r>
          </w:p>
        </w:tc>
        <w:tc>
          <w:tcPr>
            <w:tcW w:w="964" w:type="dxa"/>
            <w:vAlign w:val="center"/>
          </w:tcPr>
          <w:p>
            <w:pPr>
              <w:pStyle w:val="13"/>
            </w:pPr>
            <w:r>
              <w:t>非财政    拨款结    转结余</w:t>
            </w:r>
          </w:p>
        </w:tc>
        <w:tc>
          <w:tcPr>
            <w:tcW w:w="964" w:type="dxa"/>
            <w:vMerge w:val="continue"/>
          </w:tc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701" w:type="dxa"/>
            <w:vAlign w:val="center"/>
          </w:tcPr>
          <w:p>
            <w:pPr>
              <w:pStyle w:val="20"/>
            </w:pPr>
            <w:r>
              <w:t>合  计</w:t>
            </w:r>
          </w:p>
        </w:tc>
        <w:tc>
          <w:tcPr>
            <w:tcW w:w="964" w:type="dxa"/>
            <w:vAlign w:val="center"/>
          </w:tcPr>
          <w:p>
            <w:pPr>
              <w:pStyle w:val="21"/>
            </w:pPr>
          </w:p>
        </w:tc>
        <w:tc>
          <w:tcPr>
            <w:tcW w:w="1134" w:type="dxa"/>
            <w:vAlign w:val="center"/>
          </w:tcPr>
          <w:p>
            <w:pPr>
              <w:pStyle w:val="17"/>
            </w:pPr>
          </w:p>
        </w:tc>
        <w:tc>
          <w:tcPr>
            <w:tcW w:w="1134" w:type="dxa"/>
            <w:vAlign w:val="center"/>
          </w:tcPr>
          <w:p>
            <w:pPr>
              <w:pStyle w:val="17"/>
            </w:pPr>
          </w:p>
        </w:tc>
        <w:tc>
          <w:tcPr>
            <w:tcW w:w="709" w:type="dxa"/>
            <w:vAlign w:val="center"/>
          </w:tcPr>
          <w:p>
            <w:pPr>
              <w:pStyle w:val="20"/>
            </w:pPr>
          </w:p>
        </w:tc>
        <w:tc>
          <w:tcPr>
            <w:tcW w:w="850" w:type="dxa"/>
            <w:vAlign w:val="center"/>
          </w:tcPr>
          <w:p>
            <w:pPr>
              <w:pStyle w:val="21"/>
            </w:pPr>
          </w:p>
        </w:tc>
        <w:tc>
          <w:tcPr>
            <w:tcW w:w="850" w:type="dxa"/>
            <w:vAlign w:val="center"/>
          </w:tcPr>
          <w:p>
            <w:pPr>
              <w:pStyle w:val="21"/>
            </w:pPr>
          </w:p>
        </w:tc>
        <w:tc>
          <w:tcPr>
            <w:tcW w:w="964" w:type="dxa"/>
            <w:vAlign w:val="center"/>
          </w:tcPr>
          <w:p>
            <w:pPr>
              <w:pStyle w:val="21"/>
            </w:pPr>
          </w:p>
        </w:tc>
        <w:tc>
          <w:tcPr>
            <w:tcW w:w="964" w:type="dxa"/>
            <w:vAlign w:val="center"/>
          </w:tcPr>
          <w:p>
            <w:pPr>
              <w:pStyle w:val="21"/>
            </w:pPr>
          </w:p>
        </w:tc>
        <w:tc>
          <w:tcPr>
            <w:tcW w:w="964" w:type="dxa"/>
            <w:vAlign w:val="center"/>
          </w:tcPr>
          <w:p>
            <w:pPr>
              <w:pStyle w:val="21"/>
            </w:pPr>
          </w:p>
        </w:tc>
        <w:tc>
          <w:tcPr>
            <w:tcW w:w="964" w:type="dxa"/>
            <w:vAlign w:val="center"/>
          </w:tcPr>
          <w:p>
            <w:pPr>
              <w:pStyle w:val="21"/>
            </w:pPr>
          </w:p>
        </w:tc>
        <w:tc>
          <w:tcPr>
            <w:tcW w:w="964" w:type="dxa"/>
            <w:vAlign w:val="center"/>
          </w:tcPr>
          <w:p>
            <w:pPr>
              <w:pStyle w:val="21"/>
            </w:pPr>
          </w:p>
        </w:tc>
        <w:tc>
          <w:tcPr>
            <w:tcW w:w="964" w:type="dxa"/>
            <w:vAlign w:val="center"/>
          </w:tcPr>
          <w:p>
            <w:pPr>
              <w:pStyle w:val="21"/>
            </w:pPr>
          </w:p>
        </w:tc>
        <w:tc>
          <w:tcPr>
            <w:tcW w:w="964" w:type="dxa"/>
            <w:vAlign w:val="center"/>
          </w:tcPr>
          <w:p>
            <w:pPr>
              <w:pStyle w:val="21"/>
            </w:pPr>
          </w:p>
        </w:tc>
        <w:tc>
          <w:tcPr>
            <w:tcW w:w="964" w:type="dxa"/>
            <w:vAlign w:val="center"/>
          </w:tcPr>
          <w:p>
            <w:pPr>
              <w:pStyle w:val="21"/>
            </w:pPr>
          </w:p>
        </w:tc>
        <w:tc>
          <w:tcPr>
            <w:tcW w:w="964" w:type="dxa"/>
            <w:vAlign w:val="center"/>
          </w:tcPr>
          <w:p>
            <w:pPr>
              <w:pStyle w:val="21"/>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633" w:hRule="atLeast"/>
          <w:jc w:val="center"/>
        </w:trPr>
        <w:tc>
          <w:tcPr>
            <w:tcW w:w="1701" w:type="dxa"/>
            <w:vAlign w:val="center"/>
          </w:tcPr>
          <w:p>
            <w:pPr>
              <w:pStyle w:val="20"/>
            </w:pPr>
            <w:r>
              <w:t>保定市徐水区教</w:t>
            </w:r>
            <w:r>
              <w:rPr>
                <w:rFonts w:hint="eastAsia"/>
                <w:lang w:eastAsia="zh-CN"/>
              </w:rPr>
              <w:t>师昌绪</w:t>
            </w:r>
            <w:r>
              <w:t>学校（事业）小计</w:t>
            </w:r>
          </w:p>
        </w:tc>
        <w:tc>
          <w:tcPr>
            <w:tcW w:w="964" w:type="dxa"/>
            <w:vAlign w:val="center"/>
          </w:tcPr>
          <w:p>
            <w:pPr>
              <w:pStyle w:val="21"/>
            </w:pPr>
          </w:p>
        </w:tc>
        <w:tc>
          <w:tcPr>
            <w:tcW w:w="1134" w:type="dxa"/>
            <w:vAlign w:val="center"/>
          </w:tcPr>
          <w:p>
            <w:pPr>
              <w:pStyle w:val="17"/>
            </w:pPr>
          </w:p>
        </w:tc>
        <w:tc>
          <w:tcPr>
            <w:tcW w:w="1134" w:type="dxa"/>
            <w:vAlign w:val="center"/>
          </w:tcPr>
          <w:p>
            <w:pPr>
              <w:pStyle w:val="17"/>
            </w:pPr>
          </w:p>
        </w:tc>
        <w:tc>
          <w:tcPr>
            <w:tcW w:w="709" w:type="dxa"/>
            <w:vAlign w:val="center"/>
          </w:tcPr>
          <w:p>
            <w:pPr>
              <w:pStyle w:val="20"/>
            </w:pPr>
          </w:p>
        </w:tc>
        <w:tc>
          <w:tcPr>
            <w:tcW w:w="850" w:type="dxa"/>
            <w:vAlign w:val="center"/>
          </w:tcPr>
          <w:p>
            <w:pPr>
              <w:pStyle w:val="21"/>
            </w:pPr>
          </w:p>
        </w:tc>
        <w:tc>
          <w:tcPr>
            <w:tcW w:w="850" w:type="dxa"/>
            <w:vAlign w:val="center"/>
          </w:tcPr>
          <w:p>
            <w:pPr>
              <w:pStyle w:val="21"/>
            </w:pPr>
          </w:p>
        </w:tc>
        <w:tc>
          <w:tcPr>
            <w:tcW w:w="964" w:type="dxa"/>
            <w:vAlign w:val="center"/>
          </w:tcPr>
          <w:p>
            <w:pPr>
              <w:pStyle w:val="21"/>
            </w:pPr>
          </w:p>
        </w:tc>
        <w:tc>
          <w:tcPr>
            <w:tcW w:w="964" w:type="dxa"/>
            <w:vAlign w:val="center"/>
          </w:tcPr>
          <w:p>
            <w:pPr>
              <w:pStyle w:val="21"/>
            </w:pPr>
          </w:p>
        </w:tc>
        <w:tc>
          <w:tcPr>
            <w:tcW w:w="964" w:type="dxa"/>
            <w:vAlign w:val="center"/>
          </w:tcPr>
          <w:p>
            <w:pPr>
              <w:pStyle w:val="21"/>
            </w:pPr>
          </w:p>
        </w:tc>
        <w:tc>
          <w:tcPr>
            <w:tcW w:w="964" w:type="dxa"/>
            <w:vAlign w:val="center"/>
          </w:tcPr>
          <w:p>
            <w:pPr>
              <w:pStyle w:val="21"/>
            </w:pPr>
          </w:p>
        </w:tc>
        <w:tc>
          <w:tcPr>
            <w:tcW w:w="964" w:type="dxa"/>
            <w:vAlign w:val="center"/>
          </w:tcPr>
          <w:p>
            <w:pPr>
              <w:pStyle w:val="21"/>
            </w:pPr>
          </w:p>
        </w:tc>
        <w:tc>
          <w:tcPr>
            <w:tcW w:w="964" w:type="dxa"/>
            <w:vAlign w:val="center"/>
          </w:tcPr>
          <w:p>
            <w:pPr>
              <w:pStyle w:val="21"/>
            </w:pPr>
          </w:p>
        </w:tc>
        <w:tc>
          <w:tcPr>
            <w:tcW w:w="964" w:type="dxa"/>
            <w:vAlign w:val="center"/>
          </w:tcPr>
          <w:p>
            <w:pPr>
              <w:pStyle w:val="21"/>
            </w:pPr>
          </w:p>
        </w:tc>
        <w:tc>
          <w:tcPr>
            <w:tcW w:w="964" w:type="dxa"/>
            <w:vAlign w:val="center"/>
          </w:tcPr>
          <w:p>
            <w:pPr>
              <w:pStyle w:val="21"/>
            </w:pPr>
          </w:p>
        </w:tc>
        <w:tc>
          <w:tcPr>
            <w:tcW w:w="964" w:type="dxa"/>
            <w:vAlign w:val="center"/>
          </w:tcPr>
          <w:p>
            <w:pPr>
              <w:pStyle w:val="21"/>
              <w:rPr>
                <w:b w:val="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701" w:type="dxa"/>
            <w:vAlign w:val="center"/>
          </w:tcPr>
          <w:p>
            <w:pPr>
              <w:pStyle w:val="15"/>
            </w:pPr>
          </w:p>
        </w:tc>
        <w:tc>
          <w:tcPr>
            <w:tcW w:w="964" w:type="dxa"/>
            <w:vAlign w:val="center"/>
          </w:tcPr>
          <w:p>
            <w:pPr>
              <w:pStyle w:val="14"/>
            </w:pPr>
          </w:p>
        </w:tc>
        <w:tc>
          <w:tcPr>
            <w:tcW w:w="1134" w:type="dxa"/>
            <w:vAlign w:val="center"/>
          </w:tcPr>
          <w:p>
            <w:pPr>
              <w:pStyle w:val="15"/>
            </w:pPr>
          </w:p>
        </w:tc>
        <w:tc>
          <w:tcPr>
            <w:tcW w:w="1134" w:type="dxa"/>
            <w:vAlign w:val="center"/>
          </w:tcPr>
          <w:p>
            <w:pPr>
              <w:pStyle w:val="15"/>
            </w:pPr>
          </w:p>
        </w:tc>
        <w:tc>
          <w:tcPr>
            <w:tcW w:w="709" w:type="dxa"/>
            <w:vAlign w:val="center"/>
          </w:tcPr>
          <w:p>
            <w:pPr>
              <w:pStyle w:val="16"/>
            </w:pPr>
          </w:p>
        </w:tc>
        <w:tc>
          <w:tcPr>
            <w:tcW w:w="850" w:type="dxa"/>
            <w:vAlign w:val="center"/>
          </w:tcPr>
          <w:p>
            <w:pPr>
              <w:pStyle w:val="14"/>
            </w:pPr>
          </w:p>
        </w:tc>
        <w:tc>
          <w:tcPr>
            <w:tcW w:w="850" w:type="dxa"/>
            <w:vAlign w:val="center"/>
          </w:tcPr>
          <w:p>
            <w:pPr>
              <w:pStyle w:val="14"/>
            </w:pPr>
          </w:p>
        </w:tc>
        <w:tc>
          <w:tcPr>
            <w:tcW w:w="964" w:type="dxa"/>
            <w:vAlign w:val="center"/>
          </w:tcPr>
          <w:p>
            <w:pPr>
              <w:pStyle w:val="14"/>
            </w:pPr>
          </w:p>
        </w:tc>
        <w:tc>
          <w:tcPr>
            <w:tcW w:w="964" w:type="dxa"/>
            <w:vAlign w:val="center"/>
          </w:tcPr>
          <w:p>
            <w:pPr>
              <w:pStyle w:val="14"/>
            </w:pPr>
          </w:p>
        </w:tc>
        <w:tc>
          <w:tcPr>
            <w:tcW w:w="964" w:type="dxa"/>
            <w:vAlign w:val="center"/>
          </w:tcPr>
          <w:p>
            <w:pPr>
              <w:pStyle w:val="14"/>
            </w:pPr>
          </w:p>
        </w:tc>
        <w:tc>
          <w:tcPr>
            <w:tcW w:w="964" w:type="dxa"/>
            <w:vAlign w:val="center"/>
          </w:tcPr>
          <w:p>
            <w:pPr>
              <w:pStyle w:val="14"/>
            </w:pPr>
          </w:p>
        </w:tc>
        <w:tc>
          <w:tcPr>
            <w:tcW w:w="964" w:type="dxa"/>
            <w:vAlign w:val="center"/>
          </w:tcPr>
          <w:p>
            <w:pPr>
              <w:pStyle w:val="14"/>
            </w:pPr>
          </w:p>
        </w:tc>
        <w:tc>
          <w:tcPr>
            <w:tcW w:w="964" w:type="dxa"/>
            <w:vAlign w:val="center"/>
          </w:tcPr>
          <w:p>
            <w:pPr>
              <w:pStyle w:val="14"/>
            </w:pPr>
          </w:p>
        </w:tc>
        <w:tc>
          <w:tcPr>
            <w:tcW w:w="964" w:type="dxa"/>
            <w:vAlign w:val="center"/>
          </w:tcPr>
          <w:p>
            <w:pPr>
              <w:pStyle w:val="14"/>
            </w:pPr>
          </w:p>
        </w:tc>
        <w:tc>
          <w:tcPr>
            <w:tcW w:w="964" w:type="dxa"/>
            <w:vAlign w:val="center"/>
          </w:tcPr>
          <w:p>
            <w:pPr>
              <w:pStyle w:val="14"/>
            </w:pPr>
          </w:p>
        </w:tc>
        <w:tc>
          <w:tcPr>
            <w:tcW w:w="964" w:type="dxa"/>
            <w:vAlign w:val="center"/>
          </w:tcPr>
          <w:p>
            <w:pPr>
              <w:pStyle w:val="14"/>
            </w:pPr>
          </w:p>
        </w:tc>
      </w:tr>
    </w:tbl>
    <w:p>
      <w:pPr>
        <w:spacing w:line="360" w:lineRule="auto"/>
        <w:ind w:firstLine="640" w:firstLineChars="200"/>
        <w:rPr>
          <w:rFonts w:ascii="仿宋" w:hAnsi="仿宋" w:eastAsia="仿宋"/>
          <w:sz w:val="32"/>
          <w:szCs w:val="32"/>
        </w:rPr>
      </w:pPr>
    </w:p>
    <w:p>
      <w:pPr>
        <w:spacing w:line="360" w:lineRule="auto"/>
        <w:ind w:firstLine="640" w:firstLineChars="200"/>
        <w:rPr>
          <w:rFonts w:ascii="仿宋" w:hAnsi="仿宋" w:eastAsia="仿宋"/>
          <w:sz w:val="32"/>
          <w:szCs w:val="32"/>
        </w:rPr>
      </w:pPr>
    </w:p>
    <w:p>
      <w:pPr>
        <w:spacing w:line="360" w:lineRule="auto"/>
        <w:rPr>
          <w:rFonts w:ascii="仿宋" w:hAnsi="仿宋" w:eastAsia="仿宋"/>
          <w:sz w:val="32"/>
          <w:szCs w:val="32"/>
        </w:rPr>
        <w:sectPr>
          <w:footerReference r:id="rId3" w:type="default"/>
          <w:pgSz w:w="11906" w:h="16838"/>
          <w:pgMar w:top="1440" w:right="1797" w:bottom="1440" w:left="1797" w:header="851" w:footer="992" w:gutter="0"/>
          <w:cols w:space="425" w:num="1"/>
          <w:docGrid w:type="linesAndChars" w:linePitch="312" w:charSpace="0"/>
        </w:sectPr>
      </w:pPr>
    </w:p>
    <w:p>
      <w:pPr>
        <w:spacing w:line="360" w:lineRule="auto"/>
        <w:rPr>
          <w:rFonts w:ascii="仿宋" w:hAnsi="仿宋" w:eastAsia="仿宋"/>
          <w:sz w:val="32"/>
          <w:szCs w:val="32"/>
        </w:rPr>
      </w:pPr>
    </w:p>
    <w:p>
      <w:pPr>
        <w:jc w:val="center"/>
        <w:outlineLvl w:val="0"/>
        <w:rPr>
          <w:rFonts w:ascii="方正小标宋_GBK" w:eastAsia="方正小标宋_GBK"/>
          <w:sz w:val="44"/>
        </w:rPr>
      </w:pPr>
      <w:r>
        <w:rPr>
          <w:rFonts w:hint="eastAsia" w:ascii="方正小标宋_GBK" w:eastAsia="方正小标宋_GBK"/>
          <w:sz w:val="44"/>
        </w:rPr>
        <w:t>第七部分：国有资产信息</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上年末我单位固定资产总金额为7496.05万元（详见下表）。</w:t>
      </w:r>
      <w:r>
        <w:rPr>
          <w:rFonts w:ascii="仿宋" w:hAnsi="仿宋" w:eastAsia="仿宋"/>
          <w:sz w:val="32"/>
          <w:szCs w:val="32"/>
        </w:rPr>
        <w:t xml:space="preserve"> 本年度拟购置固定资产总额为</w:t>
      </w:r>
      <w:r>
        <w:rPr>
          <w:rFonts w:hint="eastAsia" w:ascii="仿宋" w:hAnsi="仿宋" w:eastAsia="仿宋"/>
          <w:sz w:val="32"/>
          <w:szCs w:val="32"/>
        </w:rPr>
        <w:t>0</w:t>
      </w:r>
      <w:r>
        <w:rPr>
          <w:rFonts w:ascii="仿宋" w:hAnsi="仿宋" w:eastAsia="仿宋"/>
          <w:sz w:val="32"/>
          <w:szCs w:val="32"/>
        </w:rPr>
        <w:t>万元，已列入政府采购预算，详见政府采购预算表。</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本年度无拟购置固定资产的写：我单位本年度无国有资产购置计划，拟购置金额为</w:t>
      </w:r>
      <w:r>
        <w:rPr>
          <w:rFonts w:ascii="仿宋" w:hAnsi="仿宋" w:eastAsia="仿宋"/>
          <w:sz w:val="32"/>
          <w:szCs w:val="32"/>
        </w:rPr>
        <w:t>0。</w:t>
      </w:r>
    </w:p>
    <w:tbl>
      <w:tblPr>
        <w:tblStyle w:val="5"/>
        <w:tblW w:w="10084" w:type="dxa"/>
        <w:jc w:val="center"/>
        <w:tblLayout w:type="autofit"/>
        <w:tblCellMar>
          <w:top w:w="0" w:type="dxa"/>
          <w:left w:w="108" w:type="dxa"/>
          <w:bottom w:w="0" w:type="dxa"/>
          <w:right w:w="108" w:type="dxa"/>
        </w:tblCellMar>
      </w:tblPr>
      <w:tblGrid>
        <w:gridCol w:w="4788"/>
        <w:gridCol w:w="1056"/>
        <w:gridCol w:w="4261"/>
      </w:tblGrid>
      <w:tr>
        <w:tblPrEx>
          <w:tblCellMar>
            <w:top w:w="0" w:type="dxa"/>
            <w:left w:w="108" w:type="dxa"/>
            <w:bottom w:w="0" w:type="dxa"/>
            <w:right w:w="108" w:type="dxa"/>
          </w:tblCellMar>
        </w:tblPrEx>
        <w:trPr>
          <w:trHeight w:val="510" w:hRule="atLeast"/>
          <w:jc w:val="center"/>
        </w:trPr>
        <w:tc>
          <w:tcPr>
            <w:tcW w:w="10084" w:type="dxa"/>
            <w:gridSpan w:val="3"/>
            <w:tcBorders>
              <w:top w:val="nil"/>
              <w:left w:val="nil"/>
              <w:bottom w:val="nil"/>
              <w:right w:val="nil"/>
            </w:tcBorders>
            <w:shd w:val="clear" w:color="auto" w:fill="auto"/>
            <w:noWrap/>
            <w:vAlign w:val="center"/>
          </w:tcPr>
          <w:p>
            <w:pPr>
              <w:widowControl/>
              <w:jc w:val="center"/>
              <w:rPr>
                <w:rFonts w:ascii="宋体" w:hAnsi="宋体" w:cs="宋体"/>
                <w:kern w:val="0"/>
                <w:sz w:val="28"/>
                <w:szCs w:val="28"/>
              </w:rPr>
            </w:pPr>
            <w:r>
              <w:rPr>
                <w:rFonts w:hint="eastAsia" w:ascii="宋体" w:hAnsi="宋体"/>
                <w:sz w:val="32"/>
                <w:szCs w:val="32"/>
              </w:rPr>
              <w:t>固定资产占用情况表</w:t>
            </w:r>
          </w:p>
        </w:tc>
      </w:tr>
      <w:tr>
        <w:tblPrEx>
          <w:tblCellMar>
            <w:top w:w="0" w:type="dxa"/>
            <w:left w:w="108" w:type="dxa"/>
            <w:bottom w:w="0" w:type="dxa"/>
            <w:right w:w="108" w:type="dxa"/>
          </w:tblCellMar>
        </w:tblPrEx>
        <w:trPr>
          <w:trHeight w:val="510" w:hRule="atLeast"/>
          <w:jc w:val="center"/>
        </w:trPr>
        <w:tc>
          <w:tcPr>
            <w:tcW w:w="10084" w:type="dxa"/>
            <w:gridSpan w:val="3"/>
            <w:tcBorders>
              <w:top w:val="nil"/>
              <w:left w:val="nil"/>
              <w:bottom w:val="single" w:color="auto" w:sz="4" w:space="0"/>
              <w:right w:val="nil"/>
            </w:tcBorders>
            <w:shd w:val="clear" w:color="auto" w:fill="auto"/>
            <w:noWrap/>
            <w:vAlign w:val="center"/>
          </w:tcPr>
          <w:p>
            <w:pPr>
              <w:widowControl/>
              <w:jc w:val="center"/>
              <w:rPr>
                <w:rFonts w:ascii="仿宋_GB2312" w:hAnsi="仿宋" w:eastAsia="仿宋_GB2312" w:cs="宋体"/>
                <w:kern w:val="0"/>
                <w:sz w:val="28"/>
                <w:szCs w:val="28"/>
              </w:rPr>
            </w:pPr>
            <w:r>
              <w:rPr>
                <w:rFonts w:hint="eastAsia" w:ascii="仿宋_GB2312" w:hAnsi="仿宋" w:eastAsia="仿宋_GB2312" w:cs="宋体"/>
                <w:bCs/>
                <w:kern w:val="0"/>
                <w:sz w:val="32"/>
                <w:szCs w:val="32"/>
              </w:rPr>
              <w:t xml:space="preserve">                           </w:t>
            </w:r>
            <w:r>
              <w:rPr>
                <w:rFonts w:hint="eastAsia" w:ascii="仿宋_GB2312" w:hAnsi="仿宋" w:eastAsia="仿宋_GB2312" w:cs="宋体"/>
                <w:bCs/>
                <w:kern w:val="0"/>
                <w:sz w:val="28"/>
                <w:szCs w:val="28"/>
              </w:rPr>
              <w:t>截止时间：</w:t>
            </w:r>
            <w:r>
              <w:rPr>
                <w:rFonts w:ascii="仿宋_GB2312" w:hAnsi="仿宋" w:eastAsia="仿宋_GB2312" w:cs="宋体"/>
                <w:bCs/>
                <w:color w:val="FF0000"/>
                <w:kern w:val="0"/>
                <w:sz w:val="28"/>
                <w:szCs w:val="28"/>
              </w:rPr>
              <w:t>2020</w:t>
            </w:r>
            <w:r>
              <w:rPr>
                <w:rFonts w:hint="eastAsia" w:ascii="仿宋_GB2312" w:hAnsi="仿宋" w:eastAsia="仿宋_GB2312" w:cs="宋体"/>
                <w:bCs/>
                <w:color w:val="FF0000"/>
                <w:kern w:val="0"/>
                <w:sz w:val="28"/>
                <w:szCs w:val="28"/>
              </w:rPr>
              <w:t>年12月31日</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项　　目</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数量</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价值（单位：万元）</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固定资产总额</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kern w:val="0"/>
                <w:sz w:val="24"/>
                <w:szCs w:val="24"/>
              </w:rPr>
            </w:pPr>
            <w:r>
              <w:rPr>
                <w:rFonts w:hint="eastAsia" w:ascii="仿宋_GB2312" w:hAnsi="仿宋" w:eastAsia="仿宋_GB2312" w:cs="宋体"/>
                <w:b/>
                <w:kern w:val="0"/>
                <w:sz w:val="24"/>
                <w:szCs w:val="24"/>
              </w:rPr>
              <w:t>--</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kern w:val="0"/>
                <w:sz w:val="24"/>
                <w:szCs w:val="24"/>
              </w:rPr>
            </w:pPr>
            <w:r>
              <w:rPr>
                <w:rFonts w:hint="eastAsia" w:ascii="仿宋_GB2312" w:hAnsi="仿宋" w:eastAsia="仿宋_GB2312" w:cs="宋体"/>
                <w:b/>
                <w:kern w:val="0"/>
                <w:sz w:val="24"/>
                <w:szCs w:val="24"/>
              </w:rPr>
              <w:t>7496.05</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1、房屋（平方米）</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7513.07</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5892.34</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其中：办公用房（平方米）</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952.01</w:t>
            </w:r>
          </w:p>
        </w:tc>
        <w:tc>
          <w:tcPr>
            <w:tcW w:w="4261"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892．34</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2、车辆（台、辆）</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3、单价在50万元以上的设备(台、套)</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其中：单价50万元（含）以上的通用设备</w:t>
            </w:r>
          </w:p>
        </w:tc>
        <w:tc>
          <w:tcPr>
            <w:tcW w:w="103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c>
          <w:tcPr>
            <w:tcW w:w="426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单价100万元（含）以上的专用设备</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c>
          <w:tcPr>
            <w:tcW w:w="4261"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4、其他固定资产</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p>
        </w:tc>
        <w:tc>
          <w:tcPr>
            <w:tcW w:w="4261"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1603.71</w:t>
            </w:r>
          </w:p>
        </w:tc>
      </w:tr>
    </w:tbl>
    <w:p>
      <w:pPr>
        <w:spacing w:line="360" w:lineRule="auto"/>
        <w:rPr>
          <w:rFonts w:ascii="黑体" w:hAnsi="黑体" w:eastAsia="黑体" w:cs="Times New Roman"/>
          <w:sz w:val="32"/>
          <w:szCs w:val="32"/>
        </w:rPr>
      </w:pPr>
    </w:p>
    <w:p>
      <w:pPr>
        <w:jc w:val="center"/>
        <w:outlineLvl w:val="0"/>
        <w:rPr>
          <w:rFonts w:ascii="方正小标宋_GBK" w:eastAsia="方正小标宋_GBK"/>
          <w:sz w:val="44"/>
        </w:rPr>
      </w:pPr>
    </w:p>
    <w:p>
      <w:pPr>
        <w:jc w:val="center"/>
        <w:outlineLvl w:val="0"/>
        <w:rPr>
          <w:rFonts w:ascii="方正小标宋_GBK" w:eastAsia="方正小标宋_GBK"/>
          <w:sz w:val="44"/>
        </w:rPr>
      </w:pPr>
    </w:p>
    <w:p>
      <w:pPr>
        <w:jc w:val="center"/>
        <w:outlineLvl w:val="0"/>
        <w:rPr>
          <w:rFonts w:ascii="方正小标宋_GBK" w:eastAsia="方正小标宋_GBK"/>
          <w:sz w:val="44"/>
        </w:rPr>
      </w:pPr>
      <w:r>
        <w:rPr>
          <w:rFonts w:hint="eastAsia" w:ascii="方正小标宋_GBK" w:eastAsia="方正小标宋_GBK"/>
          <w:sz w:val="44"/>
        </w:rPr>
        <w:t>第八部分：名词解释</w:t>
      </w:r>
    </w:p>
    <w:p>
      <w:pPr>
        <w:spacing w:line="360" w:lineRule="auto"/>
        <w:ind w:firstLine="640" w:firstLineChars="200"/>
        <w:rPr>
          <w:rFonts w:ascii="仿宋" w:hAnsi="仿宋" w:eastAsia="仿宋"/>
          <w:sz w:val="32"/>
          <w:szCs w:val="32"/>
        </w:rPr>
      </w:pPr>
      <w:r>
        <w:rPr>
          <w:rFonts w:ascii="仿宋" w:hAnsi="仿宋" w:eastAsia="仿宋"/>
          <w:sz w:val="32"/>
          <w:szCs w:val="32"/>
        </w:rPr>
        <w:t>1、一般公共预算财政拨款收入：指区级财政当年拨付的资金。</w:t>
      </w:r>
    </w:p>
    <w:p>
      <w:pPr>
        <w:spacing w:line="360" w:lineRule="auto"/>
        <w:ind w:firstLine="640" w:firstLineChars="200"/>
        <w:rPr>
          <w:rFonts w:ascii="仿宋" w:hAnsi="仿宋" w:eastAsia="仿宋"/>
          <w:sz w:val="32"/>
          <w:szCs w:val="32"/>
        </w:rPr>
      </w:pPr>
      <w:r>
        <w:rPr>
          <w:rFonts w:ascii="仿宋" w:hAnsi="仿宋" w:eastAsia="仿宋"/>
          <w:sz w:val="32"/>
          <w:szCs w:val="32"/>
        </w:rPr>
        <w:t>2、其他收入：指除上述“财政拨款收入”、“事业收入”等以外的收入。</w:t>
      </w:r>
    </w:p>
    <w:p>
      <w:pPr>
        <w:spacing w:line="360" w:lineRule="auto"/>
        <w:ind w:firstLine="640" w:firstLineChars="200"/>
        <w:rPr>
          <w:rFonts w:ascii="仿宋" w:hAnsi="仿宋" w:eastAsia="仿宋"/>
          <w:sz w:val="32"/>
          <w:szCs w:val="32"/>
        </w:rPr>
      </w:pPr>
      <w:r>
        <w:rPr>
          <w:rFonts w:ascii="仿宋" w:hAnsi="仿宋" w:eastAsia="仿宋"/>
          <w:sz w:val="32"/>
          <w:szCs w:val="32"/>
        </w:rPr>
        <w:t>3、基本支出：指为保障机构正常运转、完成日常工作任务而发生的人员支出和公用支出。</w:t>
      </w:r>
    </w:p>
    <w:p>
      <w:pPr>
        <w:spacing w:line="360" w:lineRule="auto"/>
        <w:ind w:firstLine="640" w:firstLineChars="200"/>
        <w:rPr>
          <w:rFonts w:ascii="仿宋" w:hAnsi="仿宋" w:eastAsia="仿宋"/>
          <w:sz w:val="32"/>
          <w:szCs w:val="32"/>
        </w:rPr>
      </w:pPr>
      <w:r>
        <w:rPr>
          <w:rFonts w:ascii="仿宋" w:hAnsi="仿宋" w:eastAsia="仿宋"/>
          <w:sz w:val="32"/>
          <w:szCs w:val="32"/>
        </w:rPr>
        <w:t>4、项目支出：指在基本支出之外为完成特定行政任务和事业发展目标所发生的支出。</w:t>
      </w:r>
    </w:p>
    <w:p>
      <w:pPr>
        <w:spacing w:line="360" w:lineRule="auto"/>
        <w:ind w:firstLine="640" w:firstLineChars="200"/>
        <w:rPr>
          <w:rFonts w:ascii="仿宋" w:hAnsi="仿宋" w:eastAsia="仿宋"/>
          <w:sz w:val="32"/>
          <w:szCs w:val="32"/>
        </w:rPr>
      </w:pPr>
      <w:r>
        <w:rPr>
          <w:rFonts w:ascii="仿宋" w:hAnsi="仿宋" w:eastAsia="仿宋"/>
          <w:sz w:val="32"/>
          <w:szCs w:val="32"/>
        </w:rPr>
        <w:t>5、“三公”经费：纳入区级财政预算管理的“三公”经费，是指区级单位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360" w:lineRule="auto"/>
        <w:ind w:firstLine="640" w:firstLineChars="200"/>
        <w:rPr>
          <w:rFonts w:ascii="仿宋" w:hAnsi="仿宋" w:eastAsia="仿宋"/>
          <w:sz w:val="32"/>
          <w:szCs w:val="32"/>
        </w:rPr>
      </w:pPr>
      <w:r>
        <w:rPr>
          <w:rFonts w:ascii="仿宋" w:hAnsi="仿宋" w:eastAsia="仿宋"/>
          <w:sz w:val="32"/>
          <w:szCs w:val="32"/>
        </w:rPr>
        <w:t>6、机关运行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360" w:lineRule="auto"/>
        <w:jc w:val="center"/>
        <w:rPr>
          <w:rFonts w:ascii="黑体" w:hAnsi="黑体" w:eastAsia="黑体" w:cs="Times New Roman"/>
          <w:sz w:val="32"/>
          <w:szCs w:val="32"/>
        </w:rPr>
      </w:pPr>
    </w:p>
    <w:p>
      <w:pPr>
        <w:jc w:val="center"/>
        <w:outlineLvl w:val="0"/>
        <w:rPr>
          <w:rFonts w:ascii="方正小标宋_GBK" w:eastAsia="方正小标宋_GBK"/>
          <w:sz w:val="44"/>
        </w:rPr>
      </w:pPr>
      <w:r>
        <w:rPr>
          <w:rFonts w:hint="eastAsia" w:ascii="方正小标宋_GBK" w:eastAsia="方正小标宋_GBK"/>
          <w:sz w:val="44"/>
        </w:rPr>
        <w:t>第九部分：其他需说明的事项</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我单位无其他需说明的事项。</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方正仿宋_GBK">
    <w:altName w:val="宋体"/>
    <w:panose1 w:val="00000000000000000000"/>
    <w:charset w:val="86"/>
    <w:family w:val="roman"/>
    <w:pitch w:val="default"/>
    <w:sig w:usb0="00000000" w:usb1="00000000" w:usb2="00000000" w:usb3="00000000" w:csb0="00000000" w:csb1="00000000"/>
  </w:font>
  <w:font w:name="方正书宋_GBK">
    <w:altName w:val="宋体"/>
    <w:panose1 w:val="00000000000000000000"/>
    <w:charset w:val="86"/>
    <w:family w:val="roman"/>
    <w:pitch w:val="default"/>
    <w:sig w:usb0="00000000" w:usb1="00000000" w:usb2="00000000" w:usb3="00000000" w:csb0="00000000" w:csb1="00000000"/>
  </w:font>
  <w:font w:name="方正小标宋_GBK">
    <w:altName w:val="宋体"/>
    <w:panose1 w:val="00000000000000000000"/>
    <w:charset w:val="86"/>
    <w:family w:val="roman"/>
    <w:pitch w:val="default"/>
    <w:sig w:usb0="00000000" w:usb1="00000000" w:usb2="00000000" w:usb3="00000000" w:csb0="0000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黑体_GBK">
    <w:altName w:val="宋体"/>
    <w:panose1 w:val="00000000000000000000"/>
    <w:charset w:val="86"/>
    <w:family w:val="roma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2921599"/>
      <w:docPartObj>
        <w:docPartGallery w:val="autotext"/>
      </w:docPartObj>
    </w:sdtPr>
    <w:sdtContent>
      <w:p>
        <w:pPr>
          <w:pStyle w:val="3"/>
          <w:jc w:val="center"/>
        </w:pPr>
        <w:r>
          <w:fldChar w:fldCharType="begin"/>
        </w:r>
        <w:r>
          <w:instrText xml:space="preserve">PAGE   \* MERGEFORMAT</w:instrText>
        </w:r>
        <w:r>
          <w:fldChar w:fldCharType="separate"/>
        </w:r>
        <w:r>
          <w:rPr>
            <w:lang w:val="zh-CN"/>
          </w:rPr>
          <w:t>19</w:t>
        </w:r>
        <w: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F1F"/>
    <w:rsid w:val="00013B8A"/>
    <w:rsid w:val="00044FBC"/>
    <w:rsid w:val="00055F1F"/>
    <w:rsid w:val="000577EF"/>
    <w:rsid w:val="00057F18"/>
    <w:rsid w:val="000A445D"/>
    <w:rsid w:val="000B7DD3"/>
    <w:rsid w:val="000C178B"/>
    <w:rsid w:val="00107FDB"/>
    <w:rsid w:val="00131DEC"/>
    <w:rsid w:val="00136AB3"/>
    <w:rsid w:val="001462BD"/>
    <w:rsid w:val="00152380"/>
    <w:rsid w:val="001638BE"/>
    <w:rsid w:val="00164810"/>
    <w:rsid w:val="00172C7A"/>
    <w:rsid w:val="00181777"/>
    <w:rsid w:val="001B4688"/>
    <w:rsid w:val="001B6235"/>
    <w:rsid w:val="001F4875"/>
    <w:rsid w:val="00212335"/>
    <w:rsid w:val="00245539"/>
    <w:rsid w:val="002918C6"/>
    <w:rsid w:val="00291EF3"/>
    <w:rsid w:val="00296524"/>
    <w:rsid w:val="002E01F6"/>
    <w:rsid w:val="002F1ACB"/>
    <w:rsid w:val="002F530F"/>
    <w:rsid w:val="00305E97"/>
    <w:rsid w:val="00310532"/>
    <w:rsid w:val="0032782B"/>
    <w:rsid w:val="00340B3D"/>
    <w:rsid w:val="0034253A"/>
    <w:rsid w:val="003669CF"/>
    <w:rsid w:val="00367A30"/>
    <w:rsid w:val="003A06D2"/>
    <w:rsid w:val="003A4557"/>
    <w:rsid w:val="003A6366"/>
    <w:rsid w:val="003C2317"/>
    <w:rsid w:val="003C442E"/>
    <w:rsid w:val="003D1092"/>
    <w:rsid w:val="003D37CD"/>
    <w:rsid w:val="003E5531"/>
    <w:rsid w:val="003E555C"/>
    <w:rsid w:val="003E6AF3"/>
    <w:rsid w:val="0040243C"/>
    <w:rsid w:val="00406BD1"/>
    <w:rsid w:val="00426C19"/>
    <w:rsid w:val="00450FD9"/>
    <w:rsid w:val="00453CE0"/>
    <w:rsid w:val="00470736"/>
    <w:rsid w:val="00470BBB"/>
    <w:rsid w:val="0048611E"/>
    <w:rsid w:val="004B6929"/>
    <w:rsid w:val="004E2F43"/>
    <w:rsid w:val="004E3572"/>
    <w:rsid w:val="004F3C52"/>
    <w:rsid w:val="00510A1E"/>
    <w:rsid w:val="005158E2"/>
    <w:rsid w:val="00524204"/>
    <w:rsid w:val="00550049"/>
    <w:rsid w:val="00553F7E"/>
    <w:rsid w:val="00570142"/>
    <w:rsid w:val="00586C35"/>
    <w:rsid w:val="005B1B6F"/>
    <w:rsid w:val="005B6CCB"/>
    <w:rsid w:val="005C54AA"/>
    <w:rsid w:val="005C7B89"/>
    <w:rsid w:val="0062788A"/>
    <w:rsid w:val="00641F8A"/>
    <w:rsid w:val="0066383B"/>
    <w:rsid w:val="006A6FA2"/>
    <w:rsid w:val="006B052D"/>
    <w:rsid w:val="006B5117"/>
    <w:rsid w:val="006C62DF"/>
    <w:rsid w:val="006F5104"/>
    <w:rsid w:val="006F6549"/>
    <w:rsid w:val="0071069F"/>
    <w:rsid w:val="00735B02"/>
    <w:rsid w:val="007657C8"/>
    <w:rsid w:val="00767A77"/>
    <w:rsid w:val="00771E49"/>
    <w:rsid w:val="00782208"/>
    <w:rsid w:val="00791938"/>
    <w:rsid w:val="007A5999"/>
    <w:rsid w:val="007C7FD7"/>
    <w:rsid w:val="007F3746"/>
    <w:rsid w:val="00833132"/>
    <w:rsid w:val="00845C67"/>
    <w:rsid w:val="0084661F"/>
    <w:rsid w:val="0086454E"/>
    <w:rsid w:val="008672EA"/>
    <w:rsid w:val="00891680"/>
    <w:rsid w:val="008A0099"/>
    <w:rsid w:val="008A0B5F"/>
    <w:rsid w:val="008B5402"/>
    <w:rsid w:val="008D11BC"/>
    <w:rsid w:val="0090527E"/>
    <w:rsid w:val="00905BB7"/>
    <w:rsid w:val="0090620C"/>
    <w:rsid w:val="00912DA4"/>
    <w:rsid w:val="009302B8"/>
    <w:rsid w:val="009305C6"/>
    <w:rsid w:val="009752AE"/>
    <w:rsid w:val="00982F3D"/>
    <w:rsid w:val="00983232"/>
    <w:rsid w:val="009A278A"/>
    <w:rsid w:val="009B6368"/>
    <w:rsid w:val="009F63C4"/>
    <w:rsid w:val="00A16957"/>
    <w:rsid w:val="00A6155C"/>
    <w:rsid w:val="00A65265"/>
    <w:rsid w:val="00A8079E"/>
    <w:rsid w:val="00A90328"/>
    <w:rsid w:val="00A92D66"/>
    <w:rsid w:val="00A947FB"/>
    <w:rsid w:val="00AA4262"/>
    <w:rsid w:val="00AB5A90"/>
    <w:rsid w:val="00AB7449"/>
    <w:rsid w:val="00AD1911"/>
    <w:rsid w:val="00AE4AA5"/>
    <w:rsid w:val="00AE7FA9"/>
    <w:rsid w:val="00B147EB"/>
    <w:rsid w:val="00B22155"/>
    <w:rsid w:val="00B76AA9"/>
    <w:rsid w:val="00B80FAB"/>
    <w:rsid w:val="00B81C88"/>
    <w:rsid w:val="00BA5C83"/>
    <w:rsid w:val="00BC151E"/>
    <w:rsid w:val="00BC6A7D"/>
    <w:rsid w:val="00BC7123"/>
    <w:rsid w:val="00BD4829"/>
    <w:rsid w:val="00BD6002"/>
    <w:rsid w:val="00BD719F"/>
    <w:rsid w:val="00BF4380"/>
    <w:rsid w:val="00BF5442"/>
    <w:rsid w:val="00C177A5"/>
    <w:rsid w:val="00C35FEE"/>
    <w:rsid w:val="00C50535"/>
    <w:rsid w:val="00C6153C"/>
    <w:rsid w:val="00C906EF"/>
    <w:rsid w:val="00CC7D74"/>
    <w:rsid w:val="00D02F97"/>
    <w:rsid w:val="00D45530"/>
    <w:rsid w:val="00D45A0E"/>
    <w:rsid w:val="00D45D23"/>
    <w:rsid w:val="00D4612F"/>
    <w:rsid w:val="00D723D1"/>
    <w:rsid w:val="00D80C60"/>
    <w:rsid w:val="00D8525F"/>
    <w:rsid w:val="00DA0C4D"/>
    <w:rsid w:val="00DA5DA7"/>
    <w:rsid w:val="00DE3935"/>
    <w:rsid w:val="00DE6B32"/>
    <w:rsid w:val="00DF0C6B"/>
    <w:rsid w:val="00DF26B8"/>
    <w:rsid w:val="00E12C68"/>
    <w:rsid w:val="00E2325B"/>
    <w:rsid w:val="00E24075"/>
    <w:rsid w:val="00E270C9"/>
    <w:rsid w:val="00E35F38"/>
    <w:rsid w:val="00E46F27"/>
    <w:rsid w:val="00E509CC"/>
    <w:rsid w:val="00E56DC0"/>
    <w:rsid w:val="00E71A04"/>
    <w:rsid w:val="00E84AFC"/>
    <w:rsid w:val="00E90DA6"/>
    <w:rsid w:val="00E96342"/>
    <w:rsid w:val="00EA2FEA"/>
    <w:rsid w:val="00EA56CB"/>
    <w:rsid w:val="00EA7853"/>
    <w:rsid w:val="00EC1F45"/>
    <w:rsid w:val="00F000B1"/>
    <w:rsid w:val="00F012D3"/>
    <w:rsid w:val="00F044C3"/>
    <w:rsid w:val="00F10D04"/>
    <w:rsid w:val="00F169E3"/>
    <w:rsid w:val="00F35D4B"/>
    <w:rsid w:val="00F3746B"/>
    <w:rsid w:val="00F572CB"/>
    <w:rsid w:val="00F621AF"/>
    <w:rsid w:val="00F8024E"/>
    <w:rsid w:val="00F82447"/>
    <w:rsid w:val="00F868E5"/>
    <w:rsid w:val="00FB2F32"/>
    <w:rsid w:val="00FC3191"/>
    <w:rsid w:val="00FE0F1F"/>
    <w:rsid w:val="00FF61F3"/>
    <w:rsid w:val="481F5903"/>
    <w:rsid w:val="7E3F11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批注框文本 Char"/>
    <w:basedOn w:val="6"/>
    <w:link w:val="2"/>
    <w:semiHidden/>
    <w:qFormat/>
    <w:uiPriority w:val="99"/>
    <w:rPr>
      <w:sz w:val="18"/>
      <w:szCs w:val="18"/>
    </w:rPr>
  </w:style>
  <w:style w:type="paragraph" w:customStyle="1" w:styleId="10">
    <w:name w:val="插入文本样式-插入总体目标文件"/>
    <w:basedOn w:val="1"/>
    <w:qFormat/>
    <w:uiPriority w:val="0"/>
    <w:pPr>
      <w:widowControl/>
      <w:spacing w:line="500" w:lineRule="exact"/>
      <w:ind w:firstLine="560"/>
      <w:jc w:val="left"/>
    </w:pPr>
    <w:rPr>
      <w:rFonts w:ascii="Times New Roman" w:hAnsi="Times New Roman" w:eastAsia="方正仿宋_GBK" w:cs="Times New Roman"/>
      <w:kern w:val="0"/>
      <w:sz w:val="28"/>
      <w:szCs w:val="24"/>
      <w:lang w:eastAsia="uk-UA"/>
    </w:rPr>
  </w:style>
  <w:style w:type="paragraph" w:customStyle="1" w:styleId="11">
    <w:name w:val="插入文本样式-插入职责分类绩效目标文件"/>
    <w:basedOn w:val="1"/>
    <w:qFormat/>
    <w:uiPriority w:val="0"/>
    <w:pPr>
      <w:widowControl/>
      <w:spacing w:line="500" w:lineRule="exact"/>
      <w:ind w:firstLine="560"/>
      <w:jc w:val="left"/>
    </w:pPr>
    <w:rPr>
      <w:rFonts w:ascii="Times New Roman" w:hAnsi="Times New Roman" w:eastAsia="方正仿宋_GBK" w:cs="Times New Roman"/>
      <w:kern w:val="0"/>
      <w:sz w:val="28"/>
      <w:szCs w:val="24"/>
      <w:lang w:eastAsia="uk-UA"/>
    </w:rPr>
  </w:style>
  <w:style w:type="paragraph" w:customStyle="1" w:styleId="12">
    <w:name w:val="插入文本样式-插入实现年度发展规划目标的保障措施文件"/>
    <w:basedOn w:val="1"/>
    <w:qFormat/>
    <w:uiPriority w:val="0"/>
    <w:pPr>
      <w:widowControl/>
      <w:spacing w:line="500" w:lineRule="exact"/>
      <w:ind w:firstLine="560"/>
      <w:jc w:val="left"/>
    </w:pPr>
    <w:rPr>
      <w:rFonts w:ascii="Times New Roman" w:hAnsi="Times New Roman" w:eastAsia="方正仿宋_GBK" w:cs="Times New Roman"/>
      <w:kern w:val="0"/>
      <w:sz w:val="28"/>
      <w:szCs w:val="24"/>
      <w:lang w:eastAsia="uk-UA"/>
    </w:rPr>
  </w:style>
  <w:style w:type="paragraph" w:customStyle="1" w:styleId="13">
    <w:name w:val="单元格样式1"/>
    <w:basedOn w:val="1"/>
    <w:qFormat/>
    <w:uiPriority w:val="0"/>
    <w:pPr>
      <w:widowControl/>
      <w:jc w:val="center"/>
    </w:pPr>
    <w:rPr>
      <w:rFonts w:ascii="方正书宋_GBK" w:hAnsi="方正书宋_GBK" w:eastAsia="方正书宋_GBK" w:cs="方正书宋_GBK"/>
      <w:b/>
      <w:kern w:val="0"/>
      <w:szCs w:val="24"/>
      <w:lang w:eastAsia="uk-UA"/>
    </w:rPr>
  </w:style>
  <w:style w:type="paragraph" w:customStyle="1" w:styleId="14">
    <w:name w:val="单元格样式4"/>
    <w:basedOn w:val="1"/>
    <w:qFormat/>
    <w:uiPriority w:val="0"/>
    <w:pPr>
      <w:widowControl/>
      <w:jc w:val="right"/>
    </w:pPr>
    <w:rPr>
      <w:rFonts w:ascii="方正书宋_GBK" w:hAnsi="方正书宋_GBK" w:eastAsia="方正书宋_GBK" w:cs="方正书宋_GBK"/>
      <w:kern w:val="0"/>
      <w:szCs w:val="24"/>
      <w:lang w:eastAsia="uk-UA"/>
    </w:rPr>
  </w:style>
  <w:style w:type="paragraph" w:customStyle="1" w:styleId="15">
    <w:name w:val="单元格样式2"/>
    <w:basedOn w:val="1"/>
    <w:qFormat/>
    <w:uiPriority w:val="0"/>
    <w:pPr>
      <w:widowControl/>
      <w:jc w:val="left"/>
    </w:pPr>
    <w:rPr>
      <w:rFonts w:ascii="方正书宋_GBK" w:hAnsi="方正书宋_GBK" w:eastAsia="方正书宋_GBK" w:cs="方正书宋_GBK"/>
      <w:kern w:val="0"/>
      <w:szCs w:val="24"/>
      <w:lang w:eastAsia="uk-UA"/>
    </w:rPr>
  </w:style>
  <w:style w:type="paragraph" w:customStyle="1" w:styleId="16">
    <w:name w:val="单元格样式3"/>
    <w:basedOn w:val="1"/>
    <w:qFormat/>
    <w:uiPriority w:val="0"/>
    <w:pPr>
      <w:widowControl/>
      <w:jc w:val="center"/>
    </w:pPr>
    <w:rPr>
      <w:rFonts w:ascii="方正书宋_GBK" w:hAnsi="方正书宋_GBK" w:eastAsia="方正书宋_GBK" w:cs="方正书宋_GBK"/>
      <w:kern w:val="0"/>
      <w:szCs w:val="24"/>
      <w:lang w:eastAsia="uk-UA"/>
    </w:rPr>
  </w:style>
  <w:style w:type="paragraph" w:customStyle="1" w:styleId="17">
    <w:name w:val="单元格样式5"/>
    <w:basedOn w:val="1"/>
    <w:qFormat/>
    <w:uiPriority w:val="0"/>
    <w:pPr>
      <w:widowControl/>
      <w:jc w:val="left"/>
    </w:pPr>
    <w:rPr>
      <w:rFonts w:ascii="方正书宋_GBK" w:hAnsi="方正书宋_GBK" w:eastAsia="方正书宋_GBK" w:cs="方正书宋_GBK"/>
      <w:b/>
      <w:kern w:val="0"/>
      <w:szCs w:val="24"/>
      <w:lang w:eastAsia="uk-UA"/>
    </w:rPr>
  </w:style>
  <w:style w:type="paragraph" w:customStyle="1" w:styleId="18">
    <w:name w:val="单元格样式23"/>
    <w:basedOn w:val="1"/>
    <w:qFormat/>
    <w:uiPriority w:val="0"/>
    <w:pPr>
      <w:widowControl/>
      <w:jc w:val="right"/>
    </w:pPr>
    <w:rPr>
      <w:rFonts w:ascii="方正书宋_GBK" w:hAnsi="方正书宋_GBK" w:eastAsia="方正书宋_GBK" w:cs="方正书宋_GBK"/>
      <w:kern w:val="0"/>
      <w:sz w:val="24"/>
      <w:szCs w:val="24"/>
      <w:lang w:eastAsia="uk-UA"/>
    </w:rPr>
  </w:style>
  <w:style w:type="paragraph" w:customStyle="1" w:styleId="19">
    <w:name w:val="单元格样式20"/>
    <w:basedOn w:val="1"/>
    <w:qFormat/>
    <w:uiPriority w:val="0"/>
    <w:pPr>
      <w:widowControl/>
      <w:jc w:val="left"/>
    </w:pPr>
    <w:rPr>
      <w:rFonts w:ascii="方正小标宋_GBK" w:hAnsi="方正小标宋_GBK" w:eastAsia="方正小标宋_GBK" w:cs="方正小标宋_GBK"/>
      <w:kern w:val="0"/>
      <w:sz w:val="24"/>
      <w:szCs w:val="24"/>
      <w:lang w:eastAsia="uk-UA"/>
    </w:rPr>
  </w:style>
  <w:style w:type="paragraph" w:customStyle="1" w:styleId="20">
    <w:name w:val="单元格样式6"/>
    <w:basedOn w:val="1"/>
    <w:qFormat/>
    <w:uiPriority w:val="0"/>
    <w:pPr>
      <w:widowControl/>
      <w:jc w:val="center"/>
    </w:pPr>
    <w:rPr>
      <w:rFonts w:ascii="方正书宋_GBK" w:hAnsi="方正书宋_GBK" w:eastAsia="方正书宋_GBK" w:cs="方正书宋_GBK"/>
      <w:b/>
      <w:kern w:val="0"/>
      <w:szCs w:val="24"/>
      <w:lang w:eastAsia="uk-UA"/>
    </w:rPr>
  </w:style>
  <w:style w:type="paragraph" w:customStyle="1" w:styleId="21">
    <w:name w:val="单元格样式7"/>
    <w:basedOn w:val="1"/>
    <w:qFormat/>
    <w:uiPriority w:val="0"/>
    <w:pPr>
      <w:widowControl/>
      <w:jc w:val="right"/>
    </w:pPr>
    <w:rPr>
      <w:rFonts w:ascii="方正书宋_GBK" w:hAnsi="方正书宋_GBK" w:eastAsia="方正书宋_GBK" w:cs="方正书宋_GBK"/>
      <w:b/>
      <w:kern w:val="0"/>
      <w:szCs w:val="24"/>
      <w:lang w:eastAsia="uk-U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4D93F4-55C9-41B5-9BF0-7BEE0088B488}">
  <ds:schemaRefs/>
</ds:datastoreItem>
</file>

<file path=docProps/app.xml><?xml version="1.0" encoding="utf-8"?>
<Properties xmlns="http://schemas.openxmlformats.org/officeDocument/2006/extended-properties" xmlns:vt="http://schemas.openxmlformats.org/officeDocument/2006/docPropsVTypes">
  <Template>Normal</Template>
  <Pages>19</Pages>
  <Words>1316</Words>
  <Characters>7504</Characters>
  <Lines>62</Lines>
  <Paragraphs>17</Paragraphs>
  <TotalTime>720</TotalTime>
  <ScaleCrop>false</ScaleCrop>
  <LinksUpToDate>false</LinksUpToDate>
  <CharactersWithSpaces>8803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2019-02-15T06:58:00Z</dcterms:created>
  <dc:creator>Windows 用户</dc:creator>
  <cp:lastModifiedBy>user</cp:lastModifiedBy>
  <cp:lastPrinted>2021-04-14T02:06:00Z</cp:lastPrinted>
  <dcterms:modified xsi:type="dcterms:W3CDTF">2025-05-19T02:31:07Z</dcterms:modified>
  <cp:revision>178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6450F3972E7842E59F71EEB66184BD16</vt:lpwstr>
  </property>
</Properties>
</file>