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保定市徐水区义联庄乡中心学校</w:t>
      </w:r>
    </w:p>
    <w:p>
      <w:pPr>
        <w:spacing w:line="360" w:lineRule="auto"/>
        <w:jc w:val="center"/>
        <w:rPr>
          <w:rFonts w:ascii="宋体" w:hAnsi="宋体" w:eastAsia="宋体"/>
          <w:b/>
          <w:sz w:val="44"/>
          <w:szCs w:val="44"/>
        </w:rPr>
      </w:pPr>
      <w:r>
        <w:rPr>
          <w:rFonts w:ascii="宋体" w:hAnsi="宋体" w:eastAsia="宋体"/>
          <w:b/>
          <w:sz w:val="44"/>
          <w:szCs w:val="44"/>
        </w:rPr>
        <w:t>202</w:t>
      </w:r>
      <w:r>
        <w:rPr>
          <w:rFonts w:hint="eastAsia" w:ascii="宋体" w:hAnsi="宋体" w:eastAsia="宋体"/>
          <w:b/>
          <w:sz w:val="44"/>
          <w:szCs w:val="44"/>
        </w:rPr>
        <w:t>1</w:t>
      </w:r>
      <w:r>
        <w:rPr>
          <w:rFonts w:ascii="宋体" w:hAnsi="宋体" w:eastAsia="宋体"/>
          <w:b/>
          <w:sz w:val="44"/>
          <w:szCs w:val="44"/>
        </w:rPr>
        <w:t>年单位预算公开说明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:单位职责及机构设置情况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一、单位职责</w:t>
      </w:r>
    </w:p>
    <w:p>
      <w:pPr>
        <w:spacing w:line="360" w:lineRule="auto"/>
        <w:ind w:firstLine="640" w:firstLineChars="200"/>
        <w:rPr>
          <w:rFonts w:ascii="仿宋" w:hAnsi="仿宋" w:eastAsia="仿宋"/>
          <w:sz w:val="32"/>
          <w:szCs w:val="32"/>
        </w:rPr>
      </w:pPr>
      <w:r>
        <w:rPr>
          <w:rFonts w:ascii="仿宋" w:hAnsi="仿宋" w:eastAsia="仿宋"/>
          <w:sz w:val="32"/>
          <w:szCs w:val="32"/>
        </w:rPr>
        <w:t>根据《保定市徐水区教育和体育局职能配置、内设机构和人员编制规定》，保定市徐水区</w:t>
      </w:r>
      <w:r>
        <w:rPr>
          <w:rFonts w:hint="eastAsia" w:ascii="仿宋" w:hAnsi="仿宋" w:eastAsia="仿宋"/>
          <w:sz w:val="32"/>
          <w:szCs w:val="32"/>
        </w:rPr>
        <w:t>义联庄乡中心学校</w:t>
      </w:r>
      <w:r>
        <w:rPr>
          <w:rFonts w:ascii="仿宋" w:hAnsi="仿宋" w:eastAsia="仿宋"/>
          <w:sz w:val="32"/>
          <w:szCs w:val="32"/>
        </w:rPr>
        <w:t>的主要职责是：</w:t>
      </w:r>
    </w:p>
    <w:p>
      <w:pPr>
        <w:spacing w:line="360" w:lineRule="auto"/>
        <w:ind w:firstLine="640" w:firstLineChars="200"/>
        <w:rPr>
          <w:rFonts w:ascii="仿宋" w:hAnsi="仿宋" w:eastAsia="仿宋"/>
          <w:sz w:val="32"/>
          <w:szCs w:val="32"/>
        </w:rPr>
      </w:pPr>
      <w:r>
        <w:rPr>
          <w:rFonts w:ascii="仿宋" w:hAnsi="仿宋" w:eastAsia="仿宋"/>
          <w:sz w:val="32"/>
          <w:szCs w:val="32"/>
        </w:rPr>
        <w:t>（一）贯彻落实教育和体</w:t>
      </w:r>
      <w:bookmarkStart w:id="14" w:name="_GoBack"/>
      <w:bookmarkEnd w:id="14"/>
      <w:r>
        <w:rPr>
          <w:rFonts w:ascii="仿宋" w:hAnsi="仿宋" w:eastAsia="仿宋"/>
          <w:sz w:val="32"/>
          <w:szCs w:val="32"/>
        </w:rPr>
        <w:t>育工作方针、政策、法律、法规，落实教育优先发展的战略地位，推动全</w:t>
      </w:r>
      <w:r>
        <w:rPr>
          <w:rFonts w:hint="eastAsia" w:ascii="仿宋" w:hAnsi="仿宋" w:eastAsia="仿宋"/>
          <w:sz w:val="32"/>
          <w:szCs w:val="32"/>
        </w:rPr>
        <w:t>乡</w:t>
      </w:r>
      <w:r>
        <w:rPr>
          <w:rFonts w:ascii="仿宋" w:hAnsi="仿宋" w:eastAsia="仿宋"/>
          <w:sz w:val="32"/>
          <w:szCs w:val="32"/>
        </w:rPr>
        <w:t>教育和体育事业改革发展。</w:t>
      </w:r>
    </w:p>
    <w:p>
      <w:pPr>
        <w:spacing w:line="360" w:lineRule="auto"/>
        <w:ind w:firstLine="640" w:firstLineChars="200"/>
        <w:rPr>
          <w:rFonts w:ascii="仿宋" w:hAnsi="仿宋" w:eastAsia="仿宋"/>
          <w:sz w:val="32"/>
          <w:szCs w:val="32"/>
        </w:rPr>
      </w:pPr>
      <w:r>
        <w:rPr>
          <w:rFonts w:ascii="仿宋" w:hAnsi="仿宋" w:eastAsia="仿宋"/>
          <w:sz w:val="32"/>
          <w:szCs w:val="32"/>
        </w:rPr>
        <w:t>（二）全面实施素质教育，指导推动教育教学和教育科研工作；负责全</w:t>
      </w:r>
      <w:r>
        <w:rPr>
          <w:rFonts w:hint="eastAsia" w:ascii="仿宋" w:hAnsi="仿宋" w:eastAsia="仿宋"/>
          <w:sz w:val="32"/>
          <w:szCs w:val="32"/>
        </w:rPr>
        <w:t>乡</w:t>
      </w:r>
      <w:r>
        <w:rPr>
          <w:rFonts w:ascii="仿宋" w:hAnsi="仿宋" w:eastAsia="仿宋"/>
          <w:sz w:val="32"/>
          <w:szCs w:val="32"/>
        </w:rPr>
        <w:t>义务教育、学前教育的宏观指导、综合管理与服务，对全</w:t>
      </w:r>
      <w:r>
        <w:rPr>
          <w:rFonts w:hint="eastAsia" w:ascii="仿宋" w:hAnsi="仿宋" w:eastAsia="仿宋"/>
          <w:sz w:val="32"/>
          <w:szCs w:val="32"/>
        </w:rPr>
        <w:t>乡</w:t>
      </w:r>
      <w:r>
        <w:rPr>
          <w:rFonts w:ascii="仿宋" w:hAnsi="仿宋" w:eastAsia="仿宋"/>
          <w:sz w:val="32"/>
          <w:szCs w:val="32"/>
        </w:rPr>
        <w:t>教育工作状况及办学水平进行监督、检查、评估、验收；负责组织各类招生考试工作。</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三</w:t>
      </w:r>
      <w:r>
        <w:rPr>
          <w:rFonts w:ascii="仿宋" w:hAnsi="仿宋" w:eastAsia="仿宋"/>
          <w:sz w:val="32"/>
          <w:szCs w:val="32"/>
        </w:rPr>
        <w:t>）负责全</w:t>
      </w:r>
      <w:r>
        <w:rPr>
          <w:rFonts w:hint="eastAsia" w:ascii="仿宋" w:hAnsi="仿宋" w:eastAsia="仿宋"/>
          <w:sz w:val="32"/>
          <w:szCs w:val="32"/>
        </w:rPr>
        <w:t>乡</w:t>
      </w:r>
      <w:r>
        <w:rPr>
          <w:rFonts w:ascii="仿宋" w:hAnsi="仿宋" w:eastAsia="仿宋"/>
          <w:sz w:val="32"/>
          <w:szCs w:val="32"/>
        </w:rPr>
        <w:t>教育和体育系统队伍建设工作，负责人员招聘录用、工作调配、教育培训、职称评聘、评优评模、考核奖惩等工作；负责实施教师资格制度工作。</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四</w:t>
      </w:r>
      <w:r>
        <w:rPr>
          <w:rFonts w:ascii="仿宋" w:hAnsi="仿宋" w:eastAsia="仿宋"/>
          <w:sz w:val="32"/>
          <w:szCs w:val="32"/>
        </w:rPr>
        <w:t>）负责教育经费统筹管理；</w:t>
      </w:r>
      <w:r>
        <w:rPr>
          <w:rFonts w:hint="eastAsia" w:ascii="仿宋" w:hAnsi="仿宋" w:eastAsia="仿宋"/>
          <w:sz w:val="32"/>
          <w:szCs w:val="32"/>
        </w:rPr>
        <w:t>负责</w:t>
      </w:r>
      <w:r>
        <w:rPr>
          <w:rFonts w:ascii="仿宋" w:hAnsi="仿宋" w:eastAsia="仿宋"/>
          <w:sz w:val="32"/>
          <w:szCs w:val="32"/>
        </w:rPr>
        <w:t>全</w:t>
      </w:r>
      <w:r>
        <w:rPr>
          <w:rFonts w:hint="eastAsia" w:ascii="仿宋" w:hAnsi="仿宋" w:eastAsia="仿宋"/>
          <w:sz w:val="32"/>
          <w:szCs w:val="32"/>
        </w:rPr>
        <w:t>乡</w:t>
      </w:r>
      <w:r>
        <w:rPr>
          <w:rFonts w:ascii="仿宋" w:hAnsi="仿宋" w:eastAsia="仿宋"/>
          <w:sz w:val="32"/>
          <w:szCs w:val="32"/>
        </w:rPr>
        <w:t>年度教育和体育经费的预决算工作；做好计划统计工作；负责各级助学政策和经费的落实。</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五</w:t>
      </w:r>
      <w:r>
        <w:rPr>
          <w:rFonts w:ascii="仿宋" w:hAnsi="仿宋" w:eastAsia="仿宋"/>
          <w:sz w:val="32"/>
          <w:szCs w:val="32"/>
        </w:rPr>
        <w:t>）指导全</w:t>
      </w:r>
      <w:r>
        <w:rPr>
          <w:rFonts w:hint="eastAsia" w:ascii="仿宋" w:hAnsi="仿宋" w:eastAsia="仿宋"/>
          <w:sz w:val="32"/>
          <w:szCs w:val="32"/>
        </w:rPr>
        <w:t>乡</w:t>
      </w:r>
      <w:r>
        <w:rPr>
          <w:rFonts w:ascii="仿宋" w:hAnsi="仿宋" w:eastAsia="仿宋"/>
          <w:sz w:val="32"/>
          <w:szCs w:val="32"/>
        </w:rPr>
        <w:t>学校的德育、智育、体育、美育、劳动、国防和安全教育工作；负责教育和体育系统党的建设工作，指导工会、妇女工作；负责</w:t>
      </w:r>
      <w:r>
        <w:rPr>
          <w:rFonts w:hint="eastAsia" w:ascii="仿宋" w:hAnsi="仿宋" w:eastAsia="仿宋"/>
          <w:sz w:val="32"/>
          <w:szCs w:val="32"/>
        </w:rPr>
        <w:t>全乡</w:t>
      </w:r>
      <w:r>
        <w:rPr>
          <w:rFonts w:ascii="仿宋" w:hAnsi="仿宋" w:eastAsia="仿宋"/>
          <w:sz w:val="32"/>
          <w:szCs w:val="32"/>
        </w:rPr>
        <w:t>教育系统的安全稳定及综合治理工作。</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六</w:t>
      </w:r>
      <w:r>
        <w:rPr>
          <w:rFonts w:ascii="仿宋" w:hAnsi="仿宋" w:eastAsia="仿宋"/>
          <w:sz w:val="32"/>
          <w:szCs w:val="32"/>
        </w:rPr>
        <w:t>）负责全</w:t>
      </w:r>
      <w:r>
        <w:rPr>
          <w:rFonts w:hint="eastAsia" w:ascii="仿宋" w:hAnsi="仿宋" w:eastAsia="仿宋"/>
          <w:sz w:val="32"/>
          <w:szCs w:val="32"/>
        </w:rPr>
        <w:t>乡</w:t>
      </w:r>
      <w:r>
        <w:rPr>
          <w:rFonts w:ascii="仿宋" w:hAnsi="仿宋" w:eastAsia="仿宋"/>
          <w:sz w:val="32"/>
          <w:szCs w:val="32"/>
        </w:rPr>
        <w:t>体育竞赛、竞技运动项目的设置和布局；统筹规划全</w:t>
      </w:r>
      <w:r>
        <w:rPr>
          <w:rFonts w:hint="eastAsia" w:ascii="仿宋" w:hAnsi="仿宋" w:eastAsia="仿宋"/>
          <w:sz w:val="32"/>
          <w:szCs w:val="32"/>
        </w:rPr>
        <w:t>乡</w:t>
      </w:r>
      <w:r>
        <w:rPr>
          <w:rFonts w:ascii="仿宋" w:hAnsi="仿宋" w:eastAsia="仿宋"/>
          <w:sz w:val="32"/>
          <w:szCs w:val="32"/>
        </w:rPr>
        <w:t>青少年体育发展，指导和推进青少年体育工作；指导体育管理人员、教练员、运动员队伍建设</w:t>
      </w:r>
      <w:r>
        <w:rPr>
          <w:rFonts w:hint="eastAsia" w:ascii="仿宋" w:hAnsi="仿宋" w:eastAsia="仿宋"/>
          <w:sz w:val="32"/>
          <w:szCs w:val="32"/>
        </w:rPr>
        <w:t>。</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七</w:t>
      </w:r>
      <w:r>
        <w:rPr>
          <w:rFonts w:ascii="仿宋" w:hAnsi="仿宋" w:eastAsia="仿宋"/>
          <w:sz w:val="32"/>
          <w:szCs w:val="32"/>
        </w:rPr>
        <w:t>）负责全</w:t>
      </w:r>
      <w:r>
        <w:rPr>
          <w:rFonts w:hint="eastAsia" w:ascii="仿宋" w:hAnsi="仿宋" w:eastAsia="仿宋"/>
          <w:sz w:val="32"/>
          <w:szCs w:val="32"/>
        </w:rPr>
        <w:t>乡</w:t>
      </w:r>
      <w:r>
        <w:rPr>
          <w:rFonts w:ascii="仿宋" w:hAnsi="仿宋" w:eastAsia="仿宋"/>
          <w:sz w:val="32"/>
          <w:szCs w:val="32"/>
        </w:rPr>
        <w:t>语言文字工作，制订语言文字工作规划；组织协调并监督检查汉语和少数民族语言文字规范、标准的实施；指导推广普通话和普通话测试工作；负责社会用字规范管理。</w:t>
      </w:r>
    </w:p>
    <w:p>
      <w:pPr>
        <w:spacing w:line="360" w:lineRule="auto"/>
        <w:ind w:firstLine="640" w:firstLineChars="200"/>
        <w:rPr>
          <w:rFonts w:ascii="仿宋" w:hAnsi="仿宋" w:eastAsia="仿宋"/>
          <w:b/>
          <w:sz w:val="32"/>
          <w:szCs w:val="32"/>
        </w:rPr>
      </w:pPr>
      <w:r>
        <w:rPr>
          <w:rFonts w:ascii="仿宋" w:hAnsi="仿宋" w:eastAsia="仿宋"/>
          <w:sz w:val="32"/>
          <w:szCs w:val="32"/>
        </w:rPr>
        <w:t>（</w:t>
      </w:r>
      <w:r>
        <w:rPr>
          <w:rFonts w:hint="eastAsia" w:ascii="仿宋" w:hAnsi="仿宋" w:eastAsia="仿宋"/>
          <w:sz w:val="32"/>
          <w:szCs w:val="32"/>
        </w:rPr>
        <w:t>八</w:t>
      </w:r>
      <w:r>
        <w:rPr>
          <w:rFonts w:ascii="仿宋" w:hAnsi="仿宋" w:eastAsia="仿宋"/>
          <w:sz w:val="32"/>
          <w:szCs w:val="32"/>
        </w:rPr>
        <w:t>）承办</w:t>
      </w:r>
      <w:r>
        <w:rPr>
          <w:rFonts w:hint="eastAsia" w:ascii="仿宋" w:hAnsi="仿宋" w:eastAsia="仿宋"/>
          <w:sz w:val="32"/>
          <w:szCs w:val="32"/>
        </w:rPr>
        <w:t>乡</w:t>
      </w:r>
      <w:r>
        <w:rPr>
          <w:rFonts w:ascii="仿宋" w:hAnsi="仿宋" w:eastAsia="仿宋"/>
          <w:sz w:val="32"/>
          <w:szCs w:val="32"/>
        </w:rPr>
        <w:t>委、</w:t>
      </w:r>
      <w:r>
        <w:rPr>
          <w:rFonts w:hint="eastAsia" w:ascii="仿宋" w:hAnsi="仿宋" w:eastAsia="仿宋"/>
          <w:sz w:val="32"/>
          <w:szCs w:val="32"/>
        </w:rPr>
        <w:t>乡</w:t>
      </w:r>
      <w:r>
        <w:rPr>
          <w:rFonts w:ascii="仿宋" w:hAnsi="仿宋" w:eastAsia="仿宋"/>
          <w:sz w:val="32"/>
          <w:szCs w:val="32"/>
        </w:rPr>
        <w:t>政府和上级教育行政单位交办的其他事</w:t>
      </w:r>
      <w:r>
        <w:rPr>
          <w:rFonts w:hint="eastAsia" w:ascii="仿宋" w:hAnsi="仿宋" w:eastAsia="仿宋"/>
          <w:sz w:val="32"/>
          <w:szCs w:val="32"/>
        </w:rPr>
        <w:t>项。</w:t>
      </w:r>
      <w:r>
        <w:rPr>
          <w:rFonts w:hint="eastAsia" w:ascii="仿宋" w:hAnsi="仿宋" w:eastAsia="仿宋"/>
          <w:b/>
          <w:sz w:val="32"/>
          <w:szCs w:val="32"/>
        </w:rPr>
        <w:t>二、机构设置</w:t>
      </w:r>
    </w:p>
    <w:tbl>
      <w:tblPr>
        <w:tblStyle w:val="8"/>
        <w:tblW w:w="974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04"/>
        <w:gridCol w:w="3402"/>
        <w:gridCol w:w="1279"/>
        <w:gridCol w:w="1698"/>
        <w:gridCol w:w="26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trPr>
        <w:tc>
          <w:tcPr>
            <w:tcW w:w="704"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340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279"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单位基本性质</w:t>
            </w:r>
          </w:p>
        </w:tc>
        <w:tc>
          <w:tcPr>
            <w:tcW w:w="1698" w:type="dxa"/>
            <w:tcBorders>
              <w:bottom w:val="single" w:color="000000" w:sz="6" w:space="0"/>
            </w:tcBorders>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w:t>
            </w:r>
            <w:r>
              <w:rPr>
                <w:rFonts w:ascii="仿宋_GB2312" w:hAnsi="仿宋" w:eastAsia="仿宋_GB2312" w:cs="宋体"/>
                <w:kern w:val="0"/>
                <w:sz w:val="24"/>
                <w:szCs w:val="24"/>
              </w:rPr>
              <w:t>规格</w:t>
            </w:r>
          </w:p>
        </w:tc>
        <w:tc>
          <w:tcPr>
            <w:tcW w:w="2664"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704"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3402" w:type="dxa"/>
            <w:tcBorders>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义联庄乡中心学</w:t>
            </w:r>
            <w:r>
              <w:rPr>
                <w:rFonts w:hint="eastAsia" w:ascii="宋体" w:hAnsi="宋体" w:eastAsia="宋体" w:cs="宋体"/>
                <w:bCs/>
                <w:sz w:val="24"/>
                <w:szCs w:val="24"/>
              </w:rPr>
              <w:t>校</w:t>
            </w:r>
          </w:p>
        </w:tc>
        <w:tc>
          <w:tcPr>
            <w:tcW w:w="1279"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98" w:type="dxa"/>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2664"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预算中。我单位及所属事业单位的收支包含在单位预算中。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w:t>
      </w:r>
      <w:r>
        <w:rPr>
          <w:rFonts w:hint="eastAsia" w:ascii="仿宋" w:hAnsi="仿宋" w:eastAsia="仿宋"/>
          <w:sz w:val="32"/>
          <w:szCs w:val="32"/>
        </w:rPr>
        <w:t>1071.85</w:t>
      </w:r>
      <w:r>
        <w:rPr>
          <w:rFonts w:ascii="仿宋" w:hAnsi="仿宋" w:eastAsia="仿宋"/>
          <w:sz w:val="32"/>
          <w:szCs w:val="32"/>
        </w:rPr>
        <w:t>万元,其中：一般公共预算收入</w:t>
      </w:r>
      <w:r>
        <w:rPr>
          <w:rFonts w:hint="eastAsia" w:ascii="仿宋" w:hAnsi="仿宋" w:eastAsia="仿宋"/>
          <w:sz w:val="32"/>
          <w:szCs w:val="32"/>
        </w:rPr>
        <w:t>1071.85</w:t>
      </w:r>
      <w:r>
        <w:rPr>
          <w:rFonts w:ascii="仿宋" w:hAnsi="仿宋" w:eastAsia="仿宋"/>
          <w:sz w:val="32"/>
          <w:szCs w:val="32"/>
        </w:rPr>
        <w:t>万元，基金预算收入0万元，财政专户收入</w:t>
      </w:r>
      <w:r>
        <w:rPr>
          <w:rFonts w:hint="eastAsia" w:ascii="仿宋" w:hAnsi="仿宋" w:eastAsia="仿宋"/>
          <w:sz w:val="32"/>
          <w:szCs w:val="32"/>
        </w:rPr>
        <w:t>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w:t>
      </w:r>
      <w:r>
        <w:rPr>
          <w:rFonts w:hint="eastAsia" w:ascii="仿宋" w:hAnsi="仿宋" w:eastAsia="仿宋"/>
          <w:sz w:val="32"/>
          <w:szCs w:val="32"/>
        </w:rPr>
        <w:t>元</w:t>
      </w:r>
      <w:r>
        <w:rPr>
          <w:rFonts w:ascii="仿宋" w:hAnsi="仿宋" w:eastAsia="仿宋"/>
          <w:sz w:val="32"/>
          <w:szCs w:val="32"/>
        </w:rPr>
        <w:t>，</w:t>
      </w:r>
      <w:r>
        <w:rPr>
          <w:rFonts w:hint="eastAsia" w:ascii="仿宋" w:hAnsi="仿宋" w:eastAsia="仿宋"/>
          <w:sz w:val="32"/>
          <w:szCs w:val="32"/>
        </w:rPr>
        <w:t>上</w:t>
      </w:r>
      <w:r>
        <w:rPr>
          <w:rFonts w:ascii="仿宋" w:hAnsi="仿宋" w:eastAsia="仿宋"/>
          <w:sz w:val="32"/>
          <w:szCs w:val="32"/>
        </w:rPr>
        <w:t>年结转结余资金</w:t>
      </w:r>
      <w:r>
        <w:rPr>
          <w:rFonts w:hint="eastAsia" w:ascii="仿宋" w:hAnsi="仿宋" w:eastAsia="仿宋"/>
          <w:sz w:val="32"/>
          <w:szCs w:val="32"/>
        </w:rPr>
        <w:t>0万</w:t>
      </w:r>
      <w:r>
        <w:rPr>
          <w:rFonts w:ascii="仿宋" w:hAnsi="仿宋" w:eastAsia="仿宋"/>
          <w:sz w:val="32"/>
          <w:szCs w:val="32"/>
        </w:rPr>
        <w:t>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2021年单位支出预算：</w:t>
      </w:r>
      <w:r>
        <w:rPr>
          <w:rFonts w:hint="eastAsia" w:ascii="仿宋" w:hAnsi="仿宋" w:eastAsia="仿宋"/>
          <w:sz w:val="32"/>
          <w:szCs w:val="32"/>
        </w:rPr>
        <w:t>1071.85</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基本支出940.82万元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917.18</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23.64</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项目支出131.03</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131.03</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本年度预算收支安排1071.85万元，较上年减少155.44</w:t>
      </w:r>
      <w:r>
        <w:rPr>
          <w:rFonts w:ascii="仿宋" w:hAnsi="仿宋" w:eastAsia="仿宋"/>
          <w:sz w:val="32"/>
          <w:szCs w:val="32"/>
        </w:rPr>
        <w:t>万元。其中:基本支出</w:t>
      </w:r>
      <w:r>
        <w:rPr>
          <w:rFonts w:hint="eastAsia" w:ascii="仿宋" w:hAnsi="仿宋" w:eastAsia="仿宋"/>
          <w:sz w:val="32"/>
          <w:szCs w:val="32"/>
        </w:rPr>
        <w:t>减少147.21</w:t>
      </w:r>
      <w:r>
        <w:rPr>
          <w:rFonts w:ascii="仿宋" w:hAnsi="仿宋" w:eastAsia="仿宋"/>
          <w:sz w:val="32"/>
          <w:szCs w:val="32"/>
        </w:rPr>
        <w:t>万元，主要原因是</w:t>
      </w:r>
      <w:r>
        <w:rPr>
          <w:rFonts w:hint="eastAsia" w:ascii="仿宋" w:hAnsi="仿宋" w:eastAsia="仿宋"/>
          <w:sz w:val="32"/>
          <w:szCs w:val="32"/>
        </w:rPr>
        <w:t>新招聘</w:t>
      </w:r>
      <w:r>
        <w:rPr>
          <w:rFonts w:ascii="仿宋" w:hAnsi="仿宋" w:eastAsia="仿宋"/>
          <w:sz w:val="32"/>
          <w:szCs w:val="32"/>
        </w:rPr>
        <w:t>教师</w:t>
      </w:r>
      <w:r>
        <w:rPr>
          <w:rFonts w:hint="eastAsia" w:ascii="仿宋" w:hAnsi="仿宋" w:eastAsia="仿宋"/>
          <w:sz w:val="32"/>
          <w:szCs w:val="32"/>
        </w:rPr>
        <w:t>少、退休教师较多，</w:t>
      </w:r>
      <w:r>
        <w:rPr>
          <w:rFonts w:ascii="仿宋" w:hAnsi="仿宋" w:eastAsia="仿宋"/>
          <w:sz w:val="32"/>
          <w:szCs w:val="32"/>
        </w:rPr>
        <w:t>导致人员经费</w:t>
      </w:r>
      <w:r>
        <w:rPr>
          <w:rFonts w:hint="eastAsia" w:ascii="仿宋" w:hAnsi="仿宋" w:eastAsia="仿宋"/>
          <w:sz w:val="32"/>
          <w:szCs w:val="32"/>
        </w:rPr>
        <w:t>减少</w:t>
      </w:r>
      <w:r>
        <w:rPr>
          <w:rFonts w:ascii="仿宋" w:hAnsi="仿宋" w:eastAsia="仿宋"/>
          <w:sz w:val="32"/>
          <w:szCs w:val="32"/>
        </w:rPr>
        <w:t>；项目支出减少</w:t>
      </w:r>
      <w:r>
        <w:rPr>
          <w:rFonts w:hint="eastAsia" w:ascii="仿宋" w:hAnsi="仿宋" w:eastAsia="仿宋"/>
          <w:sz w:val="32"/>
          <w:szCs w:val="32"/>
        </w:rPr>
        <w:t>8.23</w:t>
      </w:r>
      <w:r>
        <w:rPr>
          <w:rFonts w:ascii="仿宋" w:hAnsi="仿宋" w:eastAsia="仿宋"/>
          <w:sz w:val="32"/>
          <w:szCs w:val="32"/>
        </w:rPr>
        <w:t>万元，主要原因</w:t>
      </w:r>
      <w:r>
        <w:rPr>
          <w:rFonts w:hint="eastAsia" w:ascii="仿宋" w:hAnsi="仿宋" w:eastAsia="仿宋"/>
          <w:sz w:val="32"/>
          <w:szCs w:val="32"/>
        </w:rPr>
        <w:t>是年</w:t>
      </w:r>
      <w:r>
        <w:rPr>
          <w:rFonts w:ascii="仿宋" w:hAnsi="仿宋" w:eastAsia="仿宋"/>
          <w:sz w:val="32"/>
          <w:szCs w:val="32"/>
        </w:rPr>
        <w:t>初预算校舍</w:t>
      </w:r>
      <w:r>
        <w:rPr>
          <w:rFonts w:hint="eastAsia" w:ascii="仿宋" w:hAnsi="仿宋" w:eastAsia="仿宋"/>
          <w:sz w:val="32"/>
          <w:szCs w:val="32"/>
        </w:rPr>
        <w:t>维修</w:t>
      </w:r>
      <w:r>
        <w:rPr>
          <w:rFonts w:ascii="仿宋" w:hAnsi="仿宋" w:eastAsia="仿宋"/>
          <w:sz w:val="32"/>
          <w:szCs w:val="32"/>
        </w:rPr>
        <w:t>资金</w:t>
      </w:r>
      <w:r>
        <w:rPr>
          <w:rFonts w:hint="eastAsia" w:ascii="仿宋" w:hAnsi="仿宋" w:eastAsia="仿宋"/>
          <w:sz w:val="32"/>
          <w:szCs w:val="32"/>
        </w:rPr>
        <w:t>较</w:t>
      </w:r>
      <w:r>
        <w:rPr>
          <w:rFonts w:ascii="仿宋" w:hAnsi="仿宋" w:eastAsia="仿宋"/>
          <w:sz w:val="32"/>
          <w:szCs w:val="32"/>
        </w:rPr>
        <w:t>上年减少。</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b/>
          <w:sz w:val="32"/>
          <w:szCs w:val="32"/>
        </w:rPr>
      </w:pPr>
      <w:r>
        <w:rPr>
          <w:rFonts w:ascii="仿宋" w:hAnsi="仿宋" w:eastAsia="仿宋"/>
          <w:sz w:val="32"/>
          <w:szCs w:val="32"/>
        </w:rPr>
        <w:t>2021年我单位机关运行经费安排</w:t>
      </w:r>
      <w:r>
        <w:rPr>
          <w:rFonts w:hint="eastAsia" w:ascii="仿宋" w:hAnsi="仿宋" w:eastAsia="仿宋"/>
          <w:sz w:val="32"/>
          <w:szCs w:val="32"/>
        </w:rPr>
        <w:t>23.64</w:t>
      </w:r>
      <w:r>
        <w:rPr>
          <w:rFonts w:ascii="仿宋" w:hAnsi="仿宋" w:eastAsia="仿宋"/>
          <w:sz w:val="32"/>
          <w:szCs w:val="32"/>
        </w:rPr>
        <w:t>万元，其中办公费</w:t>
      </w:r>
      <w:r>
        <w:rPr>
          <w:rFonts w:hint="eastAsia" w:ascii="仿宋" w:hAnsi="仿宋" w:eastAsia="仿宋"/>
          <w:sz w:val="32"/>
          <w:szCs w:val="32"/>
        </w:rPr>
        <w:t>3.24</w:t>
      </w:r>
      <w:r>
        <w:rPr>
          <w:rFonts w:ascii="仿宋" w:hAnsi="仿宋" w:eastAsia="仿宋"/>
          <w:sz w:val="32"/>
          <w:szCs w:val="32"/>
        </w:rPr>
        <w:t>万元，</w:t>
      </w:r>
      <w:r>
        <w:rPr>
          <w:rFonts w:hint="eastAsia" w:ascii="仿宋" w:hAnsi="仿宋" w:eastAsia="仿宋"/>
          <w:sz w:val="32"/>
          <w:szCs w:val="32"/>
        </w:rPr>
        <w:t>离退休干部公用经费5.85</w:t>
      </w:r>
      <w:r>
        <w:rPr>
          <w:rFonts w:ascii="仿宋" w:hAnsi="仿宋" w:eastAsia="仿宋"/>
          <w:sz w:val="32"/>
          <w:szCs w:val="32"/>
        </w:rPr>
        <w:t>万元，工会经费</w:t>
      </w:r>
      <w:r>
        <w:rPr>
          <w:rFonts w:hint="eastAsia" w:ascii="仿宋" w:hAnsi="仿宋" w:eastAsia="仿宋"/>
          <w:sz w:val="32"/>
          <w:szCs w:val="32"/>
        </w:rPr>
        <w:t>8.56万元，</w:t>
      </w:r>
      <w:r>
        <w:rPr>
          <w:rFonts w:ascii="仿宋" w:hAnsi="仿宋" w:eastAsia="仿宋"/>
          <w:sz w:val="32"/>
          <w:szCs w:val="32"/>
        </w:rPr>
        <w:t>福利费</w:t>
      </w:r>
      <w:r>
        <w:rPr>
          <w:rFonts w:hint="eastAsia" w:ascii="仿宋" w:hAnsi="仿宋" w:eastAsia="仿宋"/>
          <w:sz w:val="32"/>
          <w:szCs w:val="32"/>
        </w:rPr>
        <w:t>5.99</w:t>
      </w:r>
      <w:r>
        <w:rPr>
          <w:rFonts w:ascii="仿宋" w:hAnsi="仿宋" w:eastAsia="仿宋"/>
          <w:sz w:val="32"/>
          <w:szCs w:val="32"/>
        </w:rPr>
        <w:t>万元，公务用车运行维护费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其他支出0万元。</w:t>
      </w:r>
    </w:p>
    <w:p>
      <w:pPr>
        <w:spacing w:line="360" w:lineRule="auto"/>
        <w:jc w:val="center"/>
        <w:rPr>
          <w:rFonts w:ascii="黑体" w:hAnsi="黑体" w:eastAsia="黑体" w:cs="Times New Roman"/>
          <w:sz w:val="32"/>
          <w:szCs w:val="32"/>
        </w:rPr>
      </w:pP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8"/>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8"/>
              <w:tblW w:w="0" w:type="auto"/>
              <w:jc w:val="center"/>
              <w:tblLayout w:type="autofit"/>
              <w:tblCellMar>
                <w:top w:w="0" w:type="dxa"/>
                <w:left w:w="108" w:type="dxa"/>
                <w:bottom w:w="0" w:type="dxa"/>
                <w:right w:w="108" w:type="dxa"/>
              </w:tblCellMar>
            </w:tblPr>
            <w:tblGrid>
              <w:gridCol w:w="2163"/>
              <w:gridCol w:w="1276"/>
              <w:gridCol w:w="1418"/>
              <w:gridCol w:w="1272"/>
              <w:gridCol w:w="1961"/>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r>
                    <w:rPr>
                      <w:rFonts w:hint="eastAsia" w:ascii="黑体" w:hAnsi="黑体" w:eastAsia="黑体" w:cs="宋体"/>
                      <w:kern w:val="0"/>
                      <w:sz w:val="32"/>
                      <w:szCs w:val="32"/>
                    </w:rPr>
                    <w:t>2021年，我单位无三公经费，空表列示。</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1272" w:type="dxa"/>
                  <w:tcBorders>
                    <w:top w:val="nil"/>
                    <w:left w:val="nil"/>
                    <w:bottom w:val="nil"/>
                    <w:right w:val="nil"/>
                  </w:tcBorders>
                  <w:vAlign w:val="center"/>
                </w:tcPr>
                <w:p>
                  <w:pPr>
                    <w:widowControl/>
                    <w:jc w:val="left"/>
                    <w:rPr>
                      <w:rFonts w:ascii="宋体" w:hAnsi="宋体" w:cs="宋体"/>
                      <w:kern w:val="0"/>
                      <w:sz w:val="24"/>
                      <w:szCs w:val="24"/>
                    </w:rPr>
                  </w:pPr>
                </w:p>
              </w:tc>
              <w:tc>
                <w:tcPr>
                  <w:tcW w:w="1961"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w:t>
                  </w:r>
                  <w:r>
                    <w:rPr>
                      <w:rFonts w:hint="eastAsia" w:ascii="仿宋_GB2312" w:hAnsi="宋体" w:eastAsia="仿宋_GB2312" w:cs="宋体"/>
                      <w:b/>
                      <w:kern w:val="0"/>
                      <w:sz w:val="24"/>
                      <w:szCs w:val="24"/>
                    </w:rPr>
                    <w:t>0年度预算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2021年</w:t>
                  </w:r>
                  <w:r>
                    <w:rPr>
                      <w:rFonts w:hint="eastAsia" w:ascii="仿宋_GB2312" w:hAnsi="宋体" w:eastAsia="仿宋_GB2312" w:cs="宋体"/>
                      <w:b/>
                      <w:kern w:val="0"/>
                      <w:sz w:val="24"/>
                      <w:szCs w:val="24"/>
                    </w:rPr>
                    <w:t>度预算</w:t>
                  </w:r>
                </w:p>
              </w:tc>
              <w:tc>
                <w:tcPr>
                  <w:tcW w:w="127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196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408"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414"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406"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27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9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1272" w:type="dxa"/>
                  <w:tcBorders>
                    <w:top w:val="nil"/>
                    <w:left w:val="nil"/>
                    <w:bottom w:val="nil"/>
                    <w:right w:val="nil"/>
                  </w:tcBorders>
                  <w:vAlign w:val="center"/>
                </w:tcPr>
                <w:p>
                  <w:pPr>
                    <w:widowControl/>
                    <w:jc w:val="left"/>
                    <w:rPr>
                      <w:rFonts w:ascii="宋体" w:hAnsi="宋体" w:cs="宋体"/>
                      <w:kern w:val="0"/>
                      <w:sz w:val="24"/>
                      <w:szCs w:val="24"/>
                    </w:rPr>
                  </w:pPr>
                </w:p>
              </w:tc>
              <w:tc>
                <w:tcPr>
                  <w:tcW w:w="1961"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spacing w:before="10" w:after="10"/>
        <w:ind w:firstLine="560"/>
        <w:outlineLvl w:val="1"/>
      </w:pPr>
      <w:bookmarkStart w:id="0" w:name="_Toc_2_2_0000000001"/>
      <w:r>
        <w:rPr>
          <w:rFonts w:ascii="方正黑体_GBK" w:hAnsi="方正黑体_GBK" w:eastAsia="方正黑体_GBK" w:cs="方正黑体_GBK"/>
          <w:color w:val="000000"/>
          <w:sz w:val="28"/>
        </w:rPr>
        <w:t>一、总体绩效目标</w:t>
      </w:r>
      <w:bookmarkEnd w:id="0"/>
    </w:p>
    <w:p>
      <w:pPr>
        <w:spacing w:line="500" w:lineRule="exact"/>
        <w:ind w:firstLine="560" w:firstLineChars="200"/>
        <w:jc w:val="left"/>
        <w:rPr>
          <w:rFonts w:ascii="Times New Roman" w:eastAsia="方正仿宋_GBK"/>
          <w:sz w:val="28"/>
        </w:rPr>
      </w:pPr>
      <w:bookmarkStart w:id="1" w:name="_Toc_4_4_0000000136"/>
      <w:r>
        <w:rPr>
          <w:rFonts w:hint="eastAsia" w:ascii="Times New Roman" w:hAnsi="微软雅黑" w:eastAsia="方正仿宋_GBK" w:cs="微软雅黑"/>
          <w:sz w:val="28"/>
        </w:rPr>
        <w:t>以习近平新时代中国特色社会主义思想为指导，深入贯彻党的十九大和十九届二中、三中、四中、五中全会精神，立足新发展阶段，贯彻新发展理念，构建新发展格局，以推动高质量发展为主题，以改革创新为根本动力，全面贯彻党的教育方针，落实立德树人根本任务，坚持</w:t>
      </w:r>
      <w:r>
        <w:rPr>
          <w:rFonts w:ascii="Times New Roman" w:eastAsia="方正仿宋_GBK"/>
          <w:sz w:val="28"/>
        </w:rPr>
        <w:t>“</w:t>
      </w:r>
      <w:r>
        <w:rPr>
          <w:rFonts w:hint="eastAsia" w:ascii="Times New Roman" w:hAnsi="微软雅黑" w:eastAsia="方正仿宋_GBK" w:cs="微软雅黑"/>
          <w:sz w:val="28"/>
        </w:rPr>
        <w:t>四个激活</w:t>
      </w:r>
      <w:r>
        <w:rPr>
          <w:rFonts w:ascii="Times New Roman" w:eastAsia="方正仿宋_GBK"/>
          <w:sz w:val="28"/>
        </w:rPr>
        <w:t>”</w:t>
      </w:r>
      <w:r>
        <w:rPr>
          <w:rFonts w:hint="eastAsia" w:ascii="Times New Roman" w:hAnsi="微软雅黑" w:eastAsia="方正仿宋_GBK" w:cs="微软雅黑"/>
          <w:sz w:val="28"/>
        </w:rPr>
        <w:t>工作思路，巩固拓展疫情防控和教育改革发展成果，为推进教育现代化，建设教育强区，办好人民满意教育开好局、起好步，以优异成绩庆祝建党</w:t>
      </w:r>
      <w:r>
        <w:rPr>
          <w:rFonts w:ascii="Times New Roman" w:eastAsia="方正仿宋_GBK"/>
          <w:sz w:val="28"/>
        </w:rPr>
        <w:t>100</w:t>
      </w:r>
      <w:r>
        <w:rPr>
          <w:rFonts w:hint="eastAsia" w:ascii="Times New Roman" w:hAnsi="微软雅黑" w:eastAsia="方正仿宋_GBK" w:cs="微软雅黑"/>
          <w:sz w:val="28"/>
        </w:rPr>
        <w:t>周年。</w:t>
      </w:r>
    </w:p>
    <w:p>
      <w:pPr>
        <w:spacing w:line="500" w:lineRule="exact"/>
        <w:ind w:firstLine="560" w:firstLineChars="200"/>
        <w:jc w:val="left"/>
        <w:rPr>
          <w:rFonts w:ascii="Times New Roman" w:eastAsia="方正仿宋_GBK"/>
          <w:sz w:val="28"/>
        </w:rPr>
      </w:pPr>
    </w:p>
    <w:p>
      <w:pPr>
        <w:spacing w:before="156" w:beforeLines="50" w:after="156" w:afterLines="50" w:line="500" w:lineRule="exact"/>
        <w:ind w:firstLine="560" w:firstLineChars="200"/>
        <w:jc w:val="left"/>
        <w:outlineLvl w:val="1"/>
        <w:rPr>
          <w:rFonts w:ascii="Times New Roman" w:hAnsi="宋体" w:eastAsia="宋体"/>
          <w:sz w:val="28"/>
        </w:rPr>
      </w:pPr>
      <w:bookmarkStart w:id="2" w:name="_Toc71388301"/>
      <w:r>
        <w:rPr>
          <w:rFonts w:ascii="方正黑体_GBK" w:eastAsia="方正黑体_GBK"/>
          <w:sz w:val="28"/>
        </w:rPr>
        <w:t>二、分项绩效目标</w:t>
      </w:r>
      <w:bookmarkEnd w:id="2"/>
      <w:r>
        <w:fldChar w:fldCharType="begin"/>
      </w:r>
      <w:r>
        <w:rPr>
          <w:rFonts w:ascii="方正黑体_GBK" w:eastAsia="方正黑体_GBK"/>
          <w:sz w:val="28"/>
        </w:rPr>
        <w:instrText xml:space="preserve"> TC 分项绩效目标 \f A \l 1 </w:instrText>
      </w:r>
      <w:r>
        <w:rPr>
          <w:rFonts w:ascii="方正黑体_GBK" w:eastAsia="方正黑体_GBK"/>
          <w:sz w:val="28"/>
        </w:rPr>
        <w:fldChar w:fldCharType="end"/>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（一）全面加强党的政治建设</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把深入学习宣传贯彻习近平新时代中国特色社会主义思想作为重大政治任务，把党的政治建设放在首位。严格落实全面从严治党主体责任、监督责任和党风廉政建设责任制，压紧压实教体系统意识形态风险防控主体责任，加强作风纪律建设，强化监督执纪问责，加强源头治理，深化整改落实，推进教体系统政治生态持续优化。</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（二）提高学前教育普及普惠水平</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绩效目标：多渠道扩大普惠性学前教育资源，健全学前教育保障机制，提高保教质量。</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绩效指标：在园幼儿数达到</w:t>
      </w:r>
      <w:r>
        <w:rPr>
          <w:rFonts w:ascii="Times New Roman" w:eastAsia="方正仿宋_GBK"/>
          <w:sz w:val="28"/>
        </w:rPr>
        <w:t>2</w:t>
      </w:r>
      <w:r>
        <w:rPr>
          <w:rFonts w:hint="eastAsia" w:ascii="Times New Roman" w:eastAsia="方正仿宋_GBK"/>
          <w:sz w:val="28"/>
        </w:rPr>
        <w:t>5</w:t>
      </w:r>
      <w:r>
        <w:rPr>
          <w:rFonts w:ascii="Times New Roman" w:eastAsia="方正仿宋_GBK"/>
          <w:sz w:val="28"/>
        </w:rPr>
        <w:t>0</w:t>
      </w:r>
      <w:r>
        <w:rPr>
          <w:rFonts w:hint="eastAsia" w:ascii="Times New Roman" w:hAnsi="微软雅黑" w:eastAsia="方正仿宋_GBK" w:cs="微软雅黑"/>
          <w:sz w:val="28"/>
        </w:rPr>
        <w:t>人，学前三年毛入园率达到</w:t>
      </w:r>
      <w:r>
        <w:rPr>
          <w:rFonts w:ascii="Times New Roman" w:eastAsia="方正仿宋_GBK"/>
          <w:sz w:val="28"/>
        </w:rPr>
        <w:t>90%</w:t>
      </w:r>
      <w:r>
        <w:rPr>
          <w:rFonts w:hint="eastAsia" w:ascii="Times New Roman" w:hAnsi="微软雅黑" w:eastAsia="方正仿宋_GBK" w:cs="微软雅黑"/>
          <w:sz w:val="28"/>
        </w:rPr>
        <w:t>，应享受学前教育资助政策的幼儿全部得到资助，受益幼儿园、家长满意度达到</w:t>
      </w:r>
      <w:r>
        <w:rPr>
          <w:rFonts w:ascii="Times New Roman" w:eastAsia="方正仿宋_GBK"/>
          <w:sz w:val="28"/>
        </w:rPr>
        <w:t>85%</w:t>
      </w:r>
      <w:r>
        <w:rPr>
          <w:rFonts w:hint="eastAsia" w:ascii="Times New Roman" w:hAnsi="微软雅黑" w:eastAsia="方正仿宋_GBK" w:cs="微软雅黑"/>
          <w:sz w:val="28"/>
        </w:rPr>
        <w:t>以上。</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（三）加快义务教育优质均衡发展</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绩效目标：构建优质均衡基本公共教育服务体系，巩固控辍保学成果，不断提高义务教育巩固水平。加强管理，促进中小学招生秩序更加规范。</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绩效指标：统一城乡义务教育年生均公用经费标准：小学</w:t>
      </w:r>
      <w:r>
        <w:rPr>
          <w:rFonts w:ascii="Times New Roman" w:eastAsia="方正仿宋_GBK"/>
          <w:sz w:val="28"/>
        </w:rPr>
        <w:t>735</w:t>
      </w:r>
      <w:r>
        <w:rPr>
          <w:rFonts w:hint="eastAsia" w:ascii="Times New Roman" w:hAnsi="微软雅黑" w:eastAsia="方正仿宋_GBK" w:cs="微软雅黑"/>
          <w:sz w:val="28"/>
        </w:rPr>
        <w:t>元、初中</w:t>
      </w:r>
      <w:r>
        <w:rPr>
          <w:rFonts w:ascii="Times New Roman" w:eastAsia="方正仿宋_GBK"/>
          <w:sz w:val="28"/>
        </w:rPr>
        <w:t>935</w:t>
      </w:r>
      <w:r>
        <w:rPr>
          <w:rFonts w:hint="eastAsia" w:ascii="Times New Roman" w:hAnsi="微软雅黑" w:eastAsia="方正仿宋_GBK" w:cs="微软雅黑"/>
          <w:sz w:val="28"/>
        </w:rPr>
        <w:t>元（均含取暖费</w:t>
      </w:r>
      <w:r>
        <w:rPr>
          <w:rFonts w:ascii="Times New Roman" w:eastAsia="方正仿宋_GBK"/>
          <w:sz w:val="28"/>
        </w:rPr>
        <w:t>85</w:t>
      </w:r>
      <w:r>
        <w:rPr>
          <w:rFonts w:hint="eastAsia" w:ascii="Times New Roman" w:hAnsi="微软雅黑" w:eastAsia="方正仿宋_GBK" w:cs="微软雅黑"/>
          <w:sz w:val="28"/>
        </w:rPr>
        <w:t>元），特教</w:t>
      </w:r>
      <w:r>
        <w:rPr>
          <w:rFonts w:ascii="Times New Roman" w:eastAsia="方正仿宋_GBK"/>
          <w:sz w:val="28"/>
        </w:rPr>
        <w:t>6000</w:t>
      </w:r>
      <w:r>
        <w:rPr>
          <w:rFonts w:hint="eastAsia" w:ascii="Times New Roman" w:hAnsi="微软雅黑" w:eastAsia="方正仿宋_GBK" w:cs="微软雅黑"/>
          <w:sz w:val="28"/>
        </w:rPr>
        <w:t>元。为农村义务教育学生和城市区家庭经济困难学生免费提供教科书。所有城乡义务教育阶段学生免费发放教科书，教师、学生对保障机制的综合满意度</w:t>
      </w:r>
      <w:r>
        <w:rPr>
          <w:rFonts w:ascii="Times New Roman" w:eastAsia="方正仿宋_GBK"/>
          <w:sz w:val="28"/>
        </w:rPr>
        <w:t>≥90%</w:t>
      </w:r>
      <w:r>
        <w:rPr>
          <w:rFonts w:hint="eastAsia" w:ascii="Times New Roman" w:hAnsi="微软雅黑" w:eastAsia="方正仿宋_GBK" w:cs="微软雅黑"/>
          <w:sz w:val="28"/>
        </w:rPr>
        <w:t>。</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（四）推进普通高中健康快速发展</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绩效目标：围绕普通高中新课程改革和新高考改革，落实好高水平普及与高质量发展两大新任务。</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绩效指标：建档立卡贫困学生全部享受助学金。高中阶段毛入学率达到</w:t>
      </w:r>
      <w:r>
        <w:rPr>
          <w:rFonts w:ascii="Times New Roman" w:eastAsia="方正仿宋_GBK"/>
          <w:sz w:val="28"/>
        </w:rPr>
        <w:t>90%</w:t>
      </w:r>
      <w:r>
        <w:rPr>
          <w:rFonts w:hint="eastAsia" w:ascii="Times New Roman" w:hAnsi="微软雅黑" w:eastAsia="方正仿宋_GBK" w:cs="微软雅黑"/>
          <w:sz w:val="28"/>
        </w:rPr>
        <w:t>，受益普通高中的教师、学生综合满意度</w:t>
      </w:r>
      <w:r>
        <w:rPr>
          <w:rFonts w:ascii="Times New Roman" w:eastAsia="方正仿宋_GBK"/>
          <w:sz w:val="28"/>
        </w:rPr>
        <w:t>≥98%</w:t>
      </w:r>
      <w:r>
        <w:rPr>
          <w:rFonts w:hint="eastAsia" w:ascii="Times New Roman" w:hAnsi="微软雅黑" w:eastAsia="方正仿宋_GBK" w:cs="微软雅黑"/>
          <w:sz w:val="28"/>
        </w:rPr>
        <w:t>。</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（五）健全完善新时代职业教育体系</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绩效目标：完善新时代职业教育体系，深化产教融合、校企合作，促进职业教育提质培优，提升职业教育服务发展能力。</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绩效指标：足额落实中等职业学校免学费、助学金政策和生均公用经费标准；建档立卡贫困学生全部享受助学金。中职学生家长、学生综合满意度</w:t>
      </w:r>
      <w:r>
        <w:rPr>
          <w:rFonts w:ascii="Times New Roman" w:eastAsia="方正仿宋_GBK"/>
          <w:sz w:val="28"/>
        </w:rPr>
        <w:t>≥95%</w:t>
      </w:r>
      <w:r>
        <w:rPr>
          <w:rFonts w:hint="eastAsia" w:ascii="Times New Roman" w:hAnsi="微软雅黑" w:eastAsia="方正仿宋_GBK" w:cs="微软雅黑"/>
          <w:sz w:val="28"/>
        </w:rPr>
        <w:t>；农村劳动者年培训参与率</w:t>
      </w:r>
      <w:r>
        <w:rPr>
          <w:rFonts w:ascii="Times New Roman" w:eastAsia="方正仿宋_GBK"/>
          <w:sz w:val="28"/>
        </w:rPr>
        <w:t>≥35%</w:t>
      </w:r>
      <w:r>
        <w:rPr>
          <w:rFonts w:hint="eastAsia" w:ascii="Times New Roman" w:hAnsi="微软雅黑" w:eastAsia="方正仿宋_GBK" w:cs="微软雅黑"/>
          <w:sz w:val="28"/>
        </w:rPr>
        <w:t>。</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（六）加强教师队伍建设，提升教师核心竞争力</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绩效目标：落实师德师风第一标准，强化师德建设主体责任，深化拓展师德师风治理成果。</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绩效指标：每年参加培训的教师人数</w:t>
      </w:r>
      <w:r>
        <w:rPr>
          <w:rFonts w:ascii="Times New Roman" w:eastAsia="方正仿宋_GBK"/>
          <w:sz w:val="28"/>
        </w:rPr>
        <w:t>≥</w:t>
      </w:r>
      <w:r>
        <w:rPr>
          <w:rFonts w:hint="eastAsia" w:ascii="Times New Roman" w:eastAsia="方正仿宋_GBK"/>
          <w:sz w:val="28"/>
        </w:rPr>
        <w:t>5</w:t>
      </w:r>
      <w:r>
        <w:rPr>
          <w:rFonts w:ascii="Times New Roman" w:eastAsia="方正仿宋_GBK"/>
          <w:sz w:val="28"/>
        </w:rPr>
        <w:t>0</w:t>
      </w:r>
      <w:r>
        <w:rPr>
          <w:rFonts w:hint="eastAsia" w:ascii="Times New Roman" w:hAnsi="微软雅黑" w:eastAsia="方正仿宋_GBK" w:cs="微软雅黑"/>
          <w:sz w:val="28"/>
        </w:rPr>
        <w:t>人，选派</w:t>
      </w:r>
      <w:r>
        <w:rPr>
          <w:rFonts w:ascii="Times New Roman" w:eastAsia="方正仿宋_GBK"/>
          <w:sz w:val="28"/>
        </w:rPr>
        <w:t>“</w:t>
      </w:r>
      <w:r>
        <w:rPr>
          <w:rFonts w:hint="eastAsia" w:ascii="Times New Roman" w:hAnsi="微软雅黑" w:eastAsia="方正仿宋_GBK" w:cs="微软雅黑"/>
          <w:sz w:val="28"/>
        </w:rPr>
        <w:t>三区</w:t>
      </w:r>
      <w:r>
        <w:rPr>
          <w:rFonts w:ascii="Times New Roman" w:eastAsia="方正仿宋_GBK"/>
          <w:sz w:val="28"/>
        </w:rPr>
        <w:t>”</w:t>
      </w:r>
      <w:r>
        <w:rPr>
          <w:rFonts w:hint="eastAsia" w:ascii="Times New Roman" w:hAnsi="微软雅黑" w:eastAsia="方正仿宋_GBK" w:cs="微软雅黑"/>
          <w:sz w:val="28"/>
        </w:rPr>
        <w:t>支教教师人数</w:t>
      </w:r>
      <w:r>
        <w:rPr>
          <w:rFonts w:ascii="Times New Roman" w:eastAsia="方正仿宋_GBK"/>
          <w:sz w:val="28"/>
        </w:rPr>
        <w:t>≥1</w:t>
      </w:r>
      <w:r>
        <w:rPr>
          <w:rFonts w:hint="eastAsia" w:ascii="Times New Roman" w:hAnsi="微软雅黑" w:eastAsia="方正仿宋_GBK" w:cs="微软雅黑"/>
          <w:sz w:val="28"/>
        </w:rPr>
        <w:t>人，</w:t>
      </w:r>
      <w:r>
        <w:rPr>
          <w:rFonts w:ascii="Times New Roman" w:eastAsia="方正仿宋_GBK"/>
          <w:sz w:val="28"/>
        </w:rPr>
        <w:t>“</w:t>
      </w:r>
      <w:r>
        <w:rPr>
          <w:rFonts w:hint="eastAsia" w:ascii="Times New Roman" w:hAnsi="微软雅黑" w:eastAsia="方正仿宋_GBK" w:cs="微软雅黑"/>
          <w:sz w:val="28"/>
        </w:rPr>
        <w:t>三区</w:t>
      </w:r>
      <w:r>
        <w:rPr>
          <w:rFonts w:ascii="Times New Roman" w:eastAsia="方正仿宋_GBK"/>
          <w:sz w:val="28"/>
        </w:rPr>
        <w:t>”</w:t>
      </w:r>
      <w:r>
        <w:rPr>
          <w:rFonts w:hint="eastAsia" w:ascii="Times New Roman" w:hAnsi="微软雅黑" w:eastAsia="方正仿宋_GBK" w:cs="微软雅黑"/>
          <w:sz w:val="28"/>
        </w:rPr>
        <w:t>支教地区学生、家长满意度情况</w:t>
      </w:r>
      <w:r>
        <w:rPr>
          <w:rFonts w:ascii="Times New Roman" w:eastAsia="方正仿宋_GBK"/>
          <w:sz w:val="28"/>
        </w:rPr>
        <w:t>≥90%</w:t>
      </w:r>
      <w:r>
        <w:rPr>
          <w:rFonts w:hint="eastAsia" w:ascii="Times New Roman" w:hAnsi="微软雅黑" w:eastAsia="方正仿宋_GBK" w:cs="微软雅黑"/>
          <w:sz w:val="28"/>
        </w:rPr>
        <w:t>。</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（七）科学开展群众体育活动，蓬勃发展社会体育</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绩效目标：深入实施全民健身战略，在群众体育、体育设施、体育产业、民生工程等方面稳步推进，力争取得实效。</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绩效指标：扩建提升现有滑冰馆。完成</w:t>
      </w:r>
      <w:r>
        <w:rPr>
          <w:rFonts w:hint="eastAsia" w:ascii="Times New Roman" w:eastAsia="方正仿宋_GBK"/>
          <w:sz w:val="28"/>
        </w:rPr>
        <w:t>2</w:t>
      </w:r>
      <w:r>
        <w:rPr>
          <w:rFonts w:hint="eastAsia" w:ascii="Times New Roman" w:hAnsi="微软雅黑" w:eastAsia="方正仿宋_GBK" w:cs="微软雅黑"/>
          <w:sz w:val="28"/>
        </w:rPr>
        <w:t>块全民健身场地建设。加快推进冰雪</w:t>
      </w:r>
      <w:r>
        <w:rPr>
          <w:rFonts w:ascii="Times New Roman" w:eastAsia="方正仿宋_GBK"/>
          <w:sz w:val="28"/>
        </w:rPr>
        <w:t>“</w:t>
      </w:r>
      <w:r>
        <w:rPr>
          <w:rFonts w:hint="eastAsia" w:ascii="Times New Roman" w:hAnsi="微软雅黑" w:eastAsia="方正仿宋_GBK" w:cs="微软雅黑"/>
          <w:sz w:val="28"/>
        </w:rPr>
        <w:t>六进</w:t>
      </w:r>
      <w:r>
        <w:rPr>
          <w:rFonts w:ascii="Times New Roman" w:eastAsia="方正仿宋_GBK"/>
          <w:sz w:val="28"/>
        </w:rPr>
        <w:t>”</w:t>
      </w:r>
      <w:r>
        <w:rPr>
          <w:rFonts w:hint="eastAsia" w:ascii="Times New Roman" w:hAnsi="微软雅黑" w:eastAsia="方正仿宋_GBK" w:cs="微软雅黑"/>
          <w:sz w:val="28"/>
        </w:rPr>
        <w:t>（进机关、进企业、进学校、进社区、进乡村、进家庭）工作，完成参与人数达</w:t>
      </w:r>
      <w:r>
        <w:rPr>
          <w:rFonts w:hint="eastAsia" w:ascii="Times New Roman" w:eastAsia="方正仿宋_GBK"/>
          <w:sz w:val="28"/>
        </w:rPr>
        <w:t>0.7</w:t>
      </w:r>
      <w:r>
        <w:rPr>
          <w:rFonts w:hint="eastAsia" w:ascii="Times New Roman" w:hAnsi="微软雅黑" w:eastAsia="方正仿宋_GBK" w:cs="微软雅黑"/>
          <w:sz w:val="28"/>
        </w:rPr>
        <w:t>万人的目标。</w:t>
      </w:r>
    </w:p>
    <w:p>
      <w:pPr>
        <w:spacing w:line="500" w:lineRule="exact"/>
        <w:ind w:firstLine="560" w:firstLineChars="200"/>
        <w:jc w:val="left"/>
        <w:rPr>
          <w:rFonts w:ascii="Times New Roman" w:eastAsia="方正仿宋_GBK"/>
          <w:sz w:val="28"/>
        </w:rPr>
      </w:pPr>
    </w:p>
    <w:p>
      <w:pPr>
        <w:spacing w:before="156" w:beforeLines="50" w:after="156" w:afterLines="50" w:line="500" w:lineRule="exact"/>
        <w:ind w:firstLine="560" w:firstLineChars="200"/>
        <w:jc w:val="left"/>
        <w:outlineLvl w:val="1"/>
        <w:rPr>
          <w:rFonts w:ascii="Times New Roman" w:hAnsi="宋体" w:eastAsia="宋体"/>
          <w:sz w:val="28"/>
        </w:rPr>
      </w:pPr>
      <w:bookmarkStart w:id="3" w:name="_Toc71388302"/>
      <w:r>
        <w:rPr>
          <w:rFonts w:ascii="方正黑体_GBK" w:eastAsia="方正黑体_GBK"/>
          <w:sz w:val="28"/>
        </w:rPr>
        <w:t>三、工作保障措施</w:t>
      </w:r>
      <w:bookmarkEnd w:id="3"/>
      <w:r>
        <w:fldChar w:fldCharType="begin"/>
      </w:r>
      <w:r>
        <w:rPr>
          <w:rFonts w:ascii="方正黑体_GBK" w:eastAsia="方正黑体_GBK"/>
          <w:sz w:val="28"/>
        </w:rPr>
        <w:instrText xml:space="preserve"> TC 工作保障措施 \f A \l 1 </w:instrText>
      </w:r>
      <w:r>
        <w:rPr>
          <w:rFonts w:ascii="方正黑体_GBK" w:eastAsia="方正黑体_GBK"/>
          <w:sz w:val="28"/>
        </w:rPr>
        <w:fldChar w:fldCharType="end"/>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（一）加强组织领导。建立健全教育领域预算绩效管理制度体系。围绕年度总体绩效目标和分项绩效目标，明确责任主体，细化落实措施，确保绩效目标年内全部完成。</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（三）加强支出管理。督促指导下属单位加快项目执行进度，加快资金支出。严格按照年初预算支出计划加快履行政府采购手续，尽快启动项目，进行资金支付。</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（四）加强绩效运行监控。强化资金监管，指导各单位建立健全内控组织机构、机制建设和内部管理制度，加强对关键岗位人员管理，保证单位各项经济活动合法合规。</w:t>
      </w:r>
      <w:r>
        <w:rPr>
          <w:rFonts w:ascii="Times New Roman" w:eastAsia="方正仿宋_GBK"/>
          <w:sz w:val="28"/>
        </w:rPr>
        <w:t xml:space="preserve">      </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五）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（六）规范财务资产管理。进一步完善财务管理制度，严格资产采购审批手续，加强固定资产登记、使用及报废处置管理，做到支出合理，物尽其用。</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七）加强内部监督。加强内部监督制度建设，对绩效运行情况、重大支出决策、资产处置及其他重要经济业务的决算和执行进行督导，对会计资料进行内部审计，并配合做好审计、财政监督等外部监督工作，确保财政资金安全有效。</w:t>
      </w:r>
    </w:p>
    <w:p>
      <w:pPr>
        <w:spacing w:line="500" w:lineRule="exact"/>
        <w:ind w:firstLine="560" w:firstLineChars="200"/>
        <w:jc w:val="left"/>
        <w:rPr>
          <w:rFonts w:ascii="Times New Roman" w:eastAsia="方正仿宋_GBK"/>
          <w:sz w:val="28"/>
        </w:rPr>
      </w:pPr>
      <w:r>
        <w:rPr>
          <w:rFonts w:hint="eastAsia" w:ascii="Times New Roman" w:hAnsi="微软雅黑" w:eastAsia="方正仿宋_GBK" w:cs="微软雅黑"/>
          <w:sz w:val="28"/>
        </w:rPr>
        <w:t>（八）加强宣传培训力度。加强教育系统人员培训，提高全区教育业务素养；加大宣传力度，强化绩效预算管理意识，促进绩效预算管理水平进一步提升。</w:t>
      </w:r>
    </w:p>
    <w:p>
      <w:pPr>
        <w:widowControl/>
        <w:jc w:val="center"/>
        <w:rPr>
          <w:rFonts w:ascii="方正小标宋_GBK" w:eastAsia="方正小标宋_GBK"/>
          <w:sz w:val="44"/>
        </w:rPr>
      </w:pPr>
    </w:p>
    <w:p>
      <w:pPr>
        <w:widowControl/>
        <w:jc w:val="center"/>
        <w:rPr>
          <w:rFonts w:ascii="方正小标宋_GBK" w:eastAsia="方正小标宋_GBK"/>
          <w:sz w:val="44"/>
        </w:rPr>
      </w:pPr>
    </w:p>
    <w:p>
      <w:pPr>
        <w:widowControl/>
        <w:jc w:val="center"/>
        <w:rPr>
          <w:rFonts w:ascii="方正小标宋_GBK" w:eastAsia="方正小标宋_GBK"/>
          <w:sz w:val="44"/>
        </w:rPr>
      </w:pPr>
    </w:p>
    <w:p>
      <w:pPr>
        <w:widowControl/>
        <w:jc w:val="center"/>
        <w:rPr>
          <w:rFonts w:hint="eastAsia" w:ascii="方正小标宋_GBK" w:eastAsia="方正小标宋_GBK"/>
          <w:sz w:val="44"/>
        </w:rPr>
      </w:pPr>
    </w:p>
    <w:p>
      <w:pPr>
        <w:widowControl/>
        <w:jc w:val="center"/>
        <w:rPr>
          <w:rFonts w:hint="eastAsia" w:ascii="方正小标宋_GBK" w:eastAsia="方正小标宋_GBK"/>
          <w:sz w:val="44"/>
        </w:rPr>
      </w:pPr>
    </w:p>
    <w:p>
      <w:pPr>
        <w:widowControl/>
        <w:jc w:val="center"/>
        <w:rPr>
          <w:rFonts w:hint="eastAsia" w:ascii="方正小标宋_GBK" w:eastAsia="方正小标宋_GBK"/>
          <w:sz w:val="44"/>
        </w:rPr>
      </w:pPr>
    </w:p>
    <w:p>
      <w:pPr>
        <w:widowControl/>
        <w:jc w:val="center"/>
        <w:rPr>
          <w:rFonts w:hint="eastAsia" w:ascii="方正小标宋_GBK" w:eastAsia="方正小标宋_GBK"/>
          <w:sz w:val="44"/>
        </w:rPr>
      </w:pPr>
    </w:p>
    <w:p>
      <w:pPr>
        <w:widowControl/>
        <w:jc w:val="center"/>
        <w:rPr>
          <w:rFonts w:hint="eastAsia" w:ascii="方正小标宋_GBK" w:eastAsia="方正小标宋_GBK"/>
          <w:sz w:val="44"/>
        </w:rPr>
      </w:pPr>
    </w:p>
    <w:p>
      <w:pPr>
        <w:widowControl/>
        <w:jc w:val="center"/>
        <w:rPr>
          <w:rFonts w:hint="eastAsia" w:ascii="方正小标宋_GBK" w:eastAsia="方正小标宋_GBK"/>
          <w:sz w:val="44"/>
        </w:rPr>
      </w:pPr>
    </w:p>
    <w:p>
      <w:pPr>
        <w:widowControl/>
        <w:jc w:val="center"/>
        <w:rPr>
          <w:rFonts w:hint="eastAsia" w:ascii="方正小标宋_GBK" w:eastAsia="方正小标宋_GBK"/>
          <w:sz w:val="44"/>
        </w:rPr>
      </w:pPr>
    </w:p>
    <w:p>
      <w:pPr>
        <w:widowControl/>
        <w:jc w:val="center"/>
        <w:rPr>
          <w:rFonts w:ascii="方正小标宋_GBK" w:eastAsia="方正小标宋_GBK"/>
          <w:sz w:val="44"/>
        </w:rPr>
      </w:pPr>
    </w:p>
    <w:p>
      <w:pPr>
        <w:widowControl/>
        <w:jc w:val="center"/>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pPr>
        <w:widowControl/>
        <w:jc w:val="center"/>
        <w:rPr>
          <w:rFonts w:ascii="方正书宋_GBK" w:eastAsia="方正书宋_GBK"/>
        </w:rPr>
      </w:pPr>
    </w:p>
    <w:bookmarkEnd w:id="1"/>
    <w:p>
      <w:pPr>
        <w:ind w:firstLine="562" w:firstLineChars="200"/>
        <w:jc w:val="left"/>
        <w:outlineLvl w:val="3"/>
        <w:rPr>
          <w:rFonts w:ascii="Times New Roman" w:hAnsi="宋体" w:eastAsia="宋体"/>
          <w:b/>
          <w:sz w:val="28"/>
        </w:rPr>
      </w:pPr>
      <w:bookmarkStart w:id="4" w:name="_Toc71388459"/>
      <w:r>
        <w:rPr>
          <w:rFonts w:ascii="方正仿宋_GBK" w:eastAsia="方正仿宋_GBK"/>
          <w:b/>
          <w:sz w:val="28"/>
        </w:rPr>
        <w:t>1.提前下达2021年城乡义务教育保障机制改革市级资金-困难学生生活补助绩效目标表</w:t>
      </w:r>
      <w:bookmarkEnd w:id="4"/>
      <w:r>
        <w:fldChar w:fldCharType="begin"/>
      </w:r>
      <w:r>
        <w:rPr>
          <w:rFonts w:ascii="方正仿宋_GBK" w:eastAsia="方正仿宋_GBK"/>
          <w:b/>
          <w:sz w:val="28"/>
        </w:rPr>
        <w:instrText xml:space="preserve"> TC 156、提前下达2021年城乡义务教育保障机制改革市级资金-困难学生生活补助绩效目标表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360021义联庄乡中心学校（小学）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1306252109NWAGTHFPYXP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提前下达2021年城乡义务教育保障机制改革市级资金-困难学生生活补助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12000.00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12000.00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推进义务教育健康持续发展，切实解决家庭经济困难学生就学，确保国家资助政策落实到位。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1.推进义务教育健康持续发展</w:t>
            </w:r>
          </w:p>
          <w:p>
            <w:pPr>
              <w:spacing w:line="300" w:lineRule="exact"/>
              <w:jc w:val="left"/>
              <w:rPr>
                <w:rFonts w:ascii="方正书宋_GBK" w:eastAsia="方正书宋_GBK"/>
              </w:rPr>
            </w:pPr>
            <w:r>
              <w:rPr>
                <w:rFonts w:ascii="方正书宋_GBK" w:eastAsia="方正书宋_GBK"/>
              </w:rPr>
              <w:t>2.切实解决家庭经济困难学生就学</w:t>
            </w:r>
          </w:p>
          <w:p>
            <w:pPr>
              <w:spacing w:line="300" w:lineRule="exact"/>
              <w:jc w:val="left"/>
              <w:rPr>
                <w:rFonts w:ascii="方正书宋_GBK" w:eastAsia="方正书宋_GBK"/>
              </w:rPr>
            </w:pPr>
            <w:r>
              <w:rPr>
                <w:rFonts w:ascii="方正书宋_GBK" w:eastAsia="方正书宋_GBK"/>
              </w:rPr>
              <w:t>3.确保国家资助政策落实到位</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5" w:name="_Toc71388460"/>
      <w:r>
        <w:rPr>
          <w:rFonts w:hint="eastAsia" w:ascii="方正仿宋_GBK" w:eastAsia="方正仿宋_GBK"/>
          <w:b/>
          <w:sz w:val="28"/>
        </w:rPr>
        <w:t>2</w:t>
      </w:r>
      <w:r>
        <w:rPr>
          <w:rFonts w:ascii="方正仿宋_GBK" w:eastAsia="方正仿宋_GBK"/>
          <w:b/>
          <w:sz w:val="28"/>
        </w:rPr>
        <w:t>.关于提前下达2021年城乡义务教育中央补助经费预算（直达资金）-公用经费绩效目标表</w:t>
      </w:r>
      <w:bookmarkEnd w:id="5"/>
      <w:r>
        <w:fldChar w:fldCharType="begin"/>
      </w:r>
      <w:r>
        <w:rPr>
          <w:rFonts w:ascii="方正仿宋_GBK" w:eastAsia="方正仿宋_GBK"/>
          <w:b/>
          <w:sz w:val="28"/>
        </w:rPr>
        <w:instrText xml:space="preserve"> TC 157、关于提前下达2021年城乡义务教育中央补助经费预算（直达资金）-公用经费绩效目标表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360021义联庄乡中心学校（小学）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304290.00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304290.00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1、规范全区中小学财务管理，能更好的促进我区教育事业又快又好发展。2、能加强财务监管，提高资金使用效益。3、能极大地减轻家长负担。4、教育政策性投入要求地方政府足额配套保障。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30.00%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p>
            <w:pPr>
              <w:spacing w:line="300" w:lineRule="exact"/>
              <w:jc w:val="left"/>
              <w:rPr>
                <w:rFonts w:ascii="方正书宋_GBK" w:eastAsia="方正书宋_GBK"/>
              </w:rPr>
            </w:pPr>
            <w:r>
              <w:rPr>
                <w:rFonts w:ascii="方正书宋_GBK" w:eastAsia="方正书宋_GBK"/>
              </w:rPr>
              <w:t>3.加强财务监管，提高资金使用效益</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接受义务教育人数比率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接受义务教育人数占应接受人数比率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按时支付运转经费及时率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预算控制数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能够保障人员日常工作效率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6" w:name="_Toc71388461"/>
      <w:r>
        <w:rPr>
          <w:rFonts w:hint="eastAsia" w:ascii="方正仿宋_GBK" w:eastAsia="方正仿宋_GBK"/>
          <w:b/>
          <w:sz w:val="28"/>
        </w:rPr>
        <w:t>3</w:t>
      </w:r>
      <w:r>
        <w:rPr>
          <w:rFonts w:ascii="方正仿宋_GBK" w:eastAsia="方正仿宋_GBK"/>
          <w:b/>
          <w:sz w:val="28"/>
        </w:rPr>
        <w:t>.区自建乡村学校少年宫日常运转经费绩效目标表</w:t>
      </w:r>
      <w:bookmarkEnd w:id="6"/>
      <w:r>
        <w:fldChar w:fldCharType="begin"/>
      </w:r>
      <w:r>
        <w:rPr>
          <w:rFonts w:ascii="方正仿宋_GBK" w:eastAsia="方正仿宋_GBK"/>
          <w:b/>
          <w:sz w:val="28"/>
        </w:rPr>
        <w:instrText xml:space="preserve"> TC 158、区自建乡村学校少年宫日常运转经费绩效目标表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360021义联庄乡中心学校（小学）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1306252165EFGR7WNEUG8</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区自建乡村学校少年宫日常运转经费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为完成本单位日常管理方面的费用开支，以及用于设备设施等维持性费用支出，和直接用于公务活动支出。</w:t>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p>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1.确保我单位日常教学管理方面工作的运行</w:t>
            </w:r>
          </w:p>
          <w:p>
            <w:pPr>
              <w:spacing w:line="300" w:lineRule="exact"/>
              <w:jc w:val="left"/>
              <w:rPr>
                <w:rFonts w:ascii="方正书宋_GBK" w:eastAsia="方正书宋_GBK"/>
              </w:rPr>
            </w:pPr>
            <w:r>
              <w:rPr>
                <w:rFonts w:ascii="方正书宋_GBK" w:eastAsia="方正书宋_GBK"/>
              </w:rPr>
              <w:t>2.保障我单位设备设施的正常运转</w:t>
            </w:r>
          </w:p>
          <w:p>
            <w:pPr>
              <w:spacing w:line="300" w:lineRule="exact"/>
              <w:jc w:val="left"/>
              <w:rPr>
                <w:rFonts w:ascii="方正书宋_GBK" w:eastAsia="方正书宋_GBK"/>
              </w:rPr>
            </w:pPr>
            <w:r>
              <w:rPr>
                <w:rFonts w:ascii="方正书宋_GBK" w:eastAsia="方正书宋_GBK"/>
              </w:rPr>
              <w:t>3.确保我单位少年宫活动的正常开展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7" w:name="_Toc71388462"/>
      <w:r>
        <w:rPr>
          <w:rFonts w:hint="eastAsia" w:ascii="方正仿宋_GBK" w:eastAsia="方正仿宋_GBK"/>
          <w:b/>
          <w:sz w:val="28"/>
        </w:rPr>
        <w:t>4</w:t>
      </w:r>
      <w:r>
        <w:rPr>
          <w:rFonts w:ascii="方正仿宋_GBK" w:eastAsia="方正仿宋_GBK"/>
          <w:b/>
          <w:sz w:val="28"/>
        </w:rPr>
        <w:t>.校园安保经费绩效目标表</w:t>
      </w:r>
      <w:bookmarkEnd w:id="7"/>
      <w:r>
        <w:fldChar w:fldCharType="begin"/>
      </w:r>
      <w:r>
        <w:rPr>
          <w:rFonts w:ascii="方正仿宋_GBK" w:eastAsia="方正仿宋_GBK"/>
          <w:b/>
          <w:sz w:val="28"/>
        </w:rPr>
        <w:instrText xml:space="preserve"> TC 159、校园安保经费绩效目标表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360021义联庄乡中心学校（小学）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205200.00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205200.00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加强学校安全保卫工作，切实保障了师生生命、财产安全，维持正常教育教学秩序，有效的缓解了学校经济压力。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1.加强学校安全保卫工作，切实保障了师生生命、财产安全。</w:t>
            </w:r>
          </w:p>
          <w:p>
            <w:pPr>
              <w:spacing w:line="300" w:lineRule="exact"/>
              <w:jc w:val="left"/>
              <w:rPr>
                <w:rFonts w:ascii="方正书宋_GBK" w:eastAsia="方正书宋_GBK"/>
              </w:rPr>
            </w:pPr>
            <w:r>
              <w:rPr>
                <w:rFonts w:ascii="方正书宋_GBK" w:eastAsia="方正书宋_GBK"/>
              </w:rPr>
              <w:t>2.维持正常教育教学秩序。</w:t>
            </w:r>
          </w:p>
          <w:p>
            <w:pPr>
              <w:spacing w:line="300" w:lineRule="exact"/>
              <w:jc w:val="left"/>
              <w:rPr>
                <w:rFonts w:ascii="方正书宋_GBK" w:eastAsia="方正书宋_GBK"/>
              </w:rPr>
            </w:pPr>
            <w:r>
              <w:rPr>
                <w:rFonts w:ascii="方正书宋_GBK" w:eastAsia="方正书宋_GBK"/>
              </w:rPr>
              <w:t>3.有效的缓解了学校经济压力。</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按季度人数评价资金使用程度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保卫学校安全，保障师生、财产安全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8" w:name="_Toc71388463"/>
      <w:r>
        <w:rPr>
          <w:rFonts w:hint="eastAsia" w:ascii="方正仿宋_GBK" w:eastAsia="方正仿宋_GBK"/>
          <w:b/>
          <w:sz w:val="28"/>
        </w:rPr>
        <w:t>5</w:t>
      </w:r>
      <w:r>
        <w:rPr>
          <w:rFonts w:ascii="方正仿宋_GBK" w:eastAsia="方正仿宋_GBK"/>
          <w:b/>
          <w:sz w:val="28"/>
        </w:rPr>
        <w:t>.提前下达2021年城乡义务教育省级补助资金-公用经费绩效目标表</w:t>
      </w:r>
      <w:bookmarkEnd w:id="8"/>
      <w:r>
        <w:fldChar w:fldCharType="begin"/>
      </w:r>
      <w:r>
        <w:rPr>
          <w:rFonts w:ascii="方正仿宋_GBK" w:eastAsia="方正仿宋_GBK"/>
          <w:b/>
          <w:sz w:val="28"/>
        </w:rPr>
        <w:instrText xml:space="preserve"> TC 160、提前下达2021年城乡义务教育省级补助资金-公用经费绩效目标表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360021义联庄乡中心学校（小学）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13062521GBEXYTILDY6T2</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202860.00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202860.00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1、规范全区中小学财务管理，能更好的促进我区教育事业又快又好发展。2、能加强财务监管，提高资金使用效益。3、能极大地减轻家长负担。4、教育政策性投入要求地方政府足额配套保障。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30.00%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p>
            <w:pPr>
              <w:spacing w:line="300" w:lineRule="exact"/>
              <w:jc w:val="left"/>
              <w:rPr>
                <w:rFonts w:ascii="方正书宋_GBK" w:eastAsia="方正书宋_GBK"/>
              </w:rPr>
            </w:pPr>
            <w:r>
              <w:rPr>
                <w:rFonts w:ascii="方正书宋_GBK" w:eastAsia="方正书宋_GBK"/>
              </w:rPr>
              <w:t>3.加强财务监管，提高资金使用效益</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9" w:name="_Toc71388464"/>
      <w:r>
        <w:rPr>
          <w:rFonts w:hint="eastAsia" w:ascii="方正仿宋_GBK" w:eastAsia="方正仿宋_GBK"/>
          <w:b/>
          <w:sz w:val="28"/>
        </w:rPr>
        <w:t>6</w:t>
      </w:r>
      <w:r>
        <w:rPr>
          <w:rFonts w:ascii="方正仿宋_GBK" w:eastAsia="方正仿宋_GBK"/>
          <w:b/>
          <w:sz w:val="28"/>
        </w:rPr>
        <w:t>.关于提前下达2021年城乡义务教育中央补助经费预算（直达资金）-困难学生生活补助绩效目标表</w:t>
      </w:r>
      <w:bookmarkEnd w:id="9"/>
      <w:r>
        <w:fldChar w:fldCharType="begin"/>
      </w:r>
      <w:r>
        <w:rPr>
          <w:rFonts w:ascii="方正仿宋_GBK" w:eastAsia="方正仿宋_GBK"/>
          <w:b/>
          <w:sz w:val="28"/>
        </w:rPr>
        <w:instrText xml:space="preserve"> TC 161、关于提前下达2021年城乡义务教育中央补助经费预算（直达资金）-困难学生生活补助绩效目标表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360021义联庄乡中心学校（小学）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推进义务教育健康持续发展，切实解决家庭经济困难学生就学，确保国家资助政策落实到位。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30.00%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80.00%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1.推进义务教育健康持续发展</w:t>
            </w:r>
          </w:p>
          <w:p>
            <w:pPr>
              <w:spacing w:line="300" w:lineRule="exact"/>
              <w:jc w:val="left"/>
              <w:rPr>
                <w:rFonts w:ascii="方正书宋_GBK" w:eastAsia="方正书宋_GBK"/>
              </w:rPr>
            </w:pPr>
            <w:r>
              <w:rPr>
                <w:rFonts w:ascii="方正书宋_GBK" w:eastAsia="方正书宋_GBK"/>
              </w:rPr>
              <w:t>2.切实解决家庭经济困难学生就学</w:t>
            </w:r>
          </w:p>
          <w:p>
            <w:pPr>
              <w:spacing w:line="300" w:lineRule="exact"/>
              <w:jc w:val="left"/>
              <w:rPr>
                <w:rFonts w:ascii="方正书宋_GBK" w:eastAsia="方正书宋_GBK"/>
              </w:rPr>
            </w:pPr>
            <w:r>
              <w:rPr>
                <w:rFonts w:ascii="方正书宋_GBK" w:eastAsia="方正书宋_GBK"/>
              </w:rPr>
              <w:t>3.确保国家资助政策落实到位</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0" w:name="_Toc71388465"/>
      <w:r>
        <w:rPr>
          <w:rFonts w:hint="eastAsia" w:ascii="方正仿宋_GBK" w:eastAsia="方正仿宋_GBK"/>
          <w:b/>
          <w:sz w:val="28"/>
        </w:rPr>
        <w:t>7</w:t>
      </w:r>
      <w:r>
        <w:rPr>
          <w:rFonts w:ascii="方正仿宋_GBK" w:eastAsia="方正仿宋_GBK"/>
          <w:b/>
          <w:sz w:val="28"/>
        </w:rPr>
        <w:t>.义务教育阶段小学生营养改善计划地方试点区级资金绩效目标表</w:t>
      </w:r>
      <w:bookmarkEnd w:id="10"/>
      <w:r>
        <w:fldChar w:fldCharType="begin"/>
      </w:r>
      <w:r>
        <w:rPr>
          <w:rFonts w:ascii="方正仿宋_GBK" w:eastAsia="方正仿宋_GBK"/>
          <w:b/>
          <w:sz w:val="28"/>
        </w:rPr>
        <w:instrText xml:space="preserve"> TC 162、义务教育阶段小学生营养改善计划地方试点区级资金绩效目标表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360021义联庄乡中心学校（小学）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13062521T0C4H4QASDIIQ</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义务教育阶段小学生营养改善计划地方试点区级资金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137000.00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137000.00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徐水区自2019年秋季开学起，在全区范围内实施义务教育阶段小学生营养改善计划地方试点，涉及我乡4所学校，用于义务教育阶段小学生营养改善计划运行保障经费。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1.徐水区自2019年秋季开学起，在全区范围内实施义务教育阶段小学生营养改善计划地方试点 我乡实施营养餐改善计划</w:t>
            </w:r>
          </w:p>
          <w:p>
            <w:pPr>
              <w:spacing w:line="300" w:lineRule="exact"/>
              <w:jc w:val="left"/>
              <w:rPr>
                <w:rFonts w:ascii="方正书宋_GBK" w:eastAsia="方正书宋_GBK"/>
              </w:rPr>
            </w:pPr>
            <w:r>
              <w:rPr>
                <w:rFonts w:ascii="方正书宋_GBK" w:eastAsia="方正书宋_GBK"/>
              </w:rPr>
              <w:t>2.每个小学生每天（工作日）一盒学生奶、一枚熟鸡蛋。</w:t>
            </w:r>
          </w:p>
          <w:p>
            <w:pPr>
              <w:spacing w:line="300" w:lineRule="exact"/>
              <w:jc w:val="left"/>
              <w:rPr>
                <w:rFonts w:ascii="方正书宋_GBK" w:eastAsia="方正书宋_GBK"/>
              </w:rPr>
            </w:pPr>
            <w:r>
              <w:rPr>
                <w:rFonts w:ascii="方正书宋_GBK" w:eastAsia="方正书宋_GBK"/>
              </w:rPr>
              <w:t>3.确保我乡营养餐工作正常开展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实发人数比率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实发人数占应发人数比率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按时支付人员工资及时率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预算控制数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能够保障人员日常工作效率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根据工作安排</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1" w:name="_Toc71388466"/>
      <w:r>
        <w:rPr>
          <w:rFonts w:hint="eastAsia" w:ascii="方正仿宋_GBK" w:eastAsia="方正仿宋_GBK"/>
          <w:b/>
          <w:sz w:val="28"/>
        </w:rPr>
        <w:t>8</w:t>
      </w:r>
      <w:r>
        <w:rPr>
          <w:rFonts w:ascii="方正仿宋_GBK" w:eastAsia="方正仿宋_GBK"/>
          <w:b/>
          <w:sz w:val="28"/>
        </w:rPr>
        <w:t>.幼儿园生均公用经费绩效目标表</w:t>
      </w:r>
      <w:bookmarkEnd w:id="11"/>
      <w:r>
        <w:fldChar w:fldCharType="begin"/>
      </w:r>
      <w:r>
        <w:rPr>
          <w:rFonts w:ascii="方正仿宋_GBK" w:eastAsia="方正仿宋_GBK"/>
          <w:b/>
          <w:sz w:val="28"/>
        </w:rPr>
        <w:instrText xml:space="preserve"> TC 163、幼儿园生均公用经费绩效目标表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360022义联庄乡中心学校（幼儿园）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13062521OSS9KAWH4K9ZT</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83600.00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83600.00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为完成幼儿园日常运转费用开支，以及用于设备设施等维持性费用支出，和直接用于公务活动支出。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1.保障幼儿健康发展，用于幼儿园日常运转经费。</w:t>
            </w:r>
          </w:p>
          <w:p>
            <w:pPr>
              <w:spacing w:line="300" w:lineRule="exact"/>
              <w:jc w:val="left"/>
              <w:rPr>
                <w:rFonts w:ascii="方正书宋_GBK" w:eastAsia="方正书宋_GBK"/>
              </w:rPr>
            </w:pPr>
            <w:r>
              <w:rPr>
                <w:rFonts w:ascii="方正书宋_GBK" w:eastAsia="方正书宋_GBK"/>
              </w:rPr>
              <w:t>2.促进学前教育健康快速发展，提高幼儿园经费保障水平。</w:t>
            </w:r>
          </w:p>
          <w:p>
            <w:pPr>
              <w:spacing w:line="300" w:lineRule="exact"/>
              <w:jc w:val="left"/>
              <w:rPr>
                <w:rFonts w:ascii="方正书宋_GBK" w:eastAsia="方正书宋_GBK"/>
              </w:rPr>
            </w:pPr>
            <w:r>
              <w:rPr>
                <w:rFonts w:ascii="方正书宋_GBK" w:eastAsia="方正书宋_GBK"/>
              </w:rPr>
              <w:t>3.提高教育水平，提升教育质量。</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2" w:name="_Toc71388467"/>
      <w:r>
        <w:rPr>
          <w:rFonts w:hint="eastAsia" w:ascii="方正仿宋_GBK" w:eastAsia="方正仿宋_GBK"/>
          <w:b/>
          <w:sz w:val="28"/>
        </w:rPr>
        <w:t>9</w:t>
      </w:r>
      <w:r>
        <w:rPr>
          <w:rFonts w:ascii="方正仿宋_GBK" w:eastAsia="方正仿宋_GBK"/>
          <w:b/>
          <w:sz w:val="28"/>
        </w:rPr>
        <w:t>.义联庄乡幼儿园教育教学活动经费绩效目标表</w:t>
      </w:r>
      <w:bookmarkEnd w:id="12"/>
      <w:r>
        <w:fldChar w:fldCharType="begin"/>
      </w:r>
      <w:r>
        <w:rPr>
          <w:rFonts w:ascii="方正仿宋_GBK" w:eastAsia="方正仿宋_GBK"/>
          <w:b/>
          <w:sz w:val="28"/>
        </w:rPr>
        <w:instrText xml:space="preserve"> TC 164、义联庄乡幼儿园教育教学活动经费绩效目标表 \f C \l 1 </w:instrText>
      </w:r>
      <w:r>
        <w:rPr>
          <w:rFonts w:ascii="方正仿宋_GBK" w:eastAsia="方正仿宋_GBK"/>
          <w:b/>
          <w:sz w:val="28"/>
        </w:rPr>
        <w:fldChar w:fldCharType="end"/>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360022义联庄乡中心学校（幼儿园）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13062521TPPFN82K1M58V</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义联庄乡幼儿园教育教学活动经费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332300.00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332300.00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保障幼儿健康发展，用于幼儿园日常运转经费。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1.促进学前教育健康快速发展，提高幼儿园经费保障水平。</w:t>
            </w:r>
          </w:p>
          <w:p>
            <w:pPr>
              <w:spacing w:line="300" w:lineRule="exact"/>
              <w:jc w:val="left"/>
              <w:rPr>
                <w:rFonts w:ascii="方正书宋_GBK" w:eastAsia="方正书宋_GBK"/>
              </w:rPr>
            </w:pPr>
            <w:r>
              <w:rPr>
                <w:rFonts w:ascii="方正书宋_GBK" w:eastAsia="方正书宋_GBK"/>
              </w:rPr>
              <w:t>2.确保幼儿园教育教学活动正常运转</w:t>
            </w:r>
          </w:p>
          <w:p>
            <w:pPr>
              <w:spacing w:line="300" w:lineRule="exact"/>
              <w:jc w:val="left"/>
              <w:rPr>
                <w:rFonts w:ascii="方正书宋_GBK" w:eastAsia="方正书宋_GBK"/>
              </w:rPr>
            </w:pPr>
            <w:r>
              <w:rPr>
                <w:rFonts w:ascii="方正书宋_GBK" w:eastAsia="方正书宋_GBK"/>
              </w:rPr>
              <w:t>3.提高教育水平，提升教育质量。</w:t>
            </w:r>
          </w:p>
        </w:tc>
      </w:tr>
    </w:tbl>
    <w:p>
      <w:pPr>
        <w:spacing w:line="14" w:lineRule="exact"/>
        <w:jc w:val="center"/>
        <w:rPr>
          <w:rFonts w:ascii="Times New Roman" w:hAnsi="宋体" w:eastAsia="宋体"/>
        </w:rPr>
      </w:pPr>
      <w:r>
        <w:rPr>
          <w:rFonts w:ascii="方正书宋_GBK" w:eastAsia="方正书宋_GBK"/>
        </w:rPr>
        <w:t xml:space="preserve"> </w:t>
      </w:r>
    </w:p>
    <w:tbl>
      <w:tblPr>
        <w:tblStyle w:val="8"/>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jc w:val="center"/>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ascii="仿宋" w:hAnsi="仿宋" w:eastAsia="仿宋"/>
          <w:sz w:val="32"/>
          <w:szCs w:val="32"/>
        </w:rPr>
        <w:t>2021年，我单位无政府采购预算，空表列示。</w:t>
      </w:r>
    </w:p>
    <w:p>
      <w:pPr>
        <w:jc w:val="center"/>
        <w:outlineLvl w:val="1"/>
      </w:pPr>
      <w:bookmarkStart w:id="13" w:name="_Toc_2_2_0000000007"/>
      <w:r>
        <w:rPr>
          <w:rFonts w:ascii="方正小标宋_GBK" w:hAnsi="方正小标宋_GBK" w:eastAsia="方正小标宋_GBK" w:cs="方正小标宋_GBK"/>
          <w:color w:val="000000"/>
          <w:sz w:val="32"/>
        </w:rPr>
        <w:t>单位政府采购预算</w:t>
      </w:r>
      <w:bookmarkEnd w:id="13"/>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16"/>
              <w:rPr>
                <w:lang w:eastAsia="zh-CN"/>
              </w:rPr>
            </w:pPr>
            <w:r>
              <w:t>360</w:t>
            </w:r>
            <w:r>
              <w:rPr>
                <w:rFonts w:hint="eastAsia"/>
                <w:lang w:eastAsia="zh-CN"/>
              </w:rPr>
              <w:t>021</w:t>
            </w:r>
            <w:r>
              <w:t>保定市徐水区</w:t>
            </w:r>
            <w:r>
              <w:rPr>
                <w:rFonts w:hint="eastAsia"/>
                <w:lang w:eastAsia="zh-CN"/>
              </w:rPr>
              <w:t>义联庄乡中心学校</w:t>
            </w:r>
          </w:p>
        </w:tc>
        <w:tc>
          <w:tcPr>
            <w:tcW w:w="8674" w:type="dxa"/>
            <w:gridSpan w:val="9"/>
            <w:tcBorders>
              <w:top w:val="single" w:color="FFFFFF" w:sz="6" w:space="0"/>
              <w:left w:val="single" w:color="FFFFFF" w:sz="6" w:space="0"/>
              <w:right w:val="single" w:color="FFFFFF" w:sz="6" w:space="0"/>
            </w:tcBorders>
            <w:vAlign w:val="center"/>
          </w:tcPr>
          <w:p>
            <w:pPr>
              <w:pStyle w:val="15"/>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7"/>
            </w:pPr>
            <w:r>
              <w:t>政府采购项目来源</w:t>
            </w:r>
          </w:p>
        </w:tc>
        <w:tc>
          <w:tcPr>
            <w:tcW w:w="1134" w:type="dxa"/>
            <w:vMerge w:val="restart"/>
            <w:vAlign w:val="center"/>
          </w:tcPr>
          <w:p>
            <w:pPr>
              <w:pStyle w:val="17"/>
            </w:pPr>
            <w:r>
              <w:t>采购物品名称</w:t>
            </w:r>
          </w:p>
        </w:tc>
        <w:tc>
          <w:tcPr>
            <w:tcW w:w="1134" w:type="dxa"/>
            <w:vMerge w:val="restart"/>
            <w:vAlign w:val="center"/>
          </w:tcPr>
          <w:p>
            <w:pPr>
              <w:pStyle w:val="17"/>
            </w:pPr>
            <w:r>
              <w:t>政府采购目录序号</w:t>
            </w:r>
          </w:p>
        </w:tc>
        <w:tc>
          <w:tcPr>
            <w:tcW w:w="709" w:type="dxa"/>
            <w:vMerge w:val="restart"/>
            <w:vAlign w:val="center"/>
          </w:tcPr>
          <w:p>
            <w:pPr>
              <w:pStyle w:val="17"/>
            </w:pPr>
            <w:r>
              <w:t>计量  单位</w:t>
            </w:r>
          </w:p>
        </w:tc>
        <w:tc>
          <w:tcPr>
            <w:tcW w:w="850" w:type="dxa"/>
            <w:vMerge w:val="restart"/>
            <w:vAlign w:val="center"/>
          </w:tcPr>
          <w:p>
            <w:pPr>
              <w:pStyle w:val="17"/>
            </w:pPr>
            <w:r>
              <w:t>数量</w:t>
            </w:r>
          </w:p>
        </w:tc>
        <w:tc>
          <w:tcPr>
            <w:tcW w:w="850" w:type="dxa"/>
            <w:vMerge w:val="restart"/>
            <w:vAlign w:val="center"/>
          </w:tcPr>
          <w:p>
            <w:pPr>
              <w:pStyle w:val="17"/>
            </w:pPr>
            <w:r>
              <w:t>单价</w:t>
            </w:r>
          </w:p>
        </w:tc>
        <w:tc>
          <w:tcPr>
            <w:tcW w:w="7710" w:type="dxa"/>
            <w:gridSpan w:val="8"/>
            <w:vAlign w:val="center"/>
          </w:tcPr>
          <w:p>
            <w:pPr>
              <w:pStyle w:val="17"/>
            </w:pPr>
            <w:r>
              <w:t>政府采购金额（当年单位预算安排资金）</w:t>
            </w:r>
          </w:p>
        </w:tc>
        <w:tc>
          <w:tcPr>
            <w:tcW w:w="964" w:type="dxa"/>
            <w:vMerge w:val="restart"/>
            <w:vAlign w:val="center"/>
          </w:tcPr>
          <w:p>
            <w:pPr>
              <w:pStyle w:val="17"/>
            </w:pPr>
            <w:r>
              <w:t>2021年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755" w:hRule="atLeast"/>
          <w:tblHeader/>
          <w:jc w:val="center"/>
        </w:trPr>
        <w:tc>
          <w:tcPr>
            <w:tcW w:w="1701" w:type="dxa"/>
            <w:vAlign w:val="center"/>
          </w:tcPr>
          <w:p>
            <w:pPr>
              <w:pStyle w:val="17"/>
            </w:pPr>
            <w:r>
              <w:t>项目名称</w:t>
            </w:r>
          </w:p>
        </w:tc>
        <w:tc>
          <w:tcPr>
            <w:tcW w:w="964" w:type="dxa"/>
            <w:vAlign w:val="center"/>
          </w:tcPr>
          <w:p>
            <w:pPr>
              <w:pStyle w:val="17"/>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7"/>
            </w:pPr>
            <w:r>
              <w:t>合计</w:t>
            </w:r>
          </w:p>
        </w:tc>
        <w:tc>
          <w:tcPr>
            <w:tcW w:w="964" w:type="dxa"/>
            <w:vAlign w:val="center"/>
          </w:tcPr>
          <w:p>
            <w:pPr>
              <w:pStyle w:val="17"/>
            </w:pPr>
            <w:r>
              <w:t>一般公共预算拨款</w:t>
            </w:r>
          </w:p>
        </w:tc>
        <w:tc>
          <w:tcPr>
            <w:tcW w:w="964" w:type="dxa"/>
            <w:vAlign w:val="center"/>
          </w:tcPr>
          <w:p>
            <w:pPr>
              <w:pStyle w:val="17"/>
            </w:pPr>
            <w:r>
              <w:t>基金预算拨款</w:t>
            </w:r>
          </w:p>
        </w:tc>
        <w:tc>
          <w:tcPr>
            <w:tcW w:w="964" w:type="dxa"/>
            <w:vAlign w:val="center"/>
          </w:tcPr>
          <w:p>
            <w:pPr>
              <w:pStyle w:val="17"/>
            </w:pPr>
            <w:r>
              <w:t>国有资本经营预算拨款</w:t>
            </w:r>
          </w:p>
        </w:tc>
        <w:tc>
          <w:tcPr>
            <w:tcW w:w="964" w:type="dxa"/>
            <w:vAlign w:val="center"/>
          </w:tcPr>
          <w:p>
            <w:pPr>
              <w:pStyle w:val="17"/>
            </w:pPr>
            <w:r>
              <w:t>财政专户核拨</w:t>
            </w:r>
          </w:p>
        </w:tc>
        <w:tc>
          <w:tcPr>
            <w:tcW w:w="964" w:type="dxa"/>
            <w:vAlign w:val="center"/>
          </w:tcPr>
          <w:p>
            <w:pPr>
              <w:pStyle w:val="17"/>
            </w:pPr>
            <w:r>
              <w:t>单位    资金</w:t>
            </w:r>
          </w:p>
        </w:tc>
        <w:tc>
          <w:tcPr>
            <w:tcW w:w="964" w:type="dxa"/>
            <w:vAlign w:val="center"/>
          </w:tcPr>
          <w:p>
            <w:pPr>
              <w:pStyle w:val="17"/>
            </w:pPr>
            <w:r>
              <w:t>财政拨    款结转</w:t>
            </w:r>
          </w:p>
        </w:tc>
        <w:tc>
          <w:tcPr>
            <w:tcW w:w="964" w:type="dxa"/>
            <w:vAlign w:val="center"/>
          </w:tcPr>
          <w:p>
            <w:pPr>
              <w:pStyle w:val="17"/>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21"/>
            </w:pPr>
            <w:r>
              <w:t>合  计</w:t>
            </w:r>
          </w:p>
        </w:tc>
        <w:tc>
          <w:tcPr>
            <w:tcW w:w="964" w:type="dxa"/>
            <w:vAlign w:val="center"/>
          </w:tcPr>
          <w:p>
            <w:pPr>
              <w:pStyle w:val="22"/>
            </w:pPr>
          </w:p>
        </w:tc>
        <w:tc>
          <w:tcPr>
            <w:tcW w:w="1134" w:type="dxa"/>
            <w:vAlign w:val="center"/>
          </w:tcPr>
          <w:p>
            <w:pPr>
              <w:pStyle w:val="23"/>
            </w:pPr>
          </w:p>
        </w:tc>
        <w:tc>
          <w:tcPr>
            <w:tcW w:w="1134" w:type="dxa"/>
            <w:vAlign w:val="center"/>
          </w:tcPr>
          <w:p>
            <w:pPr>
              <w:pStyle w:val="23"/>
            </w:pPr>
          </w:p>
        </w:tc>
        <w:tc>
          <w:tcPr>
            <w:tcW w:w="709" w:type="dxa"/>
            <w:vAlign w:val="center"/>
          </w:tcPr>
          <w:p>
            <w:pPr>
              <w:pStyle w:val="21"/>
            </w:pPr>
          </w:p>
        </w:tc>
        <w:tc>
          <w:tcPr>
            <w:tcW w:w="850" w:type="dxa"/>
            <w:vAlign w:val="center"/>
          </w:tcPr>
          <w:p>
            <w:pPr>
              <w:pStyle w:val="22"/>
            </w:pPr>
          </w:p>
        </w:tc>
        <w:tc>
          <w:tcPr>
            <w:tcW w:w="850"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jc w:val="center"/>
        </w:trPr>
        <w:tc>
          <w:tcPr>
            <w:tcW w:w="1701" w:type="dxa"/>
            <w:vAlign w:val="center"/>
          </w:tcPr>
          <w:p>
            <w:pPr>
              <w:pStyle w:val="21"/>
            </w:pPr>
            <w:r>
              <w:t>保定市徐水区</w:t>
            </w:r>
            <w:r>
              <w:rPr>
                <w:rFonts w:hint="eastAsia"/>
                <w:lang w:eastAsia="zh-CN"/>
              </w:rPr>
              <w:t>义联庄乡中心学校</w:t>
            </w:r>
            <w:r>
              <w:t>小计</w:t>
            </w:r>
          </w:p>
        </w:tc>
        <w:tc>
          <w:tcPr>
            <w:tcW w:w="964" w:type="dxa"/>
            <w:vAlign w:val="center"/>
          </w:tcPr>
          <w:p>
            <w:pPr>
              <w:pStyle w:val="22"/>
            </w:pPr>
          </w:p>
        </w:tc>
        <w:tc>
          <w:tcPr>
            <w:tcW w:w="1134" w:type="dxa"/>
            <w:vAlign w:val="center"/>
          </w:tcPr>
          <w:p>
            <w:pPr>
              <w:pStyle w:val="23"/>
            </w:pPr>
          </w:p>
        </w:tc>
        <w:tc>
          <w:tcPr>
            <w:tcW w:w="1134" w:type="dxa"/>
            <w:vAlign w:val="center"/>
          </w:tcPr>
          <w:p>
            <w:pPr>
              <w:pStyle w:val="23"/>
            </w:pPr>
          </w:p>
        </w:tc>
        <w:tc>
          <w:tcPr>
            <w:tcW w:w="709" w:type="dxa"/>
            <w:vAlign w:val="center"/>
          </w:tcPr>
          <w:p>
            <w:pPr>
              <w:pStyle w:val="21"/>
            </w:pPr>
          </w:p>
        </w:tc>
        <w:tc>
          <w:tcPr>
            <w:tcW w:w="850" w:type="dxa"/>
            <w:vAlign w:val="center"/>
          </w:tcPr>
          <w:p>
            <w:pPr>
              <w:pStyle w:val="22"/>
            </w:pPr>
          </w:p>
        </w:tc>
        <w:tc>
          <w:tcPr>
            <w:tcW w:w="850"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c>
          <w:tcPr>
            <w:tcW w:w="964" w:type="dxa"/>
            <w:vAlign w:val="center"/>
          </w:tcPr>
          <w:p>
            <w:pPr>
              <w:pStyle w:val="22"/>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9"/>
            </w:pPr>
          </w:p>
        </w:tc>
        <w:tc>
          <w:tcPr>
            <w:tcW w:w="964" w:type="dxa"/>
            <w:vAlign w:val="center"/>
          </w:tcPr>
          <w:p>
            <w:pPr>
              <w:pStyle w:val="18"/>
            </w:pPr>
          </w:p>
        </w:tc>
        <w:tc>
          <w:tcPr>
            <w:tcW w:w="1134" w:type="dxa"/>
            <w:vAlign w:val="center"/>
          </w:tcPr>
          <w:p>
            <w:pPr>
              <w:pStyle w:val="19"/>
            </w:pPr>
          </w:p>
        </w:tc>
        <w:tc>
          <w:tcPr>
            <w:tcW w:w="1134" w:type="dxa"/>
            <w:vAlign w:val="center"/>
          </w:tcPr>
          <w:p>
            <w:pPr>
              <w:pStyle w:val="19"/>
            </w:pPr>
          </w:p>
        </w:tc>
        <w:tc>
          <w:tcPr>
            <w:tcW w:w="709" w:type="dxa"/>
            <w:vAlign w:val="center"/>
          </w:tcPr>
          <w:p>
            <w:pPr>
              <w:pStyle w:val="20"/>
            </w:pPr>
          </w:p>
        </w:tc>
        <w:tc>
          <w:tcPr>
            <w:tcW w:w="850" w:type="dxa"/>
            <w:vAlign w:val="center"/>
          </w:tcPr>
          <w:p>
            <w:pPr>
              <w:pStyle w:val="18"/>
            </w:pPr>
          </w:p>
        </w:tc>
        <w:tc>
          <w:tcPr>
            <w:tcW w:w="850"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r>
    </w:tbl>
    <w:p>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上年末我单位固定资产总金额为585.27万元（详见下表）。</w:t>
      </w:r>
      <w:r>
        <w:rPr>
          <w:rFonts w:ascii="仿宋" w:hAnsi="仿宋" w:eastAsia="仿宋"/>
          <w:sz w:val="32"/>
          <w:szCs w:val="32"/>
        </w:rPr>
        <w:t xml:space="preserve"> 本年度拟购置固定资产总额为</w:t>
      </w:r>
      <w:r>
        <w:rPr>
          <w:rFonts w:hint="eastAsia" w:ascii="仿宋" w:hAnsi="仿宋" w:eastAsia="仿宋"/>
          <w:sz w:val="32"/>
          <w:szCs w:val="32"/>
        </w:rPr>
        <w:t>0</w:t>
      </w:r>
      <w:r>
        <w:rPr>
          <w:rFonts w:ascii="仿宋" w:hAnsi="仿宋" w:eastAsia="仿宋"/>
          <w:sz w:val="32"/>
          <w:szCs w:val="32"/>
        </w:rPr>
        <w:t>万元，已列入政府采购预算，详见政府采购预算表。</w:t>
      </w:r>
    </w:p>
    <w:tbl>
      <w:tblPr>
        <w:tblStyle w:val="8"/>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w:t>
            </w:r>
            <w:r>
              <w:rPr>
                <w:rFonts w:hint="eastAsia" w:ascii="仿宋_GB2312" w:hAnsi="仿宋" w:eastAsia="仿宋_GB2312" w:cs="宋体"/>
                <w:bCs/>
                <w:color w:val="FF0000"/>
                <w:kern w:val="0"/>
                <w:sz w:val="28"/>
                <w:szCs w:val="28"/>
              </w:rPr>
              <w:t>0年12月31日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kern w:val="0"/>
                <w:sz w:val="24"/>
                <w:szCs w:val="24"/>
              </w:rPr>
              <w:t>585.27</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40350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263.18</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423</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2.76</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b/>
                <w:kern w:val="0"/>
                <w:sz w:val="24"/>
                <w:szCs w:val="24"/>
              </w:rPr>
              <w:t>--</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单位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宋体"/>
    <w:panose1 w:val="00000000000000000000"/>
    <w:charset w:val="86"/>
    <w:family w:val="roman"/>
    <w:pitch w:val="default"/>
    <w:sig w:usb0="00000000" w:usb1="00000000" w:usb2="00000000"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方正小标宋_GBK">
    <w:altName w:val="宋体"/>
    <w:panose1 w:val="00000000000000000000"/>
    <w:charset w:val="86"/>
    <w:family w:val="roman"/>
    <w:pitch w:val="default"/>
    <w:sig w:usb0="00000000" w:usb1="00000000" w:usb2="00000000"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宋体"/>
    <w:panose1 w:val="00000000000000000000"/>
    <w:charset w:val="86"/>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18</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jMWM3YWMyMDBmYmEzYzIzMDNlZmQ2NjlhYjAyODkifQ=="/>
  </w:docVars>
  <w:rsids>
    <w:rsidRoot w:val="00055F1F"/>
    <w:rsid w:val="00000D64"/>
    <w:rsid w:val="00013B8A"/>
    <w:rsid w:val="00017D48"/>
    <w:rsid w:val="000407B2"/>
    <w:rsid w:val="00044FBC"/>
    <w:rsid w:val="00055F1F"/>
    <w:rsid w:val="000577EF"/>
    <w:rsid w:val="00057F18"/>
    <w:rsid w:val="00063EDF"/>
    <w:rsid w:val="000A1F88"/>
    <w:rsid w:val="000A445D"/>
    <w:rsid w:val="000A6BEC"/>
    <w:rsid w:val="000C178B"/>
    <w:rsid w:val="000F6270"/>
    <w:rsid w:val="000F7945"/>
    <w:rsid w:val="00112441"/>
    <w:rsid w:val="00112D7F"/>
    <w:rsid w:val="00130B5D"/>
    <w:rsid w:val="00131DEC"/>
    <w:rsid w:val="00136AB3"/>
    <w:rsid w:val="001462BD"/>
    <w:rsid w:val="00152380"/>
    <w:rsid w:val="001638AF"/>
    <w:rsid w:val="001638BE"/>
    <w:rsid w:val="00164810"/>
    <w:rsid w:val="00172C7A"/>
    <w:rsid w:val="00176C69"/>
    <w:rsid w:val="00181777"/>
    <w:rsid w:val="001B4688"/>
    <w:rsid w:val="001B6235"/>
    <w:rsid w:val="001F4875"/>
    <w:rsid w:val="00202F83"/>
    <w:rsid w:val="00212335"/>
    <w:rsid w:val="00225010"/>
    <w:rsid w:val="002471EB"/>
    <w:rsid w:val="00261DED"/>
    <w:rsid w:val="002729F6"/>
    <w:rsid w:val="00281E52"/>
    <w:rsid w:val="0028610C"/>
    <w:rsid w:val="002918C6"/>
    <w:rsid w:val="00291EF3"/>
    <w:rsid w:val="0029444D"/>
    <w:rsid w:val="00296524"/>
    <w:rsid w:val="002E01F6"/>
    <w:rsid w:val="002F1ACB"/>
    <w:rsid w:val="002F530F"/>
    <w:rsid w:val="00305E97"/>
    <w:rsid w:val="00310532"/>
    <w:rsid w:val="00312A73"/>
    <w:rsid w:val="00312E60"/>
    <w:rsid w:val="0032782B"/>
    <w:rsid w:val="00340B3D"/>
    <w:rsid w:val="0034253A"/>
    <w:rsid w:val="003669CF"/>
    <w:rsid w:val="00367A30"/>
    <w:rsid w:val="00385189"/>
    <w:rsid w:val="003A06D2"/>
    <w:rsid w:val="003A4557"/>
    <w:rsid w:val="003A4747"/>
    <w:rsid w:val="003A6366"/>
    <w:rsid w:val="003B03AB"/>
    <w:rsid w:val="003B3D6F"/>
    <w:rsid w:val="003C0551"/>
    <w:rsid w:val="003C2317"/>
    <w:rsid w:val="003C442E"/>
    <w:rsid w:val="003C603E"/>
    <w:rsid w:val="003D1092"/>
    <w:rsid w:val="003D37CD"/>
    <w:rsid w:val="003E5531"/>
    <w:rsid w:val="003E555C"/>
    <w:rsid w:val="003E6AF3"/>
    <w:rsid w:val="003F37EB"/>
    <w:rsid w:val="00402137"/>
    <w:rsid w:val="0040243C"/>
    <w:rsid w:val="00406BD1"/>
    <w:rsid w:val="00426C19"/>
    <w:rsid w:val="00450FD9"/>
    <w:rsid w:val="00453BCA"/>
    <w:rsid w:val="00453CE0"/>
    <w:rsid w:val="00470736"/>
    <w:rsid w:val="00470BBB"/>
    <w:rsid w:val="0048611E"/>
    <w:rsid w:val="004A7BC1"/>
    <w:rsid w:val="004B6929"/>
    <w:rsid w:val="004D1A6E"/>
    <w:rsid w:val="004D7936"/>
    <w:rsid w:val="004E2F43"/>
    <w:rsid w:val="004E3572"/>
    <w:rsid w:val="004F3C52"/>
    <w:rsid w:val="00510A1E"/>
    <w:rsid w:val="005158E2"/>
    <w:rsid w:val="00524204"/>
    <w:rsid w:val="00546F32"/>
    <w:rsid w:val="00550049"/>
    <w:rsid w:val="00553F7E"/>
    <w:rsid w:val="00565892"/>
    <w:rsid w:val="00570142"/>
    <w:rsid w:val="00585E35"/>
    <w:rsid w:val="00586175"/>
    <w:rsid w:val="00586C35"/>
    <w:rsid w:val="005B1B6F"/>
    <w:rsid w:val="005B6CCB"/>
    <w:rsid w:val="005C54AA"/>
    <w:rsid w:val="005C7B89"/>
    <w:rsid w:val="005F7563"/>
    <w:rsid w:val="00615995"/>
    <w:rsid w:val="0062788A"/>
    <w:rsid w:val="006309B9"/>
    <w:rsid w:val="00634032"/>
    <w:rsid w:val="00641F8A"/>
    <w:rsid w:val="006431A4"/>
    <w:rsid w:val="0066383B"/>
    <w:rsid w:val="006A5764"/>
    <w:rsid w:val="006A6FA2"/>
    <w:rsid w:val="006B5117"/>
    <w:rsid w:val="006C62DF"/>
    <w:rsid w:val="006E6C01"/>
    <w:rsid w:val="006F5104"/>
    <w:rsid w:val="006F6549"/>
    <w:rsid w:val="007207A8"/>
    <w:rsid w:val="00735B02"/>
    <w:rsid w:val="00750349"/>
    <w:rsid w:val="007657C8"/>
    <w:rsid w:val="00767A77"/>
    <w:rsid w:val="00771E49"/>
    <w:rsid w:val="00782208"/>
    <w:rsid w:val="00791938"/>
    <w:rsid w:val="007A5999"/>
    <w:rsid w:val="007C7FD7"/>
    <w:rsid w:val="007F2F6B"/>
    <w:rsid w:val="007F3746"/>
    <w:rsid w:val="00833132"/>
    <w:rsid w:val="00845C67"/>
    <w:rsid w:val="0085155F"/>
    <w:rsid w:val="0086454E"/>
    <w:rsid w:val="008672EA"/>
    <w:rsid w:val="00872B30"/>
    <w:rsid w:val="00891680"/>
    <w:rsid w:val="008A0099"/>
    <w:rsid w:val="008A0B5F"/>
    <w:rsid w:val="008A619C"/>
    <w:rsid w:val="008B5402"/>
    <w:rsid w:val="008B7928"/>
    <w:rsid w:val="008D11BC"/>
    <w:rsid w:val="008E35D4"/>
    <w:rsid w:val="008F1131"/>
    <w:rsid w:val="008F770A"/>
    <w:rsid w:val="0090527E"/>
    <w:rsid w:val="00905BB7"/>
    <w:rsid w:val="0090620C"/>
    <w:rsid w:val="00912DA4"/>
    <w:rsid w:val="009302B8"/>
    <w:rsid w:val="009305C6"/>
    <w:rsid w:val="00934332"/>
    <w:rsid w:val="00962D0B"/>
    <w:rsid w:val="00963B90"/>
    <w:rsid w:val="009752AE"/>
    <w:rsid w:val="00982F3D"/>
    <w:rsid w:val="00983232"/>
    <w:rsid w:val="0098716D"/>
    <w:rsid w:val="009A278A"/>
    <w:rsid w:val="009A3E78"/>
    <w:rsid w:val="009B0B15"/>
    <w:rsid w:val="009B6368"/>
    <w:rsid w:val="009F63C4"/>
    <w:rsid w:val="00A07CAE"/>
    <w:rsid w:val="00A16957"/>
    <w:rsid w:val="00A25560"/>
    <w:rsid w:val="00A522AF"/>
    <w:rsid w:val="00A6155C"/>
    <w:rsid w:val="00A8079E"/>
    <w:rsid w:val="00A87BCB"/>
    <w:rsid w:val="00A90328"/>
    <w:rsid w:val="00A92D66"/>
    <w:rsid w:val="00AA4262"/>
    <w:rsid w:val="00AB246B"/>
    <w:rsid w:val="00AB5A90"/>
    <w:rsid w:val="00AB7449"/>
    <w:rsid w:val="00AC594D"/>
    <w:rsid w:val="00AE0C6D"/>
    <w:rsid w:val="00AE4AA5"/>
    <w:rsid w:val="00AE7FA9"/>
    <w:rsid w:val="00AF269A"/>
    <w:rsid w:val="00AF3E30"/>
    <w:rsid w:val="00B147EB"/>
    <w:rsid w:val="00B22155"/>
    <w:rsid w:val="00B23744"/>
    <w:rsid w:val="00B41606"/>
    <w:rsid w:val="00B41C95"/>
    <w:rsid w:val="00B51131"/>
    <w:rsid w:val="00B76AA9"/>
    <w:rsid w:val="00B80FAB"/>
    <w:rsid w:val="00B81C88"/>
    <w:rsid w:val="00B9097F"/>
    <w:rsid w:val="00BA5C83"/>
    <w:rsid w:val="00BB00A4"/>
    <w:rsid w:val="00BC6A7D"/>
    <w:rsid w:val="00BD4829"/>
    <w:rsid w:val="00BD6002"/>
    <w:rsid w:val="00BD719F"/>
    <w:rsid w:val="00BF5442"/>
    <w:rsid w:val="00C026B2"/>
    <w:rsid w:val="00C0681D"/>
    <w:rsid w:val="00C06E04"/>
    <w:rsid w:val="00C177A5"/>
    <w:rsid w:val="00C357B0"/>
    <w:rsid w:val="00C35FEE"/>
    <w:rsid w:val="00C50535"/>
    <w:rsid w:val="00C6153C"/>
    <w:rsid w:val="00C742CA"/>
    <w:rsid w:val="00C906EF"/>
    <w:rsid w:val="00CB21F0"/>
    <w:rsid w:val="00CC6797"/>
    <w:rsid w:val="00CC7D74"/>
    <w:rsid w:val="00D02AB2"/>
    <w:rsid w:val="00D02F97"/>
    <w:rsid w:val="00D058CA"/>
    <w:rsid w:val="00D45530"/>
    <w:rsid w:val="00D45A0E"/>
    <w:rsid w:val="00D45D23"/>
    <w:rsid w:val="00D47FEC"/>
    <w:rsid w:val="00D6569F"/>
    <w:rsid w:val="00D723D1"/>
    <w:rsid w:val="00D80C60"/>
    <w:rsid w:val="00D8525F"/>
    <w:rsid w:val="00DA0C4D"/>
    <w:rsid w:val="00DA5DA7"/>
    <w:rsid w:val="00DB6A55"/>
    <w:rsid w:val="00DC6B56"/>
    <w:rsid w:val="00DD3878"/>
    <w:rsid w:val="00DD4DA3"/>
    <w:rsid w:val="00DD6B36"/>
    <w:rsid w:val="00DE3935"/>
    <w:rsid w:val="00DE6B32"/>
    <w:rsid w:val="00DF26B8"/>
    <w:rsid w:val="00E12C68"/>
    <w:rsid w:val="00E21AFF"/>
    <w:rsid w:val="00E2325B"/>
    <w:rsid w:val="00E23472"/>
    <w:rsid w:val="00E24075"/>
    <w:rsid w:val="00E270C9"/>
    <w:rsid w:val="00E35F38"/>
    <w:rsid w:val="00E46F27"/>
    <w:rsid w:val="00E509CC"/>
    <w:rsid w:val="00E56DC0"/>
    <w:rsid w:val="00E71A04"/>
    <w:rsid w:val="00E90DA6"/>
    <w:rsid w:val="00E922CA"/>
    <w:rsid w:val="00E96342"/>
    <w:rsid w:val="00EA2FEA"/>
    <w:rsid w:val="00EA56CB"/>
    <w:rsid w:val="00EA7853"/>
    <w:rsid w:val="00EB79F0"/>
    <w:rsid w:val="00F000B1"/>
    <w:rsid w:val="00F012D3"/>
    <w:rsid w:val="00F044C3"/>
    <w:rsid w:val="00F10D04"/>
    <w:rsid w:val="00F169E3"/>
    <w:rsid w:val="00F22FCE"/>
    <w:rsid w:val="00F35D4B"/>
    <w:rsid w:val="00F3746B"/>
    <w:rsid w:val="00F572CB"/>
    <w:rsid w:val="00F621AF"/>
    <w:rsid w:val="00F8024E"/>
    <w:rsid w:val="00F82447"/>
    <w:rsid w:val="00F868E5"/>
    <w:rsid w:val="00F9529F"/>
    <w:rsid w:val="00FB2F32"/>
    <w:rsid w:val="00FC3191"/>
    <w:rsid w:val="00FC418B"/>
    <w:rsid w:val="00FD7A5B"/>
    <w:rsid w:val="00FE0F1F"/>
    <w:rsid w:val="00FF3683"/>
    <w:rsid w:val="00FF61F3"/>
    <w:rsid w:val="0A214432"/>
    <w:rsid w:val="259A5CDF"/>
    <w:rsid w:val="27733670"/>
    <w:rsid w:val="4EF676C9"/>
    <w:rsid w:val="682F7677"/>
    <w:rsid w:val="691D4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0"/>
    <w:pPr>
      <w:widowControl/>
      <w:spacing w:before="120"/>
      <w:jc w:val="left"/>
    </w:pPr>
    <w:rPr>
      <w:rFonts w:ascii="Times New Roman" w:hAnsi="Times New Roman" w:eastAsia="方正仿宋_GBK" w:cs="Times New Roman"/>
      <w:color w:val="000000"/>
      <w:kern w:val="0"/>
      <w:sz w:val="28"/>
      <w:szCs w:val="24"/>
      <w:lang w:eastAsia="uk-UA"/>
    </w:rPr>
  </w:style>
  <w:style w:type="paragraph" w:styleId="6">
    <w:name w:val="toc 4"/>
    <w:basedOn w:val="1"/>
    <w:next w:val="1"/>
    <w:qFormat/>
    <w:uiPriority w:val="0"/>
    <w:pPr>
      <w:widowControl/>
      <w:ind w:left="720"/>
      <w:jc w:val="left"/>
    </w:pPr>
    <w:rPr>
      <w:rFonts w:ascii="Times New Roman" w:hAnsi="Times New Roman" w:eastAsia="Times New Roman" w:cs="Times New Roman"/>
      <w:kern w:val="0"/>
      <w:sz w:val="24"/>
      <w:szCs w:val="24"/>
      <w:lang w:eastAsia="uk-UA"/>
    </w:rPr>
  </w:style>
  <w:style w:type="paragraph" w:styleId="7">
    <w:name w:val="toc 2"/>
    <w:basedOn w:val="1"/>
    <w:next w:val="1"/>
    <w:qFormat/>
    <w:uiPriority w:val="0"/>
    <w:pPr>
      <w:widowControl/>
      <w:ind w:left="240"/>
      <w:jc w:val="left"/>
    </w:pPr>
    <w:rPr>
      <w:rFonts w:ascii="Times New Roman" w:hAnsi="Times New Roman" w:eastAsia="Times New Roman" w:cs="Times New Roman"/>
      <w:kern w:val="0"/>
      <w:sz w:val="24"/>
      <w:szCs w:val="24"/>
      <w:lang w:eastAsia="uk-UA"/>
    </w:rPr>
  </w:style>
  <w:style w:type="table" w:styleId="9">
    <w:name w:val="Table Grid"/>
    <w:basedOn w:val="8"/>
    <w:qFormat/>
    <w:uiPriority w:val="0"/>
    <w:rPr>
      <w:rFonts w:ascii="Times New Roman" w:hAnsi="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1">
    <w:name w:val="页眉 Char"/>
    <w:basedOn w:val="10"/>
    <w:link w:val="4"/>
    <w:qFormat/>
    <w:uiPriority w:val="99"/>
    <w:rPr>
      <w:sz w:val="18"/>
      <w:szCs w:val="18"/>
    </w:rPr>
  </w:style>
  <w:style w:type="character" w:customStyle="1" w:styleId="12">
    <w:name w:val="页脚 Char"/>
    <w:basedOn w:val="10"/>
    <w:link w:val="3"/>
    <w:qFormat/>
    <w:uiPriority w:val="99"/>
    <w:rPr>
      <w:sz w:val="18"/>
      <w:szCs w:val="18"/>
    </w:rPr>
  </w:style>
  <w:style w:type="character" w:customStyle="1" w:styleId="13">
    <w:name w:val="批注框文本 Char"/>
    <w:basedOn w:val="10"/>
    <w:link w:val="2"/>
    <w:semiHidden/>
    <w:qFormat/>
    <w:uiPriority w:val="99"/>
    <w:rPr>
      <w:sz w:val="18"/>
      <w:szCs w:val="18"/>
    </w:rPr>
  </w:style>
  <w:style w:type="paragraph" w:customStyle="1" w:styleId="14">
    <w:name w:val="插入文本样式-插入部门职责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5">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6">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7">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8">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9">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20">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21">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2">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23">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24">
    <w:name w:val="插入文本样式-插入总体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25">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26">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8677D0-D8E2-43BB-AB2D-6459079B2335}">
  <ds:schemaRefs/>
</ds:datastoreItem>
</file>

<file path=docProps/app.xml><?xml version="1.0" encoding="utf-8"?>
<Properties xmlns="http://schemas.openxmlformats.org/officeDocument/2006/extended-properties" xmlns:vt="http://schemas.openxmlformats.org/officeDocument/2006/docPropsVTypes">
  <Template>Normal</Template>
  <Pages>19</Pages>
  <Words>1586</Words>
  <Characters>9041</Characters>
  <Lines>75</Lines>
  <Paragraphs>21</Paragraphs>
  <TotalTime>25</TotalTime>
  <ScaleCrop>false</ScaleCrop>
  <LinksUpToDate>false</LinksUpToDate>
  <CharactersWithSpaces>10606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2023-11-16T02:31:17Z</dcterms:modified>
  <cp:revision>316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76EAFEA3433E47EF9BBEB116C4FC5C2C</vt:lpwstr>
  </property>
</Properties>
</file>