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保定市徐水区特殊教育学校</w:t>
      </w:r>
    </w:p>
    <w:p>
      <w:pPr>
        <w:spacing w:line="360" w:lineRule="auto"/>
        <w:jc w:val="center"/>
        <w:rPr>
          <w:rFonts w:ascii="宋体" w:hAnsi="宋体" w:eastAsia="宋体"/>
          <w:b/>
          <w:sz w:val="44"/>
          <w:szCs w:val="44"/>
        </w:rPr>
      </w:pPr>
      <w:r>
        <w:rPr>
          <w:rFonts w:ascii="宋体" w:hAnsi="宋体" w:eastAsia="宋体"/>
          <w:b/>
          <w:sz w:val="44"/>
          <w:szCs w:val="44"/>
        </w:rPr>
        <w:t>2021年</w:t>
      </w:r>
      <w:r>
        <w:rPr>
          <w:rFonts w:hint="eastAsia" w:ascii="宋体" w:hAnsi="宋体" w:eastAsia="宋体"/>
          <w:b/>
          <w:sz w:val="44"/>
          <w:szCs w:val="44"/>
        </w:rPr>
        <w:t>单位</w:t>
      </w:r>
      <w:r>
        <w:rPr>
          <w:rFonts w:ascii="宋体" w:hAnsi="宋体" w:eastAsia="宋体"/>
          <w:b/>
          <w:sz w:val="44"/>
          <w:szCs w:val="44"/>
        </w:rPr>
        <w:t>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预算法》、《地方预决算公开操作规程》等文件规定，现将我单位预算信息公开如下：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w:t>
      </w:r>
      <w:r>
        <w:rPr>
          <w:rFonts w:hint="eastAsia" w:ascii="方正小标宋_GBK" w:eastAsia="方正小标宋_GBK"/>
          <w:sz w:val="44"/>
        </w:rPr>
        <w:t>单位</w:t>
      </w:r>
      <w:r>
        <w:rPr>
          <w:rFonts w:ascii="方正小标宋_GBK" w:eastAsia="方正小标宋_GBK"/>
          <w:sz w:val="44"/>
        </w:rPr>
        <w:t>职责及机构设置情况</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一、单位职责</w:t>
      </w:r>
    </w:p>
    <w:p>
      <w:pPr>
        <w:spacing w:line="360" w:lineRule="auto"/>
        <w:ind w:firstLine="640" w:firstLineChars="200"/>
        <w:rPr>
          <w:rFonts w:ascii="仿宋" w:hAnsi="仿宋" w:eastAsia="仿宋"/>
          <w:sz w:val="32"/>
          <w:szCs w:val="32"/>
        </w:rPr>
      </w:pPr>
      <w:r>
        <w:rPr>
          <w:rFonts w:ascii="仿宋" w:hAnsi="仿宋" w:eastAsia="仿宋"/>
          <w:sz w:val="32"/>
          <w:szCs w:val="32"/>
        </w:rPr>
        <w:t>1、办好教育教学工作，为国家的</w:t>
      </w:r>
      <w:r>
        <w:rPr>
          <w:rFonts w:hint="eastAsia" w:ascii="仿宋" w:hAnsi="仿宋" w:eastAsia="仿宋"/>
          <w:sz w:val="32"/>
          <w:szCs w:val="32"/>
        </w:rPr>
        <w:t>特殊</w:t>
      </w:r>
      <w:r>
        <w:rPr>
          <w:rFonts w:ascii="仿宋" w:hAnsi="仿宋" w:eastAsia="仿宋"/>
          <w:sz w:val="32"/>
          <w:szCs w:val="32"/>
        </w:rPr>
        <w:t>义务教育培养</w:t>
      </w:r>
      <w:r>
        <w:rPr>
          <w:rFonts w:hint="eastAsia" w:ascii="仿宋" w:hAnsi="仿宋" w:eastAsia="仿宋"/>
          <w:sz w:val="32"/>
          <w:szCs w:val="32"/>
        </w:rPr>
        <w:t>自立、自强、自理的人</w:t>
      </w:r>
      <w:r>
        <w:rPr>
          <w:rFonts w:ascii="仿宋" w:hAnsi="仿宋" w:eastAsia="仿宋"/>
          <w:sz w:val="32"/>
          <w:szCs w:val="32"/>
        </w:rPr>
        <w:t>打好基础。</w:t>
      </w:r>
      <w:bookmarkStart w:id="9" w:name="_GoBack"/>
      <w:bookmarkEnd w:id="9"/>
    </w:p>
    <w:p>
      <w:pPr>
        <w:spacing w:line="360" w:lineRule="auto"/>
        <w:ind w:firstLine="640" w:firstLineChars="200"/>
        <w:rPr>
          <w:rFonts w:ascii="仿宋" w:hAnsi="仿宋" w:eastAsia="仿宋"/>
          <w:sz w:val="32"/>
          <w:szCs w:val="32"/>
        </w:rPr>
      </w:pPr>
      <w:r>
        <w:rPr>
          <w:rFonts w:ascii="仿宋" w:hAnsi="仿宋" w:eastAsia="仿宋"/>
          <w:sz w:val="32"/>
          <w:szCs w:val="32"/>
        </w:rPr>
        <w:t>2、提高</w:t>
      </w:r>
      <w:r>
        <w:rPr>
          <w:rFonts w:hint="eastAsia" w:ascii="仿宋" w:hAnsi="仿宋" w:eastAsia="仿宋"/>
          <w:sz w:val="32"/>
          <w:szCs w:val="32"/>
        </w:rPr>
        <w:t>特殊</w:t>
      </w:r>
      <w:r>
        <w:rPr>
          <w:rFonts w:ascii="仿宋" w:hAnsi="仿宋" w:eastAsia="仿宋"/>
          <w:sz w:val="32"/>
          <w:szCs w:val="32"/>
        </w:rPr>
        <w:t>义务教育公用经费保障水平，改善办学条件，均衡配置基础教育意象派，缩小区域、校际之间办学差距，落实学生资助政策</w:t>
      </w:r>
    </w:p>
    <w:p>
      <w:pPr>
        <w:spacing w:line="360" w:lineRule="auto"/>
        <w:ind w:firstLine="640" w:firstLineChars="200"/>
        <w:rPr>
          <w:rFonts w:ascii="仿宋" w:hAnsi="仿宋" w:eastAsia="仿宋"/>
          <w:sz w:val="32"/>
          <w:szCs w:val="32"/>
        </w:rPr>
      </w:pPr>
      <w:r>
        <w:rPr>
          <w:rFonts w:ascii="仿宋" w:hAnsi="仿宋" w:eastAsia="仿宋"/>
          <w:sz w:val="32"/>
          <w:szCs w:val="32"/>
        </w:rPr>
        <w:t>3、推进</w:t>
      </w:r>
      <w:r>
        <w:rPr>
          <w:rFonts w:hint="eastAsia" w:ascii="仿宋" w:hAnsi="仿宋" w:eastAsia="仿宋"/>
          <w:sz w:val="32"/>
          <w:szCs w:val="32"/>
        </w:rPr>
        <w:t>特殊</w:t>
      </w:r>
      <w:r>
        <w:rPr>
          <w:rFonts w:ascii="仿宋" w:hAnsi="仿宋" w:eastAsia="仿宋"/>
          <w:sz w:val="32"/>
          <w:szCs w:val="32"/>
        </w:rPr>
        <w:t>义务教育经费保障机制改革，提高</w:t>
      </w:r>
      <w:r>
        <w:rPr>
          <w:rFonts w:hint="eastAsia" w:ascii="仿宋" w:hAnsi="仿宋" w:eastAsia="仿宋"/>
          <w:sz w:val="32"/>
          <w:szCs w:val="32"/>
        </w:rPr>
        <w:t>特殊教育</w:t>
      </w:r>
      <w:r>
        <w:rPr>
          <w:rFonts w:ascii="仿宋" w:hAnsi="仿宋" w:eastAsia="仿宋"/>
          <w:sz w:val="32"/>
          <w:szCs w:val="32"/>
        </w:rPr>
        <w:t>公用经费水平，完善校舍维修改造长效机制，为</w:t>
      </w:r>
      <w:r>
        <w:rPr>
          <w:rFonts w:hint="eastAsia" w:ascii="仿宋" w:hAnsi="仿宋" w:eastAsia="仿宋"/>
          <w:sz w:val="32"/>
          <w:szCs w:val="32"/>
        </w:rPr>
        <w:t>特殊儿童</w:t>
      </w:r>
      <w:r>
        <w:rPr>
          <w:rFonts w:ascii="仿宋" w:hAnsi="仿宋" w:eastAsia="仿宋"/>
          <w:sz w:val="32"/>
          <w:szCs w:val="32"/>
        </w:rPr>
        <w:t>学生免费提供教科书。</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5"/>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418"/>
        <w:gridCol w:w="326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418"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260"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2692" w:type="dxa"/>
            <w:tcBorders>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保定市徐水区特殊教育学校</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全额事业</w:t>
            </w:r>
          </w:p>
        </w:tc>
        <w:tc>
          <w:tcPr>
            <w:tcW w:w="14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未定行政级别</w:t>
            </w:r>
          </w:p>
        </w:tc>
        <w:tc>
          <w:tcPr>
            <w:tcW w:w="3260"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p>
        </w:tc>
        <w:tc>
          <w:tcPr>
            <w:tcW w:w="1701" w:type="dxa"/>
            <w:vAlign w:val="center"/>
          </w:tcPr>
          <w:p>
            <w:pPr>
              <w:jc w:val="center"/>
              <w:rPr>
                <w:rFonts w:ascii="仿宋_GB2312" w:hAnsi="仿宋" w:eastAsia="仿宋_GB2312"/>
                <w:bCs/>
                <w:sz w:val="24"/>
                <w:szCs w:val="24"/>
              </w:rPr>
            </w:pPr>
          </w:p>
        </w:tc>
        <w:tc>
          <w:tcPr>
            <w:tcW w:w="1418" w:type="dxa"/>
            <w:vAlign w:val="center"/>
          </w:tcPr>
          <w:p>
            <w:pPr>
              <w:jc w:val="center"/>
              <w:rPr>
                <w:rFonts w:ascii="仿宋_GB2312" w:hAnsi="仿宋" w:eastAsia="仿宋_GB2312"/>
                <w:bCs/>
                <w:sz w:val="24"/>
                <w:szCs w:val="24"/>
              </w:rPr>
            </w:pPr>
          </w:p>
        </w:tc>
        <w:tc>
          <w:tcPr>
            <w:tcW w:w="3260" w:type="dxa"/>
            <w:vAlign w:val="center"/>
          </w:tcPr>
          <w:p>
            <w:pPr>
              <w:jc w:val="center"/>
              <w:rPr>
                <w:rFonts w:ascii="仿宋_GB2312" w:hAnsi="仿宋" w:eastAsia="仿宋_GB2312"/>
                <w:bCs/>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p>
        </w:tc>
        <w:tc>
          <w:tcPr>
            <w:tcW w:w="1701" w:type="dxa"/>
            <w:vAlign w:val="center"/>
          </w:tcPr>
          <w:p>
            <w:pPr>
              <w:jc w:val="center"/>
              <w:rPr>
                <w:rFonts w:ascii="仿宋_GB2312" w:hAnsi="仿宋" w:eastAsia="仿宋_GB2312"/>
                <w:bCs/>
                <w:sz w:val="24"/>
                <w:szCs w:val="24"/>
              </w:rPr>
            </w:pPr>
          </w:p>
        </w:tc>
        <w:tc>
          <w:tcPr>
            <w:tcW w:w="1418" w:type="dxa"/>
            <w:vAlign w:val="center"/>
          </w:tcPr>
          <w:p>
            <w:pPr>
              <w:jc w:val="center"/>
              <w:rPr>
                <w:rFonts w:ascii="仿宋_GB2312" w:hAnsi="仿宋" w:eastAsia="仿宋_GB2312"/>
                <w:bCs/>
                <w:sz w:val="24"/>
                <w:szCs w:val="24"/>
              </w:rPr>
            </w:pPr>
          </w:p>
        </w:tc>
        <w:tc>
          <w:tcPr>
            <w:tcW w:w="3260" w:type="dxa"/>
            <w:vAlign w:val="center"/>
          </w:tcPr>
          <w:p>
            <w:pPr>
              <w:jc w:val="center"/>
              <w:rPr>
                <w:rFonts w:ascii="仿宋_GB2312" w:hAnsi="仿宋" w:eastAsia="仿宋_GB2312"/>
                <w:bCs/>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p>
        </w:tc>
        <w:tc>
          <w:tcPr>
            <w:tcW w:w="1701" w:type="dxa"/>
            <w:vAlign w:val="center"/>
          </w:tcPr>
          <w:p>
            <w:pPr>
              <w:jc w:val="center"/>
              <w:rPr>
                <w:rFonts w:ascii="仿宋_GB2312" w:hAnsi="仿宋" w:eastAsia="仿宋_GB2312"/>
                <w:bCs/>
                <w:sz w:val="24"/>
                <w:szCs w:val="24"/>
              </w:rPr>
            </w:pPr>
          </w:p>
        </w:tc>
        <w:tc>
          <w:tcPr>
            <w:tcW w:w="1418" w:type="dxa"/>
            <w:vAlign w:val="center"/>
          </w:tcPr>
          <w:p>
            <w:pPr>
              <w:jc w:val="center"/>
              <w:rPr>
                <w:rFonts w:ascii="仿宋_GB2312" w:hAnsi="仿宋" w:eastAsia="仿宋_GB2312"/>
                <w:bCs/>
                <w:sz w:val="24"/>
                <w:szCs w:val="24"/>
              </w:rPr>
            </w:pPr>
          </w:p>
        </w:tc>
        <w:tc>
          <w:tcPr>
            <w:tcW w:w="3260" w:type="dxa"/>
            <w:vAlign w:val="center"/>
          </w:tcPr>
          <w:p>
            <w:pPr>
              <w:jc w:val="center"/>
              <w:rPr>
                <w:rFonts w:ascii="仿宋_GB2312" w:hAnsi="仿宋" w:eastAsia="仿宋_GB2312"/>
                <w:bCs/>
                <w:sz w:val="24"/>
                <w:szCs w:val="24"/>
              </w:rPr>
            </w:pP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第二部分：单位预算安排的总体情况</w:t>
      </w:r>
      <w:r>
        <w:rPr>
          <w:rFonts w:ascii="方正小标宋_GBK" w:eastAsia="方正小标宋_GBK"/>
          <w:sz w:val="44"/>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按照预算管理有关规定，目前我单位预算的编制实行综合预算制度，即全部收入和支出都反映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预算中。我校的收支包含在单位预算中。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2021年预算收入为729.11万元,其中：一般公共预算收入729.11万元，基金预算收入0万元，财政专户收入0万元，其他来源收入0万元。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2021年</w:t>
      </w:r>
      <w:r>
        <w:rPr>
          <w:rFonts w:hint="eastAsia" w:ascii="仿宋" w:hAnsi="仿宋" w:eastAsia="仿宋"/>
          <w:sz w:val="32"/>
          <w:szCs w:val="32"/>
        </w:rPr>
        <w:t>单位</w:t>
      </w:r>
      <w:r>
        <w:rPr>
          <w:rFonts w:ascii="仿宋" w:hAnsi="仿宋" w:eastAsia="仿宋"/>
          <w:sz w:val="32"/>
          <w:szCs w:val="32"/>
        </w:rPr>
        <w:t>支出预算：729.11万元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基本支出6</w:t>
      </w:r>
      <w:r>
        <w:rPr>
          <w:rFonts w:ascii="仿宋" w:hAnsi="仿宋" w:eastAsia="仿宋"/>
          <w:sz w:val="32"/>
          <w:szCs w:val="32"/>
        </w:rPr>
        <w:t>36.95</w:t>
      </w:r>
      <w:r>
        <w:rPr>
          <w:rFonts w:hint="eastAsia"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其中：人员经费623.22万元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日常公用经费13.73万元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 xml:space="preserve"> 92.16万元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其中：本级支出10.85万元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本年度预算收支安排7</w:t>
      </w:r>
      <w:r>
        <w:rPr>
          <w:rFonts w:ascii="仿宋" w:hAnsi="仿宋" w:eastAsia="仿宋"/>
          <w:sz w:val="32"/>
          <w:szCs w:val="32"/>
        </w:rPr>
        <w:t>29.11</w:t>
      </w:r>
      <w:r>
        <w:rPr>
          <w:rFonts w:hint="eastAsia" w:ascii="仿宋" w:hAnsi="仿宋" w:eastAsia="仿宋"/>
          <w:sz w:val="32"/>
          <w:szCs w:val="32"/>
        </w:rPr>
        <w:t>万元，较上年增加</w:t>
      </w:r>
      <w:r>
        <w:rPr>
          <w:rFonts w:ascii="仿宋" w:hAnsi="仿宋" w:eastAsia="仿宋"/>
          <w:sz w:val="32"/>
          <w:szCs w:val="32"/>
        </w:rPr>
        <w:t>56.32万元。其中:基本支出增加79.02万元，主要原因是</w:t>
      </w:r>
      <w:r>
        <w:rPr>
          <w:rFonts w:hint="eastAsia" w:ascii="仿宋" w:hAnsi="仿宋" w:eastAsia="仿宋"/>
          <w:sz w:val="32"/>
          <w:szCs w:val="32"/>
        </w:rPr>
        <w:t>教职工</w:t>
      </w:r>
      <w:r>
        <w:rPr>
          <w:rFonts w:ascii="仿宋" w:hAnsi="仿宋" w:eastAsia="仿宋"/>
          <w:sz w:val="32"/>
          <w:szCs w:val="32"/>
        </w:rPr>
        <w:t>工资待遇提高，政府加大</w:t>
      </w:r>
      <w:r>
        <w:rPr>
          <w:rFonts w:hint="eastAsia" w:ascii="仿宋" w:hAnsi="仿宋" w:eastAsia="仿宋"/>
          <w:sz w:val="32"/>
          <w:szCs w:val="32"/>
        </w:rPr>
        <w:t>教育保障；</w:t>
      </w:r>
      <w:r>
        <w:rPr>
          <w:rFonts w:ascii="仿宋" w:hAnsi="仿宋" w:eastAsia="仿宋"/>
          <w:sz w:val="32"/>
          <w:szCs w:val="32"/>
        </w:rPr>
        <w:t>项目支出减少22.7万元，主要原因是</w:t>
      </w:r>
      <w:r>
        <w:rPr>
          <w:rFonts w:hint="eastAsia" w:ascii="仿宋" w:hAnsi="仿宋" w:eastAsia="仿宋"/>
          <w:sz w:val="32"/>
          <w:szCs w:val="32"/>
        </w:rPr>
        <w:t>特殊教育</w:t>
      </w:r>
      <w:r>
        <w:rPr>
          <w:rFonts w:ascii="仿宋" w:hAnsi="仿宋" w:eastAsia="仿宋"/>
          <w:sz w:val="32"/>
          <w:szCs w:val="32"/>
        </w:rPr>
        <w:t>补助资金减少</w:t>
      </w:r>
      <w:r>
        <w:rPr>
          <w:rFonts w:hint="eastAsia" w:ascii="仿宋" w:hAnsi="仿宋" w:eastAsia="仿宋"/>
          <w:sz w:val="32"/>
          <w:szCs w:val="32"/>
        </w:rPr>
        <w:t>。</w:t>
      </w:r>
    </w:p>
    <w:p>
      <w:pPr>
        <w:spacing w:line="360" w:lineRule="auto"/>
        <w:ind w:firstLine="640" w:firstLineChars="200"/>
        <w:rPr>
          <w:rFonts w:ascii="仿宋" w:hAnsi="仿宋" w:eastAsia="仿宋"/>
          <w:sz w:val="32"/>
          <w:szCs w:val="32"/>
        </w:rPr>
      </w:pPr>
      <w:r>
        <w:rPr>
          <w:rFonts w:ascii="仿宋" w:hAnsi="仿宋" w:eastAsia="仿宋"/>
          <w:sz w:val="32"/>
          <w:szCs w:val="32"/>
        </w:rPr>
        <w:t>。</w:t>
      </w:r>
    </w:p>
    <w:p>
      <w:pPr>
        <w:spacing w:line="360" w:lineRule="auto"/>
        <w:ind w:firstLine="640" w:firstLineChars="200"/>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pPr>
        <w:spacing w:line="360" w:lineRule="auto"/>
        <w:ind w:firstLine="640" w:firstLineChars="200"/>
        <w:rPr>
          <w:rFonts w:ascii="仿宋" w:hAnsi="仿宋" w:eastAsia="仿宋"/>
          <w:b/>
          <w:sz w:val="32"/>
          <w:szCs w:val="32"/>
        </w:rPr>
      </w:pPr>
      <w:r>
        <w:rPr>
          <w:rFonts w:ascii="仿宋" w:hAnsi="仿宋" w:eastAsia="仿宋"/>
          <w:sz w:val="32"/>
          <w:szCs w:val="32"/>
        </w:rPr>
        <w:t>2021年我</w:t>
      </w:r>
      <w:r>
        <w:rPr>
          <w:rFonts w:hint="eastAsia" w:ascii="仿宋" w:hAnsi="仿宋" w:eastAsia="仿宋"/>
          <w:sz w:val="32"/>
          <w:szCs w:val="32"/>
        </w:rPr>
        <w:t>单位</w:t>
      </w:r>
      <w:r>
        <w:rPr>
          <w:rFonts w:ascii="仿宋" w:hAnsi="仿宋" w:eastAsia="仿宋"/>
          <w:sz w:val="32"/>
          <w:szCs w:val="32"/>
        </w:rPr>
        <w:t>机关运行经费安排13.73万元，其中办公费0万元，邮电费0万元，工会经费</w:t>
      </w:r>
      <w:r>
        <w:rPr>
          <w:rFonts w:hint="eastAsia" w:ascii="仿宋" w:hAnsi="仿宋" w:eastAsia="仿宋"/>
          <w:sz w:val="32"/>
          <w:szCs w:val="32"/>
        </w:rPr>
        <w:t>6.44万元</w:t>
      </w:r>
      <w:r>
        <w:rPr>
          <w:rFonts w:ascii="仿宋" w:hAnsi="仿宋" w:eastAsia="仿宋"/>
          <w:sz w:val="32"/>
          <w:szCs w:val="32"/>
        </w:rPr>
        <w:t>、福利费4.41万元，</w:t>
      </w:r>
      <w:r>
        <w:rPr>
          <w:rFonts w:hint="eastAsia" w:ascii="仿宋" w:hAnsi="仿宋" w:eastAsia="仿宋"/>
          <w:sz w:val="32"/>
          <w:szCs w:val="32"/>
        </w:rPr>
        <w:t>离退休干部经费2.88万元</w:t>
      </w:r>
      <w:r>
        <w:rPr>
          <w:rFonts w:ascii="仿宋" w:hAnsi="仿宋" w:eastAsia="仿宋"/>
          <w:sz w:val="32"/>
          <w:szCs w:val="32"/>
        </w:rPr>
        <w:t>。公务用车运行维护费0万元</w:t>
      </w:r>
      <w:r>
        <w:rPr>
          <w:rFonts w:hint="eastAsia" w:ascii="仿宋" w:hAnsi="仿宋" w:eastAsia="仿宋"/>
          <w:sz w:val="32"/>
          <w:szCs w:val="32"/>
        </w:rPr>
        <w:t>，</w:t>
      </w:r>
      <w:r>
        <w:rPr>
          <w:rFonts w:ascii="仿宋" w:hAnsi="仿宋" w:eastAsia="仿宋"/>
          <w:sz w:val="32"/>
          <w:szCs w:val="32"/>
        </w:rPr>
        <w:t>其他支出0万元。</w:t>
      </w: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5"/>
        <w:tblW w:w="5000" w:type="pct"/>
        <w:tblInd w:w="0" w:type="dxa"/>
        <w:tblLayout w:type="autofit"/>
        <w:tblCellMar>
          <w:top w:w="0" w:type="dxa"/>
          <w:left w:w="108" w:type="dxa"/>
          <w:bottom w:w="0" w:type="dxa"/>
          <w:right w:w="108" w:type="dxa"/>
        </w:tblCellMar>
      </w:tblPr>
      <w:tblGrid>
        <w:gridCol w:w="9515"/>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5"/>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ascii="黑体" w:hAnsi="黑体" w:eastAsia="黑体" w:cs="宋体"/>
                      <w:kern w:val="0"/>
                      <w:sz w:val="32"/>
                      <w:szCs w:val="32"/>
                    </w:rPr>
                  </w:pPr>
                  <w:r>
                    <w:rPr>
                      <w:rFonts w:ascii="黑体" w:hAnsi="黑体" w:eastAsia="黑体" w:cs="宋体"/>
                      <w:kern w:val="0"/>
                      <w:sz w:val="32"/>
                      <w:szCs w:val="32"/>
                    </w:rPr>
                    <w:t>202</w:t>
                  </w:r>
                  <w:r>
                    <w:rPr>
                      <w:rFonts w:hint="eastAsia" w:ascii="黑体" w:hAnsi="黑体" w:eastAsia="黑体" w:cs="宋体"/>
                      <w:kern w:val="0"/>
                      <w:sz w:val="32"/>
                      <w:szCs w:val="32"/>
                    </w:rPr>
                    <w:t>1年</w:t>
                  </w:r>
                  <w:r>
                    <w:rPr>
                      <w:rFonts w:ascii="黑体" w:hAnsi="黑体" w:eastAsia="黑体" w:cs="宋体"/>
                      <w:kern w:val="0"/>
                      <w:sz w:val="32"/>
                      <w:szCs w:val="32"/>
                    </w:rPr>
                    <w:t>我单位无三公经费</w:t>
                  </w:r>
                  <w:r>
                    <w:rPr>
                      <w:rFonts w:hint="eastAsia" w:ascii="黑体" w:hAnsi="黑体" w:eastAsia="黑体" w:cs="宋体"/>
                      <w:kern w:val="0"/>
                      <w:sz w:val="32"/>
                      <w:szCs w:val="32"/>
                    </w:rPr>
                    <w:t>，</w:t>
                  </w:r>
                  <w:r>
                    <w:rPr>
                      <w:rFonts w:ascii="黑体" w:hAnsi="黑体" w:eastAsia="黑体" w:cs="宋体"/>
                      <w:kern w:val="0"/>
                      <w:sz w:val="32"/>
                      <w:szCs w:val="32"/>
                    </w:rPr>
                    <w:t>空表列示</w:t>
                  </w:r>
                  <w:r>
                    <w:rPr>
                      <w:rFonts w:hint="eastAsia" w:ascii="黑体" w:hAnsi="黑体" w:eastAsia="黑体" w:cs="宋体"/>
                      <w:kern w:val="0"/>
                      <w:sz w:val="32"/>
                      <w:szCs w:val="32"/>
                    </w:rPr>
                    <w:t>。</w:t>
                  </w: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spacing w:line="360" w:lineRule="auto"/>
        <w:rPr>
          <w:rFonts w:ascii="黑体" w:hAnsi="黑体" w:eastAsia="黑体" w:cs="Times New Roman"/>
          <w:sz w:val="32"/>
          <w:szCs w:val="32"/>
        </w:rPr>
      </w:pPr>
    </w:p>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单位整体</w:t>
      </w:r>
      <w:r>
        <w:rPr>
          <w:rFonts w:ascii="方正小标宋_GBK" w:eastAsia="方正小标宋_GBK"/>
          <w:sz w:val="44"/>
        </w:rPr>
        <w:t>绩效目标</w:t>
      </w:r>
    </w:p>
    <w:p>
      <w:pPr>
        <w:ind w:firstLine="560" w:firstLineChars="200"/>
        <w:outlineLvl w:val="0"/>
        <w:rPr>
          <w:rFonts w:ascii="仿宋" w:hAnsi="仿宋" w:eastAsia="仿宋"/>
          <w:sz w:val="28"/>
          <w:szCs w:val="28"/>
        </w:rPr>
      </w:pPr>
      <w:r>
        <w:rPr>
          <w:rFonts w:ascii="仿宋" w:hAnsi="仿宋" w:eastAsia="仿宋"/>
          <w:sz w:val="28"/>
          <w:szCs w:val="28"/>
        </w:rPr>
        <w:t>202</w:t>
      </w:r>
      <w:r>
        <w:rPr>
          <w:rFonts w:hint="eastAsia" w:ascii="仿宋" w:hAnsi="仿宋" w:eastAsia="仿宋"/>
          <w:sz w:val="28"/>
          <w:szCs w:val="28"/>
        </w:rPr>
        <w:t>1</w:t>
      </w:r>
      <w:r>
        <w:rPr>
          <w:rFonts w:ascii="仿宋" w:hAnsi="仿宋" w:eastAsia="仿宋"/>
          <w:sz w:val="28"/>
          <w:szCs w:val="28"/>
        </w:rPr>
        <w:t>年</w:t>
      </w:r>
      <w:r>
        <w:rPr>
          <w:rFonts w:hint="eastAsia" w:ascii="仿宋" w:hAnsi="仿宋" w:eastAsia="仿宋"/>
          <w:sz w:val="28"/>
          <w:szCs w:val="28"/>
        </w:rPr>
        <w:t>特殊教育学校</w:t>
      </w:r>
      <w:r>
        <w:rPr>
          <w:rFonts w:ascii="仿宋" w:hAnsi="仿宋" w:eastAsia="仿宋"/>
          <w:sz w:val="28"/>
          <w:szCs w:val="28"/>
        </w:rPr>
        <w:t>整体目标是：提高</w:t>
      </w:r>
      <w:r>
        <w:rPr>
          <w:rFonts w:hint="eastAsia" w:ascii="仿宋" w:hAnsi="仿宋" w:eastAsia="仿宋"/>
          <w:sz w:val="28"/>
          <w:szCs w:val="28"/>
        </w:rPr>
        <w:t>特殊教育</w:t>
      </w:r>
      <w:r>
        <w:rPr>
          <w:rFonts w:ascii="仿宋" w:hAnsi="仿宋" w:eastAsia="仿宋"/>
          <w:sz w:val="28"/>
          <w:szCs w:val="28"/>
        </w:rPr>
        <w:t>义务教育公用经费保障水平，改善学校办学条件，美化校园环境，增加基础设施的投资，缩小城乡、校际之间办学差距，落实学生资助政策，强化校园安全，努力提高本校教师的职业幸福感，促进学校教育教学进一步发展。</w:t>
      </w:r>
    </w:p>
    <w:p>
      <w:pPr>
        <w:ind w:firstLine="560" w:firstLineChars="200"/>
        <w:outlineLvl w:val="0"/>
        <w:rPr>
          <w:rFonts w:ascii="仿宋" w:hAnsi="仿宋" w:eastAsia="仿宋"/>
          <w:sz w:val="28"/>
          <w:szCs w:val="28"/>
        </w:rPr>
      </w:pPr>
    </w:p>
    <w:p>
      <w:pPr>
        <w:jc w:val="center"/>
        <w:outlineLvl w:val="0"/>
        <w:rPr>
          <w:rFonts w:ascii="仿宋" w:hAnsi="仿宋" w:eastAsia="仿宋"/>
          <w:sz w:val="28"/>
          <w:szCs w:val="28"/>
        </w:rPr>
      </w:pPr>
      <w:r>
        <w:rPr>
          <w:rFonts w:hint="eastAsia" w:ascii="仿宋" w:hAnsi="仿宋" w:eastAsia="仿宋"/>
          <w:sz w:val="28"/>
          <w:szCs w:val="28"/>
        </w:rPr>
        <w:t>二、分项绩效目标</w:t>
      </w:r>
    </w:p>
    <w:p>
      <w:pPr>
        <w:outlineLvl w:val="0"/>
        <w:rPr>
          <w:rFonts w:ascii="仿宋" w:hAnsi="仿宋" w:eastAsia="仿宋"/>
          <w:sz w:val="28"/>
          <w:szCs w:val="28"/>
        </w:rPr>
      </w:pPr>
      <w:r>
        <w:rPr>
          <w:rFonts w:ascii="仿宋" w:hAnsi="仿宋" w:eastAsia="仿宋"/>
          <w:sz w:val="28"/>
          <w:szCs w:val="28"/>
        </w:rPr>
        <w:t>(一）全面加强思想政治建设。</w:t>
      </w:r>
    </w:p>
    <w:p>
      <w:pPr>
        <w:outlineLvl w:val="0"/>
        <w:rPr>
          <w:rFonts w:ascii="仿宋" w:hAnsi="仿宋" w:eastAsia="仿宋"/>
          <w:sz w:val="28"/>
          <w:szCs w:val="28"/>
        </w:rPr>
      </w:pPr>
      <w:r>
        <w:rPr>
          <w:rFonts w:hint="eastAsia" w:ascii="仿宋" w:hAnsi="仿宋" w:eastAsia="仿宋"/>
          <w:sz w:val="28"/>
          <w:szCs w:val="28"/>
        </w:rPr>
        <w:t>绩效目标：把学习宣传贯彻习近平新时代中国特色社会主义思想作为首要政治任务，深入学习贯彻习近平总书记关于教育的重要论述。把习近平新时代中国特色社会主义思想和党的十九大、十九届历次全会和二十大精神纳入理论学习材料，切实把思想和行动统一到党中央、省委、市委、区委决策部署上来。开展师生迎接、学习、宣传党的二十大专项行动，抓实抓紧教职工政治理论学习，用党的创新理论武装头脑、指导实践、推动工作。加强思想政治工作，推动思想政治理论课改革创新，实现全员育人、全程育人、全方位育人，不断提高工作能力和思想政治工作水平。</w:t>
      </w:r>
    </w:p>
    <w:p>
      <w:pPr>
        <w:outlineLvl w:val="0"/>
        <w:rPr>
          <w:rFonts w:ascii="仿宋" w:hAnsi="仿宋" w:eastAsia="仿宋"/>
          <w:sz w:val="28"/>
          <w:szCs w:val="28"/>
        </w:rPr>
      </w:pPr>
      <w:r>
        <w:rPr>
          <w:rFonts w:hint="eastAsia" w:ascii="仿宋" w:hAnsi="仿宋" w:eastAsia="仿宋"/>
          <w:sz w:val="28"/>
          <w:szCs w:val="28"/>
        </w:rPr>
        <w:t>（二）推进学校特色课程深入开展。</w:t>
      </w:r>
    </w:p>
    <w:p>
      <w:pPr>
        <w:jc w:val="center"/>
        <w:outlineLvl w:val="0"/>
        <w:rPr>
          <w:rFonts w:ascii="仿宋" w:hAnsi="仿宋" w:eastAsia="仿宋"/>
          <w:sz w:val="28"/>
          <w:szCs w:val="28"/>
        </w:rPr>
      </w:pPr>
      <w:r>
        <w:rPr>
          <w:rFonts w:hint="eastAsia" w:ascii="仿宋" w:hAnsi="仿宋" w:eastAsia="仿宋"/>
          <w:sz w:val="28"/>
          <w:szCs w:val="28"/>
        </w:rPr>
        <w:t>绩效目标：根据特殊儿童需求，开足开齐适合特殊儿童锻炼的特色课程，认真落实学生每天特色活动时间。大力普及适合特殊儿童康复训练的项目，积极推进精细、粗大、轮滑等基础康复训练项目，让每位学生得到训练康复</w:t>
      </w:r>
      <w:r>
        <w:rPr>
          <w:rFonts w:ascii="仿宋" w:hAnsi="仿宋" w:eastAsia="仿宋"/>
          <w:sz w:val="28"/>
          <w:szCs w:val="28"/>
        </w:rPr>
        <w:t>。</w:t>
      </w:r>
    </w:p>
    <w:p>
      <w:pPr>
        <w:outlineLvl w:val="0"/>
        <w:rPr>
          <w:rFonts w:ascii="仿宋" w:hAnsi="仿宋" w:eastAsia="仿宋"/>
          <w:sz w:val="28"/>
          <w:szCs w:val="28"/>
        </w:rPr>
      </w:pPr>
      <w:r>
        <w:rPr>
          <w:rFonts w:hint="eastAsia" w:ascii="仿宋" w:hAnsi="仿宋" w:eastAsia="仿宋"/>
          <w:sz w:val="28"/>
          <w:szCs w:val="28"/>
        </w:rPr>
        <w:t>绩效指标：落实学生“康复训练家庭作业”制度，确保参与康复测试率达</w:t>
      </w:r>
      <w:r>
        <w:rPr>
          <w:rFonts w:ascii="仿宋" w:hAnsi="仿宋" w:eastAsia="仿宋"/>
          <w:sz w:val="28"/>
          <w:szCs w:val="28"/>
        </w:rPr>
        <w:t>95%以上，学校学生体检健康测试上报率</w:t>
      </w:r>
      <w:r>
        <w:rPr>
          <w:rFonts w:hint="eastAsia" w:ascii="仿宋" w:hAnsi="仿宋" w:eastAsia="仿宋"/>
          <w:sz w:val="28"/>
          <w:szCs w:val="28"/>
        </w:rPr>
        <w:t>95</w:t>
      </w:r>
      <w:r>
        <w:rPr>
          <w:rFonts w:ascii="仿宋" w:hAnsi="仿宋" w:eastAsia="仿宋"/>
          <w:sz w:val="28"/>
          <w:szCs w:val="28"/>
        </w:rPr>
        <w:t>%。</w:t>
      </w:r>
    </w:p>
    <w:p>
      <w:pPr>
        <w:outlineLvl w:val="0"/>
        <w:rPr>
          <w:rFonts w:ascii="仿宋" w:hAnsi="仿宋" w:eastAsia="仿宋"/>
          <w:sz w:val="28"/>
          <w:szCs w:val="28"/>
        </w:rPr>
      </w:pPr>
      <w:r>
        <w:rPr>
          <w:rFonts w:hint="eastAsia" w:ascii="仿宋" w:hAnsi="仿宋" w:eastAsia="仿宋"/>
          <w:sz w:val="28"/>
          <w:szCs w:val="28"/>
        </w:rPr>
        <w:t>（三）落实贫困学生生活补助</w:t>
      </w:r>
    </w:p>
    <w:p>
      <w:pPr>
        <w:jc w:val="center"/>
        <w:outlineLvl w:val="0"/>
        <w:rPr>
          <w:rFonts w:ascii="仿宋" w:hAnsi="仿宋" w:eastAsia="仿宋"/>
          <w:sz w:val="28"/>
          <w:szCs w:val="28"/>
        </w:rPr>
      </w:pPr>
      <w:r>
        <w:rPr>
          <w:rFonts w:hint="eastAsia" w:ascii="仿宋" w:hAnsi="仿宋" w:eastAsia="仿宋"/>
          <w:sz w:val="28"/>
          <w:szCs w:val="28"/>
        </w:rPr>
        <w:t>绩效目标：对我校贫困学生全部统计，并纳入补助范围，做到应补尽补。</w:t>
      </w:r>
    </w:p>
    <w:p>
      <w:pPr>
        <w:outlineLvl w:val="0"/>
        <w:rPr>
          <w:rFonts w:ascii="仿宋" w:hAnsi="仿宋" w:eastAsia="仿宋"/>
          <w:sz w:val="28"/>
          <w:szCs w:val="28"/>
        </w:rPr>
      </w:pPr>
      <w:r>
        <w:rPr>
          <w:rFonts w:hint="eastAsia" w:ascii="仿宋" w:hAnsi="仿宋" w:eastAsia="仿宋"/>
          <w:sz w:val="28"/>
          <w:szCs w:val="28"/>
        </w:rPr>
        <w:t>绩效指标：落实贫困学生生活</w:t>
      </w:r>
      <w:r>
        <w:rPr>
          <w:rFonts w:ascii="仿宋" w:hAnsi="仿宋" w:eastAsia="仿宋"/>
          <w:sz w:val="28"/>
          <w:szCs w:val="28"/>
        </w:rPr>
        <w:t>补助：初中寄宿生每生每年</w:t>
      </w:r>
      <w:r>
        <w:rPr>
          <w:rFonts w:hint="eastAsia" w:ascii="仿宋" w:hAnsi="仿宋" w:eastAsia="仿宋"/>
          <w:sz w:val="28"/>
          <w:szCs w:val="28"/>
        </w:rPr>
        <w:t>1500元，</w:t>
      </w:r>
      <w:r>
        <w:rPr>
          <w:rFonts w:ascii="仿宋" w:hAnsi="仿宋" w:eastAsia="仿宋"/>
          <w:sz w:val="28"/>
          <w:szCs w:val="28"/>
        </w:rPr>
        <w:t>初中非寄宿生每生每年</w:t>
      </w:r>
      <w:r>
        <w:rPr>
          <w:rFonts w:hint="eastAsia" w:ascii="仿宋" w:hAnsi="仿宋" w:eastAsia="仿宋"/>
          <w:sz w:val="28"/>
          <w:szCs w:val="28"/>
        </w:rPr>
        <w:t>625元</w:t>
      </w:r>
      <w:r>
        <w:rPr>
          <w:rFonts w:ascii="仿宋" w:hAnsi="仿宋" w:eastAsia="仿宋"/>
          <w:sz w:val="28"/>
          <w:szCs w:val="28"/>
        </w:rPr>
        <w:t>，</w:t>
      </w:r>
      <w:r>
        <w:rPr>
          <w:rFonts w:hint="eastAsia" w:ascii="仿宋" w:hAnsi="仿宋" w:eastAsia="仿宋"/>
          <w:sz w:val="28"/>
          <w:szCs w:val="28"/>
        </w:rPr>
        <w:t>小</w:t>
      </w:r>
      <w:r>
        <w:rPr>
          <w:rFonts w:ascii="仿宋" w:hAnsi="仿宋" w:eastAsia="仿宋"/>
          <w:sz w:val="28"/>
          <w:szCs w:val="28"/>
        </w:rPr>
        <w:t>学寄宿生每生每年</w:t>
      </w:r>
      <w:r>
        <w:rPr>
          <w:rFonts w:hint="eastAsia" w:ascii="仿宋" w:hAnsi="仿宋" w:eastAsia="仿宋"/>
          <w:sz w:val="28"/>
          <w:szCs w:val="28"/>
        </w:rPr>
        <w:t>1000元</w:t>
      </w:r>
      <w:r>
        <w:rPr>
          <w:rFonts w:ascii="仿宋" w:hAnsi="仿宋" w:eastAsia="仿宋"/>
          <w:sz w:val="28"/>
          <w:szCs w:val="28"/>
        </w:rPr>
        <w:t>，小学非寄宿生</w:t>
      </w:r>
      <w:r>
        <w:rPr>
          <w:rFonts w:hint="eastAsia" w:ascii="仿宋" w:hAnsi="仿宋" w:eastAsia="仿宋"/>
          <w:sz w:val="28"/>
          <w:szCs w:val="28"/>
        </w:rPr>
        <w:t>每</w:t>
      </w:r>
      <w:r>
        <w:rPr>
          <w:rFonts w:ascii="仿宋" w:hAnsi="仿宋" w:eastAsia="仿宋"/>
          <w:sz w:val="28"/>
          <w:szCs w:val="28"/>
        </w:rPr>
        <w:t>生每年</w:t>
      </w:r>
      <w:r>
        <w:rPr>
          <w:rFonts w:hint="eastAsia" w:ascii="仿宋" w:hAnsi="仿宋" w:eastAsia="仿宋"/>
          <w:sz w:val="28"/>
          <w:szCs w:val="28"/>
        </w:rPr>
        <w:t>500元</w:t>
      </w:r>
      <w:r>
        <w:rPr>
          <w:rFonts w:ascii="仿宋" w:hAnsi="仿宋" w:eastAsia="仿宋"/>
          <w:sz w:val="28"/>
          <w:szCs w:val="28"/>
        </w:rPr>
        <w:t>，保障学生正常在校学习。</w:t>
      </w:r>
    </w:p>
    <w:p>
      <w:pPr>
        <w:outlineLvl w:val="0"/>
        <w:rPr>
          <w:rFonts w:ascii="仿宋" w:hAnsi="仿宋" w:eastAsia="仿宋"/>
          <w:sz w:val="28"/>
          <w:szCs w:val="28"/>
        </w:rPr>
      </w:pPr>
      <w:r>
        <w:rPr>
          <w:rFonts w:hint="eastAsia" w:ascii="仿宋" w:hAnsi="仿宋" w:eastAsia="仿宋"/>
          <w:sz w:val="28"/>
          <w:szCs w:val="28"/>
        </w:rPr>
        <w:t>（四</w:t>
      </w:r>
      <w:r>
        <w:rPr>
          <w:rFonts w:ascii="仿宋" w:hAnsi="仿宋" w:eastAsia="仿宋"/>
          <w:sz w:val="28"/>
          <w:szCs w:val="28"/>
        </w:rPr>
        <w:t>）</w:t>
      </w:r>
      <w:r>
        <w:rPr>
          <w:rFonts w:hint="eastAsia" w:ascii="仿宋" w:hAnsi="仿宋" w:eastAsia="仿宋"/>
          <w:sz w:val="28"/>
          <w:szCs w:val="28"/>
        </w:rPr>
        <w:t>落</w:t>
      </w:r>
      <w:r>
        <w:rPr>
          <w:rFonts w:ascii="仿宋" w:hAnsi="仿宋" w:eastAsia="仿宋"/>
          <w:sz w:val="28"/>
          <w:szCs w:val="28"/>
        </w:rPr>
        <w:t>实小学段学生</w:t>
      </w:r>
      <w:r>
        <w:rPr>
          <w:rFonts w:hint="eastAsia" w:ascii="仿宋" w:hAnsi="仿宋" w:eastAsia="仿宋"/>
          <w:sz w:val="28"/>
          <w:szCs w:val="28"/>
        </w:rPr>
        <w:t>营养</w:t>
      </w:r>
      <w:r>
        <w:rPr>
          <w:rFonts w:ascii="仿宋" w:hAnsi="仿宋" w:eastAsia="仿宋"/>
          <w:sz w:val="28"/>
          <w:szCs w:val="28"/>
        </w:rPr>
        <w:t>改善计划膳食补助：为在校的小学</w:t>
      </w:r>
      <w:r>
        <w:rPr>
          <w:rFonts w:hint="eastAsia" w:ascii="仿宋" w:hAnsi="仿宋" w:eastAsia="仿宋"/>
          <w:sz w:val="28"/>
          <w:szCs w:val="28"/>
        </w:rPr>
        <w:t>段</w:t>
      </w:r>
      <w:r>
        <w:rPr>
          <w:rFonts w:ascii="仿宋" w:hAnsi="仿宋" w:eastAsia="仿宋"/>
          <w:sz w:val="28"/>
          <w:szCs w:val="28"/>
        </w:rPr>
        <w:t>学生每天每人提供一盒牛奶、一枚鸡蛋，标准每人每天</w:t>
      </w:r>
      <w:r>
        <w:rPr>
          <w:rFonts w:hint="eastAsia" w:ascii="仿宋" w:hAnsi="仿宋" w:eastAsia="仿宋"/>
          <w:sz w:val="28"/>
          <w:szCs w:val="28"/>
        </w:rPr>
        <w:t>2.5元</w:t>
      </w:r>
      <w:r>
        <w:rPr>
          <w:rFonts w:ascii="仿宋" w:hAnsi="仿宋" w:eastAsia="仿宋"/>
          <w:sz w:val="28"/>
          <w:szCs w:val="28"/>
        </w:rPr>
        <w:t>。</w:t>
      </w:r>
    </w:p>
    <w:p>
      <w:pPr>
        <w:jc w:val="center"/>
        <w:outlineLvl w:val="0"/>
        <w:rPr>
          <w:rFonts w:ascii="仿宋" w:hAnsi="仿宋" w:eastAsia="仿宋"/>
          <w:sz w:val="28"/>
          <w:szCs w:val="28"/>
        </w:rPr>
      </w:pPr>
      <w:r>
        <w:rPr>
          <w:rFonts w:hint="eastAsia" w:ascii="仿宋" w:hAnsi="仿宋" w:eastAsia="仿宋"/>
          <w:sz w:val="28"/>
          <w:szCs w:val="28"/>
        </w:rPr>
        <w:t>三、工作保障措施</w:t>
      </w:r>
    </w:p>
    <w:p>
      <w:pPr>
        <w:outlineLvl w:val="0"/>
        <w:rPr>
          <w:rFonts w:ascii="仿宋" w:hAnsi="仿宋" w:eastAsia="仿宋"/>
          <w:sz w:val="28"/>
          <w:szCs w:val="28"/>
        </w:rPr>
      </w:pPr>
      <w:r>
        <w:rPr>
          <w:rFonts w:hint="eastAsia" w:ascii="仿宋" w:hAnsi="仿宋" w:eastAsia="仿宋"/>
          <w:sz w:val="28"/>
          <w:szCs w:val="28"/>
        </w:rPr>
        <w:t>（一）加强组织领导。建立健全教育领域预算绩效管理制度体系。围绕年度总体绩效目标和分项绩效目标，明确责任主体，细化落实措施，确保绩效目标年内全部完成。</w:t>
      </w:r>
    </w:p>
    <w:p>
      <w:pPr>
        <w:outlineLvl w:val="0"/>
        <w:rPr>
          <w:rFonts w:ascii="仿宋" w:hAnsi="仿宋" w:eastAsia="仿宋"/>
          <w:sz w:val="28"/>
          <w:szCs w:val="28"/>
        </w:rPr>
      </w:pPr>
      <w:r>
        <w:rPr>
          <w:rFonts w:hint="eastAsia" w:ascii="仿宋" w:hAnsi="仿宋" w:eastAsia="仿宋"/>
          <w:sz w:val="28"/>
          <w:szCs w:val="28"/>
        </w:rPr>
        <w:t>（二）加强支出管理。按年初预算加快项目执行进度，加快资金支出，按时保质完成上级资金支出任务。</w:t>
      </w:r>
    </w:p>
    <w:p>
      <w:pPr>
        <w:outlineLvl w:val="0"/>
        <w:rPr>
          <w:rFonts w:ascii="仿宋" w:hAnsi="仿宋" w:eastAsia="仿宋"/>
          <w:sz w:val="28"/>
          <w:szCs w:val="28"/>
        </w:rPr>
      </w:pPr>
      <w:r>
        <w:rPr>
          <w:rFonts w:hint="eastAsia" w:ascii="仿宋" w:hAnsi="仿宋" w:eastAsia="仿宋"/>
          <w:sz w:val="28"/>
          <w:szCs w:val="28"/>
        </w:rPr>
        <w:t>（三）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jc w:val="center"/>
        <w:outlineLvl w:val="0"/>
        <w:rPr>
          <w:rFonts w:ascii="仿宋" w:hAnsi="仿宋" w:eastAsia="仿宋"/>
          <w:sz w:val="28"/>
          <w:szCs w:val="28"/>
        </w:rPr>
      </w:pPr>
      <w:r>
        <w:rPr>
          <w:rFonts w:hint="eastAsia" w:ascii="仿宋" w:hAnsi="仿宋" w:eastAsia="仿宋"/>
          <w:sz w:val="28"/>
          <w:szCs w:val="28"/>
        </w:rPr>
        <w:t>（四）规范财务资产管理。进一步完善财务管理制度，严格资产采购审批手续，加强固定资产登记、使用及报废处置管理，做到支出合理，物尽其用。</w:t>
      </w:r>
    </w:p>
    <w:p>
      <w:pPr>
        <w:spacing w:line="360" w:lineRule="auto"/>
        <w:ind w:firstLine="560" w:firstLineChars="200"/>
        <w:rPr>
          <w:rFonts w:ascii="仿宋" w:hAnsi="仿宋" w:eastAsia="仿宋"/>
          <w:sz w:val="32"/>
          <w:szCs w:val="32"/>
        </w:rPr>
      </w:pPr>
      <w:r>
        <w:rPr>
          <w:rFonts w:hint="eastAsia" w:ascii="仿宋" w:hAnsi="仿宋" w:eastAsia="仿宋"/>
          <w:sz w:val="28"/>
          <w:szCs w:val="28"/>
        </w:rPr>
        <w:t>（五）加强内部自查。加强内部自查制度建设，对绩效运行情况、重大支出决策、资产处置及其他重要经济业务的决策和执行进行内部自查，确保财政资金安</w:t>
      </w: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书宋_GBK" w:eastAsia="方正书宋_GBK"/>
        </w:rPr>
      </w:pPr>
      <w:r>
        <w:rPr>
          <w:rFonts w:hint="eastAsia" w:ascii="方正小标宋_GBK" w:eastAsia="方正小标宋_GBK"/>
          <w:sz w:val="44"/>
        </w:rPr>
        <w:t>预算项目绩效目标</w:t>
      </w:r>
      <w:r>
        <w:rPr>
          <w:rFonts w:ascii="方正书宋_GBK" w:eastAsia="方正书宋_GBK"/>
        </w:rPr>
        <w:t xml:space="preserve"> </w:t>
      </w:r>
    </w:p>
    <w:p>
      <w:pPr>
        <w:spacing w:line="360" w:lineRule="auto"/>
        <w:ind w:firstLine="640" w:firstLineChars="200"/>
        <w:rPr>
          <w:rFonts w:ascii="仿宋" w:hAnsi="仿宋" w:eastAsia="仿宋"/>
          <w:sz w:val="32"/>
          <w:szCs w:val="32"/>
        </w:rPr>
      </w:pPr>
    </w:p>
    <w:p>
      <w:pPr>
        <w:ind w:firstLine="562" w:firstLineChars="200"/>
        <w:jc w:val="left"/>
        <w:outlineLvl w:val="3"/>
        <w:rPr>
          <w:rFonts w:ascii="Times New Roman" w:hAnsi="宋体" w:eastAsia="宋体"/>
          <w:b/>
          <w:sz w:val="28"/>
        </w:rPr>
      </w:pPr>
      <w:bookmarkStart w:id="0" w:name="_Toc71388408"/>
      <w:r>
        <w:rPr>
          <w:rFonts w:hint="eastAsia" w:ascii="方正仿宋_GBK" w:eastAsia="方正仿宋_GBK"/>
          <w:b/>
          <w:sz w:val="28"/>
        </w:rPr>
        <w:t>1</w:t>
      </w:r>
      <w:r>
        <w:rPr>
          <w:rFonts w:ascii="方正仿宋_GBK" w:eastAsia="方正仿宋_GBK"/>
          <w:b/>
          <w:sz w:val="28"/>
        </w:rPr>
        <w:t>.提前下达2021年城乡义务教育保障机制改革市级资金-困难学生生活补助绩效目标表</w:t>
      </w:r>
      <w:bookmarkEnd w:id="0"/>
      <w:r>
        <w:fldChar w:fldCharType="begin"/>
      </w:r>
      <w:r>
        <w:rPr>
          <w:rFonts w:ascii="方正仿宋_GBK" w:eastAsia="方正仿宋_GBK"/>
          <w:b/>
          <w:sz w:val="28"/>
        </w:rPr>
        <w:instrText xml:space="preserve"> TC 105、提前下达2021年城乡义务教育保障机制改革市级资金-困难学生生活补助绩效目标表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360012特殊教育学校</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1306252109NWAGTHFPYXP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提前下达2021年城乡义务教育保障机制改革市级资金-困难学生生活补助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46000.00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46000.00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保障困难学生入学率，减轻困难家庭经济负担，使学生身心健康发展。</w:t>
            </w:r>
            <w:r>
              <w:rPr>
                <w:rFonts w:ascii="方正书宋_GBK" w:eastAsia="方正书宋_GBK"/>
              </w:rPr>
              <w:tab/>
            </w:r>
            <w:r>
              <w:rPr>
                <w:rFonts w:ascii="方正书宋_GBK" w:eastAsia="方正书宋_GBK"/>
              </w:rPr>
              <w:tab/>
            </w:r>
            <w:r>
              <w:rPr>
                <w:rFonts w:ascii="方正书宋_GBK" w:eastAsia="方正书宋_GBK"/>
              </w:rPr>
              <w:tab/>
            </w:r>
            <w:r>
              <w:rPr>
                <w:rFonts w:ascii="方正书宋_GBK" w:eastAsia="方正书宋_GBK"/>
              </w:rPr>
              <w:tab/>
            </w:r>
            <w:r>
              <w:rPr>
                <w:rFonts w:ascii="方正书宋_GBK" w:eastAsia="方正书宋_GBK"/>
              </w:rPr>
              <w:tab/>
            </w:r>
            <w:r>
              <w:rPr>
                <w:rFonts w:ascii="方正书宋_GBK" w:eastAsia="方正书宋_GBK"/>
              </w:rPr>
              <w:tab/>
            </w:r>
            <w:r>
              <w:rPr>
                <w:rFonts w:ascii="方正书宋_GBK" w:eastAsia="方正书宋_GBK"/>
              </w:rPr>
              <w:tab/>
            </w:r>
          </w:p>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1.保障困难学生入学率</w:t>
            </w:r>
          </w:p>
          <w:p>
            <w:pPr>
              <w:spacing w:line="300" w:lineRule="exact"/>
              <w:jc w:val="left"/>
              <w:rPr>
                <w:rFonts w:ascii="方正书宋_GBK" w:eastAsia="方正书宋_GBK"/>
              </w:rPr>
            </w:pPr>
            <w:r>
              <w:rPr>
                <w:rFonts w:ascii="方正书宋_GBK" w:eastAsia="方正书宋_GBK"/>
              </w:rPr>
              <w:t>2.减轻困难家庭经济负担</w:t>
            </w:r>
          </w:p>
          <w:p>
            <w:pPr>
              <w:spacing w:line="300" w:lineRule="exact"/>
              <w:jc w:val="left"/>
              <w:rPr>
                <w:rFonts w:ascii="方正书宋_GBK" w:eastAsia="方正书宋_GBK"/>
              </w:rPr>
            </w:pPr>
            <w:r>
              <w:rPr>
                <w:rFonts w:ascii="方正书宋_GBK" w:eastAsia="方正书宋_GBK"/>
              </w:rPr>
              <w:t>3.使学生身心健康发展</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发放到每一位受资助对象</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经费足额发放</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保障经济困难学生生活消费</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&gt;96%</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保障经费足额发放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学生表现优良率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学生思想优良，学会感恩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 w:name="_Toc71388409"/>
      <w:r>
        <w:rPr>
          <w:rFonts w:hint="eastAsia" w:ascii="方正仿宋_GBK" w:eastAsia="方正仿宋_GBK"/>
          <w:b/>
          <w:sz w:val="28"/>
        </w:rPr>
        <w:t>2</w:t>
      </w:r>
      <w:r>
        <w:rPr>
          <w:rFonts w:ascii="方正仿宋_GBK" w:eastAsia="方正仿宋_GBK"/>
          <w:b/>
          <w:sz w:val="28"/>
        </w:rPr>
        <w:t>.关于提前下达2021年城乡义务教育中央补助经费预算（直达资金）-公用经费绩效目标表</w:t>
      </w:r>
      <w:bookmarkEnd w:id="1"/>
      <w:r>
        <w:fldChar w:fldCharType="begin"/>
      </w:r>
      <w:r>
        <w:rPr>
          <w:rFonts w:ascii="方正仿宋_GBK" w:eastAsia="方正仿宋_GBK"/>
          <w:b/>
          <w:sz w:val="28"/>
        </w:rPr>
        <w:instrText xml:space="preserve"> TC 106、关于提前下达2021年城乡义务教育中央补助经费预算（直达资金）-公用经费绩效目标表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360012特殊教育学校</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130625210HQT2NM8GO6UP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338400.00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338400.00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用于维持学校正常运转，改善办学条件，提升学习生活质量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40.00%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1.维持学校正常运转</w:t>
            </w:r>
          </w:p>
          <w:p>
            <w:pPr>
              <w:spacing w:line="300" w:lineRule="exact"/>
              <w:jc w:val="left"/>
              <w:rPr>
                <w:rFonts w:ascii="方正书宋_GBK" w:eastAsia="方正书宋_GBK"/>
              </w:rPr>
            </w:pPr>
            <w:r>
              <w:rPr>
                <w:rFonts w:ascii="方正书宋_GBK" w:eastAsia="方正书宋_GBK"/>
              </w:rPr>
              <w:t>2.改善办学条件</w:t>
            </w:r>
          </w:p>
          <w:p>
            <w:pPr>
              <w:spacing w:line="300" w:lineRule="exact"/>
              <w:jc w:val="left"/>
              <w:rPr>
                <w:rFonts w:ascii="方正书宋_GBK" w:eastAsia="方正书宋_GBK"/>
              </w:rPr>
            </w:pPr>
            <w:r>
              <w:rPr>
                <w:rFonts w:ascii="方正书宋_GBK" w:eastAsia="方正书宋_GBK"/>
              </w:rPr>
              <w:t>3.提升学习生活质量</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&gt;96%</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2" w:name="_Toc71388410"/>
      <w:r>
        <w:rPr>
          <w:rFonts w:hint="eastAsia" w:ascii="方正仿宋_GBK" w:eastAsia="方正仿宋_GBK"/>
          <w:b/>
          <w:sz w:val="28"/>
        </w:rPr>
        <w:t>3</w:t>
      </w:r>
      <w:r>
        <w:rPr>
          <w:rFonts w:ascii="方正仿宋_GBK" w:eastAsia="方正仿宋_GBK"/>
          <w:b/>
          <w:sz w:val="28"/>
        </w:rPr>
        <w:t>.提前下达2021年特殊教育中央补助资金预算绩效目标表</w:t>
      </w:r>
      <w:bookmarkEnd w:id="2"/>
      <w:r>
        <w:fldChar w:fldCharType="begin"/>
      </w:r>
      <w:r>
        <w:rPr>
          <w:rFonts w:ascii="方正仿宋_GBK" w:eastAsia="方正仿宋_GBK"/>
          <w:b/>
          <w:sz w:val="28"/>
        </w:rPr>
        <w:instrText xml:space="preserve"> TC 107、提前下达2021年特殊教育中央补助资金预算绩效目标表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360012特殊教育学校</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13062521ANSPSRTMMWYH9</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提前下达2021年特殊教育中央补助资金预算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110000.00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110000.00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用于改善办学条件,提高师生生活学习质量,改善学校环境,提高教育教学水平.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1.改善办学条件</w:t>
            </w:r>
          </w:p>
          <w:p>
            <w:pPr>
              <w:spacing w:line="300" w:lineRule="exact"/>
              <w:jc w:val="left"/>
              <w:rPr>
                <w:rFonts w:ascii="方正书宋_GBK" w:eastAsia="方正书宋_GBK"/>
              </w:rPr>
            </w:pPr>
            <w:r>
              <w:rPr>
                <w:rFonts w:ascii="方正书宋_GBK" w:eastAsia="方正书宋_GBK"/>
              </w:rPr>
              <w:t>2.提高师生生活学习质量</w:t>
            </w:r>
          </w:p>
          <w:p>
            <w:pPr>
              <w:spacing w:line="300" w:lineRule="exact"/>
              <w:jc w:val="left"/>
              <w:rPr>
                <w:rFonts w:ascii="方正书宋_GBK" w:eastAsia="方正书宋_GBK"/>
              </w:rPr>
            </w:pPr>
            <w:r>
              <w:rPr>
                <w:rFonts w:ascii="方正书宋_GBK" w:eastAsia="方正书宋_GBK"/>
              </w:rPr>
              <w:t>3.提高教育教学水平</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资金使用评价</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&gt;96%</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保财教[2020]85号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保财教[2020]85号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保财教[2020]85号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保财教[2020]85号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保财教[2020]85号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可持续影响指标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改善办学条件,提高教育水平</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&gt;96%</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保财教[2020]85号</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3" w:name="_Toc71388411"/>
      <w:r>
        <w:rPr>
          <w:rFonts w:hint="eastAsia" w:ascii="方正仿宋_GBK" w:eastAsia="方正仿宋_GBK"/>
          <w:b/>
          <w:sz w:val="28"/>
        </w:rPr>
        <w:t>4</w:t>
      </w:r>
      <w:r>
        <w:rPr>
          <w:rFonts w:ascii="方正仿宋_GBK" w:eastAsia="方正仿宋_GBK"/>
          <w:b/>
          <w:sz w:val="28"/>
        </w:rPr>
        <w:t>.校园安保经费绩效目标表</w:t>
      </w:r>
      <w:bookmarkEnd w:id="3"/>
      <w:r>
        <w:fldChar w:fldCharType="begin"/>
      </w:r>
      <w:r>
        <w:rPr>
          <w:rFonts w:ascii="方正仿宋_GBK" w:eastAsia="方正仿宋_GBK"/>
          <w:b/>
          <w:sz w:val="28"/>
        </w:rPr>
        <w:instrText xml:space="preserve"> TC 108、校园安保经费绩效目标表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360012特殊教育学校</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13062521G1T3OGG6GSLQA</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45600.00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45600.00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为加强中小学（幼儿园）安全保卫工作，维持正常教育教学秩序，切实保障了师生生命、财产安全，有效的缓解了学校经济压力。</w:t>
            </w:r>
          </w:p>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1.加强校园保卫，维持正常秩序</w:t>
            </w:r>
          </w:p>
          <w:p>
            <w:pPr>
              <w:spacing w:line="300" w:lineRule="exact"/>
              <w:jc w:val="left"/>
              <w:rPr>
                <w:rFonts w:ascii="方正书宋_GBK" w:eastAsia="方正书宋_GBK"/>
              </w:rPr>
            </w:pPr>
            <w:r>
              <w:rPr>
                <w:rFonts w:ascii="方正书宋_GBK" w:eastAsia="方正书宋_GBK"/>
              </w:rPr>
              <w:t>2.保障师生生命财产安全</w:t>
            </w:r>
          </w:p>
          <w:p>
            <w:pPr>
              <w:spacing w:line="300" w:lineRule="exact"/>
              <w:jc w:val="left"/>
              <w:rPr>
                <w:rFonts w:ascii="方正书宋_GBK" w:eastAsia="方正书宋_GBK"/>
              </w:rPr>
            </w:pPr>
            <w:r>
              <w:rPr>
                <w:rFonts w:ascii="方正书宋_GBK" w:eastAsia="方正书宋_GBK"/>
              </w:rPr>
              <w:t>3.环节学校经济压力</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4" w:name="_Toc71388412"/>
      <w:r>
        <w:rPr>
          <w:rFonts w:hint="eastAsia" w:ascii="方正仿宋_GBK" w:eastAsia="方正仿宋_GBK"/>
          <w:b/>
          <w:sz w:val="28"/>
        </w:rPr>
        <w:t>5</w:t>
      </w:r>
      <w:r>
        <w:rPr>
          <w:rFonts w:ascii="方正仿宋_GBK" w:eastAsia="方正仿宋_GBK"/>
          <w:b/>
          <w:sz w:val="28"/>
        </w:rPr>
        <w:t>.提前下达2021年城乡义务教育省级补助资金-公用经费绩效目标表</w:t>
      </w:r>
      <w:bookmarkEnd w:id="4"/>
      <w:r>
        <w:fldChar w:fldCharType="begin"/>
      </w:r>
      <w:r>
        <w:rPr>
          <w:rFonts w:ascii="方正仿宋_GBK" w:eastAsia="方正仿宋_GBK"/>
          <w:b/>
          <w:sz w:val="28"/>
        </w:rPr>
        <w:instrText xml:space="preserve"> TC 109、提前下达2021年城乡义务教育省级补助资金-公用经费绩效目标表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360012特殊教育学校</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13062521GBEXYTILDY6T2</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225600.00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225600.00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用于学校各项业务活动，提高学校教育教学质量，改善学校环境，减轻学生学习压力。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1.保障学校正常运转</w:t>
            </w:r>
          </w:p>
          <w:p>
            <w:pPr>
              <w:spacing w:line="300" w:lineRule="exact"/>
              <w:jc w:val="left"/>
              <w:rPr>
                <w:rFonts w:ascii="方正书宋_GBK" w:eastAsia="方正书宋_GBK"/>
              </w:rPr>
            </w:pPr>
            <w:r>
              <w:rPr>
                <w:rFonts w:ascii="方正书宋_GBK" w:eastAsia="方正书宋_GBK"/>
              </w:rPr>
              <w:t>2.提高教育教学水平</w:t>
            </w:r>
          </w:p>
          <w:p>
            <w:pPr>
              <w:spacing w:line="300" w:lineRule="exact"/>
              <w:jc w:val="left"/>
              <w:rPr>
                <w:rFonts w:ascii="方正书宋_GBK" w:eastAsia="方正书宋_GBK"/>
              </w:rPr>
            </w:pPr>
            <w:r>
              <w:rPr>
                <w:rFonts w:ascii="方正书宋_GBK" w:eastAsia="方正书宋_GBK"/>
              </w:rPr>
              <w:t>3.改善学习环境，减轻学生学习压力</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5" w:name="_Toc71388413"/>
      <w:r>
        <w:rPr>
          <w:rFonts w:hint="eastAsia" w:ascii="方正仿宋_GBK" w:eastAsia="方正仿宋_GBK"/>
          <w:b/>
          <w:sz w:val="28"/>
        </w:rPr>
        <w:t>6</w:t>
      </w:r>
      <w:r>
        <w:rPr>
          <w:rFonts w:ascii="方正仿宋_GBK" w:eastAsia="方正仿宋_GBK"/>
          <w:b/>
          <w:sz w:val="28"/>
        </w:rPr>
        <w:t>.提前下达2021年特殊教育省级补助资金预算的通知绩效目标表</w:t>
      </w:r>
      <w:bookmarkEnd w:id="5"/>
      <w:r>
        <w:fldChar w:fldCharType="begin"/>
      </w:r>
      <w:r>
        <w:rPr>
          <w:rFonts w:ascii="方正仿宋_GBK" w:eastAsia="方正仿宋_GBK"/>
          <w:b/>
          <w:sz w:val="28"/>
        </w:rPr>
        <w:instrText xml:space="preserve"> TC 110、提前下达2021年特殊教育省级补助资金预算的通知绩效目标表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360012特殊教育学校</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13062521KTCLE4035LXBS</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提前下达2021年特殊教育省级补助资金预算的通知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70000.00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70000.00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用于资源教室建设，提高特殊教育办学水平，改善师生学习环境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1.用于资源教室建设，改善学习环境</w:t>
            </w:r>
          </w:p>
          <w:p>
            <w:pPr>
              <w:spacing w:line="300" w:lineRule="exact"/>
              <w:jc w:val="left"/>
              <w:rPr>
                <w:rFonts w:ascii="方正书宋_GBK" w:eastAsia="方正书宋_GBK"/>
              </w:rPr>
            </w:pPr>
            <w:r>
              <w:rPr>
                <w:rFonts w:ascii="方正书宋_GBK" w:eastAsia="方正书宋_GBK"/>
              </w:rPr>
              <w:t>2.提高特殊教育办学水平</w:t>
            </w:r>
          </w:p>
          <w:p>
            <w:pPr>
              <w:spacing w:line="300" w:lineRule="exact"/>
              <w:jc w:val="left"/>
              <w:rPr>
                <w:rFonts w:ascii="方正书宋_GBK" w:eastAsia="方正书宋_GBK"/>
              </w:rPr>
            </w:pPr>
            <w:r>
              <w:rPr>
                <w:rFonts w:ascii="方正书宋_GBK" w:eastAsia="方正书宋_GBK"/>
              </w:rPr>
              <w:t>3.赢得社会及家长认可</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保定市财政局、保定市教育局《关于提前下达2021年特殊教育省级补助资金预算的通知》保财教[2020]97号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&gt;96%</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保定市财政局、保定市教育局《关于提前下达2021年特殊教育省级补助资金预算的通知》保财教[2020]97号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保定市财政局、保定市教育局《关于提前下达2021年特殊教育省级补助资金预算的通知》保财教[2020]97号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保定市财政局、保定市教育局《关于提前下达2021年特殊教育省级补助资金预算的通知》保财教[2020]97号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保定市财政局、保定市教育局《关于提前下达2021年特殊教育省级补助资金预算的通知》保财教[2020]97号</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6" w:name="_Toc71388414"/>
      <w:r>
        <w:rPr>
          <w:rFonts w:hint="eastAsia" w:ascii="方正仿宋_GBK" w:eastAsia="方正仿宋_GBK"/>
          <w:b/>
          <w:sz w:val="28"/>
        </w:rPr>
        <w:t>7</w:t>
      </w:r>
      <w:r>
        <w:rPr>
          <w:rFonts w:ascii="方正仿宋_GBK" w:eastAsia="方正仿宋_GBK"/>
          <w:b/>
          <w:sz w:val="28"/>
        </w:rPr>
        <w:t>.关于提前下达2021年城乡义务教育中央补助经费预算（直达资金）-困难学生生活补助绩效目标表</w:t>
      </w:r>
      <w:bookmarkEnd w:id="6"/>
      <w:r>
        <w:fldChar w:fldCharType="begin"/>
      </w:r>
      <w:r>
        <w:rPr>
          <w:rFonts w:ascii="方正仿宋_GBK" w:eastAsia="方正仿宋_GBK"/>
          <w:b/>
          <w:sz w:val="28"/>
        </w:rPr>
        <w:instrText xml:space="preserve"> TC 111、关于提前下达2021年城乡义务教育中央补助经费预算（直达资金）-困难学生生活补助绩效目标表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360012特殊教育学校</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13062521SI302W2XDZ75X</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77750.00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77750.00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保障困难学生入学率，减轻困难家庭经济负担，使学生身心健康发展。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1.保障困难学生入学率</w:t>
            </w:r>
          </w:p>
          <w:p>
            <w:pPr>
              <w:spacing w:line="300" w:lineRule="exact"/>
              <w:jc w:val="left"/>
              <w:rPr>
                <w:rFonts w:ascii="方正书宋_GBK" w:eastAsia="方正书宋_GBK"/>
              </w:rPr>
            </w:pPr>
            <w:r>
              <w:rPr>
                <w:rFonts w:ascii="方正书宋_GBK" w:eastAsia="方正书宋_GBK"/>
              </w:rPr>
              <w:t>2.减轻困难家庭经济负担</w:t>
            </w:r>
          </w:p>
          <w:p>
            <w:pPr>
              <w:spacing w:line="300" w:lineRule="exact"/>
              <w:jc w:val="left"/>
              <w:rPr>
                <w:rFonts w:ascii="方正书宋_GBK" w:eastAsia="方正书宋_GBK"/>
              </w:rPr>
            </w:pPr>
            <w:r>
              <w:rPr>
                <w:rFonts w:ascii="方正书宋_GBK" w:eastAsia="方正书宋_GBK"/>
              </w:rPr>
              <w:t>3.使学生身心健康发展</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发放到每一位受资助对象</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经费足额发放</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保障经济困难学生生活消费</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&gt;96%</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保障经费足额发放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学生表现优良率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学生思想优良，学会感恩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7" w:name="_Toc71388415"/>
      <w:r>
        <w:rPr>
          <w:rFonts w:hint="eastAsia" w:ascii="方正仿宋_GBK" w:eastAsia="方正仿宋_GBK"/>
          <w:b/>
          <w:sz w:val="28"/>
        </w:rPr>
        <w:t>8</w:t>
      </w:r>
      <w:r>
        <w:rPr>
          <w:rFonts w:ascii="方正仿宋_GBK" w:eastAsia="方正仿宋_GBK"/>
          <w:b/>
          <w:sz w:val="28"/>
        </w:rPr>
        <w:t>.义务教育阶段小学生营养改善计划地方试点区级资金绩效目标表</w:t>
      </w:r>
      <w:bookmarkEnd w:id="7"/>
      <w:r>
        <w:fldChar w:fldCharType="begin"/>
      </w:r>
      <w:r>
        <w:rPr>
          <w:rFonts w:ascii="方正仿宋_GBK" w:eastAsia="方正仿宋_GBK"/>
          <w:b/>
          <w:sz w:val="28"/>
        </w:rPr>
        <w:instrText xml:space="preserve"> TC 112、义务教育阶段小学生营养改善计划地方试点区级资金绩效目标表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360012特殊教育学校</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13062521T0C4H4QASDIIQ</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义务教育阶段小学生营养改善计划地方试点区级资金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8250.00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8250.00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用于义务教育阶段小学生营养改善，每个小学生每天（工作日）一盒学生奶、一枚熟鸡蛋。改善学生营养，提高身体素质，缓解家庭经济压力。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1.改善学生营养</w:t>
            </w:r>
          </w:p>
          <w:p>
            <w:pPr>
              <w:spacing w:line="300" w:lineRule="exact"/>
              <w:jc w:val="left"/>
              <w:rPr>
                <w:rFonts w:ascii="方正书宋_GBK" w:eastAsia="方正书宋_GBK"/>
              </w:rPr>
            </w:pPr>
            <w:r>
              <w:rPr>
                <w:rFonts w:ascii="方正书宋_GBK" w:eastAsia="方正书宋_GBK"/>
              </w:rPr>
              <w:t>2.提高身体素质</w:t>
            </w:r>
          </w:p>
          <w:p>
            <w:pPr>
              <w:spacing w:line="300" w:lineRule="exact"/>
              <w:jc w:val="left"/>
              <w:rPr>
                <w:rFonts w:ascii="方正书宋_GBK" w:eastAsia="方正书宋_GBK"/>
              </w:rPr>
            </w:pPr>
            <w:r>
              <w:rPr>
                <w:rFonts w:ascii="方正书宋_GBK" w:eastAsia="方正书宋_GBK"/>
              </w:rPr>
              <w:t>3.缓解家庭经济压力</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33人全面享受营养餐改善</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合格率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提高学生身体素质</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按时间节点完成</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&gt;96%</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按成本预算执行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有效改善学生体质，缓解经济压力</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bl>
    <w:p>
      <w:pPr>
        <w:spacing w:line="360" w:lineRule="auto"/>
        <w:ind w:firstLine="640" w:firstLineChars="200"/>
        <w:rPr>
          <w:rFonts w:ascii="仿宋" w:hAnsi="仿宋" w:eastAsia="仿宋"/>
          <w:sz w:val="32"/>
          <w:szCs w:val="32"/>
        </w:rPr>
        <w:sectPr>
          <w:pgSz w:w="11907" w:h="16839"/>
          <w:pgMar w:top="1984" w:right="1304" w:bottom="1134" w:left="1304" w:header="851" w:footer="992" w:gutter="0"/>
          <w:cols w:space="425" w:num="1"/>
          <w:docGrid w:type="lines" w:linePitch="312" w:charSpace="0"/>
        </w:sectPr>
      </w:pPr>
    </w:p>
    <w:p/>
    <w:p>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spacing w:line="360" w:lineRule="auto"/>
        <w:ind w:firstLine="960" w:firstLineChars="300"/>
        <w:rPr>
          <w:rFonts w:ascii="仿宋" w:hAnsi="仿宋" w:eastAsia="仿宋"/>
          <w:sz w:val="32"/>
          <w:szCs w:val="32"/>
        </w:rPr>
      </w:pPr>
      <w:r>
        <w:rPr>
          <w:rFonts w:ascii="仿宋" w:hAnsi="仿宋" w:eastAsia="仿宋"/>
          <w:sz w:val="32"/>
          <w:szCs w:val="32"/>
        </w:rPr>
        <w:t>2021年，我单位无政府采购预算，空表列示。</w:t>
      </w:r>
    </w:p>
    <w:p>
      <w:pPr>
        <w:spacing w:line="360" w:lineRule="auto"/>
        <w:ind w:firstLine="960" w:firstLineChars="300"/>
        <w:rPr>
          <w:rFonts w:ascii="仿宋" w:hAnsi="仿宋" w:eastAsia="仿宋"/>
          <w:sz w:val="32"/>
          <w:szCs w:val="32"/>
        </w:rPr>
      </w:pPr>
      <w:r>
        <w:rPr>
          <w:rFonts w:hint="eastAsia" w:ascii="仿宋" w:hAnsi="仿宋" w:eastAsia="仿宋"/>
          <w:sz w:val="32"/>
          <w:szCs w:val="32"/>
        </w:rPr>
        <w:t>附单位政府采购预算表空表。</w:t>
      </w:r>
    </w:p>
    <w:p>
      <w:pPr>
        <w:spacing w:line="360" w:lineRule="auto"/>
        <w:rPr>
          <w:rFonts w:ascii="仿宋" w:hAnsi="仿宋" w:eastAsia="仿宋"/>
          <w:sz w:val="32"/>
          <w:szCs w:val="32"/>
        </w:rPr>
      </w:pPr>
    </w:p>
    <w:p>
      <w:pPr>
        <w:jc w:val="center"/>
        <w:outlineLvl w:val="1"/>
      </w:pPr>
      <w:bookmarkStart w:id="8" w:name="_Toc_2_2_0000000007"/>
      <w:r>
        <w:rPr>
          <w:rFonts w:hint="eastAsia" w:ascii="仿宋" w:hAnsi="仿宋" w:eastAsia="仿宋"/>
          <w:sz w:val="32"/>
          <w:szCs w:val="32"/>
        </w:rPr>
        <w:t>单位</w:t>
      </w:r>
      <w:r>
        <w:rPr>
          <w:rFonts w:hint="eastAsia" w:ascii="方正小标宋_GBK" w:hAnsi="方正小标宋_GBK" w:eastAsia="方正小标宋_GBK" w:cs="方正小标宋_GBK"/>
          <w:color w:val="000000"/>
          <w:sz w:val="32"/>
        </w:rPr>
        <w:t>政府采购预算</w:t>
      </w:r>
      <w:bookmarkEnd w:id="8"/>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1"/>
        <w:gridCol w:w="964"/>
        <w:gridCol w:w="1134"/>
        <w:gridCol w:w="1134"/>
        <w:gridCol w:w="709"/>
        <w:gridCol w:w="850"/>
        <w:gridCol w:w="850"/>
        <w:gridCol w:w="964"/>
        <w:gridCol w:w="964"/>
        <w:gridCol w:w="964"/>
        <w:gridCol w:w="964"/>
        <w:gridCol w:w="964"/>
        <w:gridCol w:w="964"/>
        <w:gridCol w:w="964"/>
        <w:gridCol w:w="964"/>
        <w:gridCol w:w="9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bottom w:val="single" w:color="000000" w:sz="6" w:space="0"/>
              <w:right w:val="single" w:color="FFFFFF" w:sz="6" w:space="0"/>
            </w:tcBorders>
            <w:vAlign w:val="center"/>
          </w:tcPr>
          <w:p>
            <w:pPr>
              <w:pStyle w:val="16"/>
              <w:rPr>
                <w:lang w:eastAsia="zh-CN"/>
              </w:rPr>
            </w:pPr>
            <w:r>
              <w:t>360</w:t>
            </w:r>
            <w:r>
              <w:rPr>
                <w:rFonts w:hint="eastAsia"/>
                <w:lang w:eastAsia="zh-CN"/>
              </w:rPr>
              <w:t>012</w:t>
            </w:r>
            <w:r>
              <w:rPr>
                <w:rFonts w:hint="eastAsia"/>
              </w:rPr>
              <w:t>保定市徐水区</w:t>
            </w:r>
            <w:r>
              <w:rPr>
                <w:rFonts w:hint="eastAsia"/>
                <w:lang w:eastAsia="zh-CN"/>
              </w:rPr>
              <w:t>特殊教育学校</w:t>
            </w:r>
          </w:p>
        </w:tc>
        <w:tc>
          <w:tcPr>
            <w:tcW w:w="8674" w:type="dxa"/>
            <w:gridSpan w:val="9"/>
            <w:tcBorders>
              <w:top w:val="single" w:color="FFFFFF" w:sz="6" w:space="0"/>
              <w:left w:val="single" w:color="FFFFFF" w:sz="6" w:space="0"/>
              <w:bottom w:val="single" w:color="000000" w:sz="6" w:space="0"/>
              <w:right w:val="single" w:color="FFFFFF" w:sz="6" w:space="0"/>
            </w:tcBorders>
            <w:vAlign w:val="center"/>
          </w:tcPr>
          <w:p>
            <w:pPr>
              <w:pStyle w:val="15"/>
            </w:pPr>
            <w:r>
              <w:rPr>
                <w:rFonts w:hint="eastAsia"/>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665" w:type="dxa"/>
            <w:gridSpan w:val="2"/>
            <w:tcBorders>
              <w:top w:val="single" w:color="000000" w:sz="6" w:space="0"/>
              <w:left w:val="single" w:color="000000" w:sz="6" w:space="0"/>
              <w:bottom w:val="single" w:color="000000" w:sz="6" w:space="0"/>
              <w:right w:val="single" w:color="000000" w:sz="6" w:space="0"/>
            </w:tcBorders>
            <w:vAlign w:val="center"/>
          </w:tcPr>
          <w:p>
            <w:pPr>
              <w:pStyle w:val="10"/>
            </w:pPr>
            <w:r>
              <w:rPr>
                <w:rFonts w:hint="eastAsia"/>
              </w:rPr>
              <w:t>政府采购项目来源</w:t>
            </w:r>
          </w:p>
        </w:tc>
        <w:tc>
          <w:tcPr>
            <w:tcW w:w="1134" w:type="dxa"/>
            <w:vMerge w:val="restart"/>
            <w:tcBorders>
              <w:top w:val="single" w:color="000000" w:sz="6" w:space="0"/>
              <w:left w:val="single" w:color="000000" w:sz="6" w:space="0"/>
              <w:bottom w:val="single" w:color="000000" w:sz="6" w:space="0"/>
              <w:right w:val="single" w:color="000000" w:sz="6" w:space="0"/>
            </w:tcBorders>
            <w:vAlign w:val="center"/>
          </w:tcPr>
          <w:p>
            <w:pPr>
              <w:pStyle w:val="10"/>
            </w:pPr>
            <w:r>
              <w:rPr>
                <w:rFonts w:hint="eastAsia"/>
              </w:rPr>
              <w:t>采购物品名称</w:t>
            </w:r>
          </w:p>
        </w:tc>
        <w:tc>
          <w:tcPr>
            <w:tcW w:w="1134" w:type="dxa"/>
            <w:vMerge w:val="restart"/>
            <w:tcBorders>
              <w:top w:val="single" w:color="000000" w:sz="6" w:space="0"/>
              <w:left w:val="single" w:color="000000" w:sz="6" w:space="0"/>
              <w:bottom w:val="single" w:color="000000" w:sz="6" w:space="0"/>
              <w:right w:val="single" w:color="000000" w:sz="6" w:space="0"/>
            </w:tcBorders>
            <w:vAlign w:val="center"/>
          </w:tcPr>
          <w:p>
            <w:pPr>
              <w:pStyle w:val="10"/>
            </w:pPr>
            <w:r>
              <w:rPr>
                <w:rFonts w:hint="eastAsia"/>
              </w:rPr>
              <w:t>政府采购目录序号</w:t>
            </w:r>
          </w:p>
        </w:tc>
        <w:tc>
          <w:tcPr>
            <w:tcW w:w="709" w:type="dxa"/>
            <w:vMerge w:val="restart"/>
            <w:tcBorders>
              <w:top w:val="single" w:color="000000" w:sz="6" w:space="0"/>
              <w:left w:val="single" w:color="000000" w:sz="6" w:space="0"/>
              <w:bottom w:val="single" w:color="000000" w:sz="6" w:space="0"/>
              <w:right w:val="single" w:color="000000" w:sz="6" w:space="0"/>
            </w:tcBorders>
            <w:vAlign w:val="center"/>
          </w:tcPr>
          <w:p>
            <w:pPr>
              <w:pStyle w:val="10"/>
            </w:pPr>
            <w:r>
              <w:rPr>
                <w:rFonts w:hint="eastAsia"/>
              </w:rPr>
              <w:t>计量</w:t>
            </w:r>
            <w:r>
              <w:t xml:space="preserve">  </w:t>
            </w:r>
            <w:r>
              <w:rPr>
                <w:rFonts w:hint="eastAsia"/>
              </w:rPr>
              <w:t>单位</w:t>
            </w:r>
          </w:p>
        </w:tc>
        <w:tc>
          <w:tcPr>
            <w:tcW w:w="850" w:type="dxa"/>
            <w:vMerge w:val="restart"/>
            <w:tcBorders>
              <w:top w:val="single" w:color="000000" w:sz="6" w:space="0"/>
              <w:left w:val="single" w:color="000000" w:sz="6" w:space="0"/>
              <w:bottom w:val="single" w:color="000000" w:sz="6" w:space="0"/>
              <w:right w:val="single" w:color="000000" w:sz="6" w:space="0"/>
            </w:tcBorders>
            <w:vAlign w:val="center"/>
          </w:tcPr>
          <w:p>
            <w:pPr>
              <w:pStyle w:val="10"/>
            </w:pPr>
            <w:r>
              <w:rPr>
                <w:rFonts w:hint="eastAsia"/>
              </w:rPr>
              <w:t>数量</w:t>
            </w:r>
          </w:p>
        </w:tc>
        <w:tc>
          <w:tcPr>
            <w:tcW w:w="850" w:type="dxa"/>
            <w:vMerge w:val="restart"/>
            <w:tcBorders>
              <w:top w:val="single" w:color="000000" w:sz="6" w:space="0"/>
              <w:left w:val="single" w:color="000000" w:sz="6" w:space="0"/>
              <w:bottom w:val="single" w:color="000000" w:sz="6" w:space="0"/>
              <w:right w:val="single" w:color="000000" w:sz="6" w:space="0"/>
            </w:tcBorders>
            <w:vAlign w:val="center"/>
          </w:tcPr>
          <w:p>
            <w:pPr>
              <w:pStyle w:val="10"/>
            </w:pPr>
            <w:r>
              <w:rPr>
                <w:rFonts w:hint="eastAsia"/>
              </w:rPr>
              <w:t>单价</w:t>
            </w:r>
          </w:p>
        </w:tc>
        <w:tc>
          <w:tcPr>
            <w:tcW w:w="7710" w:type="dxa"/>
            <w:gridSpan w:val="8"/>
            <w:tcBorders>
              <w:top w:val="single" w:color="000000" w:sz="6" w:space="0"/>
              <w:left w:val="single" w:color="000000" w:sz="6" w:space="0"/>
              <w:bottom w:val="single" w:color="000000" w:sz="6" w:space="0"/>
              <w:right w:val="single" w:color="000000" w:sz="6" w:space="0"/>
            </w:tcBorders>
            <w:vAlign w:val="center"/>
          </w:tcPr>
          <w:p>
            <w:pPr>
              <w:pStyle w:val="10"/>
            </w:pPr>
            <w:r>
              <w:rPr>
                <w:rFonts w:hint="eastAsia"/>
              </w:rPr>
              <w:t>政府采购金额（当年单位预算安排资金）</w:t>
            </w:r>
          </w:p>
        </w:tc>
        <w:tc>
          <w:tcPr>
            <w:tcW w:w="964" w:type="dxa"/>
            <w:vMerge w:val="restart"/>
            <w:tcBorders>
              <w:top w:val="single" w:color="000000" w:sz="6" w:space="0"/>
              <w:left w:val="single" w:color="000000" w:sz="6" w:space="0"/>
              <w:bottom w:val="single" w:color="000000" w:sz="6" w:space="0"/>
              <w:right w:val="single" w:color="000000" w:sz="6" w:space="0"/>
            </w:tcBorders>
            <w:vAlign w:val="center"/>
          </w:tcPr>
          <w:p>
            <w:pPr>
              <w:pStyle w:val="10"/>
            </w:pPr>
            <w:r>
              <w:t>2021</w:t>
            </w:r>
            <w:r>
              <w:rPr>
                <w:rFonts w:hint="eastAsia"/>
              </w:rPr>
              <w:t>年</w:t>
            </w:r>
            <w:r>
              <w:t xml:space="preserve">  </w:t>
            </w:r>
            <w:r>
              <w:rPr>
                <w:rFonts w:hint="eastAsia"/>
              </w:rPr>
              <w:t>预留中</w:t>
            </w:r>
            <w:r>
              <w:t xml:space="preserve">  </w:t>
            </w:r>
            <w:r>
              <w:rPr>
                <w:rFonts w:hint="eastAsia"/>
              </w:rPr>
              <w:t>小微企</w:t>
            </w:r>
            <w:r>
              <w:t xml:space="preserve">  </w:t>
            </w:r>
            <w:r>
              <w:rPr>
                <w:rFonts w:hint="eastAsia"/>
              </w:rPr>
              <w:t>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701" w:type="dxa"/>
            <w:tcBorders>
              <w:top w:val="single" w:color="000000" w:sz="6" w:space="0"/>
              <w:left w:val="single" w:color="000000" w:sz="6" w:space="0"/>
              <w:bottom w:val="single" w:color="000000" w:sz="6" w:space="0"/>
              <w:right w:val="single" w:color="000000" w:sz="6" w:space="0"/>
            </w:tcBorders>
            <w:vAlign w:val="center"/>
          </w:tcPr>
          <w:p>
            <w:pPr>
              <w:pStyle w:val="10"/>
            </w:pPr>
            <w:r>
              <w:rPr>
                <w:rFonts w:hint="eastAsia"/>
              </w:rPr>
              <w:t>项目名称</w:t>
            </w: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0"/>
            </w:pPr>
            <w:r>
              <w:rPr>
                <w:rFonts w:hint="eastAsia"/>
              </w:rPr>
              <w:t>预算</w:t>
            </w:r>
            <w:r>
              <w:t xml:space="preserve">    </w:t>
            </w:r>
            <w:r>
              <w:rPr>
                <w:rFonts w:hint="eastAsia"/>
              </w:rPr>
              <w:t>资金</w:t>
            </w:r>
          </w:p>
        </w:tc>
        <w:tc>
          <w:tcPr>
            <w:tcW w:w="1134" w:type="dxa"/>
            <w:vMerge w:val="continue"/>
            <w:tcBorders>
              <w:top w:val="single" w:color="000000" w:sz="6" w:space="0"/>
              <w:left w:val="single" w:color="000000" w:sz="6" w:space="0"/>
              <w:bottom w:val="single" w:color="000000" w:sz="6" w:space="0"/>
              <w:right w:val="single" w:color="000000" w:sz="6" w:space="0"/>
            </w:tcBorders>
          </w:tcPr>
          <w:p/>
        </w:tc>
        <w:tc>
          <w:tcPr>
            <w:tcW w:w="1134" w:type="dxa"/>
            <w:vMerge w:val="continue"/>
            <w:tcBorders>
              <w:top w:val="single" w:color="000000" w:sz="6" w:space="0"/>
              <w:left w:val="single" w:color="000000" w:sz="6" w:space="0"/>
              <w:bottom w:val="single" w:color="000000" w:sz="6" w:space="0"/>
              <w:right w:val="single" w:color="000000" w:sz="6" w:space="0"/>
            </w:tcBorders>
          </w:tcPr>
          <w:p/>
        </w:tc>
        <w:tc>
          <w:tcPr>
            <w:tcW w:w="709" w:type="dxa"/>
            <w:vMerge w:val="continue"/>
            <w:tcBorders>
              <w:top w:val="single" w:color="000000" w:sz="6" w:space="0"/>
              <w:left w:val="single" w:color="000000" w:sz="6" w:space="0"/>
              <w:bottom w:val="single" w:color="000000" w:sz="6" w:space="0"/>
              <w:right w:val="single" w:color="000000" w:sz="6" w:space="0"/>
            </w:tcBorders>
          </w:tcPr>
          <w:p/>
        </w:tc>
        <w:tc>
          <w:tcPr>
            <w:tcW w:w="850" w:type="dxa"/>
            <w:vMerge w:val="continue"/>
            <w:tcBorders>
              <w:top w:val="single" w:color="000000" w:sz="6" w:space="0"/>
              <w:left w:val="single" w:color="000000" w:sz="6" w:space="0"/>
              <w:bottom w:val="single" w:color="000000" w:sz="6" w:space="0"/>
              <w:right w:val="single" w:color="000000" w:sz="6" w:space="0"/>
            </w:tcBorders>
          </w:tcPr>
          <w:p/>
        </w:tc>
        <w:tc>
          <w:tcPr>
            <w:tcW w:w="850" w:type="dxa"/>
            <w:vMerge w:val="continue"/>
            <w:tcBorders>
              <w:top w:val="single" w:color="000000" w:sz="6" w:space="0"/>
              <w:left w:val="single" w:color="000000" w:sz="6" w:space="0"/>
              <w:bottom w:val="single" w:color="000000" w:sz="6" w:space="0"/>
              <w:right w:val="single" w:color="000000" w:sz="6" w:space="0"/>
            </w:tcBorders>
          </w:tcP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0"/>
            </w:pPr>
            <w:r>
              <w:rPr>
                <w:rFonts w:hint="eastAsia"/>
              </w:rPr>
              <w:t>合计</w:t>
            </w: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0"/>
            </w:pPr>
            <w:r>
              <w:rPr>
                <w:rFonts w:hint="eastAsia"/>
              </w:rPr>
              <w:t>一般公共预算拨款</w:t>
            </w: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0"/>
            </w:pPr>
            <w:r>
              <w:rPr>
                <w:rFonts w:hint="eastAsia"/>
              </w:rPr>
              <w:t>基金预算拨款</w:t>
            </w: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0"/>
            </w:pPr>
            <w:r>
              <w:rPr>
                <w:rFonts w:hint="eastAsia"/>
              </w:rPr>
              <w:t>国有资本经营预算拨款</w:t>
            </w: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0"/>
            </w:pPr>
            <w:r>
              <w:rPr>
                <w:rFonts w:hint="eastAsia"/>
              </w:rPr>
              <w:t>财政专户核拨</w:t>
            </w: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0"/>
            </w:pPr>
            <w:r>
              <w:rPr>
                <w:rFonts w:hint="eastAsia"/>
              </w:rPr>
              <w:t>单位</w:t>
            </w:r>
            <w:r>
              <w:t xml:space="preserve">    </w:t>
            </w:r>
            <w:r>
              <w:rPr>
                <w:rFonts w:hint="eastAsia"/>
              </w:rPr>
              <w:t>资金</w:t>
            </w: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0"/>
            </w:pPr>
            <w:r>
              <w:rPr>
                <w:rFonts w:hint="eastAsia"/>
              </w:rPr>
              <w:t>财政拨</w:t>
            </w:r>
            <w:r>
              <w:t xml:space="preserve">    </w:t>
            </w:r>
            <w:r>
              <w:rPr>
                <w:rFonts w:hint="eastAsia"/>
              </w:rPr>
              <w:t>款结转</w:t>
            </w: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0"/>
            </w:pPr>
            <w:r>
              <w:rPr>
                <w:rFonts w:hint="eastAsia"/>
              </w:rPr>
              <w:t>非财政</w:t>
            </w:r>
            <w:r>
              <w:t xml:space="preserve">    </w:t>
            </w:r>
            <w:r>
              <w:rPr>
                <w:rFonts w:hint="eastAsia"/>
              </w:rPr>
              <w:t>拨款结</w:t>
            </w:r>
            <w:r>
              <w:t xml:space="preserve">    </w:t>
            </w:r>
            <w:r>
              <w:rPr>
                <w:rFonts w:hint="eastAsia"/>
              </w:rPr>
              <w:t>转结余</w:t>
            </w:r>
          </w:p>
        </w:tc>
        <w:tc>
          <w:tcPr>
            <w:tcW w:w="964" w:type="dxa"/>
            <w:vMerge w:val="continue"/>
            <w:tcBorders>
              <w:top w:val="single" w:color="000000" w:sz="6" w:space="0"/>
              <w:left w:val="single" w:color="000000" w:sz="6" w:space="0"/>
              <w:bottom w:val="single" w:color="000000" w:sz="6" w:space="0"/>
              <w:right w:val="single" w:color="000000" w:sz="6" w:space="0"/>
            </w:tcBorders>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tcBorders>
              <w:top w:val="single" w:color="000000" w:sz="6" w:space="0"/>
              <w:left w:val="single" w:color="000000" w:sz="6" w:space="0"/>
              <w:bottom w:val="single" w:color="000000" w:sz="6" w:space="0"/>
              <w:right w:val="single" w:color="000000" w:sz="6" w:space="0"/>
            </w:tcBorders>
            <w:vAlign w:val="center"/>
          </w:tcPr>
          <w:p>
            <w:pPr>
              <w:pStyle w:val="17"/>
            </w:pPr>
            <w:r>
              <w:rPr>
                <w:rFonts w:hint="eastAsia"/>
              </w:rPr>
              <w:t>合</w:t>
            </w:r>
            <w:r>
              <w:t xml:space="preserve">  </w:t>
            </w:r>
            <w:r>
              <w:rPr>
                <w:rFonts w:hint="eastAsia"/>
              </w:rPr>
              <w:t>计</w:t>
            </w: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8"/>
            </w:pPr>
          </w:p>
        </w:tc>
        <w:tc>
          <w:tcPr>
            <w:tcW w:w="1134" w:type="dxa"/>
            <w:tcBorders>
              <w:top w:val="single" w:color="000000" w:sz="6" w:space="0"/>
              <w:left w:val="single" w:color="000000" w:sz="6" w:space="0"/>
              <w:bottom w:val="single" w:color="000000" w:sz="6" w:space="0"/>
              <w:right w:val="single" w:color="000000" w:sz="6" w:space="0"/>
            </w:tcBorders>
            <w:vAlign w:val="center"/>
          </w:tcPr>
          <w:p>
            <w:pPr>
              <w:pStyle w:val="14"/>
            </w:pPr>
          </w:p>
        </w:tc>
        <w:tc>
          <w:tcPr>
            <w:tcW w:w="1134" w:type="dxa"/>
            <w:tcBorders>
              <w:top w:val="single" w:color="000000" w:sz="6" w:space="0"/>
              <w:left w:val="single" w:color="000000" w:sz="6" w:space="0"/>
              <w:bottom w:val="single" w:color="000000" w:sz="6" w:space="0"/>
              <w:right w:val="single" w:color="000000" w:sz="6" w:space="0"/>
            </w:tcBorders>
            <w:vAlign w:val="center"/>
          </w:tcPr>
          <w:p>
            <w:pPr>
              <w:pStyle w:val="14"/>
            </w:pPr>
          </w:p>
        </w:tc>
        <w:tc>
          <w:tcPr>
            <w:tcW w:w="709" w:type="dxa"/>
            <w:tcBorders>
              <w:top w:val="single" w:color="000000" w:sz="6" w:space="0"/>
              <w:left w:val="single" w:color="000000" w:sz="6" w:space="0"/>
              <w:bottom w:val="single" w:color="000000" w:sz="6" w:space="0"/>
              <w:right w:val="single" w:color="000000" w:sz="6" w:space="0"/>
            </w:tcBorders>
            <w:vAlign w:val="center"/>
          </w:tcPr>
          <w:p>
            <w:pPr>
              <w:pStyle w:val="17"/>
            </w:pPr>
          </w:p>
        </w:tc>
        <w:tc>
          <w:tcPr>
            <w:tcW w:w="850" w:type="dxa"/>
            <w:tcBorders>
              <w:top w:val="single" w:color="000000" w:sz="6" w:space="0"/>
              <w:left w:val="single" w:color="000000" w:sz="6" w:space="0"/>
              <w:bottom w:val="single" w:color="000000" w:sz="6" w:space="0"/>
              <w:right w:val="single" w:color="000000" w:sz="6" w:space="0"/>
            </w:tcBorders>
            <w:vAlign w:val="center"/>
          </w:tcPr>
          <w:p>
            <w:pPr>
              <w:pStyle w:val="18"/>
            </w:pPr>
          </w:p>
        </w:tc>
        <w:tc>
          <w:tcPr>
            <w:tcW w:w="850" w:type="dxa"/>
            <w:tcBorders>
              <w:top w:val="single" w:color="000000" w:sz="6" w:space="0"/>
              <w:left w:val="single" w:color="000000" w:sz="6" w:space="0"/>
              <w:bottom w:val="single" w:color="000000" w:sz="6" w:space="0"/>
              <w:right w:val="single" w:color="000000" w:sz="6" w:space="0"/>
            </w:tcBorders>
            <w:vAlign w:val="center"/>
          </w:tcPr>
          <w:p>
            <w:pPr>
              <w:pStyle w:val="18"/>
            </w:pP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8"/>
            </w:pP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8"/>
            </w:pP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8"/>
            </w:pP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8"/>
            </w:pP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8"/>
            </w:pP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8"/>
            </w:pP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8"/>
            </w:pP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8"/>
            </w:pP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8"/>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tcBorders>
              <w:top w:val="single" w:color="000000" w:sz="6" w:space="0"/>
              <w:left w:val="single" w:color="000000" w:sz="6" w:space="0"/>
              <w:bottom w:val="single" w:color="000000" w:sz="6" w:space="0"/>
              <w:right w:val="single" w:color="000000" w:sz="6" w:space="0"/>
            </w:tcBorders>
            <w:vAlign w:val="center"/>
          </w:tcPr>
          <w:p>
            <w:pPr>
              <w:pStyle w:val="17"/>
              <w:rPr>
                <w:lang w:eastAsia="zh-CN"/>
              </w:rPr>
            </w:pP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8"/>
            </w:pPr>
          </w:p>
        </w:tc>
        <w:tc>
          <w:tcPr>
            <w:tcW w:w="1134" w:type="dxa"/>
            <w:tcBorders>
              <w:top w:val="single" w:color="000000" w:sz="6" w:space="0"/>
              <w:left w:val="single" w:color="000000" w:sz="6" w:space="0"/>
              <w:bottom w:val="single" w:color="000000" w:sz="6" w:space="0"/>
              <w:right w:val="single" w:color="000000" w:sz="6" w:space="0"/>
            </w:tcBorders>
            <w:vAlign w:val="center"/>
          </w:tcPr>
          <w:p>
            <w:pPr>
              <w:pStyle w:val="14"/>
            </w:pPr>
          </w:p>
        </w:tc>
        <w:tc>
          <w:tcPr>
            <w:tcW w:w="1134" w:type="dxa"/>
            <w:tcBorders>
              <w:top w:val="single" w:color="000000" w:sz="6" w:space="0"/>
              <w:left w:val="single" w:color="000000" w:sz="6" w:space="0"/>
              <w:bottom w:val="single" w:color="000000" w:sz="6" w:space="0"/>
              <w:right w:val="single" w:color="000000" w:sz="6" w:space="0"/>
            </w:tcBorders>
            <w:vAlign w:val="center"/>
          </w:tcPr>
          <w:p>
            <w:pPr>
              <w:pStyle w:val="14"/>
            </w:pPr>
          </w:p>
        </w:tc>
        <w:tc>
          <w:tcPr>
            <w:tcW w:w="709" w:type="dxa"/>
            <w:tcBorders>
              <w:top w:val="single" w:color="000000" w:sz="6" w:space="0"/>
              <w:left w:val="single" w:color="000000" w:sz="6" w:space="0"/>
              <w:bottom w:val="single" w:color="000000" w:sz="6" w:space="0"/>
              <w:right w:val="single" w:color="000000" w:sz="6" w:space="0"/>
            </w:tcBorders>
            <w:vAlign w:val="center"/>
          </w:tcPr>
          <w:p>
            <w:pPr>
              <w:pStyle w:val="17"/>
            </w:pPr>
          </w:p>
        </w:tc>
        <w:tc>
          <w:tcPr>
            <w:tcW w:w="850" w:type="dxa"/>
            <w:tcBorders>
              <w:top w:val="single" w:color="000000" w:sz="6" w:space="0"/>
              <w:left w:val="single" w:color="000000" w:sz="6" w:space="0"/>
              <w:bottom w:val="single" w:color="000000" w:sz="6" w:space="0"/>
              <w:right w:val="single" w:color="000000" w:sz="6" w:space="0"/>
            </w:tcBorders>
            <w:vAlign w:val="center"/>
          </w:tcPr>
          <w:p>
            <w:pPr>
              <w:pStyle w:val="18"/>
            </w:pPr>
          </w:p>
        </w:tc>
        <w:tc>
          <w:tcPr>
            <w:tcW w:w="850" w:type="dxa"/>
            <w:tcBorders>
              <w:top w:val="single" w:color="000000" w:sz="6" w:space="0"/>
              <w:left w:val="single" w:color="000000" w:sz="6" w:space="0"/>
              <w:bottom w:val="single" w:color="000000" w:sz="6" w:space="0"/>
              <w:right w:val="single" w:color="000000" w:sz="6" w:space="0"/>
            </w:tcBorders>
            <w:vAlign w:val="center"/>
          </w:tcPr>
          <w:p>
            <w:pPr>
              <w:pStyle w:val="18"/>
            </w:pP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8"/>
            </w:pP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8"/>
            </w:pP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8"/>
            </w:pP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8"/>
            </w:pP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8"/>
            </w:pP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8"/>
            </w:pP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8"/>
            </w:pP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8"/>
            </w:pP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8"/>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tcBorders>
              <w:top w:val="single" w:color="000000" w:sz="6" w:space="0"/>
              <w:left w:val="single" w:color="000000" w:sz="6" w:space="0"/>
              <w:bottom w:val="single" w:color="000000" w:sz="6" w:space="0"/>
              <w:right w:val="single" w:color="000000" w:sz="6" w:space="0"/>
            </w:tcBorders>
            <w:vAlign w:val="center"/>
          </w:tcPr>
          <w:p>
            <w:pPr>
              <w:pStyle w:val="12"/>
            </w:pP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1"/>
            </w:pPr>
          </w:p>
        </w:tc>
        <w:tc>
          <w:tcPr>
            <w:tcW w:w="1134" w:type="dxa"/>
            <w:tcBorders>
              <w:top w:val="single" w:color="000000" w:sz="6" w:space="0"/>
              <w:left w:val="single" w:color="000000" w:sz="6" w:space="0"/>
              <w:bottom w:val="single" w:color="000000" w:sz="6" w:space="0"/>
              <w:right w:val="single" w:color="000000" w:sz="6" w:space="0"/>
            </w:tcBorders>
            <w:vAlign w:val="center"/>
          </w:tcPr>
          <w:p>
            <w:pPr>
              <w:pStyle w:val="12"/>
            </w:pPr>
          </w:p>
        </w:tc>
        <w:tc>
          <w:tcPr>
            <w:tcW w:w="1134" w:type="dxa"/>
            <w:tcBorders>
              <w:top w:val="single" w:color="000000" w:sz="6" w:space="0"/>
              <w:left w:val="single" w:color="000000" w:sz="6" w:space="0"/>
              <w:bottom w:val="single" w:color="000000" w:sz="6" w:space="0"/>
              <w:right w:val="single" w:color="000000" w:sz="6" w:space="0"/>
            </w:tcBorders>
            <w:vAlign w:val="center"/>
          </w:tcPr>
          <w:p>
            <w:pPr>
              <w:pStyle w:val="12"/>
            </w:pPr>
          </w:p>
        </w:tc>
        <w:tc>
          <w:tcPr>
            <w:tcW w:w="709" w:type="dxa"/>
            <w:tcBorders>
              <w:top w:val="single" w:color="000000" w:sz="6" w:space="0"/>
              <w:left w:val="single" w:color="000000" w:sz="6" w:space="0"/>
              <w:bottom w:val="single" w:color="000000" w:sz="6" w:space="0"/>
              <w:right w:val="single" w:color="000000" w:sz="6" w:space="0"/>
            </w:tcBorders>
            <w:vAlign w:val="center"/>
          </w:tcPr>
          <w:p>
            <w:pPr>
              <w:pStyle w:val="13"/>
            </w:pPr>
          </w:p>
        </w:tc>
        <w:tc>
          <w:tcPr>
            <w:tcW w:w="850" w:type="dxa"/>
            <w:tcBorders>
              <w:top w:val="single" w:color="000000" w:sz="6" w:space="0"/>
              <w:left w:val="single" w:color="000000" w:sz="6" w:space="0"/>
              <w:bottom w:val="single" w:color="000000" w:sz="6" w:space="0"/>
              <w:right w:val="single" w:color="000000" w:sz="6" w:space="0"/>
            </w:tcBorders>
            <w:vAlign w:val="center"/>
          </w:tcPr>
          <w:p>
            <w:pPr>
              <w:pStyle w:val="11"/>
            </w:pPr>
          </w:p>
        </w:tc>
        <w:tc>
          <w:tcPr>
            <w:tcW w:w="850" w:type="dxa"/>
            <w:tcBorders>
              <w:top w:val="single" w:color="000000" w:sz="6" w:space="0"/>
              <w:left w:val="single" w:color="000000" w:sz="6" w:space="0"/>
              <w:bottom w:val="single" w:color="000000" w:sz="6" w:space="0"/>
              <w:right w:val="single" w:color="000000" w:sz="6" w:space="0"/>
            </w:tcBorders>
            <w:vAlign w:val="center"/>
          </w:tcPr>
          <w:p>
            <w:pPr>
              <w:pStyle w:val="11"/>
            </w:pP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1"/>
            </w:pP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1"/>
            </w:pP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1"/>
            </w:pP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1"/>
            </w:pP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1"/>
            </w:pP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1"/>
            </w:pP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1"/>
            </w:pP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1"/>
            </w:pPr>
          </w:p>
        </w:tc>
        <w:tc>
          <w:tcPr>
            <w:tcW w:w="964" w:type="dxa"/>
            <w:tcBorders>
              <w:top w:val="single" w:color="000000" w:sz="6" w:space="0"/>
              <w:left w:val="single" w:color="000000" w:sz="6" w:space="0"/>
              <w:bottom w:val="single" w:color="000000" w:sz="6" w:space="0"/>
              <w:right w:val="single" w:color="000000" w:sz="6" w:space="0"/>
            </w:tcBorders>
            <w:vAlign w:val="center"/>
          </w:tcPr>
          <w:p>
            <w:pPr>
              <w:pStyle w:val="11"/>
            </w:pPr>
          </w:p>
        </w:tc>
      </w:tr>
    </w:tbl>
    <w:p>
      <w:pPr>
        <w:spacing w:line="360" w:lineRule="auto"/>
        <w:rPr>
          <w:rFonts w:ascii="仿宋" w:hAnsi="仿宋" w:eastAsia="仿宋"/>
          <w:sz w:val="32"/>
          <w:szCs w:val="32"/>
        </w:rPr>
      </w:pPr>
    </w:p>
    <w:p>
      <w:pPr>
        <w:spacing w:line="360" w:lineRule="auto"/>
        <w:rPr>
          <w:rFonts w:ascii="仿宋" w:hAnsi="仿宋" w:eastAsia="仿宋"/>
          <w:sz w:val="32"/>
          <w:szCs w:val="32"/>
        </w:rPr>
      </w:pPr>
    </w:p>
    <w:p>
      <w:pPr>
        <w:spacing w:line="360" w:lineRule="auto"/>
        <w:rPr>
          <w:rFonts w:ascii="仿宋" w:hAnsi="仿宋" w:eastAsia="仿宋"/>
          <w:sz w:val="32"/>
          <w:szCs w:val="32"/>
        </w:rPr>
        <w:sectPr>
          <w:footerReference r:id="rId3" w:type="default"/>
          <w:pgSz w:w="16838" w:h="11906" w:orient="landscape"/>
          <w:pgMar w:top="1797" w:right="1440" w:bottom="1797" w:left="1440" w:header="851" w:footer="992" w:gutter="0"/>
          <w:cols w:space="425" w:num="1"/>
          <w:docGrid w:type="linesAndChars" w:linePitch="312" w:charSpace="0"/>
        </w:sectPr>
      </w:pPr>
    </w:p>
    <w:p>
      <w:pPr>
        <w:ind w:firstLine="1320" w:firstLineChars="300"/>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上年末我单位固定资产总金额为4</w:t>
      </w:r>
      <w:r>
        <w:rPr>
          <w:rFonts w:ascii="仿宋" w:hAnsi="仿宋" w:eastAsia="仿宋"/>
          <w:sz w:val="32"/>
          <w:szCs w:val="32"/>
        </w:rPr>
        <w:t>51.24</w:t>
      </w:r>
      <w:r>
        <w:rPr>
          <w:rFonts w:hint="eastAsia" w:ascii="仿宋" w:hAnsi="仿宋" w:eastAsia="仿宋"/>
          <w:sz w:val="32"/>
          <w:szCs w:val="32"/>
        </w:rPr>
        <w:t>万元（详见下表）。</w:t>
      </w:r>
      <w:r>
        <w:rPr>
          <w:rFonts w:ascii="仿宋" w:hAnsi="仿宋" w:eastAsia="仿宋"/>
          <w:sz w:val="32"/>
          <w:szCs w:val="32"/>
        </w:rPr>
        <w:t xml:space="preserve"> 本年度拟购置固定资产总额为0万元</w:t>
      </w:r>
      <w:r>
        <w:rPr>
          <w:rFonts w:hint="eastAsia" w:ascii="仿宋" w:hAnsi="仿宋" w:eastAsia="仿宋"/>
          <w:sz w:val="32"/>
          <w:szCs w:val="32"/>
        </w:rPr>
        <w:t>。</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我单位本年度无国有资产购置计划，拟购置金额为</w:t>
      </w:r>
      <w:r>
        <w:rPr>
          <w:rFonts w:ascii="仿宋" w:hAnsi="仿宋" w:eastAsia="仿宋"/>
          <w:sz w:val="32"/>
          <w:szCs w:val="32"/>
        </w:rPr>
        <w:t>0。</w:t>
      </w:r>
    </w:p>
    <w:tbl>
      <w:tblPr>
        <w:tblStyle w:val="5"/>
        <w:tblW w:w="10084" w:type="dxa"/>
        <w:jc w:val="center"/>
        <w:tblLayout w:type="autofit"/>
        <w:tblCellMar>
          <w:top w:w="0" w:type="dxa"/>
          <w:left w:w="108" w:type="dxa"/>
          <w:bottom w:w="0" w:type="dxa"/>
          <w:right w:w="108" w:type="dxa"/>
        </w:tblCellMar>
      </w:tblPr>
      <w:tblGrid>
        <w:gridCol w:w="4788"/>
        <w:gridCol w:w="1035"/>
        <w:gridCol w:w="4261"/>
      </w:tblGrid>
      <w:tr>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2020</w:t>
            </w:r>
            <w:r>
              <w:rPr>
                <w:rFonts w:hint="eastAsia" w:ascii="仿宋_GB2312" w:hAnsi="仿宋" w:eastAsia="仿宋_GB2312" w:cs="宋体"/>
                <w:bCs/>
                <w:color w:val="FF0000"/>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451.24</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2400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299.43</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2400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299.43</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151.81</w:t>
            </w: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单位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我单位无其他需说明的事项。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书宋_GBK">
    <w:altName w:val="宋体"/>
    <w:panose1 w:val="00000000000000000000"/>
    <w:charset w:val="86"/>
    <w:family w:val="roman"/>
    <w:pitch w:val="default"/>
    <w:sig w:usb0="00000000" w:usb1="00000000" w:usb2="00000000" w:usb3="00000000" w:csb0="00000000" w:csb1="00000000"/>
  </w:font>
  <w:font w:name="方正小标宋_GBK">
    <w:altName w:val="宋体"/>
    <w:panose1 w:val="00000000000000000000"/>
    <w:charset w:val="86"/>
    <w:family w:val="roma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docPartObj>
        <w:docPartGallery w:val="autotext"/>
      </w:docPartObj>
    </w:sdtPr>
    <w:sdtContent>
      <w:p>
        <w:pPr>
          <w:pStyle w:val="3"/>
          <w:jc w:val="center"/>
        </w:pPr>
        <w:r>
          <w:fldChar w:fldCharType="begin"/>
        </w:r>
        <w:r>
          <w:instrText xml:space="preserve">PAGE   \* MERGEFORMAT</w:instrText>
        </w:r>
        <w:r>
          <w:fldChar w:fldCharType="separate"/>
        </w:r>
        <w:r>
          <w:rPr>
            <w:lang w:val="zh-CN"/>
          </w:rPr>
          <w:t>17</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F1F"/>
    <w:rsid w:val="00013B8A"/>
    <w:rsid w:val="00044FBC"/>
    <w:rsid w:val="00055F1F"/>
    <w:rsid w:val="000577EF"/>
    <w:rsid w:val="00057F18"/>
    <w:rsid w:val="000A445D"/>
    <w:rsid w:val="000C178B"/>
    <w:rsid w:val="00131DEC"/>
    <w:rsid w:val="00136AB3"/>
    <w:rsid w:val="001462BD"/>
    <w:rsid w:val="00152380"/>
    <w:rsid w:val="001638BE"/>
    <w:rsid w:val="00164810"/>
    <w:rsid w:val="00172C7A"/>
    <w:rsid w:val="00181777"/>
    <w:rsid w:val="001B4688"/>
    <w:rsid w:val="001B6235"/>
    <w:rsid w:val="001F4875"/>
    <w:rsid w:val="00212335"/>
    <w:rsid w:val="002918C6"/>
    <w:rsid w:val="00291EF3"/>
    <w:rsid w:val="002933B3"/>
    <w:rsid w:val="00296524"/>
    <w:rsid w:val="002E01F6"/>
    <w:rsid w:val="002F0413"/>
    <w:rsid w:val="002F1ACB"/>
    <w:rsid w:val="002F530F"/>
    <w:rsid w:val="00305E97"/>
    <w:rsid w:val="00310532"/>
    <w:rsid w:val="0032782B"/>
    <w:rsid w:val="00340B3D"/>
    <w:rsid w:val="0034253A"/>
    <w:rsid w:val="003669CF"/>
    <w:rsid w:val="00367A30"/>
    <w:rsid w:val="003A06D2"/>
    <w:rsid w:val="003A4557"/>
    <w:rsid w:val="003A6366"/>
    <w:rsid w:val="003C2317"/>
    <w:rsid w:val="003C442E"/>
    <w:rsid w:val="003D1092"/>
    <w:rsid w:val="003D2288"/>
    <w:rsid w:val="003D37CD"/>
    <w:rsid w:val="003E5531"/>
    <w:rsid w:val="003E555C"/>
    <w:rsid w:val="003E6AF3"/>
    <w:rsid w:val="003F647B"/>
    <w:rsid w:val="0040243C"/>
    <w:rsid w:val="004042B6"/>
    <w:rsid w:val="00406BD1"/>
    <w:rsid w:val="00426C19"/>
    <w:rsid w:val="00450FD9"/>
    <w:rsid w:val="00453CE0"/>
    <w:rsid w:val="00454EF4"/>
    <w:rsid w:val="00470736"/>
    <w:rsid w:val="00470BBB"/>
    <w:rsid w:val="0048611E"/>
    <w:rsid w:val="004876F9"/>
    <w:rsid w:val="004B6929"/>
    <w:rsid w:val="004E2F43"/>
    <w:rsid w:val="004E3572"/>
    <w:rsid w:val="004F3C52"/>
    <w:rsid w:val="00510A1E"/>
    <w:rsid w:val="005158E2"/>
    <w:rsid w:val="00524204"/>
    <w:rsid w:val="00550049"/>
    <w:rsid w:val="00553F7E"/>
    <w:rsid w:val="00570142"/>
    <w:rsid w:val="00586C35"/>
    <w:rsid w:val="005B1B6F"/>
    <w:rsid w:val="005B6CCB"/>
    <w:rsid w:val="005C54AA"/>
    <w:rsid w:val="005C7B89"/>
    <w:rsid w:val="00626C2B"/>
    <w:rsid w:val="0062788A"/>
    <w:rsid w:val="00641F8A"/>
    <w:rsid w:val="0066383B"/>
    <w:rsid w:val="00670E83"/>
    <w:rsid w:val="006A6FA2"/>
    <w:rsid w:val="006B5117"/>
    <w:rsid w:val="006C62DF"/>
    <w:rsid w:val="006F5104"/>
    <w:rsid w:val="006F6549"/>
    <w:rsid w:val="00735B02"/>
    <w:rsid w:val="007506A7"/>
    <w:rsid w:val="007657C8"/>
    <w:rsid w:val="00767A77"/>
    <w:rsid w:val="00771E49"/>
    <w:rsid w:val="00782208"/>
    <w:rsid w:val="00782C75"/>
    <w:rsid w:val="00791938"/>
    <w:rsid w:val="007A5999"/>
    <w:rsid w:val="007C7FD7"/>
    <w:rsid w:val="007F3746"/>
    <w:rsid w:val="00833132"/>
    <w:rsid w:val="00845C67"/>
    <w:rsid w:val="0086454E"/>
    <w:rsid w:val="008672EA"/>
    <w:rsid w:val="0087371F"/>
    <w:rsid w:val="00891680"/>
    <w:rsid w:val="008A0099"/>
    <w:rsid w:val="008A0B5F"/>
    <w:rsid w:val="008B5402"/>
    <w:rsid w:val="008D11BC"/>
    <w:rsid w:val="0090527E"/>
    <w:rsid w:val="00905BB7"/>
    <w:rsid w:val="0090620C"/>
    <w:rsid w:val="00912DA4"/>
    <w:rsid w:val="009302B8"/>
    <w:rsid w:val="009305C6"/>
    <w:rsid w:val="009752AE"/>
    <w:rsid w:val="00982F3D"/>
    <w:rsid w:val="00983232"/>
    <w:rsid w:val="009A278A"/>
    <w:rsid w:val="009B6368"/>
    <w:rsid w:val="009F63C4"/>
    <w:rsid w:val="00A16957"/>
    <w:rsid w:val="00A6155C"/>
    <w:rsid w:val="00A71873"/>
    <w:rsid w:val="00A8079E"/>
    <w:rsid w:val="00A90328"/>
    <w:rsid w:val="00A92D66"/>
    <w:rsid w:val="00A9697B"/>
    <w:rsid w:val="00AA4262"/>
    <w:rsid w:val="00AB5A90"/>
    <w:rsid w:val="00AB7449"/>
    <w:rsid w:val="00AE38D6"/>
    <w:rsid w:val="00AE4AA5"/>
    <w:rsid w:val="00AE7FA9"/>
    <w:rsid w:val="00B147EB"/>
    <w:rsid w:val="00B22155"/>
    <w:rsid w:val="00B76AA9"/>
    <w:rsid w:val="00B80FAB"/>
    <w:rsid w:val="00B81C88"/>
    <w:rsid w:val="00BA5C83"/>
    <w:rsid w:val="00BC6A7D"/>
    <w:rsid w:val="00BD4829"/>
    <w:rsid w:val="00BD6002"/>
    <w:rsid w:val="00BD719F"/>
    <w:rsid w:val="00BF5442"/>
    <w:rsid w:val="00C11077"/>
    <w:rsid w:val="00C177A5"/>
    <w:rsid w:val="00C35FEE"/>
    <w:rsid w:val="00C50535"/>
    <w:rsid w:val="00C56B7A"/>
    <w:rsid w:val="00C6153C"/>
    <w:rsid w:val="00C906EF"/>
    <w:rsid w:val="00CC7D74"/>
    <w:rsid w:val="00D02F97"/>
    <w:rsid w:val="00D237CE"/>
    <w:rsid w:val="00D45530"/>
    <w:rsid w:val="00D45A0E"/>
    <w:rsid w:val="00D45D23"/>
    <w:rsid w:val="00D561B7"/>
    <w:rsid w:val="00D723D1"/>
    <w:rsid w:val="00D80C60"/>
    <w:rsid w:val="00D8144B"/>
    <w:rsid w:val="00D8525F"/>
    <w:rsid w:val="00DA0C4D"/>
    <w:rsid w:val="00DA5DA7"/>
    <w:rsid w:val="00DE3935"/>
    <w:rsid w:val="00DE6B32"/>
    <w:rsid w:val="00DF26B8"/>
    <w:rsid w:val="00E12C68"/>
    <w:rsid w:val="00E2325B"/>
    <w:rsid w:val="00E24075"/>
    <w:rsid w:val="00E270C9"/>
    <w:rsid w:val="00E35F38"/>
    <w:rsid w:val="00E46F27"/>
    <w:rsid w:val="00E509CC"/>
    <w:rsid w:val="00E56DC0"/>
    <w:rsid w:val="00E71A04"/>
    <w:rsid w:val="00E86466"/>
    <w:rsid w:val="00E90DA6"/>
    <w:rsid w:val="00E96342"/>
    <w:rsid w:val="00EA2FEA"/>
    <w:rsid w:val="00EA56CB"/>
    <w:rsid w:val="00EA7853"/>
    <w:rsid w:val="00F000B1"/>
    <w:rsid w:val="00F012D3"/>
    <w:rsid w:val="00F044C3"/>
    <w:rsid w:val="00F10D04"/>
    <w:rsid w:val="00F169E3"/>
    <w:rsid w:val="00F35D4B"/>
    <w:rsid w:val="00F3746B"/>
    <w:rsid w:val="00F572CB"/>
    <w:rsid w:val="00F621AF"/>
    <w:rsid w:val="00F8024E"/>
    <w:rsid w:val="00F82447"/>
    <w:rsid w:val="00F868E5"/>
    <w:rsid w:val="00FB2F32"/>
    <w:rsid w:val="00FC2D34"/>
    <w:rsid w:val="00FC3191"/>
    <w:rsid w:val="00FE0F1F"/>
    <w:rsid w:val="00FF27C5"/>
    <w:rsid w:val="00FF61F3"/>
    <w:rsid w:val="518052B9"/>
    <w:rsid w:val="552620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0"/>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0"/>
    <w:rPr>
      <w:sz w:val="18"/>
      <w:szCs w:val="18"/>
    </w:rPr>
  </w:style>
  <w:style w:type="character" w:customStyle="1" w:styleId="9">
    <w:name w:val="批注框文本 Char"/>
    <w:basedOn w:val="6"/>
    <w:link w:val="2"/>
    <w:semiHidden/>
    <w:uiPriority w:val="99"/>
    <w:rPr>
      <w:sz w:val="18"/>
      <w:szCs w:val="18"/>
    </w:rPr>
  </w:style>
  <w:style w:type="paragraph" w:customStyle="1" w:styleId="10">
    <w:name w:val="单元格样式1"/>
    <w:basedOn w:val="1"/>
    <w:uiPriority w:val="0"/>
    <w:pPr>
      <w:widowControl/>
      <w:jc w:val="center"/>
    </w:pPr>
    <w:rPr>
      <w:rFonts w:ascii="方正书宋_GBK" w:hAnsi="方正书宋_GBK" w:eastAsia="方正书宋_GBK" w:cs="方正书宋_GBK"/>
      <w:b/>
      <w:kern w:val="0"/>
      <w:szCs w:val="24"/>
      <w:lang w:eastAsia="uk-UA"/>
    </w:rPr>
  </w:style>
  <w:style w:type="paragraph" w:customStyle="1" w:styleId="11">
    <w:name w:val="单元格样式4"/>
    <w:basedOn w:val="1"/>
    <w:uiPriority w:val="0"/>
    <w:pPr>
      <w:widowControl/>
      <w:jc w:val="right"/>
    </w:pPr>
    <w:rPr>
      <w:rFonts w:ascii="方正书宋_GBK" w:hAnsi="方正书宋_GBK" w:eastAsia="方正书宋_GBK" w:cs="方正书宋_GBK"/>
      <w:kern w:val="0"/>
      <w:szCs w:val="24"/>
      <w:lang w:eastAsia="uk-UA"/>
    </w:rPr>
  </w:style>
  <w:style w:type="paragraph" w:customStyle="1" w:styleId="12">
    <w:name w:val="单元格样式2"/>
    <w:basedOn w:val="1"/>
    <w:uiPriority w:val="0"/>
    <w:pPr>
      <w:widowControl/>
      <w:jc w:val="left"/>
    </w:pPr>
    <w:rPr>
      <w:rFonts w:ascii="方正书宋_GBK" w:hAnsi="方正书宋_GBK" w:eastAsia="方正书宋_GBK" w:cs="方正书宋_GBK"/>
      <w:kern w:val="0"/>
      <w:szCs w:val="24"/>
      <w:lang w:eastAsia="uk-UA"/>
    </w:rPr>
  </w:style>
  <w:style w:type="paragraph" w:customStyle="1" w:styleId="13">
    <w:name w:val="单元格样式3"/>
    <w:basedOn w:val="1"/>
    <w:uiPriority w:val="0"/>
    <w:pPr>
      <w:widowControl/>
      <w:jc w:val="center"/>
    </w:pPr>
    <w:rPr>
      <w:rFonts w:ascii="方正书宋_GBK" w:hAnsi="方正书宋_GBK" w:eastAsia="方正书宋_GBK" w:cs="方正书宋_GBK"/>
      <w:kern w:val="0"/>
      <w:szCs w:val="24"/>
      <w:lang w:eastAsia="uk-UA"/>
    </w:rPr>
  </w:style>
  <w:style w:type="paragraph" w:customStyle="1" w:styleId="14">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15">
    <w:name w:val="单元格样式23"/>
    <w:basedOn w:val="1"/>
    <w:uiPriority w:val="0"/>
    <w:pPr>
      <w:widowControl/>
      <w:jc w:val="right"/>
    </w:pPr>
    <w:rPr>
      <w:rFonts w:ascii="方正书宋_GBK" w:hAnsi="方正书宋_GBK" w:eastAsia="方正书宋_GBK" w:cs="方正书宋_GBK"/>
      <w:kern w:val="0"/>
      <w:sz w:val="24"/>
      <w:szCs w:val="24"/>
      <w:lang w:eastAsia="uk-UA"/>
    </w:rPr>
  </w:style>
  <w:style w:type="paragraph" w:customStyle="1" w:styleId="16">
    <w:name w:val="单元格样式20"/>
    <w:basedOn w:val="1"/>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17">
    <w:name w:val="单元格样式6"/>
    <w:basedOn w:val="1"/>
    <w:uiPriority w:val="0"/>
    <w:pPr>
      <w:widowControl/>
      <w:jc w:val="center"/>
    </w:pPr>
    <w:rPr>
      <w:rFonts w:ascii="方正书宋_GBK" w:hAnsi="方正书宋_GBK" w:eastAsia="方正书宋_GBK" w:cs="方正书宋_GBK"/>
      <w:b/>
      <w:kern w:val="0"/>
      <w:szCs w:val="24"/>
      <w:lang w:eastAsia="uk-UA"/>
    </w:rPr>
  </w:style>
  <w:style w:type="paragraph" w:customStyle="1" w:styleId="18">
    <w:name w:val="单元格样式7"/>
    <w:basedOn w:val="1"/>
    <w:uiPriority w:val="0"/>
    <w:pPr>
      <w:widowControl/>
      <w:jc w:val="right"/>
    </w:pPr>
    <w:rPr>
      <w:rFonts w:ascii="方正书宋_GBK" w:hAnsi="方正书宋_GBK" w:eastAsia="方正书宋_GBK" w:cs="方正书宋_GBK"/>
      <w:b/>
      <w:kern w:val="0"/>
      <w:szCs w:val="24"/>
      <w:lang w:eastAsia="uk-U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FE76B3-3AAD-4176-B195-7F8A20006DD3}">
  <ds:schemaRefs/>
</ds:datastoreItem>
</file>

<file path=docProps/app.xml><?xml version="1.0" encoding="utf-8"?>
<Properties xmlns="http://schemas.openxmlformats.org/officeDocument/2006/extended-properties" xmlns:vt="http://schemas.openxmlformats.org/officeDocument/2006/docPropsVTypes">
  <Template>Normal</Template>
  <Pages>17</Pages>
  <Words>1274</Words>
  <Characters>7262</Characters>
  <Lines>60</Lines>
  <Paragraphs>17</Paragraphs>
  <TotalTime>14</TotalTime>
  <ScaleCrop>false</ScaleCrop>
  <LinksUpToDate>false</LinksUpToDate>
  <CharactersWithSpaces>8519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lenovo</cp:lastModifiedBy>
  <cp:lastPrinted>2021-04-14T02:06:00Z</cp:lastPrinted>
  <dcterms:modified xsi:type="dcterms:W3CDTF">2023-11-16T02:05:34Z</dcterms:modified>
  <cp:revision>187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D147E2BE554446A59E7526221DE05262</vt:lpwstr>
  </property>
</Properties>
</file>