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保定市徐水区南白塔中学</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ind w:firstLine="709"/>
        <w:rPr>
          <w:rFonts w:ascii="仿宋" w:hAnsi="仿宋" w:eastAsia="仿宋"/>
          <w:sz w:val="28"/>
          <w:szCs w:val="28"/>
        </w:rPr>
      </w:pPr>
      <w:r>
        <w:rPr>
          <w:rFonts w:hint="eastAsia" w:ascii="仿宋" w:hAnsi="仿宋" w:eastAsia="仿宋"/>
          <w:sz w:val="28"/>
          <w:szCs w:val="28"/>
        </w:rPr>
        <w:t>1.认真贯彻党的教育方</w:t>
      </w:r>
      <w:bookmarkStart w:id="5" w:name="_GoBack"/>
      <w:bookmarkEnd w:id="5"/>
      <w:r>
        <w:rPr>
          <w:rFonts w:hint="eastAsia" w:ascii="仿宋" w:hAnsi="仿宋" w:eastAsia="仿宋"/>
          <w:sz w:val="28"/>
          <w:szCs w:val="28"/>
        </w:rPr>
        <w:t>针，坚持社会主义办学方向，对学生进行德、智、体、美、劳等方面教育，为国家的义务教育培养人才打好基础。</w:t>
      </w:r>
    </w:p>
    <w:p>
      <w:pPr>
        <w:ind w:firstLine="709"/>
        <w:rPr>
          <w:rFonts w:ascii="仿宋" w:hAnsi="仿宋" w:eastAsia="仿宋"/>
          <w:sz w:val="28"/>
          <w:szCs w:val="28"/>
        </w:rPr>
      </w:pPr>
      <w:r>
        <w:rPr>
          <w:rFonts w:hint="eastAsia" w:ascii="仿宋" w:hAnsi="仿宋" w:eastAsia="仿宋"/>
          <w:sz w:val="28"/>
          <w:szCs w:val="28"/>
        </w:rPr>
        <w:t>2.提高义务教育公用经费保障水平，改善办学条件，均衡配置基础教育设施，缩小城乡、区域、校际之间办学差距。</w:t>
      </w:r>
    </w:p>
    <w:p>
      <w:pPr>
        <w:ind w:firstLine="709"/>
        <w:rPr>
          <w:rFonts w:ascii="仿宋" w:hAnsi="仿宋" w:eastAsia="仿宋"/>
          <w:sz w:val="28"/>
          <w:szCs w:val="28"/>
        </w:rPr>
      </w:pPr>
      <w:r>
        <w:rPr>
          <w:rFonts w:hint="eastAsia" w:ascii="仿宋" w:hAnsi="仿宋" w:eastAsia="仿宋"/>
          <w:sz w:val="28"/>
          <w:szCs w:val="28"/>
        </w:rPr>
        <w:t>3.推进农村义务教育经费保障机制改革，提高农村中学公用经费水平，完善校舍维修改造长效机制。</w:t>
      </w:r>
    </w:p>
    <w:p>
      <w:pPr>
        <w:ind w:firstLine="709"/>
        <w:rPr>
          <w:rFonts w:ascii="仿宋" w:hAnsi="仿宋" w:eastAsia="仿宋"/>
          <w:sz w:val="28"/>
          <w:szCs w:val="28"/>
        </w:rPr>
      </w:pPr>
      <w:r>
        <w:rPr>
          <w:rFonts w:hint="eastAsia" w:ascii="仿宋" w:hAnsi="仿宋" w:eastAsia="仿宋"/>
          <w:sz w:val="28"/>
          <w:szCs w:val="28"/>
        </w:rPr>
        <w:t>4.推进扶贫工作，落实学生资助政策。加强减负工作，为农村学生免费提供教科书。</w:t>
      </w:r>
    </w:p>
    <w:p>
      <w:pPr>
        <w:spacing w:line="360" w:lineRule="auto"/>
        <w:ind w:firstLine="560" w:firstLineChars="200"/>
        <w:rPr>
          <w:rFonts w:ascii="仿宋" w:hAnsi="仿宋" w:eastAsia="仿宋"/>
          <w:sz w:val="28"/>
          <w:szCs w:val="28"/>
        </w:rPr>
      </w:pPr>
      <w:r>
        <w:rPr>
          <w:rFonts w:hint="eastAsia" w:ascii="仿宋" w:hAnsi="仿宋" w:eastAsia="仿宋"/>
          <w:sz w:val="28"/>
          <w:szCs w:val="28"/>
        </w:rPr>
        <w:t>5.积极开展“双减”工作，全面提升教育教学质量。</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Cs w:val="21"/>
              </w:rPr>
            </w:pPr>
            <w:r>
              <w:rPr>
                <w:rFonts w:hint="eastAsia" w:ascii="仿宋_GB2312" w:hAnsi="仿宋" w:eastAsia="仿宋_GB2312"/>
                <w:bCs/>
                <w:szCs w:val="21"/>
              </w:rPr>
              <w:t>保定市徐水区南白塔中学</w:t>
            </w:r>
          </w:p>
        </w:tc>
        <w:tc>
          <w:tcPr>
            <w:tcW w:w="1701" w:type="dxa"/>
            <w:vAlign w:val="center"/>
          </w:tcPr>
          <w:p>
            <w:pPr>
              <w:jc w:val="center"/>
              <w:rPr>
                <w:rFonts w:ascii="仿宋_GB2312" w:hAnsi="仿宋" w:eastAsia="仿宋_GB2312"/>
                <w:bCs/>
                <w:szCs w:val="21"/>
              </w:rPr>
            </w:pPr>
            <w:r>
              <w:rPr>
                <w:rFonts w:hint="eastAsia" w:ascii="仿宋_GB2312" w:hAnsi="仿宋" w:eastAsia="仿宋_GB2312"/>
                <w:bCs/>
                <w:szCs w:val="21"/>
              </w:rPr>
              <w:t>全额事业</w:t>
            </w:r>
          </w:p>
        </w:tc>
        <w:tc>
          <w:tcPr>
            <w:tcW w:w="1660" w:type="dxa"/>
            <w:vAlign w:val="center"/>
          </w:tcPr>
          <w:p>
            <w:pPr>
              <w:jc w:val="center"/>
              <w:rPr>
                <w:rFonts w:ascii="仿宋_GB2312" w:hAnsi="仿宋" w:eastAsia="仿宋_GB2312"/>
                <w:bCs/>
                <w:szCs w:val="21"/>
              </w:rPr>
            </w:pPr>
            <w:r>
              <w:rPr>
                <w:rFonts w:hint="eastAsia" w:ascii="仿宋_GB2312" w:hAnsi="仿宋" w:eastAsia="仿宋_GB2312"/>
                <w:bCs/>
                <w:szCs w:val="21"/>
              </w:rPr>
              <w:t>未</w:t>
            </w:r>
            <w:r>
              <w:rPr>
                <w:rFonts w:ascii="仿宋_GB2312" w:hAnsi="仿宋" w:eastAsia="仿宋_GB2312"/>
                <w:bCs/>
                <w:szCs w:val="21"/>
              </w:rPr>
              <w:t>定行政级别</w:t>
            </w:r>
          </w:p>
        </w:tc>
        <w:tc>
          <w:tcPr>
            <w:tcW w:w="3018" w:type="dxa"/>
            <w:vAlign w:val="center"/>
          </w:tcPr>
          <w:p>
            <w:pPr>
              <w:jc w:val="center"/>
              <w:rPr>
                <w:rFonts w:ascii="仿宋_GB2312" w:hAnsi="仿宋" w:eastAsia="仿宋_GB2312"/>
                <w:bCs/>
                <w:szCs w:val="21"/>
              </w:rPr>
            </w:pPr>
            <w:r>
              <w:rPr>
                <w:rFonts w:hint="eastAsia" w:ascii="仿宋_GB2312" w:hAnsi="仿宋" w:eastAsia="仿宋_GB2312"/>
                <w:bCs/>
                <w:szCs w:val="21"/>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660" w:type="dxa"/>
            <w:vAlign w:val="center"/>
          </w:tcPr>
          <w:p>
            <w:pPr>
              <w:jc w:val="center"/>
              <w:rPr>
                <w:rFonts w:ascii="仿宋_GB2312" w:hAnsi="仿宋" w:eastAsia="仿宋_GB2312"/>
                <w:bCs/>
                <w:sz w:val="24"/>
                <w:szCs w:val="24"/>
              </w:rPr>
            </w:pPr>
          </w:p>
        </w:tc>
        <w:tc>
          <w:tcPr>
            <w:tcW w:w="3018"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967.007</w:t>
      </w:r>
      <w:r>
        <w:rPr>
          <w:rFonts w:ascii="仿宋" w:hAnsi="仿宋" w:eastAsia="仿宋"/>
          <w:sz w:val="32"/>
          <w:szCs w:val="32"/>
        </w:rPr>
        <w:t>万元,其中：一般公共预算收入</w:t>
      </w:r>
      <w:r>
        <w:rPr>
          <w:rFonts w:hint="eastAsia" w:ascii="仿宋" w:hAnsi="仿宋" w:eastAsia="仿宋"/>
          <w:sz w:val="32"/>
          <w:szCs w:val="32"/>
        </w:rPr>
        <w:t>967.007</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，上</w:t>
      </w:r>
      <w:r>
        <w:rPr>
          <w:rFonts w:ascii="仿宋" w:hAnsi="仿宋" w:eastAsia="仿宋"/>
          <w:sz w:val="32"/>
          <w:szCs w:val="32"/>
        </w:rPr>
        <w:t>年结转结余资金</w:t>
      </w:r>
      <w:r>
        <w:rPr>
          <w:rFonts w:hint="eastAsia" w:ascii="仿宋" w:hAnsi="仿宋" w:eastAsia="仿宋"/>
          <w:sz w:val="32"/>
          <w:szCs w:val="32"/>
        </w:rPr>
        <w:t>0万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967.007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基本支出879.35万元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862.06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17.29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87.657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4.56</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本年度预算收支安排967.007万元，较上年</w:t>
      </w:r>
      <w:r>
        <w:rPr>
          <w:rFonts w:ascii="仿宋" w:hAnsi="仿宋" w:eastAsia="仿宋"/>
          <w:sz w:val="32"/>
          <w:szCs w:val="32"/>
        </w:rPr>
        <w:t>减少</w:t>
      </w:r>
      <w:r>
        <w:rPr>
          <w:rFonts w:hint="eastAsia" w:ascii="仿宋" w:hAnsi="仿宋" w:eastAsia="仿宋"/>
          <w:sz w:val="32"/>
          <w:szCs w:val="32"/>
        </w:rPr>
        <w:t>37.403</w:t>
      </w:r>
      <w:r>
        <w:rPr>
          <w:rFonts w:ascii="仿宋" w:hAnsi="仿宋" w:eastAsia="仿宋"/>
          <w:sz w:val="32"/>
          <w:szCs w:val="32"/>
        </w:rPr>
        <w:t>万元。其中:基本支出减少</w:t>
      </w:r>
      <w:r>
        <w:rPr>
          <w:rFonts w:hint="eastAsia" w:ascii="仿宋" w:hAnsi="仿宋" w:eastAsia="仿宋"/>
          <w:sz w:val="32"/>
          <w:szCs w:val="32"/>
        </w:rPr>
        <w:t>37.29</w:t>
      </w:r>
      <w:r>
        <w:rPr>
          <w:rFonts w:ascii="仿宋" w:hAnsi="仿宋" w:eastAsia="仿宋"/>
          <w:sz w:val="32"/>
          <w:szCs w:val="32"/>
        </w:rPr>
        <w:t>万元，主要原因是</w:t>
      </w:r>
      <w:r>
        <w:rPr>
          <w:rFonts w:hint="eastAsia" w:ascii="仿宋" w:hAnsi="仿宋" w:eastAsia="仿宋"/>
          <w:sz w:val="32"/>
          <w:szCs w:val="32"/>
        </w:rPr>
        <w:t>教师人数减少，工资福利支出减少</w:t>
      </w:r>
      <w:r>
        <w:rPr>
          <w:rFonts w:ascii="仿宋" w:hAnsi="仿宋" w:eastAsia="仿宋"/>
          <w:sz w:val="32"/>
          <w:szCs w:val="32"/>
        </w:rPr>
        <w:t>；项目支出减少</w:t>
      </w:r>
      <w:r>
        <w:rPr>
          <w:rFonts w:hint="eastAsia" w:ascii="仿宋" w:hAnsi="仿宋" w:eastAsia="仿宋"/>
          <w:sz w:val="32"/>
          <w:szCs w:val="32"/>
        </w:rPr>
        <w:t>0.113</w:t>
      </w:r>
      <w:r>
        <w:rPr>
          <w:rFonts w:ascii="仿宋" w:hAnsi="仿宋" w:eastAsia="仿宋"/>
          <w:sz w:val="32"/>
          <w:szCs w:val="32"/>
        </w:rPr>
        <w:t>万元，主要原因是</w:t>
      </w:r>
      <w:r>
        <w:rPr>
          <w:rFonts w:hint="eastAsia" w:ascii="仿宋" w:hAnsi="仿宋" w:eastAsia="仿宋"/>
          <w:sz w:val="32"/>
          <w:szCs w:val="32"/>
        </w:rPr>
        <w:t>2021年开源节流，减少了公用经费的投入</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17.29</w:t>
      </w:r>
      <w:r>
        <w:rPr>
          <w:rFonts w:ascii="仿宋" w:hAnsi="仿宋" w:eastAsia="仿宋"/>
          <w:sz w:val="32"/>
          <w:szCs w:val="32"/>
        </w:rPr>
        <w:t>万元，其中办公费</w:t>
      </w:r>
      <w:r>
        <w:rPr>
          <w:rFonts w:hint="eastAsia" w:ascii="仿宋" w:hAnsi="仿宋" w:eastAsia="仿宋"/>
          <w:sz w:val="32"/>
          <w:szCs w:val="32"/>
        </w:rPr>
        <w:t>0</w:t>
      </w:r>
      <w:r>
        <w:rPr>
          <w:rFonts w:ascii="仿宋" w:hAnsi="仿宋" w:eastAsia="仿宋"/>
          <w:sz w:val="32"/>
          <w:szCs w:val="32"/>
        </w:rPr>
        <w:t>万元，邮电费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离退休干部经费2.07万元，</w:t>
      </w:r>
      <w:r>
        <w:rPr>
          <w:rFonts w:ascii="仿宋" w:hAnsi="仿宋" w:eastAsia="仿宋"/>
          <w:sz w:val="32"/>
          <w:szCs w:val="32"/>
        </w:rPr>
        <w:t>工会经费</w:t>
      </w:r>
      <w:r>
        <w:rPr>
          <w:rFonts w:hint="eastAsia" w:ascii="仿宋" w:hAnsi="仿宋" w:eastAsia="仿宋"/>
          <w:sz w:val="32"/>
          <w:szCs w:val="32"/>
        </w:rPr>
        <w:t>8.87</w:t>
      </w:r>
      <w:r>
        <w:rPr>
          <w:rFonts w:ascii="仿宋" w:hAnsi="仿宋" w:eastAsia="仿宋"/>
          <w:sz w:val="32"/>
          <w:szCs w:val="32"/>
        </w:rPr>
        <w:t>万元、福利费</w:t>
      </w:r>
      <w:r>
        <w:rPr>
          <w:rFonts w:hint="eastAsia" w:ascii="仿宋" w:hAnsi="仿宋" w:eastAsia="仿宋"/>
          <w:sz w:val="32"/>
          <w:szCs w:val="32"/>
        </w:rPr>
        <w:t>6.35</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67"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ind w:firstLine="709"/>
        <w:rPr>
          <w:rFonts w:ascii="仿宋" w:hAnsi="仿宋" w:eastAsia="仿宋"/>
          <w:sz w:val="32"/>
          <w:szCs w:val="32"/>
        </w:rPr>
      </w:pPr>
      <w:r>
        <w:rPr>
          <w:rFonts w:hint="eastAsia" w:ascii="仿宋" w:hAnsi="仿宋" w:eastAsia="仿宋"/>
          <w:sz w:val="32"/>
          <w:szCs w:val="32"/>
        </w:rPr>
        <w:t>2021年南白塔中学整体目标是：全面贯彻党的教育方针，依法治校，提高义务教育教学质量，提高义务教育公用经费保障水平，改善办学条件，均衡配置基础教育设施，缩小办学差距。加强校园建设，提高校园文化，优化、美化学校环境，提高学校校园设施。推进扶贫工作，落实学生资助政策。加强减负工作，为农村学生免费提供教科书。积极开展“双减”工作，全面提升教育教学质量。强化校园安全，保障教师、学生的人身财产安全，办人民满意的教育，促进学校教育教学进一步发展。</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709"/>
        <w:rPr>
          <w:rFonts w:ascii="仿宋" w:hAnsi="仿宋" w:eastAsia="仿宋"/>
          <w:sz w:val="32"/>
          <w:szCs w:val="32"/>
        </w:rPr>
      </w:pPr>
      <w:r>
        <w:rPr>
          <w:rFonts w:hint="eastAsia" w:ascii="仿宋" w:hAnsi="仿宋" w:eastAsia="仿宋"/>
          <w:sz w:val="32"/>
          <w:szCs w:val="32"/>
        </w:rPr>
        <w:t>一、加强思想政治建设。</w:t>
      </w:r>
    </w:p>
    <w:p>
      <w:pPr>
        <w:ind w:firstLine="709"/>
        <w:rPr>
          <w:rFonts w:ascii="仿宋" w:hAnsi="仿宋" w:eastAsia="仿宋"/>
          <w:sz w:val="32"/>
          <w:szCs w:val="32"/>
        </w:rPr>
      </w:pPr>
      <w:r>
        <w:rPr>
          <w:rFonts w:hint="eastAsia" w:ascii="仿宋" w:hAnsi="仿宋" w:eastAsia="仿宋"/>
          <w:sz w:val="32"/>
          <w:szCs w:val="32"/>
        </w:rPr>
        <w:t>绩效目标：把学习宣传贯彻习近平新时代中国特色社会主义思想作为首要政治任务，深入学习贯彻习近平总书记关于教育的重要论述。把习近平新时代中国特色社会主义思想和党的十九大和十九届历次全会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ind w:firstLine="709"/>
        <w:rPr>
          <w:rFonts w:ascii="仿宋" w:hAnsi="仿宋" w:eastAsia="仿宋"/>
          <w:sz w:val="32"/>
          <w:szCs w:val="32"/>
        </w:rPr>
      </w:pPr>
      <w:r>
        <w:rPr>
          <w:rFonts w:hint="eastAsia" w:ascii="仿宋" w:hAnsi="仿宋" w:eastAsia="仿宋"/>
          <w:sz w:val="32"/>
          <w:szCs w:val="32"/>
        </w:rPr>
        <w:t>二、推进学校体育深入开展。</w:t>
      </w:r>
    </w:p>
    <w:p>
      <w:pPr>
        <w:ind w:firstLine="709"/>
        <w:rPr>
          <w:rFonts w:ascii="仿宋" w:hAnsi="仿宋" w:eastAsia="仿宋"/>
          <w:sz w:val="32"/>
          <w:szCs w:val="32"/>
        </w:rPr>
      </w:pP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绩效目标：开足开齐体育课程，认真落实学生每天一小时体育活动时间。大力普及足球、篮球等集体项目，积极推进田径、轮滑等基础项目，广泛开展乒乓球、武术等优势项目，让每位学生掌握1至2项运动技能。</w:t>
      </w:r>
    </w:p>
    <w:p>
      <w:pPr>
        <w:ind w:firstLine="709"/>
        <w:rPr>
          <w:rFonts w:ascii="仿宋" w:hAnsi="仿宋" w:eastAsia="仿宋"/>
          <w:sz w:val="32"/>
          <w:szCs w:val="32"/>
        </w:rPr>
      </w:pPr>
      <w:r>
        <w:rPr>
          <w:rFonts w:hint="eastAsia" w:ascii="仿宋" w:hAnsi="仿宋" w:eastAsia="仿宋"/>
          <w:sz w:val="32"/>
          <w:szCs w:val="32"/>
        </w:rPr>
        <w:t>绩效指标：落实学生“体育家庭作业”制度，确保参与体质健康测试率95%以上，学校学生体检健康测试上报率100%。</w:t>
      </w:r>
    </w:p>
    <w:p>
      <w:pPr>
        <w:ind w:firstLine="709"/>
        <w:rPr>
          <w:rFonts w:ascii="仿宋" w:hAnsi="仿宋" w:eastAsia="仿宋"/>
          <w:sz w:val="32"/>
          <w:szCs w:val="32"/>
        </w:rPr>
      </w:pPr>
      <w:r>
        <w:rPr>
          <w:rFonts w:hint="eastAsia" w:ascii="仿宋" w:hAnsi="仿宋" w:eastAsia="仿宋"/>
          <w:sz w:val="32"/>
          <w:szCs w:val="32"/>
        </w:rPr>
        <w:t>三、落实贫困学生生活补助。</w:t>
      </w:r>
    </w:p>
    <w:p>
      <w:pPr>
        <w:ind w:firstLine="709"/>
        <w:rPr>
          <w:rFonts w:ascii="仿宋" w:hAnsi="仿宋" w:eastAsia="仿宋"/>
          <w:sz w:val="32"/>
          <w:szCs w:val="32"/>
        </w:rPr>
      </w:pPr>
      <w:r>
        <w:rPr>
          <w:rFonts w:hint="eastAsia" w:ascii="仿宋" w:hAnsi="仿宋" w:eastAsia="仿宋"/>
          <w:sz w:val="32"/>
          <w:szCs w:val="32"/>
        </w:rPr>
        <w:t>绩效目标：对我校贫困学生全部统计，并纳入补助范围，做到应补尽补。</w:t>
      </w:r>
    </w:p>
    <w:p>
      <w:pPr>
        <w:ind w:firstLine="709"/>
        <w:rPr>
          <w:rFonts w:ascii="仿宋" w:hAnsi="仿宋" w:eastAsia="仿宋"/>
          <w:sz w:val="32"/>
          <w:szCs w:val="32"/>
        </w:rPr>
      </w:pPr>
      <w:r>
        <w:rPr>
          <w:rFonts w:hint="eastAsia" w:ascii="仿宋" w:hAnsi="仿宋" w:eastAsia="仿宋"/>
          <w:sz w:val="32"/>
          <w:szCs w:val="32"/>
        </w:rPr>
        <w:t>绩效指标：落实每名贫困学生每学年625元的补助标准，保障学生正常在校学习。</w:t>
      </w:r>
    </w:p>
    <w:p>
      <w:pPr>
        <w:ind w:firstLine="709"/>
        <w:rPr>
          <w:rFonts w:ascii="仿宋" w:hAnsi="仿宋" w:eastAsia="仿宋"/>
          <w:sz w:val="32"/>
          <w:szCs w:val="32"/>
        </w:rPr>
      </w:pPr>
      <w:r>
        <w:rPr>
          <w:rFonts w:hint="eastAsia" w:ascii="仿宋" w:hAnsi="仿宋" w:eastAsia="仿宋"/>
          <w:sz w:val="32"/>
          <w:szCs w:val="32"/>
        </w:rPr>
        <w:t>四、工作保障措施。</w:t>
      </w:r>
    </w:p>
    <w:p>
      <w:pPr>
        <w:ind w:firstLine="709"/>
        <w:rPr>
          <w:rFonts w:ascii="仿宋" w:hAnsi="仿宋" w:eastAsia="仿宋"/>
          <w:sz w:val="32"/>
          <w:szCs w:val="32"/>
        </w:rPr>
      </w:pP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ind w:firstLine="709"/>
        <w:rPr>
          <w:rFonts w:ascii="仿宋" w:hAnsi="仿宋" w:eastAsia="仿宋"/>
          <w:sz w:val="32"/>
          <w:szCs w:val="32"/>
        </w:rPr>
      </w:pPr>
      <w:r>
        <w:rPr>
          <w:rFonts w:hint="eastAsia" w:ascii="仿宋" w:hAnsi="仿宋" w:eastAsia="仿宋"/>
          <w:sz w:val="32"/>
          <w:szCs w:val="32"/>
        </w:rPr>
        <w:t>（二）加强支出管理。按年初预算加快项目执行进度，加快资金支出，按时保质完成上级资金支出任务。</w:t>
      </w:r>
    </w:p>
    <w:p>
      <w:pPr>
        <w:ind w:firstLine="709"/>
        <w:rPr>
          <w:rFonts w:ascii="仿宋" w:hAnsi="仿宋" w:eastAsia="仿宋"/>
          <w:sz w:val="32"/>
          <w:szCs w:val="32"/>
        </w:rPr>
      </w:pPr>
      <w:r>
        <w:rPr>
          <w:rFonts w:hint="eastAsia" w:ascii="仿宋" w:hAnsi="仿宋" w:eastAsia="仿宋"/>
          <w:sz w:val="32"/>
          <w:szCs w:val="32"/>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ind w:firstLine="709"/>
        <w:rPr>
          <w:rFonts w:ascii="仿宋" w:hAnsi="仿宋" w:eastAsia="仿宋"/>
          <w:sz w:val="32"/>
          <w:szCs w:val="32"/>
        </w:rPr>
      </w:pPr>
      <w:r>
        <w:rPr>
          <w:rFonts w:hint="eastAsia" w:ascii="仿宋" w:hAnsi="仿宋" w:eastAsia="仿宋"/>
          <w:sz w:val="32"/>
          <w:szCs w:val="32"/>
        </w:rPr>
        <w:t>（四）规范财务资产管理。进一步完善财务管理制度，严格资产采购审批手续，加强固定资产登记、使用及报废处置管理，做到支出合理，物尽其用。</w:t>
      </w:r>
    </w:p>
    <w:p>
      <w:pPr>
        <w:ind w:firstLine="709"/>
        <w:rPr>
          <w:rFonts w:ascii="仿宋" w:hAnsi="仿宋" w:eastAsia="仿宋"/>
          <w:sz w:val="32"/>
          <w:szCs w:val="32"/>
        </w:rPr>
      </w:pPr>
      <w:r>
        <w:rPr>
          <w:rFonts w:hint="eastAsia" w:ascii="仿宋" w:hAnsi="仿宋" w:eastAsia="仿宋"/>
          <w:sz w:val="32"/>
          <w:szCs w:val="32"/>
        </w:rPr>
        <w:t>（五）加强内部自查。加强内部自查制度建设，对绩效运行情况、重大支出决策、资产处置及其他重要经济业务的决策和执行进行内部自查，确保财政资金安全有效。</w:t>
      </w:r>
    </w:p>
    <w:p>
      <w:pPr>
        <w:ind w:firstLine="565" w:firstLineChars="201"/>
        <w:jc w:val="left"/>
        <w:outlineLvl w:val="3"/>
        <w:rPr>
          <w:rFonts w:ascii="Times New Roman" w:hAnsi="宋体" w:eastAsia="宋体"/>
          <w:b/>
          <w:sz w:val="28"/>
        </w:rPr>
      </w:pPr>
      <w:bookmarkStart w:id="0" w:name="_Toc71388588"/>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0"/>
      <w:r>
        <w:rPr>
          <w:rFonts w:ascii="方正仿宋_GBK" w:eastAsia="方正仿宋_GBK"/>
          <w:b/>
          <w:sz w:val="28"/>
        </w:rPr>
        <w:fldChar w:fldCharType="begin"/>
      </w:r>
      <w:r>
        <w:rPr>
          <w:rFonts w:ascii="方正仿宋_GBK" w:eastAsia="方正仿宋_GBK"/>
          <w:b/>
          <w:sz w:val="28"/>
        </w:rPr>
        <w:instrText xml:space="preserve"> TC 285、关于提前下达2021年城乡义务教育中央补助经费预算（直达资金）-公用经费绩效目标表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360045南白塔中学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483582.00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483582.00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3.极大地减轻学生家长的经济负担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按时支付资金及时率，保证教育教学正常开展</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bookmarkStart w:id="1" w:name="_Toc71388589"/>
      <w:r>
        <w:rPr>
          <w:rFonts w:hint="eastAsia" w:ascii="方正仿宋_GBK" w:eastAsia="方正仿宋_GBK"/>
          <w:b/>
          <w:sz w:val="28"/>
        </w:rPr>
        <w:t>2</w:t>
      </w:r>
      <w:r>
        <w:rPr>
          <w:rFonts w:ascii="方正仿宋_GBK" w:eastAsia="方正仿宋_GBK"/>
          <w:b/>
          <w:sz w:val="28"/>
        </w:rPr>
        <w:t>.提前下达2021年城乡义务教育保障机制改革市级资金-公用经费绩效目标表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286、提前下达2021年城乡义务教育保障机制改革市级资金-公用经费绩效目标表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360045南白塔中学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322388.00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322388.00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3.减轻学生家长的经济负担</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按时支付资金及时率，保证教育教学正常开展</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保定市财政局、保定市教育局《关于提前下达2021年城乡义务教育保障机制改革市级资金的通知》（保财教[2020]77号）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bookmarkStart w:id="2" w:name="_Toc71388590"/>
      <w:r>
        <w:rPr>
          <w:rFonts w:hint="eastAsia" w:ascii="方正仿宋_GBK" w:eastAsia="方正仿宋_GBK"/>
          <w:b/>
          <w:sz w:val="28"/>
        </w:rPr>
        <w:t>3</w:t>
      </w:r>
      <w:r>
        <w:rPr>
          <w:rFonts w:ascii="方正仿宋_GBK" w:eastAsia="方正仿宋_GBK"/>
          <w:b/>
          <w:sz w:val="28"/>
        </w:rPr>
        <w:t>.提前下达2021年城乡义务教育省级补助资金-困难学生生活补助绩效目标表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287、提前下达2021年城乡义务教育省级补助资金-困难学生生活补助绩效目标表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360045南白塔中学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14375.00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14375.00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实际发放人数比例</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bookmarkStart w:id="3" w:name="_Toc71388591"/>
      <w:r>
        <w:rPr>
          <w:rFonts w:hint="eastAsia" w:ascii="方正仿宋_GBK" w:eastAsia="方正仿宋_GBK"/>
          <w:b/>
          <w:sz w:val="28"/>
        </w:rPr>
        <w:t>4</w:t>
      </w:r>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288、校园安保经费绩效目标表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360045南白塔中学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ind w:firstLine="562" w:firstLineChars="200"/>
        <w:jc w:val="left"/>
        <w:outlineLvl w:val="3"/>
        <w:rPr>
          <w:rFonts w:ascii="Times New Roman" w:hAnsi="宋体" w:eastAsia="宋体"/>
          <w:b/>
          <w:sz w:val="28"/>
        </w:rPr>
      </w:pPr>
      <w:bookmarkStart w:id="4" w:name="_Toc71388592"/>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289、关于提前下达2021年城乡义务教育中央补助经费预算（直达资金）-困难学生生活补助绩效目标表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360045南白塔中学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10625.00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10625.00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3.三级指标</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实际发放人数比例</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测算依据</w:t>
            </w:r>
          </w:p>
        </w:tc>
      </w:tr>
    </w:tbl>
    <w:p>
      <w:pPr>
        <w:spacing w:line="300" w:lineRule="exact"/>
        <w:jc w:val="left"/>
        <w:sectPr>
          <w:pgSz w:w="11907" w:h="16839"/>
          <w:pgMar w:top="1984" w:right="1304" w:bottom="1134" w:left="1304" w:header="851" w:footer="992" w:gutter="0"/>
          <w:cols w:space="425" w:num="1"/>
          <w:docGrid w:type="line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r>
        <w:rPr>
          <w:rFonts w:ascii="仿宋" w:hAnsi="仿宋" w:eastAsia="仿宋"/>
          <w:sz w:val="32"/>
          <w:szCs w:val="32"/>
        </w:rPr>
        <w:t>2021年，我单位无政府采购预算，空表列示。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tbl>
      <w:tblPr>
        <w:tblStyle w:val="5"/>
        <w:tblW w:w="110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76"/>
        <w:gridCol w:w="699"/>
        <w:gridCol w:w="822"/>
        <w:gridCol w:w="822"/>
        <w:gridCol w:w="514"/>
        <w:gridCol w:w="618"/>
        <w:gridCol w:w="681"/>
        <w:gridCol w:w="643"/>
        <w:gridCol w:w="701"/>
        <w:gridCol w:w="701"/>
        <w:gridCol w:w="701"/>
        <w:gridCol w:w="701"/>
        <w:gridCol w:w="701"/>
        <w:gridCol w:w="701"/>
        <w:gridCol w:w="704"/>
        <w:gridCol w:w="701"/>
        <w:gridCol w:w="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474" w:hRule="atLeast"/>
          <w:tblHeader/>
          <w:jc w:val="center"/>
        </w:trPr>
        <w:tc>
          <w:tcPr>
            <w:tcW w:w="4836" w:type="dxa"/>
            <w:gridSpan w:val="7"/>
            <w:tcBorders>
              <w:top w:val="single" w:color="FFFFFF" w:sz="6" w:space="0"/>
              <w:left w:val="single" w:color="FFFFFF" w:sz="6" w:space="0"/>
              <w:right w:val="single" w:color="FFFFFF" w:sz="6" w:space="0"/>
            </w:tcBorders>
            <w:vAlign w:val="center"/>
          </w:tcPr>
          <w:p>
            <w:pPr>
              <w:outlineLvl w:val="1"/>
              <w:rPr>
                <w:rFonts w:eastAsia="方正小标宋_GBK"/>
              </w:rPr>
            </w:pPr>
            <w:r>
              <w:rPr>
                <w:b/>
              </w:rPr>
              <w:t>360045南白塔中学</w:t>
            </w:r>
          </w:p>
        </w:tc>
        <w:tc>
          <w:tcPr>
            <w:tcW w:w="6259" w:type="dxa"/>
            <w:gridSpan w:val="10"/>
            <w:tcBorders>
              <w:top w:val="single" w:color="FFFFFF" w:sz="6" w:space="0"/>
              <w:left w:val="single" w:color="FFFFFF" w:sz="6" w:space="0"/>
              <w:right w:val="single" w:color="FFFFFF" w:sz="6" w:space="0"/>
            </w:tcBorders>
            <w:vAlign w:val="center"/>
          </w:tcPr>
          <w:p>
            <w:pPr>
              <w:pStyle w:val="10"/>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8" w:type="dxa"/>
          <w:cantSplit/>
          <w:trHeight w:val="463" w:hRule="atLeast"/>
          <w:tblHeader/>
          <w:jc w:val="center"/>
        </w:trPr>
        <w:tc>
          <w:tcPr>
            <w:tcW w:w="1377" w:type="dxa"/>
            <w:gridSpan w:val="2"/>
            <w:vAlign w:val="center"/>
          </w:tcPr>
          <w:p>
            <w:pPr>
              <w:pStyle w:val="11"/>
            </w:pPr>
            <w:r>
              <w:t>政府采购项目来源</w:t>
            </w:r>
          </w:p>
        </w:tc>
        <w:tc>
          <w:tcPr>
            <w:tcW w:w="823" w:type="dxa"/>
            <w:vMerge w:val="restart"/>
            <w:vAlign w:val="center"/>
          </w:tcPr>
          <w:p>
            <w:pPr>
              <w:pStyle w:val="11"/>
            </w:pPr>
            <w:r>
              <w:t>采购物品名称</w:t>
            </w:r>
          </w:p>
        </w:tc>
        <w:tc>
          <w:tcPr>
            <w:tcW w:w="823" w:type="dxa"/>
            <w:vMerge w:val="restart"/>
            <w:vAlign w:val="center"/>
          </w:tcPr>
          <w:p>
            <w:pPr>
              <w:pStyle w:val="11"/>
            </w:pPr>
            <w:r>
              <w:t>政府采购目录序号</w:t>
            </w:r>
          </w:p>
        </w:tc>
        <w:tc>
          <w:tcPr>
            <w:tcW w:w="514" w:type="dxa"/>
            <w:vMerge w:val="restart"/>
            <w:vAlign w:val="center"/>
          </w:tcPr>
          <w:p>
            <w:pPr>
              <w:pStyle w:val="11"/>
            </w:pPr>
            <w:r>
              <w:t>计量  单位</w:t>
            </w:r>
          </w:p>
        </w:tc>
        <w:tc>
          <w:tcPr>
            <w:tcW w:w="618" w:type="dxa"/>
            <w:vMerge w:val="restart"/>
            <w:vAlign w:val="center"/>
          </w:tcPr>
          <w:p>
            <w:pPr>
              <w:pStyle w:val="11"/>
            </w:pPr>
            <w:r>
              <w:t>数量</w:t>
            </w:r>
          </w:p>
        </w:tc>
        <w:tc>
          <w:tcPr>
            <w:tcW w:w="678" w:type="dxa"/>
            <w:vMerge w:val="restart"/>
            <w:vAlign w:val="center"/>
          </w:tcPr>
          <w:p>
            <w:pPr>
              <w:pStyle w:val="11"/>
            </w:pPr>
            <w:r>
              <w:t>单价</w:t>
            </w:r>
          </w:p>
        </w:tc>
        <w:tc>
          <w:tcPr>
            <w:tcW w:w="5553" w:type="dxa"/>
            <w:gridSpan w:val="8"/>
            <w:vAlign w:val="center"/>
          </w:tcPr>
          <w:p>
            <w:pPr>
              <w:pStyle w:val="11"/>
            </w:pPr>
            <w:r>
              <w:t>政府采购金额（当年</w:t>
            </w:r>
            <w:r>
              <w:rPr>
                <w:rFonts w:hint="eastAsia"/>
                <w:lang w:eastAsia="zh-CN"/>
              </w:rPr>
              <w:t>单位</w:t>
            </w:r>
            <w:r>
              <w:t>预算安排资金）</w:t>
            </w:r>
          </w:p>
        </w:tc>
        <w:tc>
          <w:tcPr>
            <w:tcW w:w="701" w:type="dxa"/>
            <w:vMerge w:val="restart"/>
            <w:vAlign w:val="center"/>
          </w:tcPr>
          <w:p>
            <w:pPr>
              <w:pStyle w:val="11"/>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9" w:type="dxa"/>
          <w:cantSplit/>
          <w:trHeight w:val="3213" w:hRule="atLeast"/>
          <w:tblHeader/>
          <w:jc w:val="center"/>
        </w:trPr>
        <w:tc>
          <w:tcPr>
            <w:tcW w:w="677" w:type="dxa"/>
            <w:vAlign w:val="center"/>
          </w:tcPr>
          <w:p>
            <w:pPr>
              <w:pStyle w:val="11"/>
            </w:pPr>
            <w:r>
              <w:t>项目名称</w:t>
            </w:r>
          </w:p>
        </w:tc>
        <w:tc>
          <w:tcPr>
            <w:tcW w:w="700" w:type="dxa"/>
            <w:vAlign w:val="center"/>
          </w:tcPr>
          <w:p>
            <w:pPr>
              <w:pStyle w:val="11"/>
            </w:pPr>
            <w:r>
              <w:t>预算    资金</w:t>
            </w:r>
          </w:p>
        </w:tc>
        <w:tc>
          <w:tcPr>
            <w:tcW w:w="823" w:type="dxa"/>
            <w:vMerge w:val="continue"/>
          </w:tcPr>
          <w:p/>
        </w:tc>
        <w:tc>
          <w:tcPr>
            <w:tcW w:w="823" w:type="dxa"/>
            <w:vMerge w:val="continue"/>
          </w:tcPr>
          <w:p/>
        </w:tc>
        <w:tc>
          <w:tcPr>
            <w:tcW w:w="514" w:type="dxa"/>
            <w:vMerge w:val="continue"/>
          </w:tcPr>
          <w:p/>
        </w:tc>
        <w:tc>
          <w:tcPr>
            <w:tcW w:w="618" w:type="dxa"/>
            <w:vMerge w:val="continue"/>
          </w:tcPr>
          <w:p/>
        </w:tc>
        <w:tc>
          <w:tcPr>
            <w:tcW w:w="678" w:type="dxa"/>
            <w:vMerge w:val="continue"/>
          </w:tcPr>
          <w:p/>
        </w:tc>
        <w:tc>
          <w:tcPr>
            <w:tcW w:w="643" w:type="dxa"/>
            <w:vAlign w:val="center"/>
          </w:tcPr>
          <w:p>
            <w:pPr>
              <w:pStyle w:val="11"/>
            </w:pPr>
            <w:r>
              <w:t>合计</w:t>
            </w:r>
          </w:p>
        </w:tc>
        <w:tc>
          <w:tcPr>
            <w:tcW w:w="701" w:type="dxa"/>
            <w:vAlign w:val="center"/>
          </w:tcPr>
          <w:p>
            <w:pPr>
              <w:pStyle w:val="11"/>
            </w:pPr>
            <w:r>
              <w:t>一般公共预算拨款</w:t>
            </w:r>
          </w:p>
        </w:tc>
        <w:tc>
          <w:tcPr>
            <w:tcW w:w="701" w:type="dxa"/>
            <w:vAlign w:val="center"/>
          </w:tcPr>
          <w:p>
            <w:pPr>
              <w:pStyle w:val="11"/>
            </w:pPr>
            <w:r>
              <w:t>基金预算拨款</w:t>
            </w:r>
          </w:p>
        </w:tc>
        <w:tc>
          <w:tcPr>
            <w:tcW w:w="701" w:type="dxa"/>
            <w:vAlign w:val="center"/>
          </w:tcPr>
          <w:p>
            <w:pPr>
              <w:pStyle w:val="11"/>
            </w:pPr>
            <w:r>
              <w:t>国有资本经营预算拨款</w:t>
            </w:r>
          </w:p>
        </w:tc>
        <w:tc>
          <w:tcPr>
            <w:tcW w:w="701" w:type="dxa"/>
            <w:vAlign w:val="center"/>
          </w:tcPr>
          <w:p>
            <w:pPr>
              <w:pStyle w:val="11"/>
            </w:pPr>
            <w:r>
              <w:t>财政专户核拨</w:t>
            </w:r>
          </w:p>
        </w:tc>
        <w:tc>
          <w:tcPr>
            <w:tcW w:w="701" w:type="dxa"/>
            <w:vAlign w:val="center"/>
          </w:tcPr>
          <w:p>
            <w:pPr>
              <w:pStyle w:val="11"/>
            </w:pPr>
            <w:r>
              <w:t>单位    资金</w:t>
            </w:r>
          </w:p>
        </w:tc>
        <w:tc>
          <w:tcPr>
            <w:tcW w:w="701" w:type="dxa"/>
            <w:vAlign w:val="center"/>
          </w:tcPr>
          <w:p>
            <w:pPr>
              <w:pStyle w:val="11"/>
            </w:pPr>
            <w:r>
              <w:t>财政拨    款结转</w:t>
            </w:r>
          </w:p>
        </w:tc>
        <w:tc>
          <w:tcPr>
            <w:tcW w:w="703" w:type="dxa"/>
            <w:vAlign w:val="center"/>
          </w:tcPr>
          <w:p>
            <w:pPr>
              <w:pStyle w:val="11"/>
            </w:pPr>
            <w:r>
              <w:t>非财政    拨款结    转结余</w:t>
            </w:r>
          </w:p>
        </w:tc>
        <w:tc>
          <w:tcPr>
            <w:tcW w:w="701"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1"/>
          <w:wAfter w:w="9" w:type="dxa"/>
          <w:cantSplit/>
          <w:trHeight w:val="463" w:hRule="atLeast"/>
          <w:jc w:val="center"/>
        </w:trPr>
        <w:tc>
          <w:tcPr>
            <w:tcW w:w="677" w:type="dxa"/>
            <w:vAlign w:val="center"/>
          </w:tcPr>
          <w:p>
            <w:pPr>
              <w:pStyle w:val="12"/>
              <w:jc w:val="both"/>
              <w:rPr>
                <w:lang w:eastAsia="zh-CN"/>
              </w:rPr>
            </w:pPr>
          </w:p>
        </w:tc>
        <w:tc>
          <w:tcPr>
            <w:tcW w:w="700" w:type="dxa"/>
            <w:vAlign w:val="center"/>
          </w:tcPr>
          <w:p>
            <w:pPr>
              <w:pStyle w:val="13"/>
              <w:rPr>
                <w:lang w:eastAsia="zh-CN"/>
              </w:rPr>
            </w:pPr>
          </w:p>
        </w:tc>
        <w:tc>
          <w:tcPr>
            <w:tcW w:w="823" w:type="dxa"/>
            <w:vAlign w:val="center"/>
          </w:tcPr>
          <w:p>
            <w:pPr>
              <w:pStyle w:val="14"/>
            </w:pPr>
          </w:p>
        </w:tc>
        <w:tc>
          <w:tcPr>
            <w:tcW w:w="823" w:type="dxa"/>
            <w:vAlign w:val="center"/>
          </w:tcPr>
          <w:p>
            <w:pPr>
              <w:pStyle w:val="14"/>
            </w:pPr>
          </w:p>
        </w:tc>
        <w:tc>
          <w:tcPr>
            <w:tcW w:w="514" w:type="dxa"/>
            <w:vAlign w:val="center"/>
          </w:tcPr>
          <w:p>
            <w:pPr>
              <w:pStyle w:val="12"/>
              <w:rPr>
                <w:lang w:eastAsia="zh-CN"/>
              </w:rPr>
            </w:pPr>
          </w:p>
        </w:tc>
        <w:tc>
          <w:tcPr>
            <w:tcW w:w="618" w:type="dxa"/>
            <w:vAlign w:val="center"/>
          </w:tcPr>
          <w:p>
            <w:pPr>
              <w:pStyle w:val="13"/>
              <w:rPr>
                <w:lang w:eastAsia="zh-CN"/>
              </w:rPr>
            </w:pPr>
          </w:p>
        </w:tc>
        <w:tc>
          <w:tcPr>
            <w:tcW w:w="678" w:type="dxa"/>
            <w:vAlign w:val="center"/>
          </w:tcPr>
          <w:p>
            <w:pPr>
              <w:pStyle w:val="13"/>
              <w:rPr>
                <w:lang w:eastAsia="zh-CN"/>
              </w:rPr>
            </w:pPr>
          </w:p>
        </w:tc>
        <w:tc>
          <w:tcPr>
            <w:tcW w:w="643" w:type="dxa"/>
            <w:vAlign w:val="center"/>
          </w:tcPr>
          <w:p>
            <w:pPr>
              <w:pStyle w:val="13"/>
              <w:rPr>
                <w:lang w:eastAsia="zh-CN"/>
              </w:rPr>
            </w:pPr>
          </w:p>
        </w:tc>
        <w:tc>
          <w:tcPr>
            <w:tcW w:w="701" w:type="dxa"/>
            <w:vAlign w:val="center"/>
          </w:tcPr>
          <w:p>
            <w:pPr>
              <w:pStyle w:val="13"/>
            </w:pPr>
          </w:p>
        </w:tc>
        <w:tc>
          <w:tcPr>
            <w:tcW w:w="701" w:type="dxa"/>
            <w:vAlign w:val="center"/>
          </w:tcPr>
          <w:p>
            <w:pPr>
              <w:pStyle w:val="13"/>
            </w:pPr>
          </w:p>
        </w:tc>
        <w:tc>
          <w:tcPr>
            <w:tcW w:w="701" w:type="dxa"/>
            <w:vAlign w:val="center"/>
          </w:tcPr>
          <w:p>
            <w:pPr>
              <w:pStyle w:val="13"/>
            </w:pPr>
          </w:p>
        </w:tc>
        <w:tc>
          <w:tcPr>
            <w:tcW w:w="701" w:type="dxa"/>
            <w:vAlign w:val="center"/>
          </w:tcPr>
          <w:p>
            <w:pPr>
              <w:pStyle w:val="13"/>
              <w:rPr>
                <w:lang w:eastAsia="zh-CN"/>
              </w:rPr>
            </w:pPr>
          </w:p>
        </w:tc>
        <w:tc>
          <w:tcPr>
            <w:tcW w:w="701" w:type="dxa"/>
            <w:vAlign w:val="center"/>
          </w:tcPr>
          <w:p>
            <w:pPr>
              <w:pStyle w:val="13"/>
            </w:pPr>
          </w:p>
        </w:tc>
        <w:tc>
          <w:tcPr>
            <w:tcW w:w="701" w:type="dxa"/>
            <w:vAlign w:val="center"/>
          </w:tcPr>
          <w:p>
            <w:pPr>
              <w:pStyle w:val="13"/>
            </w:pPr>
          </w:p>
        </w:tc>
        <w:tc>
          <w:tcPr>
            <w:tcW w:w="703" w:type="dxa"/>
            <w:vAlign w:val="center"/>
          </w:tcPr>
          <w:p>
            <w:pPr>
              <w:pStyle w:val="13"/>
            </w:pPr>
          </w:p>
        </w:tc>
        <w:tc>
          <w:tcPr>
            <w:tcW w:w="701" w:type="dxa"/>
            <w:vAlign w:val="center"/>
          </w:tcPr>
          <w:p>
            <w:pPr>
              <w:pStyle w:val="13"/>
              <w:rPr>
                <w:lang w:eastAsia="zh-CN"/>
              </w:rPr>
            </w:pPr>
          </w:p>
        </w:tc>
      </w:tr>
    </w:tbl>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上年末我单位固定资产总金额为957.983798万元（详见下表）。我单位本年度无国有资产购置计划，拟购置金额为</w:t>
      </w:r>
      <w:r>
        <w:rPr>
          <w:rFonts w:ascii="仿宋" w:hAnsi="仿宋" w:eastAsia="仿宋"/>
          <w:sz w:val="32"/>
          <w:szCs w:val="32"/>
        </w:rPr>
        <w:t>0</w:t>
      </w:r>
      <w:r>
        <w:rPr>
          <w:rFonts w:hint="eastAsia" w:ascii="仿宋" w:hAnsi="仿宋" w:eastAsia="仿宋"/>
          <w:sz w:val="32"/>
          <w:szCs w:val="32"/>
        </w:rPr>
        <w:t>万元</w:t>
      </w:r>
      <w:r>
        <w:rPr>
          <w:rFonts w:ascii="仿宋" w:hAnsi="仿宋" w:eastAsia="仿宋"/>
          <w:sz w:val="32"/>
          <w:szCs w:val="32"/>
        </w:rPr>
        <w:t>。</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957.983798</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5068.5</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265.64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1028</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692.343798</w:t>
            </w:r>
          </w:p>
        </w:tc>
      </w:tr>
    </w:tbl>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16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131DEC"/>
    <w:rsid w:val="00136AB3"/>
    <w:rsid w:val="001462BD"/>
    <w:rsid w:val="00152380"/>
    <w:rsid w:val="001638BE"/>
    <w:rsid w:val="00164810"/>
    <w:rsid w:val="00172C7A"/>
    <w:rsid w:val="00181777"/>
    <w:rsid w:val="001B4688"/>
    <w:rsid w:val="001B6235"/>
    <w:rsid w:val="001F4875"/>
    <w:rsid w:val="00207484"/>
    <w:rsid w:val="00212335"/>
    <w:rsid w:val="00276B87"/>
    <w:rsid w:val="002918C6"/>
    <w:rsid w:val="00291EF3"/>
    <w:rsid w:val="00296524"/>
    <w:rsid w:val="002D37FC"/>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3F204A"/>
    <w:rsid w:val="0040243C"/>
    <w:rsid w:val="00406BD1"/>
    <w:rsid w:val="00426C19"/>
    <w:rsid w:val="00450EF2"/>
    <w:rsid w:val="00450FD9"/>
    <w:rsid w:val="00453CE0"/>
    <w:rsid w:val="00470736"/>
    <w:rsid w:val="00470BBB"/>
    <w:rsid w:val="0048611E"/>
    <w:rsid w:val="00492E1B"/>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6D11"/>
    <w:rsid w:val="0062788A"/>
    <w:rsid w:val="00636471"/>
    <w:rsid w:val="00641F8A"/>
    <w:rsid w:val="0066383B"/>
    <w:rsid w:val="006A6FA2"/>
    <w:rsid w:val="006B5117"/>
    <w:rsid w:val="006C40E3"/>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C1FBC"/>
    <w:rsid w:val="008D11BC"/>
    <w:rsid w:val="0090527E"/>
    <w:rsid w:val="00905BB7"/>
    <w:rsid w:val="0090620C"/>
    <w:rsid w:val="00912DA4"/>
    <w:rsid w:val="009302B8"/>
    <w:rsid w:val="009305C6"/>
    <w:rsid w:val="009752AE"/>
    <w:rsid w:val="00982F3D"/>
    <w:rsid w:val="00983232"/>
    <w:rsid w:val="009A278A"/>
    <w:rsid w:val="009B6368"/>
    <w:rsid w:val="009F63C4"/>
    <w:rsid w:val="00A156FA"/>
    <w:rsid w:val="00A16957"/>
    <w:rsid w:val="00A6155C"/>
    <w:rsid w:val="00A8079E"/>
    <w:rsid w:val="00A90328"/>
    <w:rsid w:val="00A92D66"/>
    <w:rsid w:val="00AA4262"/>
    <w:rsid w:val="00AB5A90"/>
    <w:rsid w:val="00AB7449"/>
    <w:rsid w:val="00AE4AA5"/>
    <w:rsid w:val="00AE7FA9"/>
    <w:rsid w:val="00B13AFC"/>
    <w:rsid w:val="00B147EB"/>
    <w:rsid w:val="00B22155"/>
    <w:rsid w:val="00B76AA9"/>
    <w:rsid w:val="00B80FAB"/>
    <w:rsid w:val="00B81C88"/>
    <w:rsid w:val="00B84F24"/>
    <w:rsid w:val="00BA5C83"/>
    <w:rsid w:val="00BB3A7D"/>
    <w:rsid w:val="00BC6A7D"/>
    <w:rsid w:val="00BD4829"/>
    <w:rsid w:val="00BD6002"/>
    <w:rsid w:val="00BD7065"/>
    <w:rsid w:val="00BD719F"/>
    <w:rsid w:val="00BF47E8"/>
    <w:rsid w:val="00BF5442"/>
    <w:rsid w:val="00C177A5"/>
    <w:rsid w:val="00C35FEE"/>
    <w:rsid w:val="00C50535"/>
    <w:rsid w:val="00C6153C"/>
    <w:rsid w:val="00C90174"/>
    <w:rsid w:val="00C906EF"/>
    <w:rsid w:val="00CC7D74"/>
    <w:rsid w:val="00D02F97"/>
    <w:rsid w:val="00D45530"/>
    <w:rsid w:val="00D45A0E"/>
    <w:rsid w:val="00D45D23"/>
    <w:rsid w:val="00D723D1"/>
    <w:rsid w:val="00D80C60"/>
    <w:rsid w:val="00D8525F"/>
    <w:rsid w:val="00DA0C4D"/>
    <w:rsid w:val="00DA5DA7"/>
    <w:rsid w:val="00DD5F19"/>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66ABB"/>
    <w:rsid w:val="00F8024E"/>
    <w:rsid w:val="00F82447"/>
    <w:rsid w:val="00F83DAB"/>
    <w:rsid w:val="00F868E5"/>
    <w:rsid w:val="00FB2F32"/>
    <w:rsid w:val="00FC3191"/>
    <w:rsid w:val="00FD78BB"/>
    <w:rsid w:val="00FE0F1F"/>
    <w:rsid w:val="00FF61F3"/>
    <w:rsid w:val="49CD7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2">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3">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4">
    <w:name w:val="单元格样式2"/>
    <w:basedOn w:val="1"/>
    <w:qFormat/>
    <w:uiPriority w:val="0"/>
    <w:pPr>
      <w:widowControl/>
      <w:jc w:val="left"/>
    </w:pPr>
    <w:rPr>
      <w:rFonts w:ascii="方正书宋_GBK" w:hAnsi="方正书宋_GBK" w:eastAsia="方正书宋_GBK" w:cs="方正书宋_GBK"/>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AEC909-44EC-4193-8150-00F2B2E31E96}">
  <ds:schemaRefs/>
</ds:datastoreItem>
</file>

<file path=docProps/app.xml><?xml version="1.0" encoding="utf-8"?>
<Properties xmlns="http://schemas.openxmlformats.org/officeDocument/2006/extended-properties" xmlns:vt="http://schemas.openxmlformats.org/officeDocument/2006/docPropsVTypes">
  <Template>Normal</Template>
  <Pages>16</Pages>
  <Words>1064</Words>
  <Characters>6069</Characters>
  <Lines>50</Lines>
  <Paragraphs>14</Paragraphs>
  <TotalTime>731</TotalTime>
  <ScaleCrop>false</ScaleCrop>
  <LinksUpToDate>false</LinksUpToDate>
  <CharactersWithSpaces>7119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2023-11-16T02:29:50Z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4EF3E877D974491C9396648F8CC17DB3</vt:lpwstr>
  </property>
</Properties>
</file>