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ascii="宋体" w:hAnsi="宋体" w:eastAsia="宋体"/>
          <w:b/>
          <w:sz w:val="44"/>
          <w:szCs w:val="44"/>
        </w:rPr>
      </w:pPr>
      <w:r>
        <w:rPr>
          <w:rFonts w:hint="eastAsia" w:ascii="宋体" w:hAnsi="宋体" w:eastAsia="宋体"/>
          <w:b/>
          <w:sz w:val="44"/>
          <w:szCs w:val="44"/>
        </w:rPr>
        <w:t>保定市徐水区东史端中学</w:t>
      </w:r>
    </w:p>
    <w:p>
      <w:pPr>
        <w:spacing w:line="360" w:lineRule="auto"/>
        <w:jc w:val="center"/>
        <w:rPr>
          <w:rFonts w:ascii="宋体" w:hAnsi="宋体" w:eastAsia="宋体"/>
          <w:b/>
          <w:sz w:val="44"/>
          <w:szCs w:val="44"/>
        </w:rPr>
      </w:pPr>
      <w:r>
        <w:rPr>
          <w:rFonts w:ascii="宋体" w:hAnsi="宋体" w:eastAsia="宋体"/>
          <w:b/>
          <w:sz w:val="44"/>
          <w:szCs w:val="44"/>
        </w:rPr>
        <w:t>2021年单位预算公开说明</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eastAsia="zh-CN"/>
        </w:rPr>
        <w:t>中华人民共和国</w:t>
      </w:r>
      <w:r>
        <w:rPr>
          <w:rFonts w:hint="eastAsia" w:ascii="仿宋" w:hAnsi="仿宋" w:eastAsia="仿宋"/>
          <w:sz w:val="32"/>
          <w:szCs w:val="32"/>
        </w:rPr>
        <w:t>预算法》、《地方预决算公开操作规程》等文件规定，现将我单位预算信息公开如下：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:单位职责及机构设置情况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一、单位职责</w:t>
      </w:r>
    </w:p>
    <w:p>
      <w:pPr>
        <w:spacing w:line="360" w:lineRule="auto"/>
        <w:ind w:firstLine="640" w:firstLineChars="200"/>
        <w:rPr>
          <w:rFonts w:ascii="仿宋" w:hAnsi="仿宋" w:eastAsia="仿宋"/>
          <w:sz w:val="32"/>
          <w:szCs w:val="32"/>
        </w:rPr>
      </w:pPr>
      <w:r>
        <w:rPr>
          <w:rFonts w:ascii="仿宋" w:hAnsi="仿宋" w:eastAsia="仿宋"/>
          <w:sz w:val="32"/>
          <w:szCs w:val="32"/>
        </w:rPr>
        <w:t>1、办好教育教学工作，为国家的义务教育培养人才打好基础。</w:t>
      </w:r>
    </w:p>
    <w:p>
      <w:pPr>
        <w:spacing w:line="360" w:lineRule="auto"/>
        <w:ind w:firstLine="640" w:firstLineChars="200"/>
        <w:rPr>
          <w:rFonts w:ascii="仿宋" w:hAnsi="仿宋" w:eastAsia="仿宋"/>
          <w:sz w:val="32"/>
          <w:szCs w:val="32"/>
        </w:rPr>
      </w:pPr>
      <w:r>
        <w:rPr>
          <w:rFonts w:ascii="仿宋" w:hAnsi="仿宋" w:eastAsia="仿宋"/>
          <w:sz w:val="32"/>
          <w:szCs w:val="32"/>
        </w:rPr>
        <w:t>2、提高义务教育公用经费保障水平，改善办学条件，均衡配置基础教育意象派</w:t>
      </w:r>
      <w:bookmarkStart w:id="5" w:name="_GoBack"/>
      <w:bookmarkEnd w:id="5"/>
      <w:r>
        <w:rPr>
          <w:rFonts w:ascii="仿宋" w:hAnsi="仿宋" w:eastAsia="仿宋"/>
          <w:sz w:val="32"/>
          <w:szCs w:val="32"/>
        </w:rPr>
        <w:t>，缩小城乡、区域、校际之间办学差距，落实学生资助政策</w:t>
      </w:r>
    </w:p>
    <w:p>
      <w:pPr>
        <w:spacing w:line="360" w:lineRule="auto"/>
        <w:ind w:firstLine="640" w:firstLineChars="200"/>
        <w:rPr>
          <w:rFonts w:ascii="仿宋" w:hAnsi="仿宋" w:eastAsia="仿宋"/>
          <w:sz w:val="32"/>
          <w:szCs w:val="32"/>
        </w:rPr>
      </w:pPr>
      <w:r>
        <w:rPr>
          <w:rFonts w:ascii="仿宋" w:hAnsi="仿宋" w:eastAsia="仿宋"/>
          <w:sz w:val="32"/>
          <w:szCs w:val="32"/>
        </w:rPr>
        <w:t>3、推进农村义务教育经费保障机制改革，提高农村中学公用经费水平，完善校舍维修改造长效机制，为农村学生免费提供教科书。</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5"/>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保定市徐水区东史端中学</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未</w:t>
            </w:r>
            <w:r>
              <w:rPr>
                <w:rFonts w:ascii="仿宋_GB2312" w:hAnsi="仿宋" w:eastAsia="仿宋_GB2312"/>
                <w:bCs/>
                <w:sz w:val="24"/>
                <w:szCs w:val="24"/>
              </w:rPr>
              <w:t>定行政级别</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ascii="仿宋_GB2312" w:hAnsi="仿宋" w:eastAsia="仿宋_GB2312"/>
                <w:bCs/>
                <w:sz w:val="24"/>
                <w:szCs w:val="24"/>
              </w:rPr>
            </w:pP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p>
        </w:tc>
        <w:tc>
          <w:tcPr>
            <w:tcW w:w="1701" w:type="dxa"/>
            <w:vAlign w:val="center"/>
          </w:tcPr>
          <w:p>
            <w:pPr>
              <w:jc w:val="center"/>
              <w:rPr>
                <w:rFonts w:ascii="仿宋_GB2312" w:hAnsi="仿宋" w:eastAsia="仿宋_GB2312"/>
                <w:bCs/>
                <w:sz w:val="24"/>
                <w:szCs w:val="24"/>
              </w:rPr>
            </w:pPr>
          </w:p>
        </w:tc>
        <w:tc>
          <w:tcPr>
            <w:tcW w:w="1418" w:type="dxa"/>
            <w:vAlign w:val="center"/>
          </w:tcPr>
          <w:p>
            <w:pPr>
              <w:jc w:val="center"/>
              <w:rPr>
                <w:rFonts w:ascii="仿宋_GB2312" w:hAnsi="仿宋" w:eastAsia="仿宋_GB2312"/>
                <w:bCs/>
                <w:sz w:val="24"/>
                <w:szCs w:val="24"/>
              </w:rPr>
            </w:pPr>
          </w:p>
        </w:tc>
        <w:tc>
          <w:tcPr>
            <w:tcW w:w="3260" w:type="dxa"/>
            <w:vAlign w:val="center"/>
          </w:tcPr>
          <w:p>
            <w:pPr>
              <w:jc w:val="center"/>
              <w:rPr>
                <w:rFonts w:ascii="仿宋_GB2312" w:hAnsi="仿宋" w:eastAsia="仿宋_GB2312"/>
                <w:bCs/>
                <w:sz w:val="24"/>
                <w:szCs w:val="24"/>
              </w:rPr>
            </w:pPr>
          </w:p>
        </w:tc>
      </w:tr>
    </w:tbl>
    <w:p>
      <w:pPr>
        <w:spacing w:line="360" w:lineRule="auto"/>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第二部分：单位预算安排的总体情况</w:t>
      </w:r>
      <w:r>
        <w:rPr>
          <w:rFonts w:ascii="方正小标宋_GBK" w:eastAsia="方正小标宋_GBK"/>
          <w:sz w:val="44"/>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按照预算管理有关规定，目前我区单位预算的编制实行综合预算制度，即全部收入和支出都反映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预算中。我单位及所属事业单位的收支包含在单位预算中。</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834.1</w:t>
      </w:r>
      <w:r>
        <w:rPr>
          <w:rFonts w:ascii="仿宋" w:hAnsi="仿宋" w:eastAsia="仿宋"/>
          <w:sz w:val="32"/>
          <w:szCs w:val="32"/>
        </w:rPr>
        <w:t>万元,其中：一般公共预算收入834.1万元，基金预算收入</w:t>
      </w:r>
      <w:r>
        <w:rPr>
          <w:rFonts w:hint="eastAsia" w:ascii="仿宋" w:hAnsi="仿宋" w:eastAsia="仿宋"/>
          <w:sz w:val="32"/>
          <w:szCs w:val="32"/>
        </w:rPr>
        <w:t>0</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pPr>
        <w:spacing w:line="360" w:lineRule="auto"/>
        <w:ind w:firstLine="640" w:firstLineChars="200"/>
        <w:rPr>
          <w:rFonts w:ascii="仿宋" w:hAnsi="仿宋" w:eastAsia="仿宋"/>
          <w:sz w:val="32"/>
          <w:szCs w:val="32"/>
        </w:rPr>
      </w:pPr>
      <w:r>
        <w:rPr>
          <w:rFonts w:ascii="仿宋" w:hAnsi="仿宋" w:eastAsia="仿宋"/>
          <w:sz w:val="32"/>
          <w:szCs w:val="32"/>
        </w:rPr>
        <w:t>2021年单位支出预算：</w:t>
      </w:r>
      <w:r>
        <w:rPr>
          <w:rFonts w:hint="eastAsia" w:ascii="仿宋" w:hAnsi="仿宋" w:eastAsia="仿宋"/>
          <w:sz w:val="32"/>
          <w:szCs w:val="32"/>
        </w:rPr>
        <w:t>834.1</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基本支出748.41万元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733.56</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14.85</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85.69</w:t>
      </w:r>
      <w:r>
        <w:rPr>
          <w:rFonts w:ascii="仿宋" w:hAnsi="仿宋" w:eastAsia="仿宋"/>
          <w:sz w:val="32"/>
          <w:szCs w:val="32"/>
        </w:rPr>
        <w:t>万元</w:t>
      </w:r>
    </w:p>
    <w:p>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4.56</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本年度预算收支安排834.1万元，较上年</w:t>
      </w:r>
      <w:r>
        <w:rPr>
          <w:rFonts w:ascii="仿宋" w:hAnsi="仿宋" w:eastAsia="仿宋"/>
          <w:sz w:val="32"/>
          <w:szCs w:val="32"/>
        </w:rPr>
        <w:t>减少</w:t>
      </w:r>
      <w:r>
        <w:rPr>
          <w:rFonts w:hint="eastAsia" w:ascii="仿宋" w:hAnsi="仿宋" w:eastAsia="仿宋"/>
          <w:sz w:val="32"/>
          <w:szCs w:val="32"/>
        </w:rPr>
        <w:t>16.64</w:t>
      </w:r>
      <w:r>
        <w:rPr>
          <w:rFonts w:ascii="仿宋" w:hAnsi="仿宋" w:eastAsia="仿宋"/>
          <w:sz w:val="32"/>
          <w:szCs w:val="32"/>
        </w:rPr>
        <w:t>万元。其中:基本支出减少</w:t>
      </w:r>
      <w:r>
        <w:rPr>
          <w:rFonts w:hint="eastAsia" w:ascii="仿宋" w:hAnsi="仿宋" w:eastAsia="仿宋"/>
          <w:sz w:val="32"/>
          <w:szCs w:val="32"/>
        </w:rPr>
        <w:t>7.06</w:t>
      </w:r>
      <w:r>
        <w:rPr>
          <w:rFonts w:ascii="仿宋" w:hAnsi="仿宋" w:eastAsia="仿宋"/>
          <w:sz w:val="32"/>
          <w:szCs w:val="32"/>
        </w:rPr>
        <w:t>万元，主要原因是</w:t>
      </w:r>
      <w:r>
        <w:rPr>
          <w:rFonts w:hint="eastAsia" w:ascii="仿宋" w:hAnsi="仿宋" w:eastAsia="仿宋"/>
          <w:sz w:val="32"/>
          <w:szCs w:val="32"/>
        </w:rPr>
        <w:t>教师人数减少，工资福利支出减少</w:t>
      </w:r>
      <w:r>
        <w:rPr>
          <w:rFonts w:ascii="仿宋" w:hAnsi="仿宋" w:eastAsia="仿宋"/>
          <w:sz w:val="32"/>
          <w:szCs w:val="32"/>
        </w:rPr>
        <w:t>；项目支出增加</w:t>
      </w:r>
      <w:r>
        <w:rPr>
          <w:rFonts w:hint="eastAsia" w:ascii="仿宋" w:hAnsi="仿宋" w:eastAsia="仿宋"/>
          <w:sz w:val="32"/>
          <w:szCs w:val="32"/>
        </w:rPr>
        <w:t>6.08</w:t>
      </w:r>
      <w:r>
        <w:rPr>
          <w:rFonts w:ascii="仿宋" w:hAnsi="仿宋" w:eastAsia="仿宋"/>
          <w:sz w:val="32"/>
          <w:szCs w:val="32"/>
        </w:rPr>
        <w:t>万元，主要原因是</w:t>
      </w:r>
      <w:r>
        <w:rPr>
          <w:rFonts w:hint="eastAsia" w:ascii="仿宋" w:hAnsi="仿宋" w:eastAsia="仿宋"/>
          <w:sz w:val="32"/>
          <w:szCs w:val="32"/>
        </w:rPr>
        <w:t>发展性项目增加</w:t>
      </w:r>
      <w:r>
        <w:rPr>
          <w:rFonts w:ascii="仿宋" w:hAnsi="仿宋" w:eastAsia="仿宋"/>
          <w:sz w:val="32"/>
          <w:szCs w:val="32"/>
        </w:rPr>
        <w:t>。</w:t>
      </w: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2021年我单位机关运行经费安排14.85万元，其中</w:t>
      </w:r>
      <w:r>
        <w:rPr>
          <w:rFonts w:hint="eastAsia" w:ascii="仿宋" w:hAnsi="仿宋" w:eastAsia="仿宋"/>
          <w:sz w:val="32"/>
          <w:szCs w:val="32"/>
        </w:rPr>
        <w:t>离退休干部经费2.44</w:t>
      </w:r>
      <w:r>
        <w:rPr>
          <w:rFonts w:ascii="仿宋" w:hAnsi="仿宋" w:eastAsia="仿宋"/>
          <w:sz w:val="32"/>
          <w:szCs w:val="32"/>
        </w:rPr>
        <w:t>万元，工会经费</w:t>
      </w:r>
      <w:r>
        <w:rPr>
          <w:rFonts w:hint="eastAsia" w:ascii="仿宋" w:hAnsi="仿宋" w:eastAsia="仿宋"/>
          <w:sz w:val="32"/>
          <w:szCs w:val="32"/>
        </w:rPr>
        <w:t>7.32</w:t>
      </w:r>
      <w:r>
        <w:rPr>
          <w:rFonts w:ascii="仿宋" w:hAnsi="仿宋" w:eastAsia="仿宋"/>
          <w:sz w:val="32"/>
          <w:szCs w:val="32"/>
        </w:rPr>
        <w:t>万元、福利费</w:t>
      </w:r>
      <w:r>
        <w:rPr>
          <w:rFonts w:hint="eastAsia" w:ascii="仿宋" w:hAnsi="仿宋" w:eastAsia="仿宋"/>
          <w:sz w:val="32"/>
          <w:szCs w:val="32"/>
        </w:rPr>
        <w:t>5.09</w:t>
      </w:r>
      <w:r>
        <w:rPr>
          <w:rFonts w:ascii="仿宋" w:hAnsi="仿宋" w:eastAsia="仿宋"/>
          <w:sz w:val="32"/>
          <w:szCs w:val="32"/>
        </w:rPr>
        <w:t>万元，公务用车运行维护费</w:t>
      </w:r>
      <w:r>
        <w:rPr>
          <w:rFonts w:hint="eastAsia" w:ascii="仿宋" w:hAnsi="仿宋" w:eastAsia="仿宋"/>
          <w:sz w:val="32"/>
          <w:szCs w:val="32"/>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0</w:t>
      </w:r>
      <w:r>
        <w:rPr>
          <w:rFonts w:ascii="仿宋" w:hAnsi="仿宋" w:eastAsia="仿宋"/>
          <w:sz w:val="32"/>
          <w:szCs w:val="32"/>
        </w:rPr>
        <w:t>万元。</w:t>
      </w:r>
    </w:p>
    <w:p>
      <w:pPr>
        <w:spacing w:line="360" w:lineRule="auto"/>
        <w:ind w:firstLine="643" w:firstLineChars="200"/>
        <w:rPr>
          <w:rFonts w:ascii="仿宋" w:hAnsi="仿宋" w:eastAsia="仿宋"/>
          <w:b/>
          <w:sz w:val="32"/>
          <w:szCs w:val="32"/>
        </w:rPr>
      </w:pPr>
    </w:p>
    <w:p>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5"/>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5"/>
              <w:tblW w:w="0" w:type="auto"/>
              <w:jc w:val="center"/>
              <w:tblLayout w:type="autofit"/>
              <w:tblCellMar>
                <w:top w:w="0" w:type="dxa"/>
                <w:left w:w="108" w:type="dxa"/>
                <w:bottom w:w="0" w:type="dxa"/>
                <w:right w:w="108" w:type="dxa"/>
              </w:tblCellMar>
            </w:tblPr>
            <w:tblGrid>
              <w:gridCol w:w="2163"/>
              <w:gridCol w:w="1276"/>
              <w:gridCol w:w="1418"/>
              <w:gridCol w:w="836"/>
              <w:gridCol w:w="2397"/>
            </w:tblGrid>
            <w:tr>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pPr>
                    <w:spacing w:line="360" w:lineRule="auto"/>
                    <w:rPr>
                      <w:rFonts w:ascii="黑体" w:hAnsi="黑体" w:eastAsia="黑体" w:cs="宋体"/>
                      <w:kern w:val="0"/>
                      <w:sz w:val="32"/>
                      <w:szCs w:val="32"/>
                    </w:rPr>
                  </w:pPr>
                  <w:r>
                    <w:rPr>
                      <w:rFonts w:ascii="仿宋" w:hAnsi="仿宋" w:eastAsia="仿宋" w:cs="仿宋"/>
                      <w:b/>
                      <w:bCs/>
                      <w:sz w:val="32"/>
                      <w:szCs w:val="32"/>
                    </w:rPr>
                    <w:t>2021</w:t>
                  </w:r>
                  <w:r>
                    <w:rPr>
                      <w:rFonts w:hint="eastAsia" w:ascii="仿宋" w:hAnsi="仿宋" w:eastAsia="仿宋" w:cs="仿宋"/>
                      <w:b/>
                      <w:bCs/>
                      <w:sz w:val="32"/>
                      <w:szCs w:val="32"/>
                    </w:rPr>
                    <w:t>年</w:t>
                  </w:r>
                  <w:r>
                    <w:rPr>
                      <w:rFonts w:ascii="仿宋" w:hAnsi="仿宋" w:eastAsia="仿宋" w:cs="仿宋"/>
                      <w:b/>
                      <w:bCs/>
                      <w:sz w:val="32"/>
                      <w:szCs w:val="32"/>
                    </w:rPr>
                    <w:t>，我单位无三公经费预算，</w:t>
                  </w:r>
                  <w:r>
                    <w:rPr>
                      <w:rFonts w:hint="eastAsia" w:ascii="仿宋" w:hAnsi="仿宋" w:eastAsia="仿宋" w:cs="仿宋"/>
                      <w:b/>
                      <w:bCs/>
                      <w:sz w:val="32"/>
                      <w:szCs w:val="32"/>
                    </w:rPr>
                    <w:t>空</w:t>
                  </w:r>
                  <w:r>
                    <w:rPr>
                      <w:rFonts w:ascii="仿宋" w:hAnsi="仿宋" w:eastAsia="仿宋" w:cs="仿宋"/>
                      <w:b/>
                      <w:bCs/>
                      <w:sz w:val="32"/>
                      <w:szCs w:val="32"/>
                    </w:rPr>
                    <w:t>表列示</w:t>
                  </w:r>
                  <w:r>
                    <w:rPr>
                      <w:rFonts w:hint="eastAsia" w:ascii="仿宋" w:hAnsi="仿宋" w:eastAsia="仿宋" w:cs="仿宋"/>
                      <w:b/>
                      <w:bCs/>
                      <w:sz w:val="32"/>
                      <w:szCs w:val="32"/>
                    </w:rPr>
                    <w:t>。</w:t>
                  </w: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right"/>
                    <w:rPr>
                      <w:rFonts w:ascii="宋体" w:hAnsi="宋体" w:cs="宋体"/>
                      <w:kern w:val="0"/>
                      <w:sz w:val="24"/>
                      <w:szCs w:val="24"/>
                    </w:rPr>
                  </w:pPr>
                  <w:r>
                    <w:rPr>
                      <w:rFonts w:hint="eastAsia" w:ascii="宋体" w:hAnsi="宋体" w:cs="宋体"/>
                      <w:kern w:val="0"/>
                      <w:sz w:val="24"/>
                      <w:szCs w:val="24"/>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8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FF0000"/>
                      <w:kern w:val="0"/>
                      <w:sz w:val="24"/>
                      <w:szCs w:val="24"/>
                    </w:rPr>
                  </w:pPr>
                  <w:r>
                    <w:rPr>
                      <w:rFonts w:hint="eastAsia" w:ascii="仿宋_GB2312" w:hAnsi="宋体" w:eastAsia="仿宋_GB2312" w:cs="宋体"/>
                      <w:color w:val="FF0000"/>
                      <w:kern w:val="0"/>
                      <w:sz w:val="24"/>
                      <w:szCs w:val="24"/>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rPr>
                  </w:pPr>
                </w:p>
              </w:tc>
              <w:tc>
                <w:tcPr>
                  <w:tcW w:w="1276" w:type="dxa"/>
                  <w:tcBorders>
                    <w:top w:val="nil"/>
                    <w:left w:val="nil"/>
                    <w:bottom w:val="nil"/>
                    <w:right w:val="nil"/>
                  </w:tcBorders>
                  <w:vAlign w:val="center"/>
                </w:tcPr>
                <w:p>
                  <w:pPr>
                    <w:widowControl/>
                    <w:jc w:val="left"/>
                    <w:rPr>
                      <w:rFonts w:ascii="宋体" w:hAnsi="宋体" w:cs="宋体"/>
                      <w:kern w:val="0"/>
                      <w:sz w:val="24"/>
                      <w:szCs w:val="24"/>
                    </w:rPr>
                  </w:pPr>
                </w:p>
              </w:tc>
              <w:tc>
                <w:tcPr>
                  <w:tcW w:w="1418" w:type="dxa"/>
                  <w:tcBorders>
                    <w:top w:val="nil"/>
                    <w:left w:val="nil"/>
                    <w:bottom w:val="nil"/>
                    <w:right w:val="nil"/>
                  </w:tcBorders>
                  <w:vAlign w:val="center"/>
                </w:tcPr>
                <w:p>
                  <w:pPr>
                    <w:widowControl/>
                    <w:jc w:val="left"/>
                    <w:rPr>
                      <w:rFonts w:ascii="宋体" w:hAnsi="宋体" w:cs="宋体"/>
                      <w:kern w:val="0"/>
                      <w:sz w:val="24"/>
                      <w:szCs w:val="24"/>
                    </w:rPr>
                  </w:pPr>
                </w:p>
              </w:tc>
              <w:tc>
                <w:tcPr>
                  <w:tcW w:w="836" w:type="dxa"/>
                  <w:tcBorders>
                    <w:top w:val="nil"/>
                    <w:left w:val="nil"/>
                    <w:bottom w:val="nil"/>
                    <w:right w:val="nil"/>
                  </w:tcBorders>
                  <w:vAlign w:val="center"/>
                </w:tcPr>
                <w:p>
                  <w:pPr>
                    <w:widowControl/>
                    <w:jc w:val="left"/>
                    <w:rPr>
                      <w:rFonts w:ascii="宋体" w:hAnsi="宋体" w:cs="宋体"/>
                      <w:kern w:val="0"/>
                      <w:sz w:val="24"/>
                      <w:szCs w:val="24"/>
                    </w:rPr>
                  </w:pPr>
                </w:p>
              </w:tc>
              <w:tc>
                <w:tcPr>
                  <w:tcW w:w="2397" w:type="dxa"/>
                  <w:tcBorders>
                    <w:top w:val="nil"/>
                    <w:left w:val="nil"/>
                    <w:bottom w:val="nil"/>
                    <w:right w:val="nil"/>
                  </w:tcBorders>
                  <w:vAlign w:val="center"/>
                </w:tcPr>
                <w:p>
                  <w:pPr>
                    <w:widowControl/>
                    <w:jc w:val="left"/>
                    <w:rPr>
                      <w:rFonts w:ascii="宋体" w:hAnsi="宋体" w:cs="宋体"/>
                      <w:kern w:val="0"/>
                      <w:sz w:val="24"/>
                      <w:szCs w:val="24"/>
                    </w:rPr>
                  </w:pPr>
                </w:p>
              </w:tc>
            </w:tr>
          </w:tbl>
          <w:p>
            <w:pPr>
              <w:widowControl/>
              <w:spacing w:line="520" w:lineRule="exact"/>
              <w:ind w:right="480"/>
              <w:rPr>
                <w:rFonts w:ascii="仿宋" w:hAnsi="仿宋" w:eastAsia="仿宋" w:cs="宋体"/>
                <w:kern w:val="0"/>
                <w:sz w:val="24"/>
                <w:szCs w:val="24"/>
              </w:rPr>
            </w:pP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单位整体</w:t>
      </w:r>
      <w:r>
        <w:rPr>
          <w:rFonts w:ascii="方正小标宋_GBK" w:eastAsia="方正小标宋_GBK"/>
          <w:sz w:val="44"/>
        </w:rPr>
        <w:t>绩效目标</w:t>
      </w:r>
    </w:p>
    <w:p>
      <w:pPr>
        <w:jc w:val="left"/>
        <w:outlineLvl w:val="0"/>
        <w:rPr>
          <w:rFonts w:ascii="仿宋" w:hAnsi="仿宋" w:eastAsia="仿宋"/>
          <w:sz w:val="32"/>
          <w:szCs w:val="32"/>
        </w:rPr>
      </w:pPr>
      <w:r>
        <w:rPr>
          <w:rFonts w:hint="eastAsia" w:ascii="仿宋" w:hAnsi="仿宋" w:eastAsia="仿宋"/>
          <w:sz w:val="32"/>
          <w:szCs w:val="32"/>
        </w:rPr>
        <w:t>一、总体绩效目标</w:t>
      </w:r>
    </w:p>
    <w:p>
      <w:pPr>
        <w:ind w:firstLine="640" w:firstLineChars="200"/>
        <w:jc w:val="left"/>
        <w:outlineLvl w:val="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1</w:t>
      </w:r>
      <w:r>
        <w:rPr>
          <w:rFonts w:ascii="仿宋" w:hAnsi="仿宋" w:eastAsia="仿宋"/>
          <w:sz w:val="32"/>
          <w:szCs w:val="32"/>
        </w:rPr>
        <w:t>年</w:t>
      </w:r>
      <w:r>
        <w:rPr>
          <w:rFonts w:hint="eastAsia" w:ascii="仿宋" w:hAnsi="仿宋" w:eastAsia="仿宋"/>
          <w:sz w:val="32"/>
          <w:szCs w:val="32"/>
        </w:rPr>
        <w:t>东史端</w:t>
      </w:r>
      <w:r>
        <w:rPr>
          <w:rFonts w:ascii="仿宋" w:hAnsi="仿宋" w:eastAsia="仿宋"/>
          <w:sz w:val="32"/>
          <w:szCs w:val="32"/>
        </w:rPr>
        <w:t>中学整体目标是：提高义务教育公用经费保障水平，改善学校办学条件，美化校园环境，缩小城乡、校际之间办学差距，落实学生资助政策，强化校园安全，努力提高本校教师的职业幸福感，促进学校教育教学进一步发展。</w:t>
      </w:r>
    </w:p>
    <w:p>
      <w:pPr>
        <w:jc w:val="left"/>
        <w:outlineLvl w:val="0"/>
        <w:rPr>
          <w:rFonts w:ascii="仿宋" w:hAnsi="仿宋" w:eastAsia="仿宋"/>
          <w:sz w:val="32"/>
          <w:szCs w:val="32"/>
        </w:rPr>
      </w:pPr>
      <w:r>
        <w:rPr>
          <w:rFonts w:hint="eastAsia" w:ascii="仿宋" w:hAnsi="仿宋" w:eastAsia="仿宋"/>
          <w:sz w:val="32"/>
          <w:szCs w:val="32"/>
        </w:rPr>
        <w:t>二、分项绩效目标</w:t>
      </w:r>
    </w:p>
    <w:p>
      <w:pPr>
        <w:ind w:firstLine="640" w:firstLineChars="200"/>
        <w:jc w:val="left"/>
        <w:outlineLvl w:val="0"/>
        <w:rPr>
          <w:rFonts w:ascii="仿宋" w:hAnsi="仿宋" w:eastAsia="仿宋"/>
          <w:sz w:val="32"/>
          <w:szCs w:val="32"/>
        </w:rPr>
      </w:pPr>
      <w:r>
        <w:rPr>
          <w:rFonts w:ascii="仿宋" w:hAnsi="仿宋" w:eastAsia="仿宋"/>
          <w:sz w:val="32"/>
          <w:szCs w:val="32"/>
        </w:rPr>
        <w:t>(一）全面加强思想政治建设。</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绩效目标：把学习宣传贯彻习近平新时代中国特色社会主义思想作为首要政治任务，深入学习贯彻习近平总书记关于教育的重要论述。把习近平新时代中国特色社会主义思想和党的十九大、十九届历次全会和党</w:t>
      </w:r>
      <w:r>
        <w:rPr>
          <w:rFonts w:ascii="仿宋" w:hAnsi="仿宋" w:eastAsia="仿宋"/>
          <w:sz w:val="32"/>
          <w:szCs w:val="32"/>
        </w:rPr>
        <w:t>的</w:t>
      </w:r>
      <w:r>
        <w:rPr>
          <w:rFonts w:hint="eastAsia" w:ascii="仿宋" w:hAnsi="仿宋" w:eastAsia="仿宋"/>
          <w:sz w:val="32"/>
          <w:szCs w:val="32"/>
        </w:rPr>
        <w:t>二十大精神纳入理论学习材料，切实把思想和行动统一到党中央、省委、市委、区委决策部署上来。开展师生迎接、学习、宣传党的二十大专项行动，抓实抓紧教职工政治理论学习，用党的创新理论武装头脑、指导实践、推动工作。加强思想政治工作，推动思想政治理论课改革创新，实现全员育人、全程育人、全方位育人，不断提高工作能力和思想政治工作水平。</w:t>
      </w:r>
    </w:p>
    <w:p>
      <w:pPr>
        <w:ind w:firstLine="320" w:firstLineChars="100"/>
        <w:jc w:val="left"/>
        <w:outlineLvl w:val="0"/>
        <w:rPr>
          <w:rFonts w:ascii="仿宋" w:hAnsi="仿宋" w:eastAsia="仿宋"/>
          <w:sz w:val="32"/>
          <w:szCs w:val="32"/>
        </w:rPr>
      </w:pPr>
      <w:r>
        <w:rPr>
          <w:rFonts w:hint="eastAsia" w:ascii="仿宋" w:hAnsi="仿宋" w:eastAsia="仿宋"/>
          <w:sz w:val="32"/>
          <w:szCs w:val="32"/>
        </w:rPr>
        <w:t>（二）推进学校体育深入开展。</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绩效目标：开足开齐体育课程，认真落实学生每天一小时体育活动时间。大力普及足球、篮球等集体项目，积极推进田径、轮滑等基础项目，广泛开展乒乓球、武术等优势项目，让每位学生掌握</w:t>
      </w:r>
      <w:r>
        <w:rPr>
          <w:rFonts w:ascii="仿宋" w:hAnsi="仿宋" w:eastAsia="仿宋"/>
          <w:sz w:val="32"/>
          <w:szCs w:val="32"/>
        </w:rPr>
        <w:t>1至2项运动技能。</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绩效指标：落实学生“体育家庭作业”制度，确保参与体质健康测试率</w:t>
      </w:r>
      <w:r>
        <w:rPr>
          <w:rFonts w:ascii="仿宋" w:hAnsi="仿宋" w:eastAsia="仿宋"/>
          <w:sz w:val="32"/>
          <w:szCs w:val="32"/>
        </w:rPr>
        <w:t>95%以上，学校学生体检健康测试上报率100%。</w:t>
      </w:r>
    </w:p>
    <w:p>
      <w:pPr>
        <w:ind w:firstLine="320" w:firstLineChars="100"/>
        <w:jc w:val="left"/>
        <w:outlineLvl w:val="0"/>
        <w:rPr>
          <w:rFonts w:ascii="仿宋" w:hAnsi="仿宋" w:eastAsia="仿宋"/>
          <w:sz w:val="32"/>
          <w:szCs w:val="32"/>
        </w:rPr>
      </w:pPr>
      <w:r>
        <w:rPr>
          <w:rFonts w:hint="eastAsia" w:ascii="仿宋" w:hAnsi="仿宋" w:eastAsia="仿宋"/>
          <w:sz w:val="32"/>
          <w:szCs w:val="32"/>
        </w:rPr>
        <w:t>（三）落实贫困学生生活补助</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绩效目标：对我校贫困学生全部统计，并纳入补助范围，做到应补尽补。</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绩效指标：落实每名贫困学生每学年</w:t>
      </w:r>
      <w:r>
        <w:rPr>
          <w:rFonts w:ascii="仿宋" w:hAnsi="仿宋" w:eastAsia="仿宋"/>
          <w:sz w:val="32"/>
          <w:szCs w:val="32"/>
        </w:rPr>
        <w:t>625元的补助标准，保障学生正常在校学习。</w:t>
      </w:r>
    </w:p>
    <w:p>
      <w:pPr>
        <w:jc w:val="left"/>
        <w:outlineLvl w:val="0"/>
        <w:rPr>
          <w:rFonts w:ascii="仿宋" w:hAnsi="仿宋" w:eastAsia="仿宋"/>
          <w:sz w:val="32"/>
          <w:szCs w:val="32"/>
        </w:rPr>
      </w:pPr>
      <w:r>
        <w:rPr>
          <w:rFonts w:hint="eastAsia" w:ascii="仿宋" w:hAnsi="仿宋" w:eastAsia="仿宋"/>
          <w:sz w:val="32"/>
          <w:szCs w:val="32"/>
        </w:rPr>
        <w:t>三、工作保障措施</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（一）加强组织领导。建立健全教育领域预算绩效管理制度体系。围绕年度总体绩效目标和分项绩效目标，明确责任主体，细化落实措施，确保绩效目标年内全部完成。</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（二）加强支出管理。按年初预算加快项目执行进度，加快资金支出，按时保质完成上级资金支出任务。</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三）做好绩效自评。认真开展各项目的项目绩效自评工作，加强预算绩效评价结果应用，将绩效目标和绩效结果与预算安排有机衔接。建立健全教育经费使用管理全程监管体系，监管过程中发现偏离绩效目标的，及时予以纠正。</w:t>
      </w:r>
    </w:p>
    <w:p>
      <w:pPr>
        <w:jc w:val="left"/>
        <w:outlineLvl w:val="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（四）规范财务资产管理。进一步完善财务管理制度，严格资产采购审批手续，加强固定资产登记、使用及报废处置管理，做到支出合理，物尽其用。</w:t>
      </w:r>
    </w:p>
    <w:p>
      <w:pPr>
        <w:jc w:val="left"/>
        <w:outlineLvl w:val="0"/>
        <w:rPr>
          <w:rFonts w:ascii="仿宋" w:hAnsi="仿宋" w:eastAsia="仿宋"/>
          <w:sz w:val="32"/>
          <w:szCs w:val="32"/>
        </w:rPr>
      </w:pPr>
      <w:r>
        <w:rPr>
          <w:rFonts w:hint="eastAsia" w:ascii="仿宋" w:hAnsi="仿宋" w:eastAsia="仿宋"/>
          <w:sz w:val="32"/>
          <w:szCs w:val="32"/>
        </w:rPr>
        <w:t xml:space="preserve"> （五）加强内部自查。加强内部自查制度建设，对绩效运行情况、重大支出决策、资产处置及其他重要经济业务的决策和执行进行内部自查，确保财政资金安全有效。</w:t>
      </w:r>
    </w:p>
    <w:p>
      <w:pPr>
        <w:spacing w:line="360" w:lineRule="auto"/>
        <w:ind w:firstLine="640" w:firstLineChars="200"/>
        <w:rPr>
          <w:rFonts w:ascii="仿宋" w:hAnsi="仿宋" w:eastAsia="仿宋"/>
          <w:sz w:val="32"/>
          <w:szCs w:val="32"/>
        </w:rPr>
      </w:pPr>
    </w:p>
    <w:p>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pPr>
        <w:ind w:firstLine="562" w:firstLineChars="200"/>
        <w:jc w:val="left"/>
        <w:outlineLvl w:val="3"/>
        <w:rPr>
          <w:rFonts w:ascii="Times New Roman" w:hAnsi="宋体" w:eastAsia="宋体"/>
          <w:b/>
          <w:sz w:val="28"/>
        </w:rPr>
      </w:pPr>
      <w:bookmarkStart w:id="0" w:name="_Toc71388603"/>
      <w:r>
        <w:rPr>
          <w:rFonts w:hint="eastAsia" w:ascii="方正仿宋_GBK" w:eastAsia="方正仿宋_GBK"/>
          <w:b/>
          <w:sz w:val="28"/>
        </w:rPr>
        <w:t>1</w:t>
      </w:r>
      <w:r>
        <w:rPr>
          <w:rFonts w:ascii="方正仿宋_GBK" w:eastAsia="方正仿宋_GBK"/>
          <w:b/>
          <w:sz w:val="28"/>
        </w:rPr>
        <w:t>.关于提前下达2021年城乡义务教育中央补助经费预算（直达资金）-公用经费绩效目标表</w:t>
      </w:r>
      <w:bookmarkEnd w:id="0"/>
      <w:r>
        <w:rPr>
          <w:rFonts w:ascii="方正仿宋_GBK" w:eastAsia="方正仿宋_GBK"/>
          <w:b/>
          <w:sz w:val="28"/>
        </w:rPr>
        <w:fldChar w:fldCharType="begin"/>
      </w:r>
      <w:r>
        <w:rPr>
          <w:rFonts w:ascii="方正仿宋_GBK" w:eastAsia="方正仿宋_GBK"/>
          <w:b/>
          <w:sz w:val="28"/>
        </w:rPr>
        <w:instrText xml:space="preserve"> TC 300、关于提前下达2021年城乡义务教育中央补助经费预算（直达资金）-公用经费绩效目标表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360048东史端中学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130625210HQT2NM8GO6UP</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471801.00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471801.00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1、规范全县中小学财务管理，能更好地促进我县教育事业又好又快发展。2、能加强财务监管，提高资金使用效益。3、能极大地减轻家长的经济负担.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提高社会整体素质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学生的整体素质提高将影响社会的整体素质提高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保定市财政局、保定市教育局《关于提前下达2021年城乡义务教育中央补助经费预算（直达资金）的通知》保财教[2020]82号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1" w:name="_Toc71388604"/>
      <w:r>
        <w:rPr>
          <w:rFonts w:hint="eastAsia" w:ascii="方正仿宋_GBK" w:eastAsia="方正仿宋_GBK"/>
          <w:b/>
          <w:sz w:val="28"/>
        </w:rPr>
        <w:t>2</w:t>
      </w:r>
      <w:r>
        <w:rPr>
          <w:rFonts w:ascii="方正仿宋_GBK" w:eastAsia="方正仿宋_GBK"/>
          <w:b/>
          <w:sz w:val="28"/>
        </w:rPr>
        <w:t>.提前下达2021年城乡义务教育保障机制改革市级资金-公用经费绩效目标表</w:t>
      </w:r>
      <w:bookmarkEnd w:id="1"/>
      <w:r>
        <w:rPr>
          <w:rFonts w:ascii="方正仿宋_GBK" w:eastAsia="方正仿宋_GBK"/>
          <w:b/>
          <w:sz w:val="28"/>
        </w:rPr>
        <w:fldChar w:fldCharType="begin"/>
      </w:r>
      <w:r>
        <w:rPr>
          <w:rFonts w:ascii="方正仿宋_GBK" w:eastAsia="方正仿宋_GBK"/>
          <w:b/>
          <w:sz w:val="28"/>
        </w:rPr>
        <w:instrText xml:space="preserve"> TC 301、提前下达2021年城乡义务教育保障机制改革市级资金-公用经费绩效目标表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360048东史端中学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130625215RE1T5A1HBF16</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提前下达2021年城乡义务教育保障机制改革市级资金-公用经费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314534.00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314534.00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1、规范我学财务管理，能更好地促进我校教育事业又好又快发展。2、能加强财务监管，提高资金使用效益。3、能极大地减轻家长的经济负担.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1.确保我单位日常行政管理方面工作的运行</w:t>
            </w:r>
          </w:p>
          <w:p>
            <w:pPr>
              <w:spacing w:line="300" w:lineRule="exact"/>
              <w:jc w:val="left"/>
              <w:rPr>
                <w:rFonts w:ascii="方正书宋_GBK" w:eastAsia="方正书宋_GBK"/>
              </w:rPr>
            </w:pPr>
            <w:r>
              <w:rPr>
                <w:rFonts w:ascii="方正书宋_GBK" w:eastAsia="方正书宋_GBK"/>
              </w:rPr>
              <w:t>2.保障我单位设备设施的正常运转</w:t>
            </w:r>
          </w:p>
          <w:p>
            <w:pPr>
              <w:spacing w:line="300" w:lineRule="exact"/>
              <w:jc w:val="left"/>
              <w:rPr>
                <w:rFonts w:ascii="方正书宋_GBK" w:eastAsia="方正书宋_GBK"/>
              </w:rPr>
            </w:pPr>
            <w:r>
              <w:rPr>
                <w:rFonts w:ascii="方正书宋_GBK" w:eastAsia="方正书宋_GBK"/>
              </w:rPr>
              <w:t>3.确保我单位公务活动的正常开展</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提高社会整体素质</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学生的整体素质提高将影响社会的整体素质提高</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&gt;90100%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保定市财政局、保定市教育局《关于提前下达2021年城乡义务教育经费保障机制改革市级资金的通知》保财教[2020]77号</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2" w:name="_Toc71388605"/>
      <w:r>
        <w:rPr>
          <w:rFonts w:hint="eastAsia" w:ascii="方正仿宋_GBK" w:eastAsia="方正仿宋_GBK"/>
          <w:b/>
          <w:sz w:val="28"/>
        </w:rPr>
        <w:t>3</w:t>
      </w:r>
      <w:r>
        <w:rPr>
          <w:rFonts w:ascii="方正仿宋_GBK" w:eastAsia="方正仿宋_GBK"/>
          <w:b/>
          <w:sz w:val="28"/>
        </w:rPr>
        <w:t>.提前下达2021年城乡义务教育省级补助资金-困难学生生活补助绩效目标表</w:t>
      </w:r>
      <w:bookmarkEnd w:id="2"/>
      <w:r>
        <w:rPr>
          <w:rFonts w:ascii="方正仿宋_GBK" w:eastAsia="方正仿宋_GBK"/>
          <w:b/>
          <w:sz w:val="28"/>
        </w:rPr>
        <w:fldChar w:fldCharType="begin"/>
      </w:r>
      <w:r>
        <w:rPr>
          <w:rFonts w:ascii="方正仿宋_GBK" w:eastAsia="方正仿宋_GBK"/>
          <w:b/>
          <w:sz w:val="28"/>
        </w:rPr>
        <w:instrText xml:space="preserve"> TC 302、提前下达2021年城乡义务教育省级补助资金-困难学生生活补助绩效目标表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360048东史端中学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13062521A3G0YVTM09FGE</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提前下达2021年城乡义务教育省级补助资金-困难学生生活补助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15000.00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15000.00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1.保障补贴等方面的经费支出</w:t>
            </w:r>
          </w:p>
          <w:p>
            <w:pPr>
              <w:spacing w:line="300" w:lineRule="exact"/>
              <w:jc w:val="left"/>
              <w:rPr>
                <w:rFonts w:ascii="方正书宋_GBK" w:eastAsia="方正书宋_GBK"/>
              </w:rPr>
            </w:pPr>
            <w:r>
              <w:rPr>
                <w:rFonts w:ascii="方正书宋_GBK" w:eastAsia="方正书宋_GBK"/>
              </w:rPr>
              <w:t>2.确保本单位日常工作正常运转</w:t>
            </w:r>
          </w:p>
          <w:p>
            <w:pPr>
              <w:spacing w:line="300" w:lineRule="exact"/>
              <w:jc w:val="left"/>
              <w:rPr>
                <w:rFonts w:ascii="方正书宋_GBK" w:eastAsia="方正书宋_GBK"/>
              </w:rPr>
            </w:pPr>
            <w:r>
              <w:rPr>
                <w:rFonts w:ascii="方正书宋_GBK" w:eastAsia="方正书宋_GBK"/>
              </w:rPr>
              <w:t>3.确保学生能按时完成学业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2" w:firstLineChars="200"/>
        <w:jc w:val="left"/>
        <w:outlineLvl w:val="3"/>
        <w:rPr>
          <w:rFonts w:ascii="Times New Roman" w:hAnsi="宋体" w:eastAsia="宋体"/>
          <w:b/>
          <w:sz w:val="28"/>
        </w:rPr>
      </w:pPr>
      <w:bookmarkStart w:id="3" w:name="_Toc71388606"/>
      <w:r>
        <w:rPr>
          <w:rFonts w:hint="eastAsia" w:ascii="方正仿宋_GBK" w:eastAsia="方正仿宋_GBK"/>
          <w:b/>
          <w:sz w:val="28"/>
        </w:rPr>
        <w:t>4</w:t>
      </w:r>
      <w:r>
        <w:rPr>
          <w:rFonts w:ascii="方正仿宋_GBK" w:eastAsia="方正仿宋_GBK"/>
          <w:b/>
          <w:sz w:val="28"/>
        </w:rPr>
        <w:t>.校园安保经费绩效目标表</w:t>
      </w:r>
      <w:bookmarkEnd w:id="3"/>
      <w:r>
        <w:rPr>
          <w:rFonts w:ascii="方正仿宋_GBK" w:eastAsia="方正仿宋_GBK"/>
          <w:b/>
          <w:sz w:val="28"/>
        </w:rPr>
        <w:fldChar w:fldCharType="begin"/>
      </w:r>
      <w:r>
        <w:rPr>
          <w:rFonts w:ascii="方正仿宋_GBK" w:eastAsia="方正仿宋_GBK"/>
          <w:b/>
          <w:sz w:val="28"/>
        </w:rPr>
        <w:instrText xml:space="preserve"> TC 303、校园安保经费绩效目标表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360048东史端中学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13062521G1T3OGG6GSLQA</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校园安保经费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45600.00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为加强安全保卫工作，维持正常教育教学秩序，切实保障了师生生命、财产安全，有效的缓解了学校经济压力。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25.00%</w:t>
            </w: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75.00%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1.为加强安全保卫工作，维持正常教育教学秩序</w:t>
            </w:r>
          </w:p>
          <w:p>
            <w:pPr>
              <w:spacing w:line="300" w:lineRule="exact"/>
              <w:jc w:val="left"/>
              <w:rPr>
                <w:rFonts w:ascii="方正书宋_GBK" w:eastAsia="方正书宋_GBK"/>
              </w:rPr>
            </w:pPr>
            <w:r>
              <w:rPr>
                <w:rFonts w:ascii="方正书宋_GBK" w:eastAsia="方正书宋_GBK"/>
              </w:rPr>
              <w:t>2.切实保障了师生生命、财产安全</w:t>
            </w:r>
          </w:p>
          <w:p>
            <w:pPr>
              <w:spacing w:line="300" w:lineRule="exact"/>
              <w:jc w:val="left"/>
              <w:rPr>
                <w:rFonts w:ascii="方正书宋_GBK" w:eastAsia="方正书宋_GBK"/>
              </w:rPr>
            </w:pPr>
            <w:r>
              <w:rPr>
                <w:rFonts w:ascii="方正书宋_GBK" w:eastAsia="方正书宋_GBK"/>
              </w:rPr>
              <w:t>3.有效的缓解了学校经济压力</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绩效评价次数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按季度评价资金使用程度</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4次</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正常运行率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日常工作及设备设施的正常运转情况</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控制资金支出</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资金支出进度占预算全额的比例</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预算执行率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按照支出进度要求和预算构成执行</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社会影响力</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有效的改善职工作环境，有利于提高工作效率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依据工作要求</w:t>
            </w:r>
          </w:p>
        </w:tc>
      </w:tr>
    </w:tbl>
    <w:p>
      <w:pPr>
        <w:spacing w:line="300" w:lineRule="exact"/>
        <w:jc w:val="left"/>
        <w:sectPr>
          <w:pgSz w:w="11907" w:h="16839"/>
          <w:pgMar w:top="1984" w:right="1304" w:bottom="1134" w:left="1304" w:header="851" w:footer="992" w:gutter="0"/>
          <w:cols w:space="425" w:num="1"/>
          <w:docGrid w:type="lines" w:linePitch="312" w:charSpace="0"/>
        </w:sectPr>
      </w:pPr>
    </w:p>
    <w:p>
      <w:pPr>
        <w:spacing w:line="300" w:lineRule="exact"/>
        <w:jc w:val="left"/>
      </w:pPr>
    </w:p>
    <w:p>
      <w:pPr>
        <w:ind w:firstLine="560" w:firstLineChars="200"/>
        <w:jc w:val="left"/>
        <w:outlineLvl w:val="3"/>
        <w:rPr>
          <w:rFonts w:ascii="Times New Roman" w:hAnsi="宋体" w:eastAsia="宋体"/>
          <w:b/>
          <w:sz w:val="28"/>
        </w:rPr>
      </w:pPr>
      <w:bookmarkStart w:id="4" w:name="_Toc71388607"/>
      <w:r>
        <w:rPr>
          <w:rFonts w:hint="eastAsia" w:ascii="方正仿宋_GBK" w:eastAsia="方正仿宋_GBK"/>
          <w:b/>
          <w:sz w:val="28"/>
        </w:rPr>
        <w:t>5</w:t>
      </w:r>
      <w:r>
        <w:rPr>
          <w:rFonts w:ascii="方正仿宋_GBK" w:eastAsia="方正仿宋_GBK"/>
          <w:b/>
          <w:sz w:val="28"/>
        </w:rPr>
        <w:t>.关于提前下达2021年城乡义务教育中央补助经费预算（直达资金）-困难学生生活补助绩效目标表</w:t>
      </w:r>
      <w:bookmarkEnd w:id="4"/>
      <w:r>
        <w:rPr>
          <w:rFonts w:ascii="方正仿宋_GBK" w:eastAsia="方正仿宋_GBK"/>
          <w:b/>
          <w:sz w:val="28"/>
        </w:rPr>
        <w:fldChar w:fldCharType="begin"/>
      </w:r>
      <w:r>
        <w:rPr>
          <w:rFonts w:ascii="方正仿宋_GBK" w:eastAsia="方正仿宋_GBK"/>
          <w:b/>
          <w:sz w:val="28"/>
        </w:rPr>
        <w:instrText xml:space="preserve"> TC 304、关于提前下达2021年城乡义务教育中央补助经费预算（直达资金）-困难学生生活补助绩效目标表 \f C \l 1 </w:instrText>
      </w:r>
      <w:r>
        <w:rPr>
          <w:rFonts w:ascii="方正仿宋_GBK" w:eastAsia="方正仿宋_GBK"/>
          <w:b/>
          <w:sz w:val="28"/>
        </w:rPr>
        <w:fldChar w:fldCharType="end"/>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书宋_GBK" w:eastAsia="方正书宋_GBK"/>
                <w:b/>
              </w:rPr>
            </w:pPr>
            <w:r>
              <w:rPr>
                <w:rFonts w:ascii="方正书宋_GBK" w:eastAsia="方正书宋_GBK"/>
                <w:b/>
              </w:rPr>
              <w:t>360048东史端中学</w:t>
            </w:r>
          </w:p>
        </w:tc>
        <w:tc>
          <w:tcPr>
            <w:tcW w:w="1701" w:type="dxa"/>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书宋_GBK" w:eastAsia="方正书宋_GBK"/>
              </w:rPr>
            </w:pPr>
            <w:r>
              <w:rPr>
                <w:rFonts w:ascii="方正书宋_GBK" w:eastAsia="方正书宋_GBK"/>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项目编码</w:t>
            </w:r>
          </w:p>
        </w:tc>
        <w:tc>
          <w:tcPr>
            <w:tcW w:w="2410" w:type="dxa"/>
            <w:gridSpan w:val="2"/>
            <w:shd w:val="clear" w:color="auto" w:fill="auto"/>
            <w:vAlign w:val="center"/>
          </w:tcPr>
          <w:p>
            <w:pPr>
              <w:spacing w:line="300" w:lineRule="exact"/>
              <w:jc w:val="left"/>
              <w:rPr>
                <w:rFonts w:ascii="方正书宋_GBK" w:eastAsia="方正书宋_GBK"/>
              </w:rPr>
            </w:pPr>
            <w:r>
              <w:rPr>
                <w:rFonts w:ascii="方正书宋_GBK" w:eastAsia="方正书宋_GBK"/>
              </w:rPr>
              <w:t>13062521SI302W2XDZ75X</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项目名称</w:t>
            </w:r>
          </w:p>
        </w:tc>
        <w:tc>
          <w:tcPr>
            <w:tcW w:w="4281" w:type="dxa"/>
            <w:gridSpan w:val="3"/>
            <w:shd w:val="clear" w:color="auto" w:fill="auto"/>
            <w:vAlign w:val="center"/>
          </w:tcPr>
          <w:p>
            <w:pPr>
              <w:spacing w:line="300" w:lineRule="exact"/>
              <w:jc w:val="left"/>
              <w:rPr>
                <w:rFonts w:ascii="方正书宋_GBK" w:eastAsia="方正书宋_GBK"/>
              </w:rPr>
            </w:pPr>
            <w:r>
              <w:rPr>
                <w:rFonts w:ascii="方正书宋_GBK" w:eastAsia="方正书宋_GBK"/>
              </w:rPr>
              <w:t>关于提前下达2021年城乡义务教育中央补助经费预算（直达资金）-困难学生生活补助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预算规模及资金用途</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10000.00</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其中：财政资金</w:t>
            </w:r>
          </w:p>
        </w:tc>
        <w:tc>
          <w:tcPr>
            <w:tcW w:w="1304" w:type="dxa"/>
            <w:shd w:val="clear" w:color="auto" w:fill="auto"/>
            <w:vAlign w:val="center"/>
          </w:tcPr>
          <w:p>
            <w:pPr>
              <w:spacing w:line="300" w:lineRule="exact"/>
              <w:jc w:val="left"/>
              <w:rPr>
                <w:rFonts w:ascii="方正书宋_GBK" w:eastAsia="方正书宋_GBK"/>
              </w:rPr>
            </w:pPr>
            <w:r>
              <w:rPr>
                <w:rFonts w:ascii="方正书宋_GBK" w:eastAsia="方正书宋_GBK"/>
              </w:rPr>
              <w:t>10000.00</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其他资金</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pPr>
              <w:spacing w:line="300" w:lineRule="exact"/>
              <w:jc w:val="left"/>
              <w:outlineLvl w:val="3"/>
            </w:pPr>
          </w:p>
        </w:tc>
        <w:tc>
          <w:tcPr>
            <w:tcW w:w="8278" w:type="dxa"/>
            <w:gridSpan w:val="6"/>
            <w:shd w:val="clear" w:color="auto" w:fill="auto"/>
            <w:vAlign w:val="center"/>
          </w:tcPr>
          <w:p>
            <w:pPr>
              <w:spacing w:line="300" w:lineRule="exact"/>
              <w:jc w:val="left"/>
              <w:rPr>
                <w:rFonts w:ascii="方正书宋_GBK" w:eastAsia="方正书宋_GBK"/>
              </w:rPr>
            </w:pPr>
            <w:r>
              <w:rPr>
                <w:rFonts w:ascii="方正书宋_GBK" w:eastAsia="方正书宋_GBK"/>
              </w:rPr>
              <w:t>切实解决家庭经济困难学生就学，确保国家资助政策落实到位。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b/>
              </w:rPr>
            </w:pPr>
            <w:r>
              <w:rPr>
                <w:rFonts w:ascii="方正书宋_GBK" w:eastAsia="方正书宋_GBK"/>
                <w:b/>
              </w:rPr>
              <w:t>资金支出计划（%）</w:t>
            </w:r>
          </w:p>
        </w:tc>
        <w:tc>
          <w:tcPr>
            <w:tcW w:w="2410"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3月底</w:t>
            </w:r>
          </w:p>
        </w:tc>
        <w:tc>
          <w:tcPr>
            <w:tcW w:w="1587" w:type="dxa"/>
            <w:shd w:val="clear" w:color="auto" w:fill="auto"/>
            <w:vAlign w:val="center"/>
          </w:tcPr>
          <w:p>
            <w:pPr>
              <w:spacing w:line="300" w:lineRule="exact"/>
              <w:jc w:val="center"/>
              <w:rPr>
                <w:rFonts w:ascii="方正书宋_GBK" w:eastAsia="方正书宋_GBK"/>
                <w:b/>
              </w:rPr>
            </w:pPr>
            <w:r>
              <w:rPr>
                <w:rFonts w:ascii="方正书宋_GBK" w:eastAsia="方正书宋_GBK"/>
                <w:b/>
              </w:rPr>
              <w:t>6月底</w:t>
            </w:r>
          </w:p>
        </w:tc>
        <w:tc>
          <w:tcPr>
            <w:tcW w:w="130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10月底</w:t>
            </w:r>
          </w:p>
        </w:tc>
        <w:tc>
          <w:tcPr>
            <w:tcW w:w="2977" w:type="dxa"/>
            <w:gridSpan w:val="2"/>
            <w:shd w:val="clear" w:color="auto" w:fill="auto"/>
            <w:vAlign w:val="center"/>
          </w:tcPr>
          <w:p>
            <w:pPr>
              <w:spacing w:line="300" w:lineRule="exact"/>
              <w:jc w:val="center"/>
              <w:rPr>
                <w:rFonts w:ascii="方正书宋_GBK" w:eastAsia="方正书宋_GBK"/>
                <w:b/>
              </w:rPr>
            </w:pPr>
            <w:r>
              <w:rPr>
                <w:rFonts w:ascii="方正书宋_GBK" w:eastAsia="方正书宋_GBK"/>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pPr>
              <w:spacing w:line="300" w:lineRule="exact"/>
              <w:jc w:val="left"/>
              <w:outlineLvl w:val="3"/>
            </w:pPr>
          </w:p>
        </w:tc>
        <w:tc>
          <w:tcPr>
            <w:tcW w:w="2410"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p>
        </w:tc>
        <w:tc>
          <w:tcPr>
            <w:tcW w:w="1587"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1304" w:type="dxa"/>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50.00%</w:t>
            </w:r>
          </w:p>
        </w:tc>
        <w:tc>
          <w:tcPr>
            <w:tcW w:w="2977" w:type="dxa"/>
            <w:gridSpan w:val="2"/>
            <w:tcBorders>
              <w:bottom w:val="single" w:color="000000" w:sz="6" w:space="0"/>
            </w:tcBorders>
            <w:shd w:val="clear" w:color="auto" w:fill="auto"/>
            <w:vAlign w:val="center"/>
          </w:tcPr>
          <w:p>
            <w:pPr>
              <w:spacing w:line="300" w:lineRule="exact"/>
              <w:jc w:val="center"/>
              <w:rPr>
                <w:rFonts w:ascii="方正书宋_GBK" w:eastAsia="方正书宋_GBK"/>
              </w:rPr>
            </w:pPr>
            <w:r>
              <w:rPr>
                <w:rFonts w:ascii="方正书宋_GBK" w:eastAsia="方正书宋_GBK"/>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pPr>
              <w:spacing w:line="300" w:lineRule="exact"/>
              <w:jc w:val="center"/>
              <w:rPr>
                <w:rFonts w:ascii="方正书宋_GBK" w:eastAsia="方正书宋_GBK"/>
                <w:b/>
              </w:rPr>
            </w:pPr>
            <w:r>
              <w:rPr>
                <w:rFonts w:ascii="方正书宋_GBK" w:eastAsia="方正书宋_GBK"/>
                <w:b/>
              </w:rPr>
              <w:t>绩效目标</w:t>
            </w:r>
          </w:p>
        </w:tc>
        <w:tc>
          <w:tcPr>
            <w:tcW w:w="8278" w:type="dxa"/>
            <w:gridSpan w:val="6"/>
            <w:tcBorders>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1.保障补贴等方面的经费支出</w:t>
            </w:r>
          </w:p>
          <w:p>
            <w:pPr>
              <w:spacing w:line="300" w:lineRule="exact"/>
              <w:jc w:val="left"/>
              <w:rPr>
                <w:rFonts w:ascii="方正书宋_GBK" w:eastAsia="方正书宋_GBK"/>
              </w:rPr>
            </w:pPr>
            <w:r>
              <w:rPr>
                <w:rFonts w:ascii="方正书宋_GBK" w:eastAsia="方正书宋_GBK"/>
              </w:rPr>
              <w:t>2.确保本单位日常工作正常运转</w:t>
            </w:r>
          </w:p>
          <w:p>
            <w:pPr>
              <w:spacing w:line="300" w:lineRule="exact"/>
              <w:jc w:val="left"/>
              <w:rPr>
                <w:rFonts w:ascii="方正书宋_GBK" w:eastAsia="方正书宋_GBK"/>
              </w:rPr>
            </w:pPr>
            <w:r>
              <w:rPr>
                <w:rFonts w:ascii="方正书宋_GBK" w:eastAsia="方正书宋_GBK"/>
              </w:rPr>
              <w:t>3.确保学生能按时完成学业</w:t>
            </w:r>
          </w:p>
        </w:tc>
      </w:tr>
    </w:tbl>
    <w:p>
      <w:pPr>
        <w:spacing w:line="14" w:lineRule="exact"/>
        <w:jc w:val="center"/>
        <w:rPr>
          <w:rFonts w:ascii="Times New Roman" w:hAnsi="宋体" w:eastAsia="宋体"/>
        </w:rPr>
      </w:pPr>
      <w:r>
        <w:rPr>
          <w:rFonts w:ascii="方正书宋_GBK" w:eastAsia="方正书宋_GBK"/>
        </w:rPr>
        <w:t xml:space="preserve"> </w:t>
      </w:r>
    </w:p>
    <w:tbl>
      <w:tblPr>
        <w:tblStyle w:val="5"/>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一级指标</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二级指标</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三级指标</w:t>
            </w:r>
          </w:p>
        </w:tc>
        <w:tc>
          <w:tcPr>
            <w:tcW w:w="2891" w:type="dxa"/>
            <w:shd w:val="clear" w:color="auto" w:fill="auto"/>
            <w:vAlign w:val="center"/>
          </w:tcPr>
          <w:p>
            <w:pPr>
              <w:spacing w:line="300" w:lineRule="exact"/>
              <w:jc w:val="center"/>
              <w:rPr>
                <w:rFonts w:ascii="方正书宋_GBK" w:eastAsia="方正书宋_GBK"/>
                <w:b/>
              </w:rPr>
            </w:pPr>
            <w:r>
              <w:rPr>
                <w:rFonts w:ascii="方正书宋_GBK" w:eastAsia="方正书宋_GBK"/>
                <w:b/>
              </w:rPr>
              <w:t>绩效指标描述</w:t>
            </w:r>
          </w:p>
        </w:tc>
        <w:tc>
          <w:tcPr>
            <w:tcW w:w="1276"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w:t>
            </w:r>
          </w:p>
        </w:tc>
        <w:tc>
          <w:tcPr>
            <w:tcW w:w="1701" w:type="dxa"/>
            <w:shd w:val="clear" w:color="auto" w:fill="auto"/>
            <w:vAlign w:val="center"/>
          </w:tcPr>
          <w:p>
            <w:pPr>
              <w:spacing w:line="300" w:lineRule="exact"/>
              <w:jc w:val="center"/>
              <w:rPr>
                <w:rFonts w:ascii="方正书宋_GBK" w:eastAsia="方正书宋_GBK"/>
                <w:b/>
              </w:rPr>
            </w:pPr>
            <w:r>
              <w:rPr>
                <w:rFonts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pPr>
              <w:spacing w:line="300" w:lineRule="exact"/>
              <w:jc w:val="center"/>
              <w:rPr>
                <w:rFonts w:ascii="方正书宋_GBK" w:eastAsia="方正书宋_GBK"/>
              </w:rPr>
            </w:pPr>
            <w:r>
              <w:rPr>
                <w:rFonts w:ascii="方正书宋_GBK" w:eastAsia="方正书宋_GBK"/>
              </w:rPr>
              <w:t>产出指标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数量指标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实发人数比率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实发人数占应发人数比率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质量指标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考核完成率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考核工作完成占计划完成数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时效指标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支付及时率</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按时支付人员工资及时率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pPr>
              <w:spacing w:line="300" w:lineRule="exact"/>
              <w:jc w:val="center"/>
              <w:rPr>
                <w:rFonts w:ascii="方正书宋_GBK" w:eastAsia="方正书宋_GBK"/>
              </w:rPr>
            </w:pP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成本指标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预算控制数</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不超年初预算数</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100100%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pPr>
              <w:spacing w:line="300" w:lineRule="exact"/>
              <w:jc w:val="center"/>
              <w:rPr>
                <w:rFonts w:ascii="方正书宋_GBK" w:eastAsia="方正书宋_GBK"/>
              </w:rPr>
            </w:pPr>
            <w:r>
              <w:rPr>
                <w:rFonts w:ascii="方正书宋_GBK" w:eastAsia="方正书宋_GBK"/>
              </w:rPr>
              <w:t>效益指标</w:t>
            </w:r>
          </w:p>
        </w:tc>
        <w:tc>
          <w:tcPr>
            <w:tcW w:w="1134" w:type="dxa"/>
            <w:shd w:val="clear" w:color="auto" w:fill="auto"/>
            <w:vAlign w:val="center"/>
          </w:tcPr>
          <w:p>
            <w:pPr>
              <w:spacing w:line="300" w:lineRule="exact"/>
              <w:jc w:val="left"/>
              <w:rPr>
                <w:rFonts w:ascii="方正书宋_GBK" w:eastAsia="方正书宋_GBK"/>
              </w:rPr>
            </w:pPr>
            <w:r>
              <w:rPr>
                <w:rFonts w:ascii="方正书宋_GBK" w:eastAsia="方正书宋_GBK"/>
              </w:rPr>
              <w:t>社会效益指标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保证工作正常进行</w:t>
            </w:r>
          </w:p>
        </w:tc>
        <w:tc>
          <w:tcPr>
            <w:tcW w:w="2891" w:type="dxa"/>
            <w:shd w:val="clear" w:color="auto" w:fill="auto"/>
            <w:vAlign w:val="center"/>
          </w:tcPr>
          <w:p>
            <w:pPr>
              <w:spacing w:line="300" w:lineRule="exact"/>
              <w:jc w:val="left"/>
              <w:rPr>
                <w:rFonts w:ascii="方正书宋_GBK" w:eastAsia="方正书宋_GBK"/>
              </w:rPr>
            </w:pPr>
            <w:r>
              <w:rPr>
                <w:rFonts w:ascii="方正书宋_GBK" w:eastAsia="方正书宋_GBK"/>
              </w:rPr>
              <w:t>能够保障人员日常工作效率</w:t>
            </w:r>
          </w:p>
        </w:tc>
        <w:tc>
          <w:tcPr>
            <w:tcW w:w="1276" w:type="dxa"/>
            <w:shd w:val="clear" w:color="auto" w:fill="auto"/>
            <w:vAlign w:val="center"/>
          </w:tcPr>
          <w:p>
            <w:pPr>
              <w:spacing w:line="300" w:lineRule="exact"/>
              <w:jc w:val="left"/>
              <w:rPr>
                <w:rFonts w:ascii="方正书宋_GBK" w:eastAsia="方正书宋_GBK"/>
              </w:rPr>
            </w:pPr>
            <w:r>
              <w:rPr>
                <w:rFonts w:ascii="方正书宋_GBK" w:eastAsia="方正书宋_GBK"/>
              </w:rPr>
              <w:t>≥95100%</w:t>
            </w:r>
          </w:p>
        </w:tc>
        <w:tc>
          <w:tcPr>
            <w:tcW w:w="1701" w:type="dxa"/>
            <w:shd w:val="clear" w:color="auto" w:fill="auto"/>
            <w:vAlign w:val="center"/>
          </w:tcPr>
          <w:p>
            <w:pPr>
              <w:spacing w:line="300" w:lineRule="exact"/>
              <w:jc w:val="left"/>
              <w:rPr>
                <w:rFonts w:ascii="方正书宋_GBK" w:eastAsia="方正书宋_GBK"/>
              </w:rPr>
            </w:pPr>
            <w:r>
              <w:rPr>
                <w:rFonts w:ascii="方正书宋_GBK" w:eastAsia="方正书宋_GBK"/>
              </w:rPr>
              <w:t>测算指标</w:t>
            </w:r>
          </w:p>
        </w:tc>
      </w:tr>
    </w:tbl>
    <w:p/>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spacing w:line="360" w:lineRule="auto"/>
        <w:ind w:firstLine="640" w:firstLineChars="200"/>
        <w:rPr>
          <w:rFonts w:ascii="仿宋" w:hAnsi="仿宋" w:eastAsia="仿宋"/>
          <w:sz w:val="32"/>
          <w:szCs w:val="32"/>
        </w:rPr>
      </w:pPr>
      <w:r>
        <w:rPr>
          <w:rFonts w:hint="eastAsia" w:ascii="仿宋" w:hAnsi="仿宋" w:eastAsia="仿宋"/>
          <w:b/>
          <w:sz w:val="32"/>
          <w:szCs w:val="32"/>
        </w:rPr>
        <w:t>无政府采购预算的写</w:t>
      </w:r>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2021年，我单位无政府采购预算，空表列示。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附单位政府采购预算表空表。</w:t>
      </w:r>
    </w:p>
    <w:tbl>
      <w:tblPr>
        <w:tblStyle w:val="5"/>
        <w:tblW w:w="16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1042"/>
        <w:gridCol w:w="886"/>
        <w:gridCol w:w="964"/>
        <w:gridCol w:w="964"/>
        <w:gridCol w:w="964"/>
        <w:gridCol w:w="964"/>
        <w:gridCol w:w="964"/>
        <w:gridCol w:w="9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pStyle w:val="16"/>
              <w:rPr>
                <w:rFonts w:asciiTheme="minorHAnsi" w:hAnsiTheme="minorHAnsi"/>
                <w:lang w:val="uk-UA"/>
              </w:rPr>
            </w:pPr>
            <w:r>
              <w:rPr>
                <w:rFonts w:hint="eastAsia"/>
                <w:lang w:eastAsia="zh-CN"/>
              </w:rPr>
              <w:t>360048</w:t>
            </w:r>
            <w:r>
              <w:t>保定市徐水区</w:t>
            </w:r>
            <w:r>
              <w:rPr>
                <w:rFonts w:hint="eastAsia"/>
                <w:lang w:eastAsia="zh-CN"/>
              </w:rPr>
              <w:t>东史端中学</w:t>
            </w:r>
          </w:p>
        </w:tc>
        <w:tc>
          <w:tcPr>
            <w:tcW w:w="8676" w:type="dxa"/>
            <w:gridSpan w:val="9"/>
            <w:tcBorders>
              <w:top w:val="single" w:color="FFFFFF" w:sz="6" w:space="0"/>
              <w:left w:val="single" w:color="FFFFFF" w:sz="6" w:space="0"/>
              <w:right w:val="single" w:color="FFFFFF" w:sz="6" w:space="0"/>
            </w:tcBorders>
            <w:vAlign w:val="center"/>
          </w:tcPr>
          <w:p>
            <w:pPr>
              <w:pStyle w:val="15"/>
            </w:pPr>
            <w: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pStyle w:val="10"/>
            </w:pPr>
            <w:r>
              <w:t>政府采购项目来源</w:t>
            </w:r>
          </w:p>
        </w:tc>
        <w:tc>
          <w:tcPr>
            <w:tcW w:w="1134" w:type="dxa"/>
            <w:vMerge w:val="restart"/>
            <w:vAlign w:val="center"/>
          </w:tcPr>
          <w:p>
            <w:pPr>
              <w:pStyle w:val="10"/>
            </w:pPr>
            <w:r>
              <w:t>采购物品名称</w:t>
            </w:r>
          </w:p>
        </w:tc>
        <w:tc>
          <w:tcPr>
            <w:tcW w:w="1134" w:type="dxa"/>
            <w:vMerge w:val="restart"/>
            <w:vAlign w:val="center"/>
          </w:tcPr>
          <w:p>
            <w:pPr>
              <w:pStyle w:val="10"/>
            </w:pPr>
            <w:r>
              <w:t>政府采购目录序号</w:t>
            </w:r>
          </w:p>
        </w:tc>
        <w:tc>
          <w:tcPr>
            <w:tcW w:w="709" w:type="dxa"/>
            <w:vMerge w:val="restart"/>
            <w:vAlign w:val="center"/>
          </w:tcPr>
          <w:p>
            <w:pPr>
              <w:pStyle w:val="10"/>
            </w:pPr>
            <w:r>
              <w:t>计量  单位</w:t>
            </w:r>
          </w:p>
        </w:tc>
        <w:tc>
          <w:tcPr>
            <w:tcW w:w="850" w:type="dxa"/>
            <w:vMerge w:val="restart"/>
            <w:vAlign w:val="center"/>
          </w:tcPr>
          <w:p>
            <w:pPr>
              <w:pStyle w:val="10"/>
            </w:pPr>
            <w:r>
              <w:t>数量</w:t>
            </w:r>
          </w:p>
        </w:tc>
        <w:tc>
          <w:tcPr>
            <w:tcW w:w="850" w:type="dxa"/>
            <w:vMerge w:val="restart"/>
            <w:vAlign w:val="center"/>
          </w:tcPr>
          <w:p>
            <w:pPr>
              <w:pStyle w:val="10"/>
            </w:pPr>
            <w:r>
              <w:t>单价</w:t>
            </w:r>
          </w:p>
        </w:tc>
        <w:tc>
          <w:tcPr>
            <w:tcW w:w="7712" w:type="dxa"/>
            <w:gridSpan w:val="8"/>
            <w:vAlign w:val="center"/>
          </w:tcPr>
          <w:p>
            <w:pPr>
              <w:pStyle w:val="10"/>
            </w:pPr>
            <w:r>
              <w:t>政府采购金额（当年部门预算安排资金）</w:t>
            </w:r>
          </w:p>
        </w:tc>
        <w:tc>
          <w:tcPr>
            <w:tcW w:w="964" w:type="dxa"/>
            <w:vMerge w:val="restart"/>
            <w:vAlign w:val="center"/>
          </w:tcPr>
          <w:p>
            <w:pPr>
              <w:pStyle w:val="10"/>
            </w:pPr>
            <w:r>
              <w:t>2022年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pStyle w:val="10"/>
            </w:pPr>
            <w:r>
              <w:t>项目名称</w:t>
            </w:r>
          </w:p>
        </w:tc>
        <w:tc>
          <w:tcPr>
            <w:tcW w:w="964" w:type="dxa"/>
            <w:vAlign w:val="center"/>
          </w:tcPr>
          <w:p>
            <w:pPr>
              <w:pStyle w:val="10"/>
            </w:pPr>
            <w:r>
              <w:t>预算    资金</w:t>
            </w:r>
          </w:p>
        </w:tc>
        <w:tc>
          <w:tcPr>
            <w:tcW w:w="1134" w:type="dxa"/>
            <w:vMerge w:val="continue"/>
          </w:tcPr>
          <w:p/>
        </w:tc>
        <w:tc>
          <w:tcPr>
            <w:tcW w:w="1134" w:type="dxa"/>
            <w:vMerge w:val="continue"/>
          </w:tcPr>
          <w:p/>
        </w:tc>
        <w:tc>
          <w:tcPr>
            <w:tcW w:w="709" w:type="dxa"/>
            <w:vMerge w:val="continue"/>
          </w:tcPr>
          <w:p/>
        </w:tc>
        <w:tc>
          <w:tcPr>
            <w:tcW w:w="850" w:type="dxa"/>
            <w:vMerge w:val="continue"/>
          </w:tcPr>
          <w:p/>
        </w:tc>
        <w:tc>
          <w:tcPr>
            <w:tcW w:w="850" w:type="dxa"/>
            <w:vMerge w:val="continue"/>
          </w:tcPr>
          <w:p/>
        </w:tc>
        <w:tc>
          <w:tcPr>
            <w:tcW w:w="964" w:type="dxa"/>
            <w:vAlign w:val="center"/>
          </w:tcPr>
          <w:p>
            <w:pPr>
              <w:pStyle w:val="10"/>
            </w:pPr>
            <w:r>
              <w:t>合计</w:t>
            </w:r>
          </w:p>
        </w:tc>
        <w:tc>
          <w:tcPr>
            <w:tcW w:w="1042" w:type="dxa"/>
            <w:vAlign w:val="center"/>
          </w:tcPr>
          <w:p>
            <w:pPr>
              <w:pStyle w:val="10"/>
            </w:pPr>
            <w:r>
              <w:t>一般公共预算拨款</w:t>
            </w:r>
          </w:p>
        </w:tc>
        <w:tc>
          <w:tcPr>
            <w:tcW w:w="886" w:type="dxa"/>
            <w:vAlign w:val="center"/>
          </w:tcPr>
          <w:p>
            <w:pPr>
              <w:pStyle w:val="10"/>
            </w:pPr>
            <w:r>
              <w:t>基金预算拨款</w:t>
            </w:r>
          </w:p>
        </w:tc>
        <w:tc>
          <w:tcPr>
            <w:tcW w:w="964" w:type="dxa"/>
            <w:vAlign w:val="center"/>
          </w:tcPr>
          <w:p>
            <w:pPr>
              <w:pStyle w:val="10"/>
            </w:pPr>
            <w:r>
              <w:t>国有资本经营预算拨款</w:t>
            </w:r>
          </w:p>
        </w:tc>
        <w:tc>
          <w:tcPr>
            <w:tcW w:w="964" w:type="dxa"/>
            <w:vAlign w:val="center"/>
          </w:tcPr>
          <w:p>
            <w:pPr>
              <w:pStyle w:val="10"/>
            </w:pPr>
            <w:r>
              <w:t>财政专户核拨</w:t>
            </w:r>
          </w:p>
        </w:tc>
        <w:tc>
          <w:tcPr>
            <w:tcW w:w="964" w:type="dxa"/>
            <w:vAlign w:val="center"/>
          </w:tcPr>
          <w:p>
            <w:pPr>
              <w:pStyle w:val="10"/>
            </w:pPr>
            <w:r>
              <w:t>单位    资金</w:t>
            </w:r>
          </w:p>
        </w:tc>
        <w:tc>
          <w:tcPr>
            <w:tcW w:w="964" w:type="dxa"/>
            <w:vAlign w:val="center"/>
          </w:tcPr>
          <w:p>
            <w:pPr>
              <w:pStyle w:val="10"/>
            </w:pPr>
            <w:r>
              <w:t>财政拨    款结转</w:t>
            </w:r>
          </w:p>
        </w:tc>
        <w:tc>
          <w:tcPr>
            <w:tcW w:w="964" w:type="dxa"/>
            <w:vAlign w:val="center"/>
          </w:tcPr>
          <w:p>
            <w:pPr>
              <w:pStyle w:val="10"/>
            </w:pPr>
            <w:r>
              <w:t>非财政    拨款结    转结余</w:t>
            </w:r>
          </w:p>
        </w:tc>
        <w:tc>
          <w:tcPr>
            <w:tcW w:w="964" w:type="dxa"/>
            <w:vMerge w:val="continue"/>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7"/>
            </w:pPr>
            <w:r>
              <w:t>合  计</w:t>
            </w:r>
          </w:p>
        </w:tc>
        <w:tc>
          <w:tcPr>
            <w:tcW w:w="964" w:type="dxa"/>
            <w:vAlign w:val="center"/>
          </w:tcPr>
          <w:p>
            <w:pPr>
              <w:pStyle w:val="18"/>
            </w:pPr>
          </w:p>
        </w:tc>
        <w:tc>
          <w:tcPr>
            <w:tcW w:w="1134" w:type="dxa"/>
            <w:vAlign w:val="center"/>
          </w:tcPr>
          <w:p>
            <w:pPr>
              <w:pStyle w:val="14"/>
            </w:pPr>
          </w:p>
        </w:tc>
        <w:tc>
          <w:tcPr>
            <w:tcW w:w="1134" w:type="dxa"/>
            <w:vAlign w:val="center"/>
          </w:tcPr>
          <w:p>
            <w:pPr>
              <w:pStyle w:val="14"/>
            </w:pPr>
          </w:p>
        </w:tc>
        <w:tc>
          <w:tcPr>
            <w:tcW w:w="709" w:type="dxa"/>
            <w:vAlign w:val="center"/>
          </w:tcPr>
          <w:p>
            <w:pPr>
              <w:pStyle w:val="17"/>
            </w:pPr>
          </w:p>
        </w:tc>
        <w:tc>
          <w:tcPr>
            <w:tcW w:w="850" w:type="dxa"/>
            <w:vAlign w:val="center"/>
          </w:tcPr>
          <w:p>
            <w:pPr>
              <w:pStyle w:val="18"/>
            </w:pPr>
          </w:p>
        </w:tc>
        <w:tc>
          <w:tcPr>
            <w:tcW w:w="850" w:type="dxa"/>
            <w:vAlign w:val="center"/>
          </w:tcPr>
          <w:p>
            <w:pPr>
              <w:pStyle w:val="18"/>
            </w:pPr>
          </w:p>
        </w:tc>
        <w:tc>
          <w:tcPr>
            <w:tcW w:w="964" w:type="dxa"/>
            <w:vAlign w:val="center"/>
          </w:tcPr>
          <w:p>
            <w:pPr>
              <w:pStyle w:val="18"/>
              <w:ind w:right="844"/>
              <w:jc w:val="center"/>
            </w:pPr>
          </w:p>
        </w:tc>
        <w:tc>
          <w:tcPr>
            <w:tcW w:w="1042" w:type="dxa"/>
            <w:vAlign w:val="center"/>
          </w:tcPr>
          <w:p>
            <w:pPr>
              <w:pStyle w:val="18"/>
            </w:pPr>
          </w:p>
        </w:tc>
        <w:tc>
          <w:tcPr>
            <w:tcW w:w="886"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7"/>
            </w:pPr>
            <w:r>
              <w:t>保定市徐水区</w:t>
            </w:r>
            <w:r>
              <w:rPr>
                <w:rFonts w:hint="eastAsia"/>
                <w:lang w:eastAsia="zh-CN"/>
              </w:rPr>
              <w:t>东史端中学</w:t>
            </w:r>
          </w:p>
        </w:tc>
        <w:tc>
          <w:tcPr>
            <w:tcW w:w="964" w:type="dxa"/>
            <w:vAlign w:val="center"/>
          </w:tcPr>
          <w:p>
            <w:pPr>
              <w:pStyle w:val="18"/>
            </w:pPr>
          </w:p>
        </w:tc>
        <w:tc>
          <w:tcPr>
            <w:tcW w:w="1134" w:type="dxa"/>
            <w:vAlign w:val="center"/>
          </w:tcPr>
          <w:p>
            <w:pPr>
              <w:pStyle w:val="14"/>
            </w:pPr>
          </w:p>
        </w:tc>
        <w:tc>
          <w:tcPr>
            <w:tcW w:w="1134" w:type="dxa"/>
            <w:vAlign w:val="center"/>
          </w:tcPr>
          <w:p>
            <w:pPr>
              <w:pStyle w:val="14"/>
            </w:pPr>
          </w:p>
        </w:tc>
        <w:tc>
          <w:tcPr>
            <w:tcW w:w="709" w:type="dxa"/>
            <w:vAlign w:val="center"/>
          </w:tcPr>
          <w:p>
            <w:pPr>
              <w:pStyle w:val="17"/>
            </w:pPr>
          </w:p>
        </w:tc>
        <w:tc>
          <w:tcPr>
            <w:tcW w:w="850" w:type="dxa"/>
            <w:vAlign w:val="center"/>
          </w:tcPr>
          <w:p>
            <w:pPr>
              <w:pStyle w:val="18"/>
            </w:pPr>
          </w:p>
        </w:tc>
        <w:tc>
          <w:tcPr>
            <w:tcW w:w="850" w:type="dxa"/>
            <w:vAlign w:val="center"/>
          </w:tcPr>
          <w:p>
            <w:pPr>
              <w:pStyle w:val="18"/>
            </w:pPr>
          </w:p>
        </w:tc>
        <w:tc>
          <w:tcPr>
            <w:tcW w:w="964" w:type="dxa"/>
            <w:vAlign w:val="center"/>
          </w:tcPr>
          <w:p>
            <w:pPr>
              <w:pStyle w:val="18"/>
              <w:ind w:right="844"/>
              <w:jc w:val="both"/>
              <w:rPr>
                <w:rFonts w:asciiTheme="minorHAnsi" w:hAnsiTheme="minorHAnsi"/>
                <w:lang w:val="uk-UA"/>
              </w:rPr>
            </w:pPr>
          </w:p>
        </w:tc>
        <w:tc>
          <w:tcPr>
            <w:tcW w:w="1042" w:type="dxa"/>
            <w:vAlign w:val="center"/>
          </w:tcPr>
          <w:p>
            <w:pPr>
              <w:pStyle w:val="18"/>
            </w:pPr>
          </w:p>
        </w:tc>
        <w:tc>
          <w:tcPr>
            <w:tcW w:w="886"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c>
          <w:tcPr>
            <w:tcW w:w="964" w:type="dxa"/>
            <w:vAlign w:val="center"/>
          </w:tcPr>
          <w:p>
            <w:pPr>
              <w:pStyle w:val="18"/>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pStyle w:val="12"/>
              <w:rPr>
                <w:rFonts w:asciiTheme="minorHAnsi" w:hAnsiTheme="minorHAnsi"/>
                <w:lang w:val="uk-UA"/>
              </w:rPr>
            </w:pPr>
          </w:p>
        </w:tc>
        <w:tc>
          <w:tcPr>
            <w:tcW w:w="964" w:type="dxa"/>
            <w:vAlign w:val="center"/>
          </w:tcPr>
          <w:p>
            <w:pPr>
              <w:pStyle w:val="11"/>
            </w:pPr>
          </w:p>
        </w:tc>
        <w:tc>
          <w:tcPr>
            <w:tcW w:w="1134" w:type="dxa"/>
            <w:vAlign w:val="center"/>
          </w:tcPr>
          <w:p>
            <w:pPr>
              <w:pStyle w:val="12"/>
              <w:rPr>
                <w:rFonts w:asciiTheme="minorHAnsi" w:hAnsiTheme="minorHAnsi"/>
                <w:lang w:val="uk-UA"/>
              </w:rPr>
            </w:pPr>
          </w:p>
        </w:tc>
        <w:tc>
          <w:tcPr>
            <w:tcW w:w="1134" w:type="dxa"/>
            <w:vAlign w:val="center"/>
          </w:tcPr>
          <w:p>
            <w:pPr>
              <w:pStyle w:val="12"/>
            </w:pPr>
          </w:p>
        </w:tc>
        <w:tc>
          <w:tcPr>
            <w:tcW w:w="709" w:type="dxa"/>
            <w:vAlign w:val="center"/>
          </w:tcPr>
          <w:p>
            <w:pPr>
              <w:pStyle w:val="13"/>
            </w:pPr>
          </w:p>
        </w:tc>
        <w:tc>
          <w:tcPr>
            <w:tcW w:w="850" w:type="dxa"/>
            <w:vAlign w:val="center"/>
          </w:tcPr>
          <w:p>
            <w:pPr>
              <w:pStyle w:val="11"/>
            </w:pPr>
          </w:p>
        </w:tc>
        <w:tc>
          <w:tcPr>
            <w:tcW w:w="850" w:type="dxa"/>
            <w:vAlign w:val="center"/>
          </w:tcPr>
          <w:p>
            <w:pPr>
              <w:pStyle w:val="11"/>
            </w:pPr>
          </w:p>
        </w:tc>
        <w:tc>
          <w:tcPr>
            <w:tcW w:w="964" w:type="dxa"/>
            <w:vAlign w:val="center"/>
          </w:tcPr>
          <w:p>
            <w:pPr>
              <w:pStyle w:val="11"/>
            </w:pPr>
          </w:p>
        </w:tc>
        <w:tc>
          <w:tcPr>
            <w:tcW w:w="1042" w:type="dxa"/>
            <w:vAlign w:val="center"/>
          </w:tcPr>
          <w:p>
            <w:pPr>
              <w:pStyle w:val="11"/>
              <w:ind w:right="840"/>
              <w:jc w:val="both"/>
            </w:pPr>
          </w:p>
        </w:tc>
        <w:tc>
          <w:tcPr>
            <w:tcW w:w="886"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pPr>
          </w:p>
        </w:tc>
        <w:tc>
          <w:tcPr>
            <w:tcW w:w="964" w:type="dxa"/>
            <w:vAlign w:val="center"/>
          </w:tcPr>
          <w:p>
            <w:pPr>
              <w:pStyle w:val="11"/>
              <w:ind w:right="840"/>
              <w:jc w:val="center"/>
            </w:pPr>
          </w:p>
        </w:tc>
      </w:tr>
    </w:tbl>
    <w:p>
      <w:pPr>
        <w:spacing w:line="360" w:lineRule="auto"/>
        <w:rPr>
          <w:rFonts w:ascii="仿宋" w:hAnsi="仿宋" w:eastAsia="仿宋"/>
          <w:sz w:val="32"/>
          <w:szCs w:val="32"/>
        </w:rPr>
      </w:pPr>
    </w:p>
    <w:p>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rPr>
          <w:rFonts w:ascii="仿宋" w:hAnsi="仿宋" w:eastAsia="仿宋"/>
          <w:sz w:val="32"/>
          <w:szCs w:val="32"/>
        </w:rPr>
      </w:pPr>
    </w:p>
    <w:p>
      <w:pPr>
        <w:jc w:val="center"/>
        <w:outlineLvl w:val="0"/>
        <w:rPr>
          <w:rFonts w:ascii="方正小标宋_GBK" w:eastAsia="方正小标宋_GBK"/>
          <w:sz w:val="44"/>
        </w:rPr>
      </w:pPr>
      <w:r>
        <w:rPr>
          <w:rFonts w:hint="eastAsia" w:ascii="方正小标宋_GBK" w:eastAsia="方正小标宋_GBK"/>
          <w:sz w:val="44"/>
        </w:rPr>
        <w:t>第七部分：国有资产信息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上年末我单位固定资产总金额为7</w:t>
      </w:r>
      <w:r>
        <w:rPr>
          <w:rFonts w:ascii="仿宋" w:hAnsi="仿宋" w:eastAsia="仿宋"/>
          <w:sz w:val="32"/>
          <w:szCs w:val="32"/>
        </w:rPr>
        <w:t>56.61</w:t>
      </w:r>
      <w:r>
        <w:rPr>
          <w:rFonts w:hint="eastAsia" w:ascii="仿宋" w:hAnsi="仿宋" w:eastAsia="仿宋"/>
          <w:sz w:val="32"/>
          <w:szCs w:val="32"/>
        </w:rPr>
        <w:t>万元（详见下表）。</w:t>
      </w:r>
      <w:r>
        <w:rPr>
          <w:rFonts w:ascii="仿宋" w:hAnsi="仿宋" w:eastAsia="仿宋"/>
          <w:sz w:val="32"/>
          <w:szCs w:val="32"/>
        </w:rPr>
        <w:t xml:space="preserve"> 本年度拟购置固定资产总额为0万元，已列入政府采购预算，详见政府采购预算表。</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本年度无拟购置固定资产的写：我单位本年度无国有资产购置计划，拟购置金额为</w:t>
      </w:r>
      <w:r>
        <w:rPr>
          <w:rFonts w:ascii="仿宋" w:hAnsi="仿宋" w:eastAsia="仿宋"/>
          <w:sz w:val="32"/>
          <w:szCs w:val="32"/>
        </w:rPr>
        <w:t>0。</w:t>
      </w:r>
    </w:p>
    <w:tbl>
      <w:tblPr>
        <w:tblStyle w:val="5"/>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rPr>
            </w:pPr>
            <w:r>
              <w:rPr>
                <w:rFonts w:hint="eastAsia" w:ascii="宋体" w:hAnsi="宋体"/>
                <w:sz w:val="32"/>
                <w:szCs w:val="32"/>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w:t>
            </w:r>
            <w:r>
              <w:rPr>
                <w:rFonts w:hint="eastAsia" w:ascii="仿宋_GB2312" w:hAnsi="仿宋" w:eastAsia="仿宋_GB2312" w:cs="宋体"/>
                <w:bCs/>
                <w:color w:val="FF0000"/>
                <w:kern w:val="0"/>
                <w:sz w:val="28"/>
                <w:szCs w:val="28"/>
              </w:rPr>
              <w:t>0年12月31日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756.61</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2800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332.14</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2800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332.14</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rPr>
            </w:pP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424.47</w:t>
            </w:r>
          </w:p>
        </w:tc>
      </w:tr>
    </w:tbl>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p>
    <w:p>
      <w:pPr>
        <w:jc w:val="center"/>
        <w:outlineLvl w:val="0"/>
        <w:rPr>
          <w:rFonts w:ascii="方正小标宋_GBK" w:eastAsia="方正小标宋_GBK"/>
          <w:sz w:val="44"/>
        </w:rPr>
      </w:pPr>
    </w:p>
    <w:p>
      <w:pPr>
        <w:jc w:val="center"/>
        <w:outlineLvl w:val="0"/>
        <w:rPr>
          <w:rFonts w:ascii="方正小标宋_GBK" w:eastAsia="方正小标宋_GBK"/>
          <w:sz w:val="44"/>
        </w:rPr>
      </w:pPr>
      <w:r>
        <w:rPr>
          <w:rFonts w:hint="eastAsia" w:ascii="方正小标宋_GBK" w:eastAsia="方正小标宋_GBK"/>
          <w:sz w:val="44"/>
        </w:rPr>
        <w:t>第八部分：名词解释</w:t>
      </w:r>
    </w:p>
    <w:p>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单位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我单位无其他需说明的事项。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书宋_GBK">
    <w:altName w:val="宋体"/>
    <w:panose1 w:val="00000000000000000000"/>
    <w:charset w:val="86"/>
    <w:family w:val="script"/>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28667"/>
      <w:docPartObj>
        <w:docPartGallery w:val="AutoText"/>
      </w:docPartObj>
    </w:sdtPr>
    <w:sdtContent>
      <w:p>
        <w:pPr>
          <w:pStyle w:val="3"/>
          <w:jc w:val="center"/>
        </w:pPr>
        <w:r>
          <w:fldChar w:fldCharType="begin"/>
        </w:r>
        <w:r>
          <w:instrText xml:space="preserve">PAGE   \* MERGEFORMAT</w:instrText>
        </w:r>
        <w:r>
          <w:fldChar w:fldCharType="separate"/>
        </w:r>
        <w:r>
          <w:rPr>
            <w:lang w:val="zh-CN"/>
          </w:rPr>
          <w:t>16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16F81"/>
    <w:rsid w:val="00044FBC"/>
    <w:rsid w:val="00055F1F"/>
    <w:rsid w:val="000577EF"/>
    <w:rsid w:val="00057F18"/>
    <w:rsid w:val="000948BA"/>
    <w:rsid w:val="000A445D"/>
    <w:rsid w:val="000C178B"/>
    <w:rsid w:val="00131DEC"/>
    <w:rsid w:val="00136AB3"/>
    <w:rsid w:val="00143674"/>
    <w:rsid w:val="001462BD"/>
    <w:rsid w:val="00152380"/>
    <w:rsid w:val="001638BE"/>
    <w:rsid w:val="00164810"/>
    <w:rsid w:val="00172C7A"/>
    <w:rsid w:val="00181777"/>
    <w:rsid w:val="00194DDE"/>
    <w:rsid w:val="001B4688"/>
    <w:rsid w:val="001B6235"/>
    <w:rsid w:val="001F4875"/>
    <w:rsid w:val="00212335"/>
    <w:rsid w:val="002918C6"/>
    <w:rsid w:val="00291EF3"/>
    <w:rsid w:val="00296524"/>
    <w:rsid w:val="002E01F6"/>
    <w:rsid w:val="002F1ACB"/>
    <w:rsid w:val="002F306C"/>
    <w:rsid w:val="002F530F"/>
    <w:rsid w:val="00305E97"/>
    <w:rsid w:val="00310532"/>
    <w:rsid w:val="00312C6B"/>
    <w:rsid w:val="0032782B"/>
    <w:rsid w:val="00340B3D"/>
    <w:rsid w:val="0034253A"/>
    <w:rsid w:val="003669CF"/>
    <w:rsid w:val="00367A30"/>
    <w:rsid w:val="003A06D2"/>
    <w:rsid w:val="003A4557"/>
    <w:rsid w:val="003A6366"/>
    <w:rsid w:val="003B4C84"/>
    <w:rsid w:val="003C2317"/>
    <w:rsid w:val="003C442E"/>
    <w:rsid w:val="003D1092"/>
    <w:rsid w:val="003D37CD"/>
    <w:rsid w:val="003E5531"/>
    <w:rsid w:val="003E555C"/>
    <w:rsid w:val="003E6AF3"/>
    <w:rsid w:val="0040243C"/>
    <w:rsid w:val="00406BD1"/>
    <w:rsid w:val="00420245"/>
    <w:rsid w:val="00426C19"/>
    <w:rsid w:val="004446B1"/>
    <w:rsid w:val="00450FD9"/>
    <w:rsid w:val="00453CE0"/>
    <w:rsid w:val="00470736"/>
    <w:rsid w:val="00470BBB"/>
    <w:rsid w:val="00474A38"/>
    <w:rsid w:val="004751E5"/>
    <w:rsid w:val="0048611E"/>
    <w:rsid w:val="004B6929"/>
    <w:rsid w:val="004E2F43"/>
    <w:rsid w:val="004E3572"/>
    <w:rsid w:val="004F3C52"/>
    <w:rsid w:val="00510A1E"/>
    <w:rsid w:val="00514368"/>
    <w:rsid w:val="005158E2"/>
    <w:rsid w:val="00524204"/>
    <w:rsid w:val="00550049"/>
    <w:rsid w:val="00553F7E"/>
    <w:rsid w:val="00570142"/>
    <w:rsid w:val="00586C35"/>
    <w:rsid w:val="005B1B6F"/>
    <w:rsid w:val="005B6CCB"/>
    <w:rsid w:val="005C54AA"/>
    <w:rsid w:val="005C7B89"/>
    <w:rsid w:val="005E67B3"/>
    <w:rsid w:val="00612C59"/>
    <w:rsid w:val="0062788A"/>
    <w:rsid w:val="00641F8A"/>
    <w:rsid w:val="0066383B"/>
    <w:rsid w:val="00694457"/>
    <w:rsid w:val="006A345F"/>
    <w:rsid w:val="006A6FA2"/>
    <w:rsid w:val="006B5117"/>
    <w:rsid w:val="006C62DF"/>
    <w:rsid w:val="006D5C7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9018C8"/>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14BA2"/>
    <w:rsid w:val="00B22155"/>
    <w:rsid w:val="00B37958"/>
    <w:rsid w:val="00B57CBC"/>
    <w:rsid w:val="00B62027"/>
    <w:rsid w:val="00B76AA9"/>
    <w:rsid w:val="00B80FAB"/>
    <w:rsid w:val="00B81C88"/>
    <w:rsid w:val="00BA5C83"/>
    <w:rsid w:val="00BC6A7D"/>
    <w:rsid w:val="00BD4829"/>
    <w:rsid w:val="00BD6002"/>
    <w:rsid w:val="00BD719F"/>
    <w:rsid w:val="00BF5442"/>
    <w:rsid w:val="00C177A5"/>
    <w:rsid w:val="00C33CCC"/>
    <w:rsid w:val="00C35FEE"/>
    <w:rsid w:val="00C50535"/>
    <w:rsid w:val="00C6153C"/>
    <w:rsid w:val="00C906EF"/>
    <w:rsid w:val="00C96DB6"/>
    <w:rsid w:val="00CB4F9C"/>
    <w:rsid w:val="00CC7D74"/>
    <w:rsid w:val="00D02F97"/>
    <w:rsid w:val="00D17F3B"/>
    <w:rsid w:val="00D45530"/>
    <w:rsid w:val="00D45A0E"/>
    <w:rsid w:val="00D45D23"/>
    <w:rsid w:val="00D723D1"/>
    <w:rsid w:val="00D80C60"/>
    <w:rsid w:val="00D8525F"/>
    <w:rsid w:val="00D91B1D"/>
    <w:rsid w:val="00DA0C4D"/>
    <w:rsid w:val="00DA5DA7"/>
    <w:rsid w:val="00DE3935"/>
    <w:rsid w:val="00DE6B32"/>
    <w:rsid w:val="00DF26B8"/>
    <w:rsid w:val="00E07BD2"/>
    <w:rsid w:val="00E12C68"/>
    <w:rsid w:val="00E2325B"/>
    <w:rsid w:val="00E24075"/>
    <w:rsid w:val="00E270C9"/>
    <w:rsid w:val="00E35F38"/>
    <w:rsid w:val="00E46F27"/>
    <w:rsid w:val="00E509CC"/>
    <w:rsid w:val="00E56DC0"/>
    <w:rsid w:val="00E71A04"/>
    <w:rsid w:val="00E90DA6"/>
    <w:rsid w:val="00E94AE6"/>
    <w:rsid w:val="00E96342"/>
    <w:rsid w:val="00EA2FEA"/>
    <w:rsid w:val="00EA56CB"/>
    <w:rsid w:val="00EA7853"/>
    <w:rsid w:val="00EB00EE"/>
    <w:rsid w:val="00F000B1"/>
    <w:rsid w:val="00F00FC2"/>
    <w:rsid w:val="00F012D3"/>
    <w:rsid w:val="00F044C3"/>
    <w:rsid w:val="00F10D04"/>
    <w:rsid w:val="00F169E3"/>
    <w:rsid w:val="00F35D4B"/>
    <w:rsid w:val="00F3746B"/>
    <w:rsid w:val="00F45625"/>
    <w:rsid w:val="00F51B30"/>
    <w:rsid w:val="00F572CB"/>
    <w:rsid w:val="00F621AF"/>
    <w:rsid w:val="00F8024E"/>
    <w:rsid w:val="00F82447"/>
    <w:rsid w:val="00F868E5"/>
    <w:rsid w:val="00FB2F32"/>
    <w:rsid w:val="00FC3191"/>
    <w:rsid w:val="00FE0F1F"/>
    <w:rsid w:val="00FF61F3"/>
    <w:rsid w:val="7EB30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 w:type="paragraph" w:customStyle="1" w:styleId="10">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1">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2">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13">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14">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15">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16">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17">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18">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0450B7-2035-4571-818D-E01E32355269}">
  <ds:schemaRefs/>
</ds:datastoreItem>
</file>

<file path=docProps/app.xml><?xml version="1.0" encoding="utf-8"?>
<Properties xmlns="http://schemas.openxmlformats.org/officeDocument/2006/extended-properties" xmlns:vt="http://schemas.openxmlformats.org/officeDocument/2006/docPropsVTypes">
  <Template>Normal</Template>
  <Pages>16</Pages>
  <Words>1053</Words>
  <Characters>6005</Characters>
  <Lines>50</Lines>
  <Paragraphs>14</Paragraphs>
  <TotalTime>835</TotalTime>
  <ScaleCrop>false</ScaleCrop>
  <LinksUpToDate>false</LinksUpToDate>
  <CharactersWithSpaces>7044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lenovo</cp:lastModifiedBy>
  <cp:lastPrinted>2021-04-14T02:06:00Z</cp:lastPrinted>
  <dcterms:modified xsi:type="dcterms:W3CDTF">2023-11-16T02:26:26Z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BA6828E5956948B08BEA31F74DCBD79C</vt:lpwstr>
  </property>
</Properties>
</file>