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28"/>
          <w:szCs w:val="28"/>
        </w:rPr>
      </w:pPr>
      <w:r>
        <w:rPr>
          <w:rFonts w:hint="eastAsia" w:ascii="仿宋_GB2312" w:hAnsi="宋体" w:cs="宋体"/>
          <w:color w:val="000000"/>
          <w:sz w:val="28"/>
          <w:szCs w:val="28"/>
        </w:rPr>
        <w:t>附件1</w:t>
      </w:r>
    </w:p>
    <w:p>
      <w:pPr>
        <w:spacing w:line="360" w:lineRule="auto"/>
        <w:jc w:val="center"/>
        <w:rPr>
          <w:rFonts w:ascii="宋体" w:hAnsi="宋体" w:eastAsia="宋体"/>
          <w:b/>
          <w:sz w:val="28"/>
          <w:szCs w:val="28"/>
        </w:rPr>
      </w:pPr>
      <w:r>
        <w:rPr>
          <w:rFonts w:hint="eastAsia" w:ascii="宋体" w:hAnsi="宋体" w:eastAsia="宋体"/>
          <w:b/>
          <w:sz w:val="28"/>
          <w:szCs w:val="28"/>
        </w:rPr>
        <w:t>保定市徐水区户木乡中心学校</w:t>
      </w:r>
    </w:p>
    <w:p>
      <w:pPr>
        <w:spacing w:line="360" w:lineRule="auto"/>
        <w:jc w:val="center"/>
        <w:rPr>
          <w:rFonts w:ascii="宋体" w:hAnsi="宋体" w:eastAsia="宋体"/>
          <w:b/>
          <w:sz w:val="28"/>
          <w:szCs w:val="28"/>
        </w:rPr>
      </w:pPr>
      <w:r>
        <w:rPr>
          <w:rFonts w:ascii="宋体" w:hAnsi="宋体" w:eastAsia="宋体"/>
          <w:b/>
          <w:sz w:val="28"/>
          <w:szCs w:val="28"/>
        </w:rPr>
        <w:t>2021年单位预算公开说明</w:t>
      </w:r>
    </w:p>
    <w:p>
      <w:pPr>
        <w:tabs>
          <w:tab w:val="left" w:pos="5274"/>
        </w:tabs>
        <w:spacing w:line="360" w:lineRule="auto"/>
        <w:ind w:firstLine="560" w:firstLineChars="200"/>
        <w:rPr>
          <w:rFonts w:ascii="仿宋" w:hAnsi="仿宋" w:eastAsia="仿宋"/>
          <w:sz w:val="28"/>
          <w:szCs w:val="28"/>
        </w:rPr>
      </w:pPr>
      <w:r>
        <w:rPr>
          <w:rFonts w:ascii="仿宋" w:hAnsi="仿宋" w:eastAsia="仿宋"/>
          <w:sz w:val="28"/>
          <w:szCs w:val="28"/>
        </w:rPr>
        <w:tab/>
      </w:r>
    </w:p>
    <w:p>
      <w:pPr>
        <w:spacing w:line="360" w:lineRule="auto"/>
        <w:ind w:firstLine="560" w:firstLineChars="200"/>
        <w:rPr>
          <w:rFonts w:ascii="仿宋" w:hAnsi="仿宋" w:eastAsia="仿宋"/>
          <w:sz w:val="28"/>
          <w:szCs w:val="28"/>
        </w:rPr>
      </w:pPr>
      <w:r>
        <w:rPr>
          <w:rFonts w:hint="eastAsia" w:ascii="仿宋" w:hAnsi="仿宋" w:eastAsia="仿宋"/>
          <w:sz w:val="28"/>
          <w:szCs w:val="28"/>
        </w:rPr>
        <w:t>按照《</w:t>
      </w:r>
      <w:r>
        <w:rPr>
          <w:rFonts w:hint="eastAsia" w:ascii="仿宋" w:hAnsi="仿宋" w:eastAsia="仿宋"/>
          <w:sz w:val="28"/>
          <w:szCs w:val="28"/>
          <w:lang w:eastAsia="zh-CN"/>
        </w:rPr>
        <w:t>中华人民共和国</w:t>
      </w:r>
      <w:r>
        <w:rPr>
          <w:rFonts w:hint="eastAsia" w:ascii="仿宋" w:hAnsi="仿宋" w:eastAsia="仿宋"/>
          <w:sz w:val="28"/>
          <w:szCs w:val="28"/>
        </w:rPr>
        <w:t>预算法》、《地方预决算公开操作规程》等文件规定，现将我单位预算信息公开如下：</w:t>
      </w:r>
    </w:p>
    <w:p>
      <w:pPr>
        <w:jc w:val="center"/>
        <w:outlineLvl w:val="0"/>
        <w:rPr>
          <w:rFonts w:ascii="方正小标宋_GBK" w:eastAsia="方正小标宋_GBK"/>
          <w:sz w:val="28"/>
          <w:szCs w:val="28"/>
        </w:rPr>
      </w:pPr>
      <w:r>
        <w:rPr>
          <w:rFonts w:hint="eastAsia" w:ascii="方正小标宋_GBK" w:eastAsia="方正小标宋_GBK"/>
          <w:sz w:val="28"/>
          <w:szCs w:val="28"/>
        </w:rPr>
        <w:t>第一部分</w:t>
      </w:r>
      <w:r>
        <w:rPr>
          <w:rFonts w:ascii="方正小标宋_GBK" w:eastAsia="方正小标宋_GBK"/>
          <w:sz w:val="28"/>
          <w:szCs w:val="28"/>
        </w:rPr>
        <w:t>:单位职责及机构设置情况</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一、单位职责</w:t>
      </w:r>
    </w:p>
    <w:p>
      <w:pPr>
        <w:spacing w:line="360" w:lineRule="auto"/>
        <w:ind w:firstLine="560" w:firstLineChars="200"/>
        <w:rPr>
          <w:rFonts w:ascii="仿宋" w:hAnsi="仿宋" w:eastAsia="仿宋"/>
          <w:sz w:val="28"/>
          <w:szCs w:val="28"/>
        </w:rPr>
      </w:pPr>
      <w:r>
        <w:rPr>
          <w:rFonts w:ascii="仿宋" w:hAnsi="仿宋" w:eastAsia="仿宋"/>
          <w:sz w:val="28"/>
          <w:szCs w:val="28"/>
        </w:rPr>
        <w:t>根据《保定市徐水区</w:t>
      </w:r>
      <w:r>
        <w:rPr>
          <w:rFonts w:hint="eastAsia" w:ascii="仿宋" w:hAnsi="仿宋" w:eastAsia="仿宋"/>
          <w:sz w:val="28"/>
          <w:szCs w:val="28"/>
        </w:rPr>
        <w:t>户木乡中心学校</w:t>
      </w:r>
      <w:r>
        <w:rPr>
          <w:rFonts w:ascii="仿宋" w:hAnsi="仿宋" w:eastAsia="仿宋"/>
          <w:sz w:val="28"/>
          <w:szCs w:val="28"/>
        </w:rPr>
        <w:t>职能配置、内设机构和人员编制规定》，保定市徐水区</w:t>
      </w:r>
      <w:r>
        <w:rPr>
          <w:rFonts w:hint="eastAsia" w:ascii="仿宋" w:hAnsi="仿宋" w:eastAsia="仿宋"/>
          <w:sz w:val="28"/>
          <w:szCs w:val="28"/>
        </w:rPr>
        <w:t>户木乡中心学校</w:t>
      </w:r>
      <w:r>
        <w:rPr>
          <w:rFonts w:ascii="仿宋" w:hAnsi="仿宋" w:eastAsia="仿宋"/>
          <w:sz w:val="28"/>
          <w:szCs w:val="28"/>
        </w:rPr>
        <w:t>的主要职责是：</w:t>
      </w:r>
    </w:p>
    <w:p>
      <w:pPr>
        <w:spacing w:line="360" w:lineRule="auto"/>
        <w:ind w:firstLine="560" w:firstLineChars="200"/>
        <w:rPr>
          <w:rFonts w:ascii="仿宋" w:hAnsi="仿宋" w:eastAsia="仿宋"/>
          <w:sz w:val="28"/>
          <w:szCs w:val="28"/>
        </w:rPr>
      </w:pPr>
      <w:r>
        <w:rPr>
          <w:rFonts w:ascii="仿宋" w:hAnsi="仿宋" w:eastAsia="仿宋"/>
          <w:sz w:val="28"/>
          <w:szCs w:val="28"/>
        </w:rPr>
        <w:t>（一）贯彻落实教育和体育工作方针、政策、法律、法规，负责教育体制、办学体制、学校管理体制及城乡教育综合改革的统筹规划和协调指导；落实教育优先发展的战略地位，推动全</w:t>
      </w:r>
      <w:r>
        <w:rPr>
          <w:rFonts w:hint="eastAsia" w:ascii="仿宋" w:hAnsi="仿宋" w:eastAsia="仿宋"/>
          <w:sz w:val="28"/>
          <w:szCs w:val="28"/>
        </w:rPr>
        <w:t>乡</w:t>
      </w:r>
      <w:r>
        <w:rPr>
          <w:rFonts w:ascii="仿宋" w:hAnsi="仿宋" w:eastAsia="仿宋"/>
          <w:sz w:val="28"/>
          <w:szCs w:val="28"/>
        </w:rPr>
        <w:t>教育和体育事业改革发展。</w:t>
      </w:r>
    </w:p>
    <w:p>
      <w:pPr>
        <w:spacing w:line="360" w:lineRule="auto"/>
        <w:ind w:firstLine="560" w:firstLineChars="200"/>
        <w:rPr>
          <w:rFonts w:ascii="仿宋" w:hAnsi="仿宋" w:eastAsia="仿宋"/>
          <w:sz w:val="28"/>
          <w:szCs w:val="28"/>
        </w:rPr>
      </w:pPr>
      <w:r>
        <w:rPr>
          <w:rFonts w:ascii="仿宋" w:hAnsi="仿宋" w:eastAsia="仿宋"/>
          <w:sz w:val="28"/>
          <w:szCs w:val="28"/>
        </w:rPr>
        <w:t>（二）研究制定全</w:t>
      </w:r>
      <w:r>
        <w:rPr>
          <w:rFonts w:hint="eastAsia" w:ascii="仿宋" w:hAnsi="仿宋" w:eastAsia="仿宋"/>
          <w:sz w:val="28"/>
          <w:szCs w:val="28"/>
        </w:rPr>
        <w:t>乡</w:t>
      </w:r>
      <w:r>
        <w:rPr>
          <w:rFonts w:ascii="仿宋" w:hAnsi="仿宋" w:eastAsia="仿宋"/>
          <w:sz w:val="28"/>
          <w:szCs w:val="28"/>
        </w:rPr>
        <w:t>教育和体育工作的发展规划，统筹规划学枃布局和体育事业发展，在</w:t>
      </w:r>
      <w:r>
        <w:rPr>
          <w:rFonts w:hint="eastAsia" w:ascii="仿宋" w:hAnsi="仿宋" w:eastAsia="仿宋"/>
          <w:sz w:val="28"/>
          <w:szCs w:val="28"/>
        </w:rPr>
        <w:t>上级</w:t>
      </w:r>
      <w:r>
        <w:rPr>
          <w:rFonts w:ascii="仿宋" w:hAnsi="仿宋" w:eastAsia="仿宋"/>
          <w:sz w:val="28"/>
          <w:szCs w:val="28"/>
        </w:rPr>
        <w:t>规定的权限内承担各级各类学校设立、撤销、调整的上报工作。</w:t>
      </w:r>
    </w:p>
    <w:p>
      <w:pPr>
        <w:spacing w:line="360" w:lineRule="auto"/>
        <w:ind w:firstLine="560" w:firstLineChars="200"/>
        <w:rPr>
          <w:rFonts w:ascii="仿宋" w:hAnsi="仿宋" w:eastAsia="仿宋"/>
          <w:sz w:val="28"/>
          <w:szCs w:val="28"/>
        </w:rPr>
      </w:pPr>
      <w:r>
        <w:rPr>
          <w:rFonts w:ascii="仿宋" w:hAnsi="仿宋" w:eastAsia="仿宋"/>
          <w:sz w:val="28"/>
          <w:szCs w:val="28"/>
        </w:rPr>
        <w:t>（三）全面实施素质教育，指导推动教育教学和教育科研工作；负责全</w:t>
      </w:r>
      <w:r>
        <w:rPr>
          <w:rFonts w:hint="eastAsia" w:ascii="仿宋" w:hAnsi="仿宋" w:eastAsia="仿宋"/>
          <w:sz w:val="28"/>
          <w:szCs w:val="28"/>
        </w:rPr>
        <w:t>乡</w:t>
      </w:r>
      <w:r>
        <w:rPr>
          <w:rFonts w:ascii="仿宋" w:hAnsi="仿宋" w:eastAsia="仿宋"/>
          <w:sz w:val="28"/>
          <w:szCs w:val="28"/>
        </w:rPr>
        <w:t>义务教育、学前教育</w:t>
      </w:r>
      <w:r>
        <w:rPr>
          <w:rFonts w:hint="eastAsia" w:ascii="仿宋" w:hAnsi="仿宋" w:eastAsia="仿宋"/>
          <w:sz w:val="28"/>
          <w:szCs w:val="28"/>
        </w:rPr>
        <w:t>、</w:t>
      </w:r>
      <w:r>
        <w:rPr>
          <w:rFonts w:ascii="仿宋" w:hAnsi="仿宋" w:eastAsia="仿宋"/>
          <w:sz w:val="28"/>
          <w:szCs w:val="28"/>
        </w:rPr>
        <w:t>成人教育的宏观指导、综合管理与服务，对全</w:t>
      </w:r>
      <w:r>
        <w:rPr>
          <w:rFonts w:hint="eastAsia" w:ascii="仿宋" w:hAnsi="仿宋" w:eastAsia="仿宋"/>
          <w:sz w:val="28"/>
          <w:szCs w:val="28"/>
        </w:rPr>
        <w:t>乡</w:t>
      </w:r>
      <w:r>
        <w:rPr>
          <w:rFonts w:ascii="仿宋" w:hAnsi="仿宋" w:eastAsia="仿宋"/>
          <w:sz w:val="28"/>
          <w:szCs w:val="28"/>
        </w:rPr>
        <w:t>教育工作状况及办学水平进行监督、检查、评估、验收；负责组织各类招生考试工作。</w:t>
      </w:r>
    </w:p>
    <w:p>
      <w:pPr>
        <w:spacing w:line="360" w:lineRule="auto"/>
        <w:ind w:firstLine="560" w:firstLineChars="200"/>
        <w:rPr>
          <w:rFonts w:ascii="仿宋" w:hAnsi="仿宋" w:eastAsia="仿宋"/>
          <w:sz w:val="28"/>
          <w:szCs w:val="28"/>
        </w:rPr>
      </w:pPr>
      <w:r>
        <w:rPr>
          <w:rFonts w:ascii="仿宋" w:hAnsi="仿宋" w:eastAsia="仿宋"/>
          <w:sz w:val="28"/>
          <w:szCs w:val="28"/>
        </w:rPr>
        <w:t>（四）负责全</w:t>
      </w:r>
      <w:r>
        <w:rPr>
          <w:rFonts w:hint="eastAsia" w:ascii="仿宋" w:hAnsi="仿宋" w:eastAsia="仿宋"/>
          <w:sz w:val="28"/>
          <w:szCs w:val="28"/>
        </w:rPr>
        <w:t>乡</w:t>
      </w:r>
      <w:r>
        <w:rPr>
          <w:rFonts w:ascii="仿宋" w:hAnsi="仿宋" w:eastAsia="仿宋"/>
          <w:sz w:val="28"/>
          <w:szCs w:val="28"/>
        </w:rPr>
        <w:t>教育和体育系统队伍建设工作，负责人员招聘录用、工作调配、教育培训、职称评聘、评优评模、考核奖惩等工作；管理和指导师范类毕业生就业工作；负责实施教师资格制度工作；负责下属单位领导班子的领导干部的培养、考察、考核、任免和管理以及后备干部队伍建设工作。</w:t>
      </w:r>
    </w:p>
    <w:p>
      <w:pPr>
        <w:spacing w:line="360" w:lineRule="auto"/>
        <w:ind w:firstLine="560" w:firstLineChars="200"/>
        <w:rPr>
          <w:rFonts w:ascii="仿宋" w:hAnsi="仿宋" w:eastAsia="仿宋"/>
          <w:sz w:val="28"/>
          <w:szCs w:val="28"/>
        </w:rPr>
      </w:pPr>
      <w:r>
        <w:rPr>
          <w:rFonts w:ascii="仿宋" w:hAnsi="仿宋" w:eastAsia="仿宋"/>
          <w:sz w:val="28"/>
          <w:szCs w:val="28"/>
        </w:rPr>
        <w:t>（五）负责教育和体育经费统筹管理；负责教育和体育基建、设施设备及专项计划的审批和财务的管理、监督、审计工作；参与全</w:t>
      </w:r>
      <w:r>
        <w:rPr>
          <w:rFonts w:hint="eastAsia" w:ascii="仿宋" w:hAnsi="仿宋" w:eastAsia="仿宋"/>
          <w:sz w:val="28"/>
          <w:szCs w:val="28"/>
        </w:rPr>
        <w:t>乡</w:t>
      </w:r>
      <w:r>
        <w:rPr>
          <w:rFonts w:ascii="仿宋" w:hAnsi="仿宋" w:eastAsia="仿宋"/>
          <w:sz w:val="28"/>
          <w:szCs w:val="28"/>
        </w:rPr>
        <w:t>年度教育和体育经费的预决算工作；做好计划统计工作；负责各级助学政策和经费的落实。</w:t>
      </w:r>
    </w:p>
    <w:p>
      <w:pPr>
        <w:spacing w:line="360" w:lineRule="auto"/>
        <w:ind w:firstLine="560" w:firstLineChars="200"/>
        <w:rPr>
          <w:rFonts w:ascii="仿宋" w:hAnsi="仿宋" w:eastAsia="仿宋"/>
          <w:sz w:val="28"/>
          <w:szCs w:val="28"/>
        </w:rPr>
      </w:pPr>
      <w:r>
        <w:rPr>
          <w:rFonts w:ascii="仿宋" w:hAnsi="仿宋" w:eastAsia="仿宋"/>
          <w:sz w:val="28"/>
          <w:szCs w:val="28"/>
        </w:rPr>
        <w:t>（六）指导全</w:t>
      </w:r>
      <w:r>
        <w:rPr>
          <w:rFonts w:hint="eastAsia" w:ascii="仿宋" w:hAnsi="仿宋" w:eastAsia="仿宋"/>
          <w:sz w:val="28"/>
          <w:szCs w:val="28"/>
        </w:rPr>
        <w:t>乡</w:t>
      </w:r>
      <w:r>
        <w:rPr>
          <w:rFonts w:ascii="仿宋" w:hAnsi="仿宋" w:eastAsia="仿宋"/>
          <w:sz w:val="28"/>
          <w:szCs w:val="28"/>
        </w:rPr>
        <w:t>学校的德育、智育、体育、美育、劳动、国防和安全教育工作；负责教育和体育系统党的建设工作，指导工会、共青团、妇女工作；负责教育和体育系统的安全稳定及综合治理工作。</w:t>
      </w:r>
    </w:p>
    <w:p>
      <w:pPr>
        <w:spacing w:line="360" w:lineRule="auto"/>
        <w:ind w:firstLine="560" w:firstLineChars="200"/>
        <w:rPr>
          <w:rFonts w:ascii="仿宋" w:hAnsi="仿宋" w:eastAsia="仿宋"/>
          <w:sz w:val="28"/>
          <w:szCs w:val="28"/>
        </w:rPr>
      </w:pPr>
      <w:r>
        <w:rPr>
          <w:rFonts w:ascii="仿宋" w:hAnsi="仿宋" w:eastAsia="仿宋"/>
          <w:sz w:val="28"/>
          <w:szCs w:val="28"/>
        </w:rPr>
        <w:t>（七）负责全</w:t>
      </w:r>
      <w:r>
        <w:rPr>
          <w:rFonts w:hint="eastAsia" w:ascii="仿宋" w:hAnsi="仿宋" w:eastAsia="仿宋"/>
          <w:sz w:val="28"/>
          <w:szCs w:val="28"/>
        </w:rPr>
        <w:t>乡</w:t>
      </w:r>
      <w:r>
        <w:rPr>
          <w:rFonts w:ascii="仿宋" w:hAnsi="仿宋" w:eastAsia="仿宋"/>
          <w:sz w:val="28"/>
          <w:szCs w:val="28"/>
        </w:rPr>
        <w:t>体育竞赛、竞技运动项目的设置和布局；参与规划、实施</w:t>
      </w:r>
      <w:r>
        <w:rPr>
          <w:rFonts w:hint="eastAsia" w:ascii="仿宋" w:hAnsi="仿宋" w:eastAsia="仿宋"/>
          <w:sz w:val="28"/>
          <w:szCs w:val="28"/>
        </w:rPr>
        <w:t>乡</w:t>
      </w:r>
      <w:r>
        <w:rPr>
          <w:rFonts w:ascii="仿宋" w:hAnsi="仿宋" w:eastAsia="仿宋"/>
          <w:sz w:val="28"/>
          <w:szCs w:val="28"/>
        </w:rPr>
        <w:t>重点体育设施建设，负责公共体育设施的监督管理工作；加强体育公共服务、促进多元体育服务体系建设；监督、指导体育彩票发行工作；负责全民健身工作，组织、指导、协调全</w:t>
      </w:r>
      <w:r>
        <w:rPr>
          <w:rFonts w:hint="eastAsia" w:ascii="仿宋" w:hAnsi="仿宋" w:eastAsia="仿宋"/>
          <w:sz w:val="28"/>
          <w:szCs w:val="28"/>
        </w:rPr>
        <w:t>乡</w:t>
      </w:r>
      <w:r>
        <w:rPr>
          <w:rFonts w:ascii="仿宋" w:hAnsi="仿宋" w:eastAsia="仿宋"/>
          <w:sz w:val="28"/>
          <w:szCs w:val="28"/>
        </w:rPr>
        <w:t>性重大体育活动；负责国有体育资产的管理、规划、开发和利用；统筹规划全</w:t>
      </w:r>
      <w:r>
        <w:rPr>
          <w:rFonts w:hint="eastAsia" w:ascii="仿宋" w:hAnsi="仿宋" w:eastAsia="仿宋"/>
          <w:sz w:val="28"/>
          <w:szCs w:val="28"/>
        </w:rPr>
        <w:t>乡</w:t>
      </w:r>
      <w:r>
        <w:rPr>
          <w:rFonts w:ascii="仿宋" w:hAnsi="仿宋" w:eastAsia="仿宋"/>
          <w:sz w:val="28"/>
          <w:szCs w:val="28"/>
        </w:rPr>
        <w:t>青少年体育发展，指导和推进青少年体育工作；指导体育管理人员、教练员、运动员队伍建设；负责组织开展反兴奋剂工作；</w:t>
      </w:r>
    </w:p>
    <w:p>
      <w:pPr>
        <w:spacing w:line="360" w:lineRule="auto"/>
        <w:ind w:firstLine="560" w:firstLineChars="200"/>
        <w:rPr>
          <w:rFonts w:ascii="仿宋" w:hAnsi="仿宋" w:eastAsia="仿宋"/>
          <w:sz w:val="28"/>
          <w:szCs w:val="28"/>
        </w:rPr>
      </w:pPr>
      <w:r>
        <w:rPr>
          <w:rFonts w:ascii="仿宋" w:hAnsi="仿宋" w:eastAsia="仿宋"/>
          <w:sz w:val="28"/>
          <w:szCs w:val="28"/>
        </w:rPr>
        <w:t>（八）负责全</w:t>
      </w:r>
      <w:r>
        <w:rPr>
          <w:rFonts w:hint="eastAsia" w:ascii="仿宋" w:hAnsi="仿宋" w:eastAsia="仿宋"/>
          <w:sz w:val="28"/>
          <w:szCs w:val="28"/>
        </w:rPr>
        <w:t>乡</w:t>
      </w:r>
      <w:r>
        <w:rPr>
          <w:rFonts w:ascii="仿宋" w:hAnsi="仿宋" w:eastAsia="仿宋"/>
          <w:sz w:val="28"/>
          <w:szCs w:val="28"/>
        </w:rPr>
        <w:t>语言文字工作，制订语言文字工作规划；组织协调并监督检查汉语和少数民族语言文字规范、标准的实施；指导推广普通话和普通话测试工作；负责社会用字规范管理。</w:t>
      </w:r>
    </w:p>
    <w:p>
      <w:pPr>
        <w:spacing w:line="360" w:lineRule="auto"/>
        <w:ind w:firstLine="560" w:firstLineChars="200"/>
        <w:rPr>
          <w:rFonts w:ascii="仿宋" w:hAnsi="仿宋" w:eastAsia="仿宋"/>
          <w:b/>
          <w:sz w:val="28"/>
          <w:szCs w:val="28"/>
        </w:rPr>
      </w:pPr>
      <w:r>
        <w:rPr>
          <w:rFonts w:ascii="仿宋" w:hAnsi="仿宋" w:eastAsia="仿宋"/>
          <w:sz w:val="28"/>
          <w:szCs w:val="28"/>
        </w:rPr>
        <w:t>（九）承办</w:t>
      </w:r>
      <w:r>
        <w:rPr>
          <w:rFonts w:hint="eastAsia" w:ascii="仿宋" w:hAnsi="仿宋" w:eastAsia="仿宋"/>
          <w:sz w:val="28"/>
          <w:szCs w:val="28"/>
        </w:rPr>
        <w:t>乡</w:t>
      </w:r>
      <w:r>
        <w:rPr>
          <w:rFonts w:ascii="仿宋" w:hAnsi="仿宋" w:eastAsia="仿宋"/>
          <w:sz w:val="28"/>
          <w:szCs w:val="28"/>
        </w:rPr>
        <w:t>委、</w:t>
      </w:r>
      <w:r>
        <w:rPr>
          <w:rFonts w:hint="eastAsia" w:ascii="仿宋" w:hAnsi="仿宋" w:eastAsia="仿宋"/>
          <w:sz w:val="28"/>
          <w:szCs w:val="28"/>
        </w:rPr>
        <w:t>乡</w:t>
      </w:r>
      <w:r>
        <w:rPr>
          <w:rFonts w:ascii="仿宋" w:hAnsi="仿宋" w:eastAsia="仿宋"/>
          <w:sz w:val="28"/>
          <w:szCs w:val="28"/>
        </w:rPr>
        <w:t>政府和上级教育行政单位交办的其他事</w:t>
      </w:r>
      <w:r>
        <w:rPr>
          <w:rFonts w:hint="eastAsia" w:ascii="仿宋" w:hAnsi="仿宋" w:eastAsia="仿宋"/>
          <w:sz w:val="28"/>
          <w:szCs w:val="28"/>
        </w:rPr>
        <w:t>。</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序号</w:t>
            </w:r>
          </w:p>
        </w:tc>
        <w:tc>
          <w:tcPr>
            <w:tcW w:w="2692"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单位名称</w:t>
            </w:r>
          </w:p>
        </w:tc>
        <w:tc>
          <w:tcPr>
            <w:tcW w:w="1701"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单位性质</w:t>
            </w:r>
          </w:p>
        </w:tc>
        <w:tc>
          <w:tcPr>
            <w:tcW w:w="1418"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单位规格</w:t>
            </w:r>
          </w:p>
        </w:tc>
        <w:tc>
          <w:tcPr>
            <w:tcW w:w="3260"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 中心学校</w:t>
            </w:r>
            <w:r>
              <w:rPr>
                <w:rFonts w:hint="eastAsia" w:ascii="仿宋" w:hAnsi="仿宋" w:eastAsia="仿宋"/>
                <w:bCs/>
                <w:sz w:val="28"/>
                <w:szCs w:val="28"/>
              </w:rPr>
              <w:t>（本</w:t>
            </w:r>
            <w:r>
              <w:rPr>
                <w:rFonts w:ascii="仿宋" w:hAnsi="仿宋" w:eastAsia="仿宋"/>
                <w:bCs/>
                <w:sz w:val="28"/>
                <w:szCs w:val="28"/>
              </w:rPr>
              <w:t>级</w:t>
            </w:r>
            <w:r>
              <w:rPr>
                <w:rFonts w:hint="eastAsia" w:ascii="仿宋" w:hAnsi="仿宋" w:eastAsia="仿宋"/>
                <w:bCs/>
                <w:sz w:val="28"/>
                <w:szCs w:val="28"/>
              </w:rPr>
              <w:t>）</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1"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2</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户木乡户木小学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3</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户木乡德山三街小学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4</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户木乡安庄希望小学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5</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户木乡屯庄小学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color w:val="FF0000"/>
                <w:kern w:val="0"/>
                <w:sz w:val="28"/>
                <w:szCs w:val="28"/>
              </w:rPr>
            </w:pPr>
            <w:r>
              <w:rPr>
                <w:rFonts w:hint="eastAsia" w:ascii="仿宋" w:hAnsi="仿宋" w:eastAsia="仿宋" w:cs="宋体"/>
                <w:kern w:val="0"/>
                <w:sz w:val="28"/>
                <w:szCs w:val="28"/>
              </w:rPr>
              <w:t>6</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color w:val="FF0000"/>
                <w:kern w:val="0"/>
                <w:sz w:val="28"/>
                <w:szCs w:val="28"/>
              </w:rPr>
            </w:pPr>
            <w:r>
              <w:rPr>
                <w:rFonts w:hint="eastAsia" w:ascii="仿宋" w:hAnsi="仿宋" w:eastAsia="仿宋" w:cs="宋体"/>
                <w:kern w:val="0"/>
                <w:sz w:val="28"/>
                <w:szCs w:val="28"/>
              </w:rPr>
              <w:t>户木乡徐庄小学</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color w:val="FF0000"/>
                <w:kern w:val="0"/>
                <w:sz w:val="28"/>
                <w:szCs w:val="28"/>
              </w:rPr>
            </w:pPr>
            <w:r>
              <w:rPr>
                <w:rFonts w:hint="eastAsia" w:ascii="仿宋" w:hAnsi="仿宋" w:eastAsia="仿宋" w:cs="宋体"/>
                <w:kern w:val="0"/>
                <w:sz w:val="28"/>
                <w:szCs w:val="28"/>
              </w:rPr>
              <w:t>7</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户木乡德山幼儿园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8</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户木乡户木幼儿园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9</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户木乡孙村幼儿园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10</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户木乡屯庄幼儿园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right w:val="single" w:color="000000" w:sz="6"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11</w:t>
            </w:r>
          </w:p>
        </w:tc>
        <w:tc>
          <w:tcPr>
            <w:tcW w:w="2692"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户木乡安庄幼儿园</w:t>
            </w:r>
          </w:p>
        </w:tc>
        <w:tc>
          <w:tcPr>
            <w:tcW w:w="1701"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top w:val="single" w:color="000000" w:sz="6" w:space="0"/>
              <w:left w:val="single" w:color="000000" w:sz="6" w:space="0"/>
              <w:bottom w:val="single" w:color="000000" w:sz="6" w:space="0"/>
              <w:right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79"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12</w:t>
            </w:r>
          </w:p>
        </w:tc>
        <w:tc>
          <w:tcPr>
            <w:tcW w:w="2692"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户木乡徐庄幼儿园</w:t>
            </w:r>
          </w:p>
        </w:tc>
        <w:tc>
          <w:tcPr>
            <w:tcW w:w="1701"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1"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13</w:t>
            </w:r>
          </w:p>
        </w:tc>
        <w:tc>
          <w:tcPr>
            <w:tcW w:w="2692"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户木乡杨庄幼儿园</w:t>
            </w:r>
          </w:p>
        </w:tc>
        <w:tc>
          <w:tcPr>
            <w:tcW w:w="1701"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全</w:t>
            </w:r>
            <w:r>
              <w:rPr>
                <w:rFonts w:ascii="仿宋" w:hAnsi="仿宋" w:eastAsia="仿宋" w:cs="宋体"/>
                <w:kern w:val="0"/>
                <w:sz w:val="28"/>
                <w:szCs w:val="28"/>
              </w:rPr>
              <w:t>额</w:t>
            </w:r>
            <w:r>
              <w:rPr>
                <w:rFonts w:hint="eastAsia" w:ascii="仿宋" w:hAnsi="仿宋" w:eastAsia="仿宋" w:cs="宋体"/>
                <w:kern w:val="0"/>
                <w:sz w:val="28"/>
                <w:szCs w:val="28"/>
              </w:rPr>
              <w:t>事业</w:t>
            </w:r>
          </w:p>
        </w:tc>
        <w:tc>
          <w:tcPr>
            <w:tcW w:w="1418"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未</w:t>
            </w:r>
            <w:r>
              <w:rPr>
                <w:rFonts w:ascii="仿宋" w:hAnsi="仿宋" w:eastAsia="仿宋" w:cs="宋体"/>
                <w:kern w:val="0"/>
                <w:sz w:val="28"/>
                <w:szCs w:val="28"/>
              </w:rPr>
              <w:t>定行政级别</w:t>
            </w:r>
          </w:p>
        </w:tc>
        <w:tc>
          <w:tcPr>
            <w:tcW w:w="3260" w:type="dxa"/>
            <w:tcBorders>
              <w:bottom w:val="single" w:color="000000" w:sz="6" w:space="0"/>
            </w:tcBorders>
            <w:vAlign w:val="center"/>
          </w:tcPr>
          <w:p>
            <w:pPr>
              <w:widowControl/>
              <w:jc w:val="center"/>
              <w:rPr>
                <w:rFonts w:ascii="仿宋" w:hAnsi="仿宋" w:eastAsia="仿宋" w:cs="宋体"/>
                <w:kern w:val="0"/>
                <w:sz w:val="28"/>
                <w:szCs w:val="28"/>
              </w:rPr>
            </w:pPr>
            <w:r>
              <w:rPr>
                <w:rFonts w:hint="eastAsia" w:ascii="仿宋" w:hAnsi="仿宋" w:eastAsia="仿宋" w:cs="宋体"/>
                <w:kern w:val="0"/>
                <w:sz w:val="28"/>
                <w:szCs w:val="28"/>
              </w:rPr>
              <w:t>财政性资金基本保证</w:t>
            </w:r>
          </w:p>
        </w:tc>
      </w:tr>
    </w:tbl>
    <w:p>
      <w:pPr>
        <w:spacing w:line="360" w:lineRule="auto"/>
        <w:rPr>
          <w:rFonts w:ascii="仿宋" w:hAnsi="仿宋" w:eastAsia="仿宋"/>
          <w:b/>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第二部分：单位预算安排的总体情况</w:t>
      </w:r>
      <w:r>
        <w:rPr>
          <w:rFonts w:ascii="方正小标宋_GBK" w:eastAsia="方正小标宋_GBK"/>
          <w:sz w:val="28"/>
          <w:szCs w:val="28"/>
        </w:rPr>
        <w:t xml:space="preserve">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按照预算管理有关规定，目前我区单位预算的编制实行综合预算制度，即全部收入和支出都反映</w:t>
      </w:r>
      <w:r>
        <w:rPr>
          <w:rFonts w:ascii="仿宋" w:hAnsi="仿宋" w:eastAsia="仿宋"/>
          <w:sz w:val="28"/>
          <w:szCs w:val="28"/>
        </w:rPr>
        <w:t>在</w:t>
      </w:r>
      <w:r>
        <w:rPr>
          <w:rFonts w:hint="eastAsia" w:ascii="仿宋" w:hAnsi="仿宋" w:eastAsia="仿宋"/>
          <w:sz w:val="28"/>
          <w:szCs w:val="28"/>
        </w:rPr>
        <w:t>预算中。我单位及所属事业单位的收支包含在单位预算中。</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一、收入说明</w:t>
      </w:r>
    </w:p>
    <w:p>
      <w:pPr>
        <w:spacing w:line="360" w:lineRule="auto"/>
        <w:ind w:firstLine="560" w:firstLineChars="200"/>
        <w:rPr>
          <w:rFonts w:ascii="仿宋" w:hAnsi="仿宋" w:eastAsia="仿宋"/>
          <w:sz w:val="28"/>
          <w:szCs w:val="28"/>
        </w:rPr>
      </w:pPr>
      <w:r>
        <w:rPr>
          <w:rFonts w:ascii="仿宋" w:hAnsi="仿宋" w:eastAsia="仿宋"/>
          <w:sz w:val="28"/>
          <w:szCs w:val="28"/>
        </w:rPr>
        <w:t>2021年预算收入为</w:t>
      </w:r>
      <w:r>
        <w:rPr>
          <w:rFonts w:hint="eastAsia" w:ascii="仿宋" w:hAnsi="仿宋" w:eastAsia="仿宋"/>
          <w:sz w:val="28"/>
          <w:szCs w:val="28"/>
        </w:rPr>
        <w:t>2619.427</w:t>
      </w:r>
      <w:r>
        <w:rPr>
          <w:rFonts w:ascii="仿宋" w:hAnsi="仿宋" w:eastAsia="仿宋"/>
          <w:sz w:val="28"/>
          <w:szCs w:val="28"/>
        </w:rPr>
        <w:t>万元,其中：一般公共预算收入</w:t>
      </w:r>
      <w:r>
        <w:rPr>
          <w:rFonts w:hint="eastAsia" w:ascii="仿宋" w:hAnsi="仿宋" w:eastAsia="仿宋"/>
          <w:sz w:val="28"/>
          <w:szCs w:val="28"/>
        </w:rPr>
        <w:t>2619.427</w:t>
      </w:r>
      <w:r>
        <w:rPr>
          <w:rFonts w:ascii="仿宋" w:hAnsi="仿宋" w:eastAsia="仿宋"/>
          <w:sz w:val="28"/>
          <w:szCs w:val="28"/>
        </w:rPr>
        <w:t>万元，基金预算收入</w:t>
      </w:r>
      <w:r>
        <w:rPr>
          <w:rFonts w:hint="eastAsia" w:ascii="仿宋" w:hAnsi="仿宋" w:eastAsia="仿宋"/>
          <w:sz w:val="28"/>
          <w:szCs w:val="28"/>
        </w:rPr>
        <w:t>0</w:t>
      </w:r>
      <w:r>
        <w:rPr>
          <w:rFonts w:ascii="仿宋" w:hAnsi="仿宋" w:eastAsia="仿宋"/>
          <w:sz w:val="28"/>
          <w:szCs w:val="28"/>
        </w:rPr>
        <w:t>万元，财政专户收入</w:t>
      </w:r>
      <w:r>
        <w:rPr>
          <w:rFonts w:hint="eastAsia" w:ascii="仿宋" w:hAnsi="仿宋" w:eastAsia="仿宋"/>
          <w:sz w:val="28"/>
          <w:szCs w:val="28"/>
        </w:rPr>
        <w:t>0</w:t>
      </w:r>
      <w:r>
        <w:rPr>
          <w:rFonts w:ascii="仿宋" w:hAnsi="仿宋" w:eastAsia="仿宋"/>
          <w:sz w:val="28"/>
          <w:szCs w:val="28"/>
        </w:rPr>
        <w:t>万元，其他来源收入</w:t>
      </w:r>
      <w:r>
        <w:rPr>
          <w:rFonts w:hint="eastAsia" w:ascii="仿宋" w:hAnsi="仿宋" w:eastAsia="仿宋"/>
          <w:sz w:val="28"/>
          <w:szCs w:val="28"/>
        </w:rPr>
        <w:t>0</w:t>
      </w:r>
      <w:r>
        <w:rPr>
          <w:rFonts w:ascii="仿宋" w:hAnsi="仿宋" w:eastAsia="仿宋"/>
          <w:sz w:val="28"/>
          <w:szCs w:val="28"/>
        </w:rPr>
        <w:t>万元。</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二、支出说明</w:t>
      </w:r>
    </w:p>
    <w:p>
      <w:pPr>
        <w:spacing w:line="360" w:lineRule="auto"/>
        <w:ind w:firstLine="560" w:firstLineChars="200"/>
        <w:rPr>
          <w:rFonts w:ascii="仿宋" w:hAnsi="仿宋" w:eastAsia="仿宋"/>
          <w:sz w:val="28"/>
          <w:szCs w:val="28"/>
        </w:rPr>
      </w:pPr>
      <w:r>
        <w:rPr>
          <w:rFonts w:ascii="仿宋" w:hAnsi="仿宋" w:eastAsia="仿宋"/>
          <w:sz w:val="28"/>
          <w:szCs w:val="28"/>
        </w:rPr>
        <w:t>2021年单位支出预算：</w:t>
      </w:r>
      <w:r>
        <w:rPr>
          <w:rFonts w:hint="eastAsia" w:ascii="仿宋" w:hAnsi="仿宋" w:eastAsia="仿宋"/>
          <w:sz w:val="28"/>
          <w:szCs w:val="28"/>
        </w:rPr>
        <w:t>2619.427</w:t>
      </w:r>
      <w:r>
        <w:rPr>
          <w:rFonts w:ascii="仿宋" w:hAnsi="仿宋" w:eastAsia="仿宋"/>
          <w:sz w:val="28"/>
          <w:szCs w:val="28"/>
        </w:rPr>
        <w:t>万元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基本支出2216.5万元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其中：人员经费</w:t>
      </w:r>
      <w:r>
        <w:rPr>
          <w:rFonts w:hint="eastAsia" w:ascii="仿宋" w:hAnsi="仿宋" w:eastAsia="仿宋"/>
          <w:sz w:val="28"/>
          <w:szCs w:val="28"/>
        </w:rPr>
        <w:t>2166.87</w:t>
      </w:r>
      <w:r>
        <w:rPr>
          <w:rFonts w:ascii="仿宋" w:hAnsi="仿宋" w:eastAsia="仿宋"/>
          <w:sz w:val="28"/>
          <w:szCs w:val="28"/>
        </w:rPr>
        <w:t>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日常公用经费</w:t>
      </w:r>
      <w:r>
        <w:rPr>
          <w:rFonts w:hint="eastAsia" w:ascii="仿宋" w:hAnsi="仿宋" w:eastAsia="仿宋"/>
          <w:sz w:val="28"/>
          <w:szCs w:val="28"/>
        </w:rPr>
        <w:t>49.63</w:t>
      </w:r>
      <w:r>
        <w:rPr>
          <w:rFonts w:ascii="仿宋" w:hAnsi="仿宋" w:eastAsia="仿宋"/>
          <w:sz w:val="28"/>
          <w:szCs w:val="28"/>
        </w:rPr>
        <w:t>万元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项目支出</w:t>
      </w:r>
      <w:r>
        <w:rPr>
          <w:rFonts w:ascii="仿宋" w:hAnsi="仿宋" w:eastAsia="仿宋"/>
          <w:sz w:val="28"/>
          <w:szCs w:val="28"/>
        </w:rPr>
        <w:t xml:space="preserve"> </w:t>
      </w:r>
      <w:r>
        <w:rPr>
          <w:rFonts w:hint="eastAsia" w:ascii="仿宋" w:hAnsi="仿宋" w:eastAsia="仿宋"/>
          <w:sz w:val="28"/>
          <w:szCs w:val="28"/>
        </w:rPr>
        <w:t>402.927</w:t>
      </w:r>
      <w:r>
        <w:rPr>
          <w:rFonts w:ascii="仿宋" w:hAnsi="仿宋" w:eastAsia="仿宋"/>
          <w:sz w:val="28"/>
          <w:szCs w:val="28"/>
        </w:rPr>
        <w:t>万元</w:t>
      </w:r>
    </w:p>
    <w:p>
      <w:pPr>
        <w:spacing w:line="360" w:lineRule="auto"/>
        <w:ind w:firstLine="560" w:firstLineChars="200"/>
        <w:rPr>
          <w:rFonts w:ascii="仿宋" w:hAnsi="仿宋" w:eastAsia="仿宋"/>
          <w:sz w:val="28"/>
          <w:szCs w:val="28"/>
        </w:rPr>
      </w:pPr>
      <w:r>
        <w:rPr>
          <w:rFonts w:ascii="仿宋" w:hAnsi="仿宋" w:eastAsia="仿宋"/>
          <w:sz w:val="28"/>
          <w:szCs w:val="28"/>
        </w:rPr>
        <w:t xml:space="preserve">    其中：本级支出</w:t>
      </w:r>
      <w:r>
        <w:rPr>
          <w:rFonts w:hint="eastAsia" w:ascii="仿宋" w:hAnsi="仿宋" w:eastAsia="仿宋"/>
          <w:sz w:val="28"/>
          <w:szCs w:val="28"/>
        </w:rPr>
        <w:t>402.927</w:t>
      </w:r>
      <w:r>
        <w:rPr>
          <w:rFonts w:ascii="仿宋" w:hAnsi="仿宋" w:eastAsia="仿宋"/>
          <w:sz w:val="28"/>
          <w:szCs w:val="28"/>
        </w:rPr>
        <w:t>万元</w:t>
      </w:r>
    </w:p>
    <w:p>
      <w:pPr>
        <w:spacing w:line="360" w:lineRule="auto"/>
        <w:ind w:firstLine="562" w:firstLineChars="200"/>
        <w:rPr>
          <w:rFonts w:ascii="仿宋" w:hAnsi="仿宋" w:eastAsia="仿宋"/>
          <w:b/>
          <w:sz w:val="28"/>
          <w:szCs w:val="28"/>
        </w:rPr>
      </w:pPr>
      <w:r>
        <w:rPr>
          <w:rFonts w:hint="eastAsia" w:ascii="仿宋" w:hAnsi="仿宋" w:eastAsia="仿宋"/>
          <w:b/>
          <w:sz w:val="28"/>
          <w:szCs w:val="28"/>
        </w:rPr>
        <w:t>三、比上年增减情况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本年度预算收支安排2619.427万元，较上年</w:t>
      </w:r>
      <w:r>
        <w:rPr>
          <w:rFonts w:ascii="仿宋" w:hAnsi="仿宋" w:eastAsia="仿宋"/>
          <w:sz w:val="28"/>
          <w:szCs w:val="28"/>
        </w:rPr>
        <w:t>减少</w:t>
      </w:r>
      <w:r>
        <w:rPr>
          <w:rFonts w:hint="eastAsia" w:ascii="仿宋" w:hAnsi="仿宋" w:eastAsia="仿宋"/>
          <w:sz w:val="28"/>
          <w:szCs w:val="28"/>
        </w:rPr>
        <w:t>148.683</w:t>
      </w:r>
      <w:r>
        <w:rPr>
          <w:rFonts w:ascii="仿宋" w:hAnsi="仿宋" w:eastAsia="仿宋"/>
          <w:sz w:val="28"/>
          <w:szCs w:val="28"/>
        </w:rPr>
        <w:t>万元。其中:基本支出减少</w:t>
      </w:r>
      <w:r>
        <w:rPr>
          <w:rFonts w:hint="eastAsia" w:ascii="仿宋" w:hAnsi="仿宋" w:eastAsia="仿宋"/>
          <w:sz w:val="28"/>
          <w:szCs w:val="28"/>
        </w:rPr>
        <w:t>171.09</w:t>
      </w:r>
      <w:r>
        <w:rPr>
          <w:rFonts w:ascii="仿宋" w:hAnsi="仿宋" w:eastAsia="仿宋"/>
          <w:sz w:val="28"/>
          <w:szCs w:val="28"/>
        </w:rPr>
        <w:t>万元，主要原因是</w:t>
      </w:r>
      <w:r>
        <w:rPr>
          <w:rFonts w:hint="eastAsia" w:ascii="仿宋" w:hAnsi="仿宋" w:eastAsia="仿宋"/>
          <w:sz w:val="28"/>
          <w:szCs w:val="28"/>
        </w:rPr>
        <w:t>比较上年人员有所减少</w:t>
      </w:r>
      <w:r>
        <w:rPr>
          <w:rFonts w:ascii="仿宋" w:hAnsi="仿宋" w:eastAsia="仿宋"/>
          <w:sz w:val="28"/>
          <w:szCs w:val="28"/>
        </w:rPr>
        <w:t>；项目支出增加</w:t>
      </w:r>
      <w:r>
        <w:rPr>
          <w:rFonts w:hint="eastAsia" w:ascii="仿宋" w:hAnsi="仿宋" w:eastAsia="仿宋"/>
          <w:sz w:val="28"/>
          <w:szCs w:val="28"/>
        </w:rPr>
        <w:t>22.407</w:t>
      </w:r>
      <w:r>
        <w:rPr>
          <w:rFonts w:ascii="仿宋" w:hAnsi="仿宋" w:eastAsia="仿宋"/>
          <w:sz w:val="28"/>
          <w:szCs w:val="28"/>
        </w:rPr>
        <w:t>万元，主要原因是</w:t>
      </w:r>
      <w:r>
        <w:rPr>
          <w:rFonts w:hint="eastAsia" w:ascii="仿宋" w:hAnsi="仿宋" w:eastAsia="仿宋"/>
          <w:sz w:val="28"/>
          <w:szCs w:val="28"/>
        </w:rPr>
        <w:t>幼儿活动经费和中央直达资金列入项目支出</w:t>
      </w:r>
      <w:r>
        <w:rPr>
          <w:rFonts w:ascii="仿宋" w:hAnsi="仿宋" w:eastAsia="仿宋"/>
          <w:sz w:val="28"/>
          <w:szCs w:val="28"/>
        </w:rPr>
        <w:t>。</w:t>
      </w:r>
    </w:p>
    <w:p>
      <w:pPr>
        <w:jc w:val="center"/>
        <w:outlineLvl w:val="0"/>
        <w:rPr>
          <w:rFonts w:ascii="方正小标宋_GBK" w:eastAsia="方正小标宋_GBK"/>
          <w:sz w:val="28"/>
          <w:szCs w:val="28"/>
        </w:rPr>
      </w:pPr>
      <w:r>
        <w:rPr>
          <w:rFonts w:hint="eastAsia" w:ascii="方正小标宋_GBK" w:eastAsia="方正小标宋_GBK"/>
          <w:sz w:val="28"/>
          <w:szCs w:val="28"/>
        </w:rPr>
        <w:t>第三部分：机关运行经费安排情况</w:t>
      </w:r>
    </w:p>
    <w:p>
      <w:pPr>
        <w:spacing w:line="360" w:lineRule="auto"/>
        <w:ind w:firstLine="560" w:firstLineChars="200"/>
        <w:rPr>
          <w:rFonts w:ascii="仿宋" w:hAnsi="仿宋" w:eastAsia="仿宋"/>
          <w:sz w:val="28"/>
          <w:szCs w:val="28"/>
        </w:rPr>
      </w:pPr>
      <w:r>
        <w:rPr>
          <w:rFonts w:ascii="仿宋" w:hAnsi="仿宋" w:eastAsia="仿宋"/>
          <w:sz w:val="28"/>
          <w:szCs w:val="28"/>
        </w:rPr>
        <w:t>2021年我单位机关运行经费安排49.63万元，其中办公费</w:t>
      </w:r>
      <w:r>
        <w:rPr>
          <w:rFonts w:hint="eastAsia" w:ascii="仿宋" w:hAnsi="仿宋" w:eastAsia="仿宋"/>
          <w:sz w:val="28"/>
          <w:szCs w:val="28"/>
        </w:rPr>
        <w:t>3.96</w:t>
      </w:r>
      <w:r>
        <w:rPr>
          <w:rFonts w:ascii="仿宋" w:hAnsi="仿宋" w:eastAsia="仿宋"/>
          <w:sz w:val="28"/>
          <w:szCs w:val="28"/>
        </w:rPr>
        <w:t>万元，邮电费</w:t>
      </w:r>
      <w:r>
        <w:rPr>
          <w:rFonts w:hint="eastAsia" w:ascii="仿宋" w:hAnsi="仿宋" w:eastAsia="仿宋"/>
          <w:sz w:val="28"/>
          <w:szCs w:val="28"/>
        </w:rPr>
        <w:t>0</w:t>
      </w:r>
      <w:r>
        <w:rPr>
          <w:rFonts w:ascii="仿宋" w:hAnsi="仿宋" w:eastAsia="仿宋"/>
          <w:sz w:val="28"/>
          <w:szCs w:val="28"/>
        </w:rPr>
        <w:t>万元，</w:t>
      </w:r>
      <w:r>
        <w:rPr>
          <w:rFonts w:hint="eastAsia" w:ascii="仿宋" w:hAnsi="仿宋" w:eastAsia="仿宋"/>
          <w:sz w:val="28"/>
          <w:szCs w:val="28"/>
        </w:rPr>
        <w:t>离退休</w:t>
      </w:r>
      <w:r>
        <w:rPr>
          <w:rFonts w:ascii="仿宋" w:hAnsi="仿宋" w:eastAsia="仿宋"/>
          <w:sz w:val="28"/>
          <w:szCs w:val="28"/>
        </w:rPr>
        <w:t>干部经费</w:t>
      </w:r>
      <w:r>
        <w:rPr>
          <w:rFonts w:hint="eastAsia" w:ascii="仿宋" w:hAnsi="仿宋" w:eastAsia="仿宋"/>
          <w:sz w:val="28"/>
          <w:szCs w:val="28"/>
        </w:rPr>
        <w:t>10.33万元，</w:t>
      </w:r>
      <w:r>
        <w:rPr>
          <w:rFonts w:ascii="仿宋" w:hAnsi="仿宋" w:eastAsia="仿宋"/>
          <w:sz w:val="28"/>
          <w:szCs w:val="28"/>
        </w:rPr>
        <w:t>工会经费</w:t>
      </w:r>
      <w:r>
        <w:rPr>
          <w:rFonts w:hint="eastAsia" w:ascii="仿宋" w:hAnsi="仿宋" w:eastAsia="仿宋"/>
          <w:sz w:val="28"/>
          <w:szCs w:val="28"/>
        </w:rPr>
        <w:t>20.86万元</w:t>
      </w:r>
      <w:r>
        <w:rPr>
          <w:rFonts w:ascii="仿宋" w:hAnsi="仿宋" w:eastAsia="仿宋"/>
          <w:sz w:val="28"/>
          <w:szCs w:val="28"/>
        </w:rPr>
        <w:t>、福利费14.48万元，公务用车运行维护费</w:t>
      </w:r>
      <w:r>
        <w:rPr>
          <w:rFonts w:hint="eastAsia" w:ascii="仿宋" w:hAnsi="仿宋" w:eastAsia="仿宋"/>
          <w:sz w:val="28"/>
          <w:szCs w:val="28"/>
        </w:rPr>
        <w:t>0</w:t>
      </w:r>
      <w:r>
        <w:rPr>
          <w:rFonts w:ascii="仿宋" w:hAnsi="仿宋" w:eastAsia="仿宋"/>
          <w:sz w:val="28"/>
          <w:szCs w:val="28"/>
        </w:rPr>
        <w:t>万元</w:t>
      </w:r>
      <w:r>
        <w:rPr>
          <w:rFonts w:hint="eastAsia" w:ascii="仿宋" w:hAnsi="仿宋" w:eastAsia="仿宋"/>
          <w:sz w:val="28"/>
          <w:szCs w:val="28"/>
        </w:rPr>
        <w:t>，</w:t>
      </w:r>
      <w:r>
        <w:rPr>
          <w:rFonts w:ascii="仿宋" w:hAnsi="仿宋" w:eastAsia="仿宋"/>
          <w:sz w:val="28"/>
          <w:szCs w:val="28"/>
        </w:rPr>
        <w:t>其他支出0万元。</w:t>
      </w:r>
    </w:p>
    <w:p>
      <w:pPr>
        <w:jc w:val="center"/>
        <w:outlineLvl w:val="0"/>
        <w:rPr>
          <w:rFonts w:ascii="方正小标宋_GBK" w:eastAsia="方正小标宋_GBK"/>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ascii="黑体" w:hAnsi="黑体" w:eastAsia="黑体" w:cs="宋体"/>
                      <w:kern w:val="0"/>
                      <w:sz w:val="32"/>
                      <w:szCs w:val="32"/>
                    </w:rPr>
                    <w:t>202</w:t>
                  </w:r>
                  <w:r>
                    <w:rPr>
                      <w:rFonts w:hint="eastAsia" w:ascii="黑体" w:hAnsi="黑体" w:eastAsia="黑体" w:cs="宋体"/>
                      <w:kern w:val="0"/>
                      <w:sz w:val="32"/>
                      <w:szCs w:val="32"/>
                    </w:rPr>
                    <w:t>1年</w:t>
                  </w:r>
                  <w:r>
                    <w:rPr>
                      <w:rFonts w:ascii="黑体" w:hAnsi="黑体" w:eastAsia="黑体" w:cs="宋体"/>
                      <w:kern w:val="0"/>
                      <w:sz w:val="32"/>
                      <w:szCs w:val="32"/>
                    </w:rPr>
                    <w:t>我单位无三公经费</w:t>
                  </w:r>
                  <w:r>
                    <w:rPr>
                      <w:rFonts w:hint="eastAsia" w:ascii="黑体" w:hAnsi="黑体" w:eastAsia="黑体" w:cs="宋体"/>
                      <w:kern w:val="0"/>
                      <w:sz w:val="32"/>
                      <w:szCs w:val="32"/>
                    </w:rPr>
                    <w:t>，</w:t>
                  </w:r>
                  <w:r>
                    <w:rPr>
                      <w:rFonts w:ascii="黑体" w:hAnsi="黑体" w:eastAsia="黑体" w:cs="宋体"/>
                      <w:kern w:val="0"/>
                      <w:sz w:val="32"/>
                      <w:szCs w:val="32"/>
                    </w:rPr>
                    <w:t>空表列示</w:t>
                  </w:r>
                  <w:r>
                    <w:rPr>
                      <w:rFonts w:hint="eastAsia" w:ascii="黑体" w:hAnsi="黑体" w:eastAsia="黑体" w:cs="宋体"/>
                      <w:kern w:val="0"/>
                      <w:sz w:val="32"/>
                      <w:szCs w:val="32"/>
                    </w:rPr>
                    <w:t>。</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8"/>
                      <w:szCs w:val="28"/>
                    </w:rPr>
                  </w:pPr>
                </w:p>
              </w:tc>
              <w:tc>
                <w:tcPr>
                  <w:tcW w:w="1276" w:type="dxa"/>
                  <w:tcBorders>
                    <w:top w:val="nil"/>
                    <w:left w:val="nil"/>
                    <w:bottom w:val="nil"/>
                    <w:right w:val="nil"/>
                  </w:tcBorders>
                  <w:vAlign w:val="center"/>
                </w:tcPr>
                <w:p>
                  <w:pPr>
                    <w:widowControl/>
                    <w:jc w:val="left"/>
                    <w:rPr>
                      <w:rFonts w:ascii="宋体" w:hAnsi="宋体" w:cs="宋体"/>
                      <w:kern w:val="0"/>
                      <w:sz w:val="28"/>
                      <w:szCs w:val="28"/>
                    </w:rPr>
                  </w:pPr>
                </w:p>
              </w:tc>
              <w:tc>
                <w:tcPr>
                  <w:tcW w:w="1418" w:type="dxa"/>
                  <w:tcBorders>
                    <w:top w:val="nil"/>
                    <w:left w:val="nil"/>
                    <w:bottom w:val="nil"/>
                    <w:right w:val="nil"/>
                  </w:tcBorders>
                  <w:vAlign w:val="center"/>
                </w:tcPr>
                <w:p>
                  <w:pPr>
                    <w:widowControl/>
                    <w:jc w:val="left"/>
                    <w:rPr>
                      <w:rFonts w:ascii="宋体" w:hAnsi="宋体" w:cs="宋体"/>
                      <w:kern w:val="0"/>
                      <w:sz w:val="28"/>
                      <w:szCs w:val="28"/>
                    </w:rPr>
                  </w:pPr>
                </w:p>
              </w:tc>
              <w:tc>
                <w:tcPr>
                  <w:tcW w:w="836" w:type="dxa"/>
                  <w:tcBorders>
                    <w:top w:val="nil"/>
                    <w:left w:val="nil"/>
                    <w:bottom w:val="nil"/>
                    <w:right w:val="nil"/>
                  </w:tcBorders>
                  <w:vAlign w:val="center"/>
                </w:tcPr>
                <w:p>
                  <w:pPr>
                    <w:widowControl/>
                    <w:jc w:val="left"/>
                    <w:rPr>
                      <w:rFonts w:ascii="宋体" w:hAnsi="宋体" w:cs="宋体"/>
                      <w:kern w:val="0"/>
                      <w:sz w:val="28"/>
                      <w:szCs w:val="28"/>
                    </w:rPr>
                  </w:pPr>
                </w:p>
              </w:tc>
              <w:tc>
                <w:tcPr>
                  <w:tcW w:w="2397" w:type="dxa"/>
                  <w:tcBorders>
                    <w:top w:val="nil"/>
                    <w:left w:val="nil"/>
                    <w:bottom w:val="nil"/>
                    <w:right w:val="nil"/>
                  </w:tcBorders>
                  <w:vAlign w:val="center"/>
                </w:tcPr>
                <w:p>
                  <w:pPr>
                    <w:widowControl/>
                    <w:jc w:val="right"/>
                    <w:rPr>
                      <w:rFonts w:ascii="宋体" w:hAnsi="宋体" w:cs="宋体"/>
                      <w:kern w:val="0"/>
                      <w:sz w:val="28"/>
                      <w:szCs w:val="28"/>
                    </w:rPr>
                  </w:pPr>
                  <w:r>
                    <w:rPr>
                      <w:rFonts w:hint="eastAsia" w:ascii="宋体" w:hAnsi="宋体" w:cs="宋体"/>
                      <w:kern w:val="0"/>
                      <w:sz w:val="28"/>
                      <w:szCs w:val="28"/>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8"/>
                      <w:szCs w:val="28"/>
                    </w:rPr>
                  </w:pPr>
                  <w:r>
                    <w:rPr>
                      <w:rFonts w:hint="eastAsia" w:ascii="仿宋_GB2312" w:hAnsi="宋体" w:eastAsia="仿宋_GB2312" w:cs="宋体"/>
                      <w:b/>
                      <w:kern w:val="0"/>
                      <w:sz w:val="28"/>
                      <w:szCs w:val="28"/>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8"/>
                      <w:szCs w:val="28"/>
                    </w:rPr>
                  </w:pPr>
                  <w:r>
                    <w:rPr>
                      <w:rFonts w:ascii="仿宋_GB2312" w:hAnsi="宋体" w:eastAsia="仿宋_GB2312" w:cs="宋体"/>
                      <w:b/>
                      <w:kern w:val="0"/>
                      <w:sz w:val="28"/>
                      <w:szCs w:val="28"/>
                    </w:rPr>
                    <w:t>2020</w:t>
                  </w:r>
                  <w:r>
                    <w:rPr>
                      <w:rFonts w:hint="eastAsia" w:ascii="仿宋_GB2312" w:hAnsi="宋体" w:eastAsia="仿宋_GB2312" w:cs="宋体"/>
                      <w:b/>
                      <w:kern w:val="0"/>
                      <w:sz w:val="28"/>
                      <w:szCs w:val="28"/>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8"/>
                      <w:szCs w:val="28"/>
                    </w:rPr>
                  </w:pPr>
                  <w:r>
                    <w:rPr>
                      <w:rFonts w:ascii="仿宋_GB2312" w:hAnsi="宋体" w:eastAsia="仿宋_GB2312" w:cs="宋体"/>
                      <w:b/>
                      <w:kern w:val="0"/>
                      <w:sz w:val="28"/>
                      <w:szCs w:val="28"/>
                    </w:rPr>
                    <w:t>2021</w:t>
                  </w:r>
                  <w:r>
                    <w:rPr>
                      <w:rFonts w:hint="eastAsia" w:ascii="仿宋_GB2312" w:hAnsi="宋体" w:eastAsia="仿宋_GB2312" w:cs="宋体"/>
                      <w:b/>
                      <w:kern w:val="0"/>
                      <w:sz w:val="28"/>
                      <w:szCs w:val="28"/>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8"/>
                      <w:szCs w:val="28"/>
                    </w:rPr>
                  </w:pPr>
                  <w:r>
                    <w:rPr>
                      <w:rFonts w:hint="eastAsia" w:ascii="仿宋_GB2312" w:hAnsi="宋体" w:eastAsia="仿宋_GB2312" w:cs="宋体"/>
                      <w:b/>
                      <w:kern w:val="0"/>
                      <w:sz w:val="28"/>
                      <w:szCs w:val="28"/>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8"/>
                      <w:szCs w:val="28"/>
                    </w:rPr>
                  </w:pPr>
                  <w:r>
                    <w:rPr>
                      <w:rFonts w:hint="eastAsia" w:ascii="仿宋_GB2312" w:hAnsi="宋体" w:eastAsia="仿宋_GB2312" w:cs="宋体"/>
                      <w:b/>
                      <w:kern w:val="0"/>
                      <w:sz w:val="28"/>
                      <w:szCs w:val="28"/>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无</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无</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无</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8"/>
                      <w:szCs w:val="28"/>
                    </w:rPr>
                  </w:pPr>
                  <w:r>
                    <w:rPr>
                      <w:rFonts w:hint="eastAsia" w:ascii="仿宋_GB2312" w:hAnsi="宋体" w:eastAsia="仿宋_GB2312" w:cs="宋体"/>
                      <w:color w:val="FF0000"/>
                      <w:kern w:val="0"/>
                      <w:sz w:val="28"/>
                      <w:szCs w:val="28"/>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无</w:t>
                  </w:r>
                </w:p>
              </w:tc>
            </w:tr>
          </w:tbl>
          <w:p>
            <w:pPr>
              <w:widowControl/>
              <w:spacing w:line="520" w:lineRule="exact"/>
              <w:ind w:right="480"/>
              <w:rPr>
                <w:rFonts w:ascii="仿宋" w:hAnsi="仿宋" w:eastAsia="仿宋" w:cs="宋体"/>
                <w:kern w:val="0"/>
                <w:sz w:val="28"/>
                <w:szCs w:val="28"/>
              </w:rPr>
            </w:pPr>
          </w:p>
        </w:tc>
      </w:tr>
    </w:tbl>
    <w:p>
      <w:pPr>
        <w:spacing w:line="360" w:lineRule="auto"/>
        <w:rPr>
          <w:rFonts w:ascii="黑体" w:hAnsi="黑体" w:eastAsia="黑体" w:cs="Times New Roman"/>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第五部分：预算绩效信息</w:t>
      </w:r>
    </w:p>
    <w:p>
      <w:pPr>
        <w:jc w:val="center"/>
        <w:outlineLvl w:val="0"/>
        <w:rPr>
          <w:rFonts w:ascii="方正小标宋_GBK" w:eastAsia="方正小标宋_GBK"/>
          <w:sz w:val="28"/>
          <w:szCs w:val="28"/>
        </w:rPr>
      </w:pPr>
      <w:r>
        <w:rPr>
          <w:rFonts w:hint="eastAsia" w:ascii="方正小标宋_GBK" w:eastAsia="方正小标宋_GBK"/>
          <w:sz w:val="28"/>
          <w:szCs w:val="28"/>
        </w:rPr>
        <w:t>单位整体</w:t>
      </w:r>
      <w:r>
        <w:rPr>
          <w:rFonts w:ascii="方正小标宋_GBK" w:eastAsia="方正小标宋_GBK"/>
          <w:sz w:val="28"/>
          <w:szCs w:val="28"/>
        </w:rPr>
        <w:t>绩效目标</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一、总体绩效目标</w:t>
      </w:r>
    </w:p>
    <w:p>
      <w:pPr>
        <w:spacing w:line="360" w:lineRule="auto"/>
        <w:ind w:firstLine="560" w:firstLineChars="200"/>
        <w:rPr>
          <w:rFonts w:ascii="仿宋" w:hAnsi="仿宋" w:eastAsia="仿宋"/>
          <w:sz w:val="28"/>
          <w:szCs w:val="28"/>
        </w:rPr>
      </w:pPr>
      <w:r>
        <w:rPr>
          <w:rFonts w:ascii="仿宋" w:hAnsi="仿宋" w:eastAsia="仿宋"/>
          <w:sz w:val="28"/>
          <w:szCs w:val="28"/>
        </w:rPr>
        <w:t>202</w:t>
      </w:r>
      <w:r>
        <w:rPr>
          <w:rFonts w:hint="eastAsia" w:ascii="仿宋" w:hAnsi="仿宋" w:eastAsia="仿宋"/>
          <w:sz w:val="28"/>
          <w:szCs w:val="28"/>
        </w:rPr>
        <w:t>1</w:t>
      </w:r>
      <w:r>
        <w:rPr>
          <w:rFonts w:ascii="仿宋" w:hAnsi="仿宋" w:eastAsia="仿宋"/>
          <w:sz w:val="28"/>
          <w:szCs w:val="28"/>
        </w:rPr>
        <w:t>年</w:t>
      </w:r>
      <w:r>
        <w:rPr>
          <w:rFonts w:hint="eastAsia" w:ascii="仿宋" w:hAnsi="仿宋" w:eastAsia="仿宋"/>
          <w:sz w:val="28"/>
          <w:szCs w:val="28"/>
        </w:rPr>
        <w:t>户木乡</w:t>
      </w:r>
      <w:r>
        <w:rPr>
          <w:rFonts w:ascii="仿宋" w:hAnsi="仿宋" w:eastAsia="仿宋"/>
          <w:sz w:val="28"/>
          <w:szCs w:val="28"/>
        </w:rPr>
        <w:t>教育工作的总体目标是：推进义务教育优质均衡发展、学前教育普及普惠发展；强化民办义务教育规范管理，压减民办义务教育在校生规模占比；全力打造师德高尚的专业化教师队伍，持续推进教育基础设施建设，努力实现现代信息技术与教育教学深度融合，持之以恒地创建平安校园，强化教育高质量发展支撑保障；推动育人课堂创建，加快建</w:t>
      </w:r>
      <w:r>
        <w:rPr>
          <w:rFonts w:hint="eastAsia" w:ascii="仿宋" w:hAnsi="仿宋" w:eastAsia="仿宋"/>
          <w:sz w:val="28"/>
          <w:szCs w:val="28"/>
        </w:rPr>
        <w:t>设教育强区，办好人民满意教育，以一流的工作业绩助推我乡教育工作在全区当先锋、做表率、走在前，以实际行动和优异成绩回报社会。</w:t>
      </w:r>
    </w:p>
    <w:p>
      <w:pPr>
        <w:jc w:val="center"/>
        <w:outlineLvl w:val="0"/>
        <w:rPr>
          <w:rFonts w:ascii="方正书宋_GBK" w:eastAsia="方正书宋_GBK"/>
          <w:sz w:val="28"/>
          <w:szCs w:val="28"/>
        </w:rPr>
      </w:pPr>
      <w:r>
        <w:rPr>
          <w:rFonts w:hint="eastAsia" w:ascii="方正小标宋_GBK" w:eastAsia="方正小标宋_GBK"/>
          <w:sz w:val="28"/>
          <w:szCs w:val="28"/>
        </w:rPr>
        <w:t>预算项目绩效目标</w:t>
      </w:r>
      <w:r>
        <w:rPr>
          <w:rFonts w:ascii="方正书宋_GBK" w:eastAsia="方正书宋_GBK"/>
          <w:sz w:val="28"/>
          <w:szCs w:val="28"/>
        </w:rPr>
        <w:t xml:space="preserve"> </w:t>
      </w:r>
    </w:p>
    <w:p>
      <w:pPr>
        <w:spacing w:line="360" w:lineRule="auto"/>
        <w:ind w:firstLine="560" w:firstLineChars="200"/>
        <w:rPr>
          <w:rFonts w:ascii="仿宋" w:hAnsi="仿宋" w:eastAsia="仿宋"/>
          <w:sz w:val="28"/>
          <w:szCs w:val="28"/>
        </w:rPr>
      </w:pPr>
      <w:r>
        <w:rPr>
          <w:rFonts w:ascii="仿宋" w:hAnsi="仿宋" w:eastAsia="仿宋"/>
          <w:sz w:val="28"/>
          <w:szCs w:val="28"/>
        </w:rPr>
        <w:t>(一）全面加强思想政治建设。</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绩效目标：把学习宣传贯彻习近平新时代中国特色社会主义思想作为首要政治任务，深入学习贯彻习近平总书记关于教育的重要论述。制定</w:t>
      </w:r>
      <w:r>
        <w:rPr>
          <w:rFonts w:ascii="仿宋" w:hAnsi="仿宋" w:eastAsia="仿宋"/>
          <w:sz w:val="28"/>
          <w:szCs w:val="28"/>
        </w:rPr>
        <w:t>2022年教育工委学习方案，把习近平新时代中国特色社会主义思想和党的十九大纳入必学材料，切实把思想和行动统一到党中央、省委、市委、区委决策部署上来。开展师生</w:t>
      </w:r>
      <w:bookmarkStart w:id="11" w:name="_GoBack"/>
      <w:bookmarkEnd w:id="11"/>
      <w:r>
        <w:rPr>
          <w:rFonts w:ascii="仿宋" w:hAnsi="仿宋" w:eastAsia="仿宋"/>
          <w:sz w:val="28"/>
          <w:szCs w:val="28"/>
        </w:rPr>
        <w:t>迎接、学习、宣传党的</w:t>
      </w:r>
      <w:r>
        <w:rPr>
          <w:rFonts w:hint="eastAsia" w:ascii="仿宋" w:hAnsi="仿宋" w:eastAsia="仿宋"/>
          <w:sz w:val="28"/>
          <w:szCs w:val="28"/>
        </w:rPr>
        <w:t>教育方针政策</w:t>
      </w:r>
      <w:r>
        <w:rPr>
          <w:rFonts w:ascii="仿宋" w:hAnsi="仿宋" w:eastAsia="仿宋"/>
          <w:sz w:val="28"/>
          <w:szCs w:val="28"/>
        </w:rPr>
        <w:t>。健全完善常态化政治理论学习制度，抓实抓紧教职工政治</w:t>
      </w:r>
      <w:r>
        <w:rPr>
          <w:rFonts w:hint="eastAsia" w:ascii="仿宋" w:hAnsi="仿宋" w:eastAsia="仿宋"/>
          <w:sz w:val="28"/>
          <w:szCs w:val="28"/>
        </w:rPr>
        <w:t>理论学习，用党的创新理论武装头脑、指导实践、推动工作。加强思想政治工作，推动思想政治理论课改革创新，实现全员育人、全程育人、全方位育人，不断提高工作能力和思想政治工作水平。</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（二）推动学前教育普及普惠发展。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绩效目标：建立乡镇级学前教育研训机构，充实学前教育研训队伍，提高幼儿园教科研水平，加强园本教研、区域教研，及时解决幼儿园教师在教育实践过程中的困惑和问题，促进我镇学前教育高质量发展。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绩效指标：在园幼儿数达到738</w:t>
      </w:r>
      <w:r>
        <w:rPr>
          <w:rFonts w:ascii="仿宋" w:hAnsi="仿宋" w:eastAsia="仿宋"/>
          <w:sz w:val="28"/>
          <w:szCs w:val="28"/>
        </w:rPr>
        <w:t>人，学前三年毛入园率达到90%，应享受学前教育资助政策的幼儿全部得到资助，受益幼儿园、家长满意度达到85%以上。</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（三）推动义务教育优质均衡发展。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绩效指标：统一城乡义务教育年生均公用经费标准：小学</w:t>
      </w:r>
      <w:r>
        <w:rPr>
          <w:rFonts w:ascii="仿宋" w:hAnsi="仿宋" w:eastAsia="仿宋"/>
          <w:sz w:val="28"/>
          <w:szCs w:val="28"/>
        </w:rPr>
        <w:t>735元（均含取暖费85元）。为农村义务教育学生和家庭经济困难学生免费提供教科书。所有城乡义务教育阶段学生免费发放教科书，教师、学生对保障机制的综合满意度≥90%。</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（四）不断加强干部队伍建设。</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绩效目标：深入推进人事制度改革，切实增强干部能力素质。贯彻落实新时代党的组织路线，坚持正确用人导向，把讲政治、懂教育、善管理、敢担当的优秀党员干部选配到学校党组织岗位上来。</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绩效指标：每年参加培训的教师人数≥100</w:t>
      </w:r>
      <w:r>
        <w:rPr>
          <w:rFonts w:ascii="仿宋" w:hAnsi="仿宋" w:eastAsia="仿宋"/>
          <w:sz w:val="28"/>
          <w:szCs w:val="28"/>
        </w:rPr>
        <w:t>人</w:t>
      </w:r>
      <w:r>
        <w:rPr>
          <w:rFonts w:hint="eastAsia" w:ascii="仿宋" w:hAnsi="仿宋" w:eastAsia="仿宋"/>
          <w:sz w:val="28"/>
          <w:szCs w:val="28"/>
        </w:rPr>
        <w:t>，</w:t>
      </w:r>
      <w:r>
        <w:rPr>
          <w:rFonts w:ascii="仿宋" w:hAnsi="仿宋" w:eastAsia="仿宋"/>
          <w:sz w:val="28"/>
          <w:szCs w:val="28"/>
        </w:rPr>
        <w:t>学生、家长满意度情况≥90%。</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（七）推进学校体育深入开展。</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绩效目标：开足开齐体育课程，认真落实学生每天一小时体育活动时间。大力普及足球、篮球等集体项目，积极推进田径、轮滑等基础项目，广泛开展乒乓球、武术等优势项目，让每位学生掌握</w:t>
      </w:r>
      <w:r>
        <w:rPr>
          <w:rFonts w:ascii="仿宋" w:hAnsi="仿宋" w:eastAsia="仿宋"/>
          <w:sz w:val="28"/>
          <w:szCs w:val="28"/>
        </w:rPr>
        <w:t>1至2项运动技能。</w:t>
      </w:r>
    </w:p>
    <w:p>
      <w:pPr>
        <w:spacing w:line="360" w:lineRule="auto"/>
        <w:ind w:firstLine="560" w:firstLineChars="200"/>
        <w:rPr>
          <w:rFonts w:ascii="仿宋" w:hAnsi="仿宋" w:eastAsia="仿宋"/>
          <w:sz w:val="28"/>
          <w:szCs w:val="28"/>
        </w:rPr>
      </w:pPr>
      <w:r>
        <w:rPr>
          <w:rFonts w:hint="eastAsia" w:ascii="仿宋" w:hAnsi="仿宋" w:eastAsia="仿宋"/>
          <w:sz w:val="28"/>
          <w:szCs w:val="28"/>
        </w:rPr>
        <w:t>绩效指标：落实学生“体育家庭作业”制度，确保参与体质健康测试率</w:t>
      </w:r>
      <w:r>
        <w:rPr>
          <w:rFonts w:ascii="仿宋" w:hAnsi="仿宋" w:eastAsia="仿宋"/>
          <w:sz w:val="28"/>
          <w:szCs w:val="28"/>
        </w:rPr>
        <w:t>95%以上，学校学生体检健康测试上报率100%。</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三、工作保障措施</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（一）加强组织领导。建立健全教育领域预算绩效管理制度体系。围绕年度总体绩效目标和分项绩效目标，明确责任主体，细化落实措施，确保绩效目标年内全部完成。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（三）加强支出管理。督促指导下属单位加快项目执行进度，加快资金支出。严格按照年初预算支出计划加快履行政府采购手续，尽快启动项目，进行资金支付。</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（四）加强绩效运行监控。强化资金监管，指导各单位建立健全内控组织机构、机制建设和内部管理制度，加强对关键岗位人员管理，保证单位各项经济活动合法合规。</w:t>
      </w:r>
      <w:r>
        <w:rPr>
          <w:rFonts w:ascii="仿宋" w:hAnsi="仿宋" w:eastAsia="仿宋"/>
          <w:sz w:val="28"/>
          <w:szCs w:val="28"/>
        </w:rPr>
        <w:t xml:space="preserve">      </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（六）规范财务资产管理。进一步完善财务管理制度，严格资产采购审批手续，加强固定资产登记、使用及报废处置管理，做到支出合理，物尽其用。</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（八）加强宣传培训力度。加强教育系统人员培训，提高全镇教育业务素养；加大宣传力度，强化绩效预算管理意识，促进绩效预算管理水平进一步提升。</w:t>
      </w:r>
    </w:p>
    <w:p>
      <w:pPr>
        <w:ind w:firstLine="562" w:firstLineChars="200"/>
        <w:jc w:val="left"/>
        <w:outlineLvl w:val="3"/>
        <w:rPr>
          <w:rFonts w:ascii="仿宋" w:hAnsi="仿宋" w:eastAsia="仿宋"/>
          <w:sz w:val="28"/>
          <w:szCs w:val="28"/>
        </w:rPr>
      </w:pPr>
      <w:bookmarkStart w:id="0" w:name="_Toc71388507"/>
      <w:r>
        <w:rPr>
          <w:rFonts w:hint="eastAsia" w:ascii="方正仿宋_GBK" w:eastAsia="方正仿宋_GBK"/>
          <w:b/>
          <w:sz w:val="28"/>
          <w:szCs w:val="28"/>
        </w:rPr>
        <w:t>1</w:t>
      </w:r>
      <w:r>
        <w:rPr>
          <w:rFonts w:ascii="仿宋" w:hAnsi="仿宋" w:eastAsia="仿宋"/>
          <w:sz w:val="28"/>
          <w:szCs w:val="28"/>
        </w:rPr>
        <w:t>.提前下达2021年城乡义务教育保障机制改革市级资金-困难学生生活补助绩效目标表</w:t>
      </w:r>
      <w:bookmarkEnd w:id="0"/>
      <w:r>
        <w:rPr>
          <w:rFonts w:ascii="仿宋" w:hAnsi="仿宋" w:eastAsia="仿宋"/>
          <w:sz w:val="28"/>
          <w:szCs w:val="28"/>
        </w:rPr>
        <w:fldChar w:fldCharType="begin"/>
      </w:r>
      <w:r>
        <w:rPr>
          <w:rFonts w:ascii="仿宋" w:hAnsi="仿宋" w:eastAsia="仿宋"/>
          <w:sz w:val="28"/>
          <w:szCs w:val="28"/>
        </w:rPr>
        <w:instrText xml:space="preserve"> TC 204、提前下达2021年城乡义务教育保障机制改革市级资金-困难学生生活补助绩效目标表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1306252109NWAGTHFPYXP</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10800.00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10800.00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1.减少经济困难家庭负担。</w:t>
            </w:r>
          </w:p>
          <w:p>
            <w:pPr>
              <w:spacing w:line="300" w:lineRule="exact"/>
              <w:jc w:val="left"/>
              <w:rPr>
                <w:rFonts w:ascii="仿宋" w:hAnsi="仿宋" w:eastAsia="仿宋"/>
                <w:sz w:val="28"/>
                <w:szCs w:val="28"/>
              </w:rPr>
            </w:pPr>
            <w:r>
              <w:rPr>
                <w:rFonts w:ascii="仿宋" w:hAnsi="仿宋" w:eastAsia="仿宋"/>
                <w:sz w:val="28"/>
                <w:szCs w:val="28"/>
              </w:rPr>
              <w:t>2.保障经济困难学生正常学习。</w:t>
            </w:r>
          </w:p>
          <w:p>
            <w:pPr>
              <w:spacing w:line="300" w:lineRule="exact"/>
              <w:jc w:val="left"/>
              <w:rPr>
                <w:rFonts w:ascii="仿宋" w:hAnsi="仿宋" w:eastAsia="仿宋"/>
                <w:sz w:val="28"/>
                <w:szCs w:val="28"/>
              </w:rPr>
            </w:pPr>
            <w:r>
              <w:rPr>
                <w:rFonts w:ascii="仿宋" w:hAnsi="仿宋" w:eastAsia="仿宋"/>
                <w:sz w:val="28"/>
                <w:szCs w:val="28"/>
              </w:rPr>
              <w:t>3.增强困难人员幸福感。</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家庭经济困难寄宿生人数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家庭经济困难学生人数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50人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资金发放率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对困难学生实施补助</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资金能足额发放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家庭经济困难寄宿生补助率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按照要求和计划完成研究任务的项目在所有立项项目中的比例（百分比）</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困难学生顺利完成学业</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困难学生顺利完成学</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1" w:name="_Toc71388508"/>
      <w:r>
        <w:rPr>
          <w:rFonts w:hint="eastAsia" w:ascii="仿宋" w:hAnsi="仿宋" w:eastAsia="仿宋"/>
          <w:sz w:val="28"/>
          <w:szCs w:val="28"/>
        </w:rPr>
        <w:t>2</w:t>
      </w:r>
      <w:r>
        <w:rPr>
          <w:rFonts w:ascii="仿宋" w:hAnsi="仿宋" w:eastAsia="仿宋"/>
          <w:sz w:val="28"/>
          <w:szCs w:val="28"/>
        </w:rPr>
        <w:t>.关于提前下达2021年城乡义务教育中央补助经费预算（直达资金）-公用经费绩效目标表</w:t>
      </w:r>
      <w:bookmarkEnd w:id="1"/>
      <w:r>
        <w:rPr>
          <w:rFonts w:ascii="仿宋" w:hAnsi="仿宋" w:eastAsia="仿宋"/>
          <w:sz w:val="28"/>
          <w:szCs w:val="28"/>
        </w:rPr>
        <w:fldChar w:fldCharType="begin"/>
      </w:r>
      <w:r>
        <w:rPr>
          <w:rFonts w:ascii="仿宋" w:hAnsi="仿宋" w:eastAsia="仿宋"/>
          <w:sz w:val="28"/>
          <w:szCs w:val="28"/>
        </w:rPr>
        <w:instrText xml:space="preserve"> TC 205、关于提前下达2021年城乡义务教育中央补助经费预算（直达资金）-公用经费绩效目标表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130625210HQT2NM8GO6UP</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860832.00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860832.00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保障学生健康发展，用于学校日常运转经费。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1.促进义务教育健康快速发展，提高义务经费保障水平。</w:t>
            </w:r>
          </w:p>
          <w:p>
            <w:pPr>
              <w:spacing w:line="300" w:lineRule="exact"/>
              <w:jc w:val="left"/>
              <w:rPr>
                <w:rFonts w:ascii="仿宋" w:hAnsi="仿宋" w:eastAsia="仿宋"/>
                <w:sz w:val="28"/>
                <w:szCs w:val="28"/>
              </w:rPr>
            </w:pPr>
            <w:r>
              <w:rPr>
                <w:rFonts w:ascii="仿宋" w:hAnsi="仿宋" w:eastAsia="仿宋"/>
                <w:sz w:val="28"/>
                <w:szCs w:val="28"/>
              </w:rPr>
              <w:t>2.提高教育水平，提升教育质量。</w:t>
            </w:r>
          </w:p>
          <w:p>
            <w:pPr>
              <w:spacing w:line="300" w:lineRule="exact"/>
              <w:jc w:val="left"/>
              <w:rPr>
                <w:rFonts w:ascii="仿宋" w:hAnsi="仿宋" w:eastAsia="仿宋"/>
                <w:sz w:val="28"/>
                <w:szCs w:val="28"/>
              </w:rPr>
            </w:pPr>
            <w:r>
              <w:rPr>
                <w:rFonts w:ascii="仿宋" w:hAnsi="仿宋" w:eastAsia="仿宋"/>
                <w:sz w:val="28"/>
                <w:szCs w:val="28"/>
              </w:rPr>
              <w:t>3.保障学校正常运转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全区义务足额落实每生441元。</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全区义务足额保障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全校学生和教职工受益情况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≥1952人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2" w:name="_Toc71388509"/>
      <w:r>
        <w:rPr>
          <w:rFonts w:hint="eastAsia" w:ascii="仿宋" w:hAnsi="仿宋" w:eastAsia="仿宋"/>
          <w:sz w:val="28"/>
          <w:szCs w:val="28"/>
        </w:rPr>
        <w:t>3</w:t>
      </w:r>
      <w:r>
        <w:rPr>
          <w:rFonts w:ascii="仿宋" w:hAnsi="仿宋" w:eastAsia="仿宋"/>
          <w:sz w:val="28"/>
          <w:szCs w:val="28"/>
        </w:rPr>
        <w:t>.区自建乡村学校少年宫日常运转经费绩效目标表</w:t>
      </w:r>
      <w:bookmarkEnd w:id="2"/>
      <w:r>
        <w:rPr>
          <w:rFonts w:ascii="仿宋" w:hAnsi="仿宋" w:eastAsia="仿宋"/>
          <w:sz w:val="28"/>
          <w:szCs w:val="28"/>
        </w:rPr>
        <w:fldChar w:fldCharType="begin"/>
      </w:r>
      <w:r>
        <w:rPr>
          <w:rFonts w:ascii="仿宋" w:hAnsi="仿宋" w:eastAsia="仿宋"/>
          <w:sz w:val="28"/>
          <w:szCs w:val="28"/>
        </w:rPr>
        <w:instrText xml:space="preserve"> TC 206、区自建乡村学校少年宫日常运转经费绩效目标表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1306252165EFGR7WNEUG8</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30000.00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30000.00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为了丰富学生的课余文化生活，促进学生职能的全面发展。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1.促进学生全方面发展，丰富学生课余文化生活。</w:t>
            </w:r>
          </w:p>
          <w:p>
            <w:pPr>
              <w:spacing w:line="300" w:lineRule="exact"/>
              <w:jc w:val="left"/>
              <w:rPr>
                <w:rFonts w:ascii="仿宋" w:hAnsi="仿宋" w:eastAsia="仿宋"/>
                <w:sz w:val="28"/>
                <w:szCs w:val="28"/>
              </w:rPr>
            </w:pPr>
            <w:r>
              <w:rPr>
                <w:rFonts w:ascii="仿宋" w:hAnsi="仿宋" w:eastAsia="仿宋"/>
                <w:sz w:val="28"/>
                <w:szCs w:val="28"/>
              </w:rPr>
              <w:t>2.调动农村教师积极性，提高学生学习兴趣。</w:t>
            </w:r>
          </w:p>
          <w:p>
            <w:pPr>
              <w:spacing w:line="300" w:lineRule="exact"/>
              <w:jc w:val="left"/>
              <w:rPr>
                <w:rFonts w:ascii="仿宋" w:hAnsi="仿宋" w:eastAsia="仿宋"/>
                <w:sz w:val="28"/>
                <w:szCs w:val="28"/>
              </w:rPr>
            </w:pPr>
            <w:r>
              <w:rPr>
                <w:rFonts w:ascii="仿宋" w:hAnsi="仿宋" w:eastAsia="仿宋"/>
                <w:sz w:val="28"/>
                <w:szCs w:val="28"/>
              </w:rPr>
              <w:t>3.保障少年宫正常运转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学校覆盖率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保证少年宫全部享受彩票公益金保障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保障效果</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少年宫能够正常运转</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按照要求和计划完成的项目在本项目中的比例</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办学成本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保障少年宫正常运转</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提高办学水平</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保障了少年宫的运转，提高了办学水平</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3" w:name="_Toc71388510"/>
      <w:r>
        <w:rPr>
          <w:rFonts w:hint="eastAsia" w:ascii="仿宋" w:hAnsi="仿宋" w:eastAsia="仿宋"/>
          <w:sz w:val="28"/>
          <w:szCs w:val="28"/>
        </w:rPr>
        <w:t>4</w:t>
      </w:r>
      <w:r>
        <w:rPr>
          <w:rFonts w:ascii="仿宋" w:hAnsi="仿宋" w:eastAsia="仿宋"/>
          <w:sz w:val="28"/>
          <w:szCs w:val="28"/>
        </w:rPr>
        <w:t>.提前下达2021年城乡义务教育省级补助资金-困难学生生活补助绩效目标表</w:t>
      </w:r>
      <w:bookmarkEnd w:id="3"/>
      <w:r>
        <w:rPr>
          <w:rFonts w:ascii="仿宋" w:hAnsi="仿宋" w:eastAsia="仿宋"/>
          <w:sz w:val="28"/>
          <w:szCs w:val="28"/>
        </w:rPr>
        <w:fldChar w:fldCharType="begin"/>
      </w:r>
      <w:r>
        <w:rPr>
          <w:rFonts w:ascii="仿宋" w:hAnsi="仿宋" w:eastAsia="仿宋"/>
          <w:sz w:val="28"/>
          <w:szCs w:val="28"/>
        </w:rPr>
        <w:instrText xml:space="preserve"> TC 207、提前下达2021年城乡义务教育省级补助资金-困难学生生活补助绩效目标表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13062521A3G0YVTM09FGE</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4200.00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4200.00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为推进义务教育健康持续发展，切实解决家庭经济困难学生就学，确保国家资助政策落实到位。</w:t>
            </w:r>
          </w:p>
          <w:p>
            <w:pPr>
              <w:spacing w:line="300" w:lineRule="exact"/>
              <w:jc w:val="left"/>
              <w:rPr>
                <w:rFonts w:ascii="仿宋" w:hAnsi="仿宋" w:eastAsia="仿宋"/>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1.推进义务教育持续健康发展</w:t>
            </w:r>
          </w:p>
          <w:p>
            <w:pPr>
              <w:spacing w:line="300" w:lineRule="exact"/>
              <w:jc w:val="left"/>
              <w:rPr>
                <w:rFonts w:ascii="仿宋" w:hAnsi="仿宋" w:eastAsia="仿宋"/>
                <w:sz w:val="28"/>
                <w:szCs w:val="28"/>
              </w:rPr>
            </w:pPr>
            <w:r>
              <w:rPr>
                <w:rFonts w:ascii="仿宋" w:hAnsi="仿宋" w:eastAsia="仿宋"/>
                <w:sz w:val="28"/>
                <w:szCs w:val="28"/>
              </w:rPr>
              <w:t>2.切实解决家庭经济贫困学生就学</w:t>
            </w:r>
          </w:p>
          <w:p>
            <w:pPr>
              <w:spacing w:line="300" w:lineRule="exact"/>
              <w:jc w:val="left"/>
              <w:rPr>
                <w:rFonts w:ascii="仿宋" w:hAnsi="仿宋" w:eastAsia="仿宋"/>
                <w:sz w:val="28"/>
                <w:szCs w:val="28"/>
              </w:rPr>
            </w:pPr>
            <w:r>
              <w:rPr>
                <w:rFonts w:ascii="仿宋" w:hAnsi="仿宋" w:eastAsia="仿宋"/>
                <w:sz w:val="28"/>
                <w:szCs w:val="28"/>
              </w:rPr>
              <w:t>3.确保国家资助政策落实到位</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贫困学生足额落实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四类贫困学生足额落实。</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贫困学生足额保障率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四类贫困学生足额保障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贫困学生受益情况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50人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4" w:name="_Toc71388511"/>
      <w:r>
        <w:rPr>
          <w:rFonts w:hint="eastAsia" w:ascii="仿宋" w:hAnsi="仿宋" w:eastAsia="仿宋"/>
          <w:sz w:val="28"/>
          <w:szCs w:val="28"/>
        </w:rPr>
        <w:t>5</w:t>
      </w:r>
      <w:r>
        <w:rPr>
          <w:rFonts w:ascii="仿宋" w:hAnsi="仿宋" w:eastAsia="仿宋"/>
          <w:sz w:val="28"/>
          <w:szCs w:val="28"/>
        </w:rPr>
        <w:t>.校园安保经费绩效目标表</w:t>
      </w:r>
      <w:bookmarkEnd w:id="4"/>
      <w:r>
        <w:rPr>
          <w:rFonts w:ascii="仿宋" w:hAnsi="仿宋" w:eastAsia="仿宋"/>
          <w:sz w:val="28"/>
          <w:szCs w:val="28"/>
        </w:rPr>
        <w:fldChar w:fldCharType="begin"/>
      </w:r>
      <w:r>
        <w:rPr>
          <w:rFonts w:ascii="仿宋" w:hAnsi="仿宋" w:eastAsia="仿宋"/>
          <w:sz w:val="28"/>
          <w:szCs w:val="28"/>
        </w:rPr>
        <w:instrText xml:space="preserve"> TC 208、校园安保经费绩效目标表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13062521G1T3OGG6GSLQA</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410400.00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410400.00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1.加强学校安全保卫工作，切实保障了师生生命、财产安全。</w:t>
            </w:r>
          </w:p>
          <w:p>
            <w:pPr>
              <w:spacing w:line="300" w:lineRule="exact"/>
              <w:jc w:val="left"/>
              <w:rPr>
                <w:rFonts w:ascii="仿宋" w:hAnsi="仿宋" w:eastAsia="仿宋"/>
                <w:sz w:val="28"/>
                <w:szCs w:val="28"/>
              </w:rPr>
            </w:pPr>
            <w:r>
              <w:rPr>
                <w:rFonts w:ascii="仿宋" w:hAnsi="仿宋" w:eastAsia="仿宋"/>
                <w:sz w:val="28"/>
                <w:szCs w:val="28"/>
              </w:rPr>
              <w:t>2.维持正常教育教学秩序。</w:t>
            </w:r>
          </w:p>
          <w:p>
            <w:pPr>
              <w:spacing w:line="300" w:lineRule="exact"/>
              <w:jc w:val="left"/>
              <w:rPr>
                <w:rFonts w:ascii="仿宋" w:hAnsi="仿宋" w:eastAsia="仿宋"/>
                <w:sz w:val="28"/>
                <w:szCs w:val="28"/>
              </w:rPr>
            </w:pPr>
            <w:r>
              <w:rPr>
                <w:rFonts w:ascii="仿宋" w:hAnsi="仿宋" w:eastAsia="仿宋"/>
                <w:sz w:val="28"/>
                <w:szCs w:val="28"/>
              </w:rPr>
              <w:t>3.有效的缓解了学校经济压力。</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绩效评价人数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按季度人数评价资金使用程度</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18人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正常运行率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保卫学校安全，保障师生、财产安全</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控制资金支出</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资金支出进度占预算全额的比例</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预算执行率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按照支出进度要求和预算构成执行</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社会影响力</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有效的改善职工作环境，有利于提高工作效率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依据工作要求</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5" w:name="_Toc71388512"/>
      <w:r>
        <w:rPr>
          <w:rFonts w:hint="eastAsia" w:ascii="仿宋" w:hAnsi="仿宋" w:eastAsia="仿宋"/>
          <w:sz w:val="28"/>
          <w:szCs w:val="28"/>
        </w:rPr>
        <w:t>6</w:t>
      </w:r>
      <w:r>
        <w:rPr>
          <w:rFonts w:ascii="仿宋" w:hAnsi="仿宋" w:eastAsia="仿宋"/>
          <w:sz w:val="28"/>
          <w:szCs w:val="28"/>
        </w:rPr>
        <w:t>.提前下达2021年城乡义务教育省级补助资金-公用经费绩效目标表</w:t>
      </w:r>
      <w:bookmarkEnd w:id="5"/>
      <w:r>
        <w:rPr>
          <w:rFonts w:ascii="仿宋" w:hAnsi="仿宋" w:eastAsia="仿宋"/>
          <w:sz w:val="28"/>
          <w:szCs w:val="28"/>
        </w:rPr>
        <w:fldChar w:fldCharType="begin"/>
      </w:r>
      <w:r>
        <w:rPr>
          <w:rFonts w:ascii="仿宋" w:hAnsi="仿宋" w:eastAsia="仿宋"/>
          <w:sz w:val="28"/>
          <w:szCs w:val="28"/>
        </w:rPr>
        <w:instrText xml:space="preserve"> TC 209、提前下达2021年城乡义务教育省级补助资金-公用经费绩效目标表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13062521GBEXYTILDY6T2</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573888.00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573888.00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保障学生健康发展，用于学校日常运转经费。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1.促进义务教育健康快速发展，提高义务经费保障水平。</w:t>
            </w:r>
          </w:p>
          <w:p>
            <w:pPr>
              <w:spacing w:line="300" w:lineRule="exact"/>
              <w:jc w:val="left"/>
              <w:rPr>
                <w:rFonts w:ascii="仿宋" w:hAnsi="仿宋" w:eastAsia="仿宋"/>
                <w:sz w:val="28"/>
                <w:szCs w:val="28"/>
              </w:rPr>
            </w:pPr>
            <w:r>
              <w:rPr>
                <w:rFonts w:ascii="仿宋" w:hAnsi="仿宋" w:eastAsia="仿宋"/>
                <w:sz w:val="28"/>
                <w:szCs w:val="28"/>
              </w:rPr>
              <w:t>2.提高教育水平，提升教育质量。</w:t>
            </w:r>
          </w:p>
          <w:p>
            <w:pPr>
              <w:spacing w:line="300" w:lineRule="exact"/>
              <w:jc w:val="left"/>
              <w:rPr>
                <w:rFonts w:ascii="仿宋" w:hAnsi="仿宋" w:eastAsia="仿宋"/>
                <w:sz w:val="28"/>
                <w:szCs w:val="28"/>
              </w:rPr>
            </w:pPr>
            <w:r>
              <w:rPr>
                <w:rFonts w:ascii="仿宋" w:hAnsi="仿宋" w:eastAsia="仿宋"/>
                <w:sz w:val="28"/>
                <w:szCs w:val="28"/>
              </w:rPr>
              <w:t>3.保障学校正常运转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全区义务足额落实每生294元。</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全区义务足额保障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全校学生和教职工受益情况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≥1952人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6" w:name="_Toc71388513"/>
      <w:r>
        <w:rPr>
          <w:rFonts w:hint="eastAsia" w:ascii="仿宋" w:hAnsi="仿宋" w:eastAsia="仿宋"/>
          <w:sz w:val="28"/>
          <w:szCs w:val="28"/>
        </w:rPr>
        <w:t>7</w:t>
      </w:r>
      <w:r>
        <w:rPr>
          <w:rFonts w:ascii="仿宋" w:hAnsi="仿宋" w:eastAsia="仿宋"/>
          <w:sz w:val="28"/>
          <w:szCs w:val="28"/>
        </w:rPr>
        <w:t>.关于提前下达2021年城乡义务教育中央补助经费预算（直达资金）-困难学生生活补助绩效目标表</w:t>
      </w:r>
      <w:bookmarkEnd w:id="6"/>
      <w:r>
        <w:rPr>
          <w:rFonts w:ascii="仿宋" w:hAnsi="仿宋" w:eastAsia="仿宋"/>
          <w:sz w:val="28"/>
          <w:szCs w:val="28"/>
        </w:rPr>
        <w:fldChar w:fldCharType="begin"/>
      </w:r>
      <w:r>
        <w:rPr>
          <w:rFonts w:ascii="仿宋" w:hAnsi="仿宋" w:eastAsia="仿宋"/>
          <w:sz w:val="28"/>
          <w:szCs w:val="28"/>
        </w:rPr>
        <w:instrText xml:space="preserve"> TC 210、关于提前下达2021年城乡义务教育中央补助经费预算（直达资金）-困难学生生活补助绩效目标表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13062521SI302W2XDZ75X</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1.减少经济困难家庭负担。</w:t>
            </w:r>
          </w:p>
          <w:p>
            <w:pPr>
              <w:spacing w:line="300" w:lineRule="exact"/>
              <w:jc w:val="left"/>
              <w:rPr>
                <w:rFonts w:ascii="仿宋" w:hAnsi="仿宋" w:eastAsia="仿宋"/>
                <w:sz w:val="28"/>
                <w:szCs w:val="28"/>
              </w:rPr>
            </w:pPr>
            <w:r>
              <w:rPr>
                <w:rFonts w:ascii="仿宋" w:hAnsi="仿宋" w:eastAsia="仿宋"/>
                <w:sz w:val="28"/>
                <w:szCs w:val="28"/>
              </w:rPr>
              <w:t>2.保障经济困难学生正常学习。</w:t>
            </w:r>
          </w:p>
          <w:p>
            <w:pPr>
              <w:spacing w:line="300" w:lineRule="exact"/>
              <w:jc w:val="left"/>
              <w:rPr>
                <w:rFonts w:ascii="仿宋" w:hAnsi="仿宋" w:eastAsia="仿宋"/>
                <w:sz w:val="28"/>
                <w:szCs w:val="28"/>
              </w:rPr>
            </w:pPr>
            <w:r>
              <w:rPr>
                <w:rFonts w:ascii="仿宋" w:hAnsi="仿宋" w:eastAsia="仿宋"/>
                <w:sz w:val="28"/>
                <w:szCs w:val="28"/>
              </w:rPr>
              <w:t>3.增强困难人员幸福感。</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家庭经济困难寄宿生人数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家庭经济困难学生人数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50人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资金发放率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对困难学生实施补助</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资金能足额发放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家庭经济困难寄宿生补助率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按照要求和计划完成研究任务的项目在所有立项项目中的比例（百分比）</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困难学生顺利完成学业</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困难学生顺利完成学</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指标完成率</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7" w:name="_Toc71388514"/>
      <w:r>
        <w:rPr>
          <w:rFonts w:hint="eastAsia" w:ascii="仿宋" w:hAnsi="仿宋" w:eastAsia="仿宋"/>
          <w:sz w:val="28"/>
          <w:szCs w:val="28"/>
        </w:rPr>
        <w:t>8</w:t>
      </w:r>
      <w:r>
        <w:rPr>
          <w:rFonts w:ascii="仿宋" w:hAnsi="仿宋" w:eastAsia="仿宋"/>
          <w:sz w:val="28"/>
          <w:szCs w:val="28"/>
        </w:rPr>
        <w:t>.义务教育阶段小学生营养改善计划地方试点区级资金绩效目标表</w:t>
      </w:r>
      <w:bookmarkEnd w:id="7"/>
      <w:r>
        <w:rPr>
          <w:rFonts w:ascii="仿宋" w:hAnsi="仿宋" w:eastAsia="仿宋"/>
          <w:sz w:val="28"/>
          <w:szCs w:val="28"/>
        </w:rPr>
        <w:fldChar w:fldCharType="begin"/>
      </w:r>
      <w:r>
        <w:rPr>
          <w:rFonts w:ascii="仿宋" w:hAnsi="仿宋" w:eastAsia="仿宋"/>
          <w:sz w:val="28"/>
          <w:szCs w:val="28"/>
        </w:rPr>
        <w:instrText xml:space="preserve"> TC 211、义务教育阶段小学生营养改善计划地方试点区级资金绩效目标表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360031户木乡中心学校（小学）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13062521T0C4H4QASDIIQ</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476750.00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476750.00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徐水区自2019年秋季开学起，在全区范围内实施义务教育阶段小学生营养改善计划地方试点，涉及我乡4所学校，用于义务教育阶段小学生营养改善计划运行保障经费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1.徐水区自2019年秋季开学起，在全区范围内实施义务教育阶段小学生营养改善计划地方试点 我乡实施营养餐改善计划</w:t>
            </w:r>
          </w:p>
          <w:p>
            <w:pPr>
              <w:spacing w:line="300" w:lineRule="exact"/>
              <w:jc w:val="left"/>
              <w:rPr>
                <w:rFonts w:ascii="仿宋" w:hAnsi="仿宋" w:eastAsia="仿宋"/>
                <w:sz w:val="28"/>
                <w:szCs w:val="28"/>
              </w:rPr>
            </w:pPr>
            <w:r>
              <w:rPr>
                <w:rFonts w:ascii="仿宋" w:hAnsi="仿宋" w:eastAsia="仿宋"/>
                <w:sz w:val="28"/>
                <w:szCs w:val="28"/>
              </w:rPr>
              <w:t>2.每个小学生每天（工作日）一盒学生奶、一枚熟鸡蛋。</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覆盖率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全年营养餐的学生覆盖情况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合格保障率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学生营养餐质量</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当年学生营养餐工作任务完成情况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人均财政投入水平</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学生营养餐工作人均补助标准</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≥95%</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社会影响力</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得到广大受众的充分认可。</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≥98%</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8" w:name="_Toc71388515"/>
      <w:r>
        <w:rPr>
          <w:rFonts w:hint="eastAsia" w:ascii="仿宋" w:hAnsi="仿宋" w:eastAsia="仿宋"/>
          <w:sz w:val="28"/>
          <w:szCs w:val="28"/>
        </w:rPr>
        <w:t>9</w:t>
      </w:r>
      <w:r>
        <w:rPr>
          <w:rFonts w:ascii="仿宋" w:hAnsi="仿宋" w:eastAsia="仿宋"/>
          <w:sz w:val="28"/>
          <w:szCs w:val="28"/>
        </w:rPr>
        <w:t>.普惠性民办幼儿园生均公用经费绩效目标表</w:t>
      </w:r>
      <w:bookmarkEnd w:id="8"/>
      <w:r>
        <w:rPr>
          <w:rFonts w:ascii="仿宋" w:hAnsi="仿宋" w:eastAsia="仿宋"/>
          <w:sz w:val="28"/>
          <w:szCs w:val="28"/>
        </w:rPr>
        <w:fldChar w:fldCharType="begin"/>
      </w:r>
      <w:r>
        <w:rPr>
          <w:rFonts w:ascii="仿宋" w:hAnsi="仿宋" w:eastAsia="仿宋"/>
          <w:sz w:val="28"/>
          <w:szCs w:val="28"/>
        </w:rPr>
        <w:instrText xml:space="preserve"> TC 212、普惠性民办幼儿园生均公用经费绩效目标表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360032户木乡中心学校（幼儿园）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130625219I5GLUIXF7YXU</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60400.00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60400.00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1.促进学前教育健康快速发展，提高幼儿园经费保障水平。</w:t>
            </w:r>
          </w:p>
          <w:p>
            <w:pPr>
              <w:spacing w:line="300" w:lineRule="exact"/>
              <w:jc w:val="left"/>
              <w:rPr>
                <w:rFonts w:ascii="仿宋" w:hAnsi="仿宋" w:eastAsia="仿宋"/>
                <w:sz w:val="28"/>
                <w:szCs w:val="28"/>
              </w:rPr>
            </w:pPr>
            <w:r>
              <w:rPr>
                <w:rFonts w:ascii="仿宋" w:hAnsi="仿宋" w:eastAsia="仿宋"/>
                <w:sz w:val="28"/>
                <w:szCs w:val="28"/>
              </w:rPr>
              <w:t>2.提高教育水平，提升教育质量。</w:t>
            </w:r>
          </w:p>
          <w:p>
            <w:pPr>
              <w:spacing w:line="300" w:lineRule="exact"/>
              <w:jc w:val="left"/>
              <w:rPr>
                <w:rFonts w:ascii="仿宋" w:hAnsi="仿宋" w:eastAsia="仿宋"/>
                <w:sz w:val="28"/>
                <w:szCs w:val="28"/>
              </w:rPr>
            </w:pPr>
            <w:r>
              <w:rPr>
                <w:rFonts w:ascii="仿宋" w:hAnsi="仿宋" w:eastAsia="仿宋"/>
                <w:sz w:val="28"/>
                <w:szCs w:val="28"/>
              </w:rPr>
              <w:t>3.保障幼儿园正常运转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全区幼儿园足额落实每生400元。</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全校学生和教职工受益情况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≥151人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9" w:name="_Toc71388516"/>
      <w:r>
        <w:rPr>
          <w:rFonts w:hint="eastAsia" w:ascii="仿宋" w:hAnsi="仿宋" w:eastAsia="仿宋"/>
          <w:sz w:val="28"/>
          <w:szCs w:val="28"/>
        </w:rPr>
        <w:t>10</w:t>
      </w:r>
      <w:r>
        <w:rPr>
          <w:rFonts w:ascii="仿宋" w:hAnsi="仿宋" w:eastAsia="仿宋"/>
          <w:sz w:val="28"/>
          <w:szCs w:val="28"/>
        </w:rPr>
        <w:t>.幼儿园生均公用经费绩效目标表</w:t>
      </w:r>
      <w:bookmarkEnd w:id="9"/>
      <w:r>
        <w:rPr>
          <w:rFonts w:ascii="仿宋" w:hAnsi="仿宋" w:eastAsia="仿宋"/>
          <w:sz w:val="28"/>
          <w:szCs w:val="28"/>
        </w:rPr>
        <w:fldChar w:fldCharType="begin"/>
      </w:r>
      <w:r>
        <w:rPr>
          <w:rFonts w:ascii="仿宋" w:hAnsi="仿宋" w:eastAsia="仿宋"/>
          <w:sz w:val="28"/>
          <w:szCs w:val="28"/>
        </w:rPr>
        <w:instrText xml:space="preserve"> TC 213、幼儿园生均公用经费绩效目标表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360032户木乡中心学校（幼儿园）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13062521OSS9KAWH4K9ZT</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288000.00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288000.00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1.促进学前教育健康快速发展，提高幼儿园经费保障水平。</w:t>
            </w:r>
          </w:p>
          <w:p>
            <w:pPr>
              <w:spacing w:line="300" w:lineRule="exact"/>
              <w:jc w:val="left"/>
              <w:rPr>
                <w:rFonts w:ascii="仿宋" w:hAnsi="仿宋" w:eastAsia="仿宋"/>
                <w:sz w:val="28"/>
                <w:szCs w:val="28"/>
              </w:rPr>
            </w:pPr>
            <w:r>
              <w:rPr>
                <w:rFonts w:ascii="仿宋" w:hAnsi="仿宋" w:eastAsia="仿宋"/>
                <w:sz w:val="28"/>
                <w:szCs w:val="28"/>
              </w:rPr>
              <w:t>2.提高教育水平，提升教育质量。</w:t>
            </w:r>
          </w:p>
          <w:p>
            <w:pPr>
              <w:spacing w:line="300" w:lineRule="exact"/>
              <w:jc w:val="left"/>
              <w:rPr>
                <w:rFonts w:ascii="仿宋" w:hAnsi="仿宋" w:eastAsia="仿宋"/>
                <w:sz w:val="28"/>
                <w:szCs w:val="28"/>
              </w:rPr>
            </w:pPr>
            <w:r>
              <w:rPr>
                <w:rFonts w:ascii="仿宋" w:hAnsi="仿宋" w:eastAsia="仿宋"/>
                <w:sz w:val="28"/>
                <w:szCs w:val="28"/>
              </w:rPr>
              <w:t>3.保障幼儿园正常运转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全区幼儿园足额落实每生400元。</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全校学生和教职工受益情况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≥720人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rFonts w:ascii="仿宋" w:hAnsi="仿宋" w:eastAsia="仿宋"/>
          <w:sz w:val="28"/>
          <w:szCs w:val="28"/>
        </w:rPr>
        <w:sectPr>
          <w:pgSz w:w="11907" w:h="16839"/>
          <w:pgMar w:top="1984" w:right="1304" w:bottom="1134" w:left="1304" w:header="851" w:footer="992" w:gutter="0"/>
          <w:cols w:space="425" w:num="1"/>
          <w:docGrid w:type="lines" w:linePitch="312" w:charSpace="0"/>
        </w:sectPr>
      </w:pPr>
    </w:p>
    <w:p>
      <w:pPr>
        <w:spacing w:line="300" w:lineRule="exact"/>
        <w:jc w:val="left"/>
        <w:rPr>
          <w:rFonts w:ascii="仿宋" w:hAnsi="仿宋" w:eastAsia="仿宋"/>
          <w:sz w:val="28"/>
          <w:szCs w:val="28"/>
        </w:rPr>
      </w:pPr>
    </w:p>
    <w:p>
      <w:pPr>
        <w:ind w:firstLine="560" w:firstLineChars="200"/>
        <w:jc w:val="left"/>
        <w:outlineLvl w:val="3"/>
        <w:rPr>
          <w:rFonts w:ascii="仿宋" w:hAnsi="仿宋" w:eastAsia="仿宋"/>
          <w:sz w:val="28"/>
          <w:szCs w:val="28"/>
        </w:rPr>
      </w:pPr>
      <w:bookmarkStart w:id="10" w:name="_Toc71388517"/>
      <w:r>
        <w:rPr>
          <w:rFonts w:hint="eastAsia" w:ascii="仿宋" w:hAnsi="仿宋" w:eastAsia="仿宋"/>
          <w:sz w:val="28"/>
          <w:szCs w:val="28"/>
        </w:rPr>
        <w:t>11</w:t>
      </w:r>
      <w:r>
        <w:rPr>
          <w:rFonts w:ascii="仿宋" w:hAnsi="仿宋" w:eastAsia="仿宋"/>
          <w:sz w:val="28"/>
          <w:szCs w:val="28"/>
        </w:rPr>
        <w:t>.户木乡幼儿园教育教学活动经费绩效目标表</w:t>
      </w:r>
      <w:bookmarkEnd w:id="10"/>
      <w:r>
        <w:rPr>
          <w:rFonts w:ascii="仿宋" w:hAnsi="仿宋" w:eastAsia="仿宋"/>
          <w:sz w:val="28"/>
          <w:szCs w:val="28"/>
        </w:rPr>
        <w:fldChar w:fldCharType="begin"/>
      </w:r>
      <w:r>
        <w:rPr>
          <w:rFonts w:ascii="仿宋" w:hAnsi="仿宋" w:eastAsia="仿宋"/>
          <w:sz w:val="28"/>
          <w:szCs w:val="28"/>
        </w:rPr>
        <w:instrText xml:space="preserve"> TC 214、户木乡幼儿园教育教学活动经费绩效目标表 \f C \l 1 </w:instrText>
      </w:r>
      <w:r>
        <w:rPr>
          <w:rFonts w:ascii="仿宋" w:hAnsi="仿宋" w:eastAsia="仿宋"/>
          <w:sz w:val="28"/>
          <w:szCs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360032户木乡中心学校（幼儿园）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仿宋" w:hAnsi="仿宋" w:eastAsia="仿宋"/>
                <w:sz w:val="28"/>
                <w:szCs w:val="28"/>
              </w:rPr>
            </w:pPr>
            <w:r>
              <w:rPr>
                <w:rFonts w:ascii="仿宋" w:hAnsi="仿宋" w:eastAsia="仿宋"/>
                <w:sz w:val="28"/>
                <w:szCs w:val="28"/>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项目编码</w:t>
            </w:r>
          </w:p>
        </w:tc>
        <w:tc>
          <w:tcPr>
            <w:tcW w:w="2410" w:type="dxa"/>
            <w:gridSpan w:val="2"/>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13062521Y4ZWOTGSFHPAH</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项目名称</w:t>
            </w:r>
          </w:p>
        </w:tc>
        <w:tc>
          <w:tcPr>
            <w:tcW w:w="4281" w:type="dxa"/>
            <w:gridSpan w:val="3"/>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户木乡幼儿园教育教学活动经费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预算规模及资金用途</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预算数</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1304000.00</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其中：财政资金</w:t>
            </w:r>
          </w:p>
        </w:tc>
        <w:tc>
          <w:tcPr>
            <w:tcW w:w="130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1304000.00</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其他资金</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rPr>
                <w:rFonts w:ascii="仿宋" w:hAnsi="仿宋" w:eastAsia="仿宋"/>
                <w:sz w:val="28"/>
                <w:szCs w:val="28"/>
              </w:rPr>
            </w:pPr>
          </w:p>
        </w:tc>
        <w:tc>
          <w:tcPr>
            <w:tcW w:w="8278" w:type="dxa"/>
            <w:gridSpan w:val="6"/>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资金支出计划（%）</w:t>
            </w:r>
          </w:p>
        </w:tc>
        <w:tc>
          <w:tcPr>
            <w:tcW w:w="2410"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3月底</w:t>
            </w:r>
          </w:p>
        </w:tc>
        <w:tc>
          <w:tcPr>
            <w:tcW w:w="1587"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6月底</w:t>
            </w:r>
          </w:p>
        </w:tc>
        <w:tc>
          <w:tcPr>
            <w:tcW w:w="130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10月底</w:t>
            </w:r>
          </w:p>
        </w:tc>
        <w:tc>
          <w:tcPr>
            <w:tcW w:w="2977" w:type="dxa"/>
            <w:gridSpan w:val="2"/>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rPr>
                <w:rFonts w:ascii="仿宋" w:hAnsi="仿宋" w:eastAsia="仿宋"/>
                <w:sz w:val="28"/>
                <w:szCs w:val="28"/>
              </w:rPr>
            </w:pPr>
          </w:p>
        </w:tc>
        <w:tc>
          <w:tcPr>
            <w:tcW w:w="2410"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25.00%</w:t>
            </w:r>
          </w:p>
        </w:tc>
        <w:tc>
          <w:tcPr>
            <w:tcW w:w="1587"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50.00%</w:t>
            </w:r>
          </w:p>
        </w:tc>
        <w:tc>
          <w:tcPr>
            <w:tcW w:w="1304" w:type="dxa"/>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75.00%</w:t>
            </w:r>
          </w:p>
        </w:tc>
        <w:tc>
          <w:tcPr>
            <w:tcW w:w="2977" w:type="dxa"/>
            <w:gridSpan w:val="2"/>
            <w:tcBorders>
              <w:bottom w:val="single" w:color="000000" w:sz="6" w:space="0"/>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绩效目标</w:t>
            </w:r>
          </w:p>
        </w:tc>
        <w:tc>
          <w:tcPr>
            <w:tcW w:w="8278" w:type="dxa"/>
            <w:gridSpan w:val="6"/>
            <w:tcBorders>
              <w:bottom w:val="nil"/>
            </w:tcBorders>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1.促进学前教育健康快速发展，提高幼儿园经费保障水平。</w:t>
            </w:r>
          </w:p>
          <w:p>
            <w:pPr>
              <w:spacing w:line="300" w:lineRule="exact"/>
              <w:jc w:val="left"/>
              <w:rPr>
                <w:rFonts w:ascii="仿宋" w:hAnsi="仿宋" w:eastAsia="仿宋"/>
                <w:sz w:val="28"/>
                <w:szCs w:val="28"/>
              </w:rPr>
            </w:pPr>
            <w:r>
              <w:rPr>
                <w:rFonts w:ascii="仿宋" w:hAnsi="仿宋" w:eastAsia="仿宋"/>
                <w:sz w:val="28"/>
                <w:szCs w:val="28"/>
              </w:rPr>
              <w:t>2.提高教育水平，提升教育质量。</w:t>
            </w:r>
          </w:p>
          <w:p>
            <w:pPr>
              <w:spacing w:line="300" w:lineRule="exact"/>
              <w:jc w:val="left"/>
              <w:rPr>
                <w:rFonts w:ascii="仿宋" w:hAnsi="仿宋" w:eastAsia="仿宋"/>
                <w:sz w:val="28"/>
                <w:szCs w:val="28"/>
              </w:rPr>
            </w:pPr>
            <w:r>
              <w:rPr>
                <w:rFonts w:ascii="仿宋" w:hAnsi="仿宋" w:eastAsia="仿宋"/>
                <w:sz w:val="28"/>
                <w:szCs w:val="28"/>
              </w:rPr>
              <w:t>3.保障幼儿园正常运转</w:t>
            </w:r>
          </w:p>
        </w:tc>
      </w:tr>
    </w:tbl>
    <w:p>
      <w:pPr>
        <w:spacing w:line="14" w:lineRule="exact"/>
        <w:jc w:val="center"/>
        <w:rPr>
          <w:rFonts w:ascii="仿宋" w:hAnsi="仿宋" w:eastAsia="仿宋"/>
          <w:sz w:val="28"/>
          <w:szCs w:val="28"/>
        </w:rPr>
      </w:pPr>
      <w:r>
        <w:rPr>
          <w:rFonts w:ascii="仿宋" w:hAnsi="仿宋" w:eastAsia="仿宋"/>
          <w:sz w:val="28"/>
          <w:szCs w:val="28"/>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一级指标</w:t>
            </w:r>
          </w:p>
        </w:tc>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二级指标</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三级指标</w:t>
            </w:r>
          </w:p>
        </w:tc>
        <w:tc>
          <w:tcPr>
            <w:tcW w:w="289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绩效指标描述</w:t>
            </w:r>
          </w:p>
        </w:tc>
        <w:tc>
          <w:tcPr>
            <w:tcW w:w="1276"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w:t>
            </w:r>
          </w:p>
        </w:tc>
        <w:tc>
          <w:tcPr>
            <w:tcW w:w="1701"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产出指标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数量指标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幼儿园足额落实</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全区幼儿园足额落实每生1800元。</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质量指标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幼儿园足额保障率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全区幼儿园足额保障</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时效指标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完成率</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按计划实施</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仿宋" w:hAnsi="仿宋" w:eastAsia="仿宋"/>
                <w:sz w:val="28"/>
                <w:szCs w:val="28"/>
              </w:rPr>
            </w:pP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成本指标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资金成本</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全额拨款</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≥100%</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仿宋" w:hAnsi="仿宋" w:eastAsia="仿宋"/>
                <w:sz w:val="28"/>
                <w:szCs w:val="28"/>
              </w:rPr>
            </w:pPr>
            <w:r>
              <w:rPr>
                <w:rFonts w:ascii="仿宋" w:hAnsi="仿宋" w:eastAsia="仿宋"/>
                <w:sz w:val="28"/>
                <w:szCs w:val="28"/>
              </w:rPr>
              <w:t>效益指标</w:t>
            </w:r>
          </w:p>
        </w:tc>
        <w:tc>
          <w:tcPr>
            <w:tcW w:w="1134"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社会效益指标</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受益总人数</w:t>
            </w:r>
          </w:p>
        </w:tc>
        <w:tc>
          <w:tcPr>
            <w:tcW w:w="289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全校学生和教职工受益情况</w:t>
            </w:r>
          </w:p>
        </w:tc>
        <w:tc>
          <w:tcPr>
            <w:tcW w:w="1276"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≥738人</w:t>
            </w:r>
          </w:p>
        </w:tc>
        <w:tc>
          <w:tcPr>
            <w:tcW w:w="1701" w:type="dxa"/>
            <w:shd w:val="clear" w:color="auto" w:fill="auto"/>
            <w:vAlign w:val="center"/>
          </w:tcPr>
          <w:p>
            <w:pPr>
              <w:spacing w:line="300" w:lineRule="exact"/>
              <w:jc w:val="left"/>
              <w:rPr>
                <w:rFonts w:ascii="仿宋" w:hAnsi="仿宋" w:eastAsia="仿宋"/>
                <w:sz w:val="28"/>
                <w:szCs w:val="28"/>
              </w:rPr>
            </w:pPr>
            <w:r>
              <w:rPr>
                <w:rFonts w:ascii="仿宋" w:hAnsi="仿宋" w:eastAsia="仿宋"/>
                <w:sz w:val="28"/>
                <w:szCs w:val="28"/>
              </w:rPr>
              <w:t>测算标准</w:t>
            </w:r>
          </w:p>
        </w:tc>
      </w:tr>
    </w:tbl>
    <w:p>
      <w:pPr>
        <w:spacing w:line="300" w:lineRule="exact"/>
        <w:jc w:val="left"/>
        <w:rPr>
          <w:sz w:val="28"/>
          <w:szCs w:val="28"/>
        </w:rPr>
        <w:sectPr>
          <w:pgSz w:w="11907" w:h="16839"/>
          <w:pgMar w:top="1984" w:right="1304" w:bottom="1134" w:left="1304" w:header="851" w:footer="992" w:gutter="0"/>
          <w:cols w:space="425" w:num="1"/>
          <w:docGrid w:type="lines" w:linePitch="312" w:charSpace="0"/>
        </w:sectPr>
      </w:pPr>
    </w:p>
    <w:p>
      <w:pPr>
        <w:jc w:val="center"/>
        <w:outlineLvl w:val="0"/>
        <w:rPr>
          <w:rFonts w:ascii="方正小标宋_GBK" w:eastAsia="方正小标宋_GBK"/>
          <w:sz w:val="28"/>
          <w:szCs w:val="28"/>
        </w:rPr>
      </w:pPr>
      <w:r>
        <w:rPr>
          <w:rFonts w:hint="eastAsia" w:ascii="方正小标宋_GBK" w:eastAsia="方正小标宋_GBK"/>
          <w:sz w:val="28"/>
          <w:szCs w:val="28"/>
        </w:rPr>
        <w:t>第六部分：政府采购预算情况</w:t>
      </w:r>
    </w:p>
    <w:p>
      <w:pPr>
        <w:spacing w:line="360" w:lineRule="auto"/>
        <w:ind w:firstLine="560" w:firstLineChars="200"/>
        <w:rPr>
          <w:rFonts w:ascii="仿宋" w:hAnsi="仿宋" w:eastAsia="仿宋"/>
          <w:sz w:val="28"/>
          <w:szCs w:val="28"/>
        </w:rPr>
      </w:pPr>
      <w:r>
        <w:rPr>
          <w:rFonts w:hint="eastAsia" w:ascii="仿宋" w:hAnsi="仿宋" w:eastAsia="仿宋"/>
          <w:b/>
          <w:sz w:val="28"/>
          <w:szCs w:val="28"/>
        </w:rPr>
        <w:t>无政府采购预算的写</w:t>
      </w:r>
      <w:r>
        <w:rPr>
          <w:rFonts w:hint="eastAsia" w:ascii="仿宋" w:hAnsi="仿宋" w:eastAsia="仿宋"/>
          <w:sz w:val="28"/>
          <w:szCs w:val="28"/>
        </w:rPr>
        <w:t>：</w:t>
      </w:r>
      <w:r>
        <w:rPr>
          <w:rFonts w:ascii="仿宋" w:hAnsi="仿宋" w:eastAsia="仿宋"/>
          <w:sz w:val="28"/>
          <w:szCs w:val="28"/>
        </w:rPr>
        <w:t>2021年，我单位无政府采购预算，空表列示。</w:t>
      </w:r>
    </w:p>
    <w:tbl>
      <w:tblPr>
        <w:tblStyle w:val="5"/>
        <w:tblW w:w="1121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55"/>
        <w:gridCol w:w="567"/>
        <w:gridCol w:w="658"/>
        <w:gridCol w:w="465"/>
        <w:gridCol w:w="336"/>
        <w:gridCol w:w="567"/>
        <w:gridCol w:w="567"/>
        <w:gridCol w:w="567"/>
        <w:gridCol w:w="709"/>
        <w:gridCol w:w="709"/>
        <w:gridCol w:w="1041"/>
        <w:gridCol w:w="1134"/>
        <w:gridCol w:w="1085"/>
        <w:gridCol w:w="851"/>
        <w:gridCol w:w="899"/>
        <w:gridCol w:w="6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blHeader/>
          <w:jc w:val="center"/>
        </w:trPr>
        <w:tc>
          <w:tcPr>
            <w:tcW w:w="3615" w:type="dxa"/>
            <w:gridSpan w:val="7"/>
            <w:tcBorders>
              <w:top w:val="single" w:color="FFFFFF" w:sz="6" w:space="0"/>
              <w:left w:val="single" w:color="FFFFFF" w:sz="6" w:space="0"/>
              <w:right w:val="single" w:color="FFFFFF" w:sz="6" w:space="0"/>
            </w:tcBorders>
            <w:vAlign w:val="center"/>
          </w:tcPr>
          <w:p>
            <w:pPr>
              <w:pStyle w:val="11"/>
              <w:rPr>
                <w:sz w:val="28"/>
                <w:szCs w:val="28"/>
                <w:lang w:eastAsia="zh-CN"/>
              </w:rPr>
            </w:pPr>
            <w:r>
              <w:rPr>
                <w:sz w:val="28"/>
                <w:szCs w:val="28"/>
              </w:rPr>
              <w:t>360</w:t>
            </w:r>
            <w:r>
              <w:rPr>
                <w:rFonts w:hint="eastAsia"/>
                <w:sz w:val="28"/>
                <w:szCs w:val="28"/>
                <w:lang w:eastAsia="zh-CN"/>
              </w:rPr>
              <w:t>031</w:t>
            </w:r>
            <w:r>
              <w:rPr>
                <w:sz w:val="28"/>
                <w:szCs w:val="28"/>
              </w:rPr>
              <w:t>保定市徐水区</w:t>
            </w:r>
            <w:r>
              <w:rPr>
                <w:rFonts w:hint="eastAsia"/>
                <w:sz w:val="28"/>
                <w:szCs w:val="28"/>
                <w:lang w:eastAsia="zh-CN"/>
              </w:rPr>
              <w:t>户木乡中心学校</w:t>
            </w:r>
          </w:p>
        </w:tc>
        <w:tc>
          <w:tcPr>
            <w:tcW w:w="7598" w:type="dxa"/>
            <w:gridSpan w:val="9"/>
            <w:tcBorders>
              <w:top w:val="single" w:color="FFFFFF" w:sz="6" w:space="0"/>
              <w:left w:val="single" w:color="FFFFFF" w:sz="6" w:space="0"/>
              <w:right w:val="single" w:color="FFFFFF" w:sz="6" w:space="0"/>
            </w:tcBorders>
            <w:vAlign w:val="center"/>
          </w:tcPr>
          <w:p>
            <w:pPr>
              <w:pStyle w:val="10"/>
              <w:rPr>
                <w:sz w:val="28"/>
                <w:szCs w:val="28"/>
              </w:rPr>
            </w:pPr>
            <w:r>
              <w:rPr>
                <w:sz w:val="28"/>
                <w:szCs w:val="28"/>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968" w:hRule="atLeast"/>
          <w:tblHeader/>
          <w:jc w:val="center"/>
        </w:trPr>
        <w:tc>
          <w:tcPr>
            <w:tcW w:w="1022" w:type="dxa"/>
            <w:gridSpan w:val="2"/>
            <w:vAlign w:val="center"/>
          </w:tcPr>
          <w:p>
            <w:pPr>
              <w:pStyle w:val="12"/>
              <w:rPr>
                <w:rFonts w:ascii="仿宋" w:hAnsi="仿宋" w:eastAsia="仿宋"/>
                <w:sz w:val="28"/>
                <w:szCs w:val="28"/>
              </w:rPr>
            </w:pPr>
            <w:r>
              <w:rPr>
                <w:rFonts w:ascii="仿宋" w:hAnsi="仿宋" w:eastAsia="仿宋"/>
                <w:sz w:val="28"/>
                <w:szCs w:val="28"/>
              </w:rPr>
              <w:t>政府采购项目来源</w:t>
            </w:r>
          </w:p>
        </w:tc>
        <w:tc>
          <w:tcPr>
            <w:tcW w:w="658" w:type="dxa"/>
            <w:vMerge w:val="restart"/>
            <w:vAlign w:val="center"/>
          </w:tcPr>
          <w:p>
            <w:pPr>
              <w:pStyle w:val="12"/>
              <w:rPr>
                <w:rFonts w:ascii="仿宋" w:hAnsi="仿宋" w:eastAsia="仿宋"/>
                <w:sz w:val="28"/>
                <w:szCs w:val="28"/>
              </w:rPr>
            </w:pPr>
            <w:r>
              <w:rPr>
                <w:rFonts w:ascii="仿宋" w:hAnsi="仿宋" w:eastAsia="仿宋"/>
                <w:sz w:val="28"/>
                <w:szCs w:val="28"/>
              </w:rPr>
              <w:t>采购物品名称</w:t>
            </w:r>
          </w:p>
        </w:tc>
        <w:tc>
          <w:tcPr>
            <w:tcW w:w="465" w:type="dxa"/>
            <w:vMerge w:val="restart"/>
            <w:vAlign w:val="center"/>
          </w:tcPr>
          <w:p>
            <w:pPr>
              <w:pStyle w:val="12"/>
              <w:rPr>
                <w:rFonts w:ascii="仿宋" w:hAnsi="仿宋" w:eastAsia="仿宋"/>
                <w:sz w:val="28"/>
                <w:szCs w:val="28"/>
              </w:rPr>
            </w:pPr>
            <w:r>
              <w:rPr>
                <w:rFonts w:ascii="仿宋" w:hAnsi="仿宋" w:eastAsia="仿宋"/>
                <w:sz w:val="28"/>
                <w:szCs w:val="28"/>
              </w:rPr>
              <w:t>政府采购目录序号</w:t>
            </w:r>
          </w:p>
        </w:tc>
        <w:tc>
          <w:tcPr>
            <w:tcW w:w="336" w:type="dxa"/>
            <w:vMerge w:val="restart"/>
            <w:vAlign w:val="center"/>
          </w:tcPr>
          <w:p>
            <w:pPr>
              <w:pStyle w:val="12"/>
              <w:rPr>
                <w:rFonts w:ascii="仿宋" w:hAnsi="仿宋" w:eastAsia="仿宋"/>
                <w:sz w:val="28"/>
                <w:szCs w:val="28"/>
              </w:rPr>
            </w:pPr>
            <w:r>
              <w:rPr>
                <w:rFonts w:ascii="仿宋" w:hAnsi="仿宋" w:eastAsia="仿宋"/>
                <w:sz w:val="28"/>
                <w:szCs w:val="28"/>
              </w:rPr>
              <w:t>计量  单位</w:t>
            </w:r>
          </w:p>
        </w:tc>
        <w:tc>
          <w:tcPr>
            <w:tcW w:w="567" w:type="dxa"/>
            <w:vMerge w:val="restart"/>
            <w:vAlign w:val="center"/>
          </w:tcPr>
          <w:p>
            <w:pPr>
              <w:pStyle w:val="12"/>
              <w:rPr>
                <w:rFonts w:ascii="仿宋" w:hAnsi="仿宋" w:eastAsia="仿宋"/>
                <w:sz w:val="28"/>
                <w:szCs w:val="28"/>
              </w:rPr>
            </w:pPr>
            <w:r>
              <w:rPr>
                <w:rFonts w:ascii="仿宋" w:hAnsi="仿宋" w:eastAsia="仿宋"/>
                <w:sz w:val="28"/>
                <w:szCs w:val="28"/>
              </w:rPr>
              <w:t>数量</w:t>
            </w:r>
          </w:p>
        </w:tc>
        <w:tc>
          <w:tcPr>
            <w:tcW w:w="567" w:type="dxa"/>
            <w:vMerge w:val="restart"/>
            <w:vAlign w:val="center"/>
          </w:tcPr>
          <w:p>
            <w:pPr>
              <w:pStyle w:val="12"/>
              <w:rPr>
                <w:rFonts w:ascii="仿宋" w:hAnsi="仿宋" w:eastAsia="仿宋"/>
                <w:sz w:val="28"/>
                <w:szCs w:val="28"/>
              </w:rPr>
            </w:pPr>
            <w:r>
              <w:rPr>
                <w:rFonts w:ascii="仿宋" w:hAnsi="仿宋" w:eastAsia="仿宋"/>
                <w:sz w:val="28"/>
                <w:szCs w:val="28"/>
              </w:rPr>
              <w:t>单价</w:t>
            </w:r>
          </w:p>
        </w:tc>
        <w:tc>
          <w:tcPr>
            <w:tcW w:w="6995" w:type="dxa"/>
            <w:gridSpan w:val="8"/>
            <w:vAlign w:val="center"/>
          </w:tcPr>
          <w:p>
            <w:pPr>
              <w:pStyle w:val="12"/>
              <w:rPr>
                <w:rFonts w:ascii="仿宋" w:hAnsi="仿宋" w:eastAsia="仿宋"/>
                <w:sz w:val="28"/>
                <w:szCs w:val="28"/>
              </w:rPr>
            </w:pPr>
            <w:r>
              <w:rPr>
                <w:rFonts w:ascii="仿宋" w:hAnsi="仿宋" w:eastAsia="仿宋"/>
                <w:sz w:val="28"/>
                <w:szCs w:val="28"/>
              </w:rPr>
              <w:t>政府采购金额（当年部门预算安排资金）</w:t>
            </w:r>
          </w:p>
        </w:tc>
        <w:tc>
          <w:tcPr>
            <w:tcW w:w="603" w:type="dxa"/>
            <w:vMerge w:val="restart"/>
            <w:vAlign w:val="center"/>
          </w:tcPr>
          <w:p>
            <w:pPr>
              <w:pStyle w:val="12"/>
              <w:rPr>
                <w:rFonts w:ascii="仿宋" w:hAnsi="仿宋" w:eastAsia="仿宋"/>
                <w:sz w:val="28"/>
                <w:szCs w:val="28"/>
              </w:rPr>
            </w:pPr>
            <w:r>
              <w:rPr>
                <w:rFonts w:ascii="仿宋" w:hAnsi="仿宋" w:eastAsia="仿宋"/>
                <w:sz w:val="28"/>
                <w:szCs w:val="28"/>
              </w:rPr>
              <w:t>202</w:t>
            </w:r>
            <w:r>
              <w:rPr>
                <w:rFonts w:hint="eastAsia" w:ascii="仿宋" w:hAnsi="仿宋" w:eastAsia="仿宋"/>
                <w:sz w:val="28"/>
                <w:szCs w:val="28"/>
                <w:lang w:eastAsia="zh-CN"/>
              </w:rPr>
              <w:t>1</w:t>
            </w:r>
            <w:r>
              <w:rPr>
                <w:rFonts w:ascii="仿宋" w:hAnsi="仿宋" w:eastAsia="仿宋"/>
                <w:sz w:val="28"/>
                <w:szCs w:val="28"/>
              </w:rP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455" w:type="dxa"/>
            <w:vAlign w:val="center"/>
          </w:tcPr>
          <w:p>
            <w:pPr>
              <w:pStyle w:val="12"/>
              <w:rPr>
                <w:rFonts w:ascii="仿宋" w:hAnsi="仿宋" w:eastAsia="仿宋"/>
                <w:sz w:val="28"/>
                <w:szCs w:val="28"/>
              </w:rPr>
            </w:pPr>
            <w:r>
              <w:rPr>
                <w:rFonts w:ascii="仿宋" w:hAnsi="仿宋" w:eastAsia="仿宋"/>
                <w:sz w:val="28"/>
                <w:szCs w:val="28"/>
              </w:rPr>
              <w:t>项目名称</w:t>
            </w:r>
          </w:p>
        </w:tc>
        <w:tc>
          <w:tcPr>
            <w:tcW w:w="567" w:type="dxa"/>
            <w:vAlign w:val="center"/>
          </w:tcPr>
          <w:p>
            <w:pPr>
              <w:pStyle w:val="12"/>
              <w:rPr>
                <w:rFonts w:ascii="仿宋" w:hAnsi="仿宋" w:eastAsia="仿宋"/>
                <w:sz w:val="28"/>
                <w:szCs w:val="28"/>
              </w:rPr>
            </w:pPr>
            <w:r>
              <w:rPr>
                <w:rFonts w:ascii="仿宋" w:hAnsi="仿宋" w:eastAsia="仿宋"/>
                <w:sz w:val="28"/>
                <w:szCs w:val="28"/>
              </w:rPr>
              <w:t>预算    资金</w:t>
            </w:r>
          </w:p>
        </w:tc>
        <w:tc>
          <w:tcPr>
            <w:tcW w:w="658" w:type="dxa"/>
            <w:vMerge w:val="continue"/>
          </w:tcPr>
          <w:p>
            <w:pPr>
              <w:rPr>
                <w:rFonts w:ascii="仿宋" w:hAnsi="仿宋" w:eastAsia="仿宋"/>
                <w:sz w:val="28"/>
                <w:szCs w:val="28"/>
              </w:rPr>
            </w:pPr>
          </w:p>
        </w:tc>
        <w:tc>
          <w:tcPr>
            <w:tcW w:w="465" w:type="dxa"/>
            <w:vMerge w:val="continue"/>
          </w:tcPr>
          <w:p>
            <w:pPr>
              <w:rPr>
                <w:rFonts w:ascii="仿宋" w:hAnsi="仿宋" w:eastAsia="仿宋"/>
                <w:sz w:val="28"/>
                <w:szCs w:val="28"/>
              </w:rPr>
            </w:pPr>
          </w:p>
        </w:tc>
        <w:tc>
          <w:tcPr>
            <w:tcW w:w="336" w:type="dxa"/>
            <w:vMerge w:val="continue"/>
          </w:tcPr>
          <w:p>
            <w:pPr>
              <w:rPr>
                <w:rFonts w:ascii="仿宋" w:hAnsi="仿宋" w:eastAsia="仿宋"/>
                <w:sz w:val="28"/>
                <w:szCs w:val="28"/>
              </w:rPr>
            </w:pPr>
          </w:p>
        </w:tc>
        <w:tc>
          <w:tcPr>
            <w:tcW w:w="567" w:type="dxa"/>
            <w:vMerge w:val="continue"/>
          </w:tcPr>
          <w:p>
            <w:pPr>
              <w:rPr>
                <w:rFonts w:ascii="仿宋" w:hAnsi="仿宋" w:eastAsia="仿宋"/>
                <w:sz w:val="28"/>
                <w:szCs w:val="28"/>
              </w:rPr>
            </w:pPr>
          </w:p>
        </w:tc>
        <w:tc>
          <w:tcPr>
            <w:tcW w:w="567" w:type="dxa"/>
            <w:vMerge w:val="continue"/>
          </w:tcPr>
          <w:p>
            <w:pPr>
              <w:rPr>
                <w:rFonts w:ascii="仿宋" w:hAnsi="仿宋" w:eastAsia="仿宋"/>
                <w:sz w:val="28"/>
                <w:szCs w:val="28"/>
              </w:rPr>
            </w:pPr>
          </w:p>
        </w:tc>
        <w:tc>
          <w:tcPr>
            <w:tcW w:w="567" w:type="dxa"/>
            <w:vAlign w:val="center"/>
          </w:tcPr>
          <w:p>
            <w:pPr>
              <w:pStyle w:val="12"/>
              <w:rPr>
                <w:rFonts w:ascii="仿宋" w:hAnsi="仿宋" w:eastAsia="仿宋"/>
                <w:sz w:val="28"/>
                <w:szCs w:val="28"/>
              </w:rPr>
            </w:pPr>
            <w:r>
              <w:rPr>
                <w:rFonts w:ascii="仿宋" w:hAnsi="仿宋" w:eastAsia="仿宋"/>
                <w:sz w:val="28"/>
                <w:szCs w:val="28"/>
              </w:rPr>
              <w:t>合计</w:t>
            </w:r>
          </w:p>
        </w:tc>
        <w:tc>
          <w:tcPr>
            <w:tcW w:w="709" w:type="dxa"/>
            <w:vAlign w:val="center"/>
          </w:tcPr>
          <w:p>
            <w:pPr>
              <w:pStyle w:val="12"/>
              <w:rPr>
                <w:rFonts w:ascii="仿宋" w:hAnsi="仿宋" w:eastAsia="仿宋"/>
                <w:sz w:val="28"/>
                <w:szCs w:val="28"/>
              </w:rPr>
            </w:pPr>
            <w:r>
              <w:rPr>
                <w:rFonts w:ascii="仿宋" w:hAnsi="仿宋" w:eastAsia="仿宋"/>
                <w:sz w:val="28"/>
                <w:szCs w:val="28"/>
              </w:rPr>
              <w:t>一般公共预算拨款</w:t>
            </w:r>
          </w:p>
        </w:tc>
        <w:tc>
          <w:tcPr>
            <w:tcW w:w="709" w:type="dxa"/>
            <w:vAlign w:val="center"/>
          </w:tcPr>
          <w:p>
            <w:pPr>
              <w:pStyle w:val="12"/>
              <w:rPr>
                <w:rFonts w:ascii="仿宋" w:hAnsi="仿宋" w:eastAsia="仿宋"/>
                <w:sz w:val="28"/>
                <w:szCs w:val="28"/>
              </w:rPr>
            </w:pPr>
            <w:r>
              <w:rPr>
                <w:rFonts w:ascii="仿宋" w:hAnsi="仿宋" w:eastAsia="仿宋"/>
                <w:sz w:val="28"/>
                <w:szCs w:val="28"/>
              </w:rPr>
              <w:t>基金预算拨款</w:t>
            </w:r>
          </w:p>
        </w:tc>
        <w:tc>
          <w:tcPr>
            <w:tcW w:w="1041" w:type="dxa"/>
            <w:vAlign w:val="center"/>
          </w:tcPr>
          <w:p>
            <w:pPr>
              <w:pStyle w:val="12"/>
              <w:rPr>
                <w:rFonts w:ascii="仿宋" w:hAnsi="仿宋" w:eastAsia="仿宋"/>
                <w:sz w:val="28"/>
                <w:szCs w:val="28"/>
              </w:rPr>
            </w:pPr>
            <w:r>
              <w:rPr>
                <w:rFonts w:ascii="仿宋" w:hAnsi="仿宋" w:eastAsia="仿宋"/>
                <w:sz w:val="28"/>
                <w:szCs w:val="28"/>
              </w:rPr>
              <w:t>国有资本经营预算拨款</w:t>
            </w:r>
          </w:p>
        </w:tc>
        <w:tc>
          <w:tcPr>
            <w:tcW w:w="1134" w:type="dxa"/>
            <w:vAlign w:val="center"/>
          </w:tcPr>
          <w:p>
            <w:pPr>
              <w:pStyle w:val="12"/>
              <w:rPr>
                <w:rFonts w:ascii="仿宋" w:hAnsi="仿宋" w:eastAsia="仿宋"/>
                <w:sz w:val="28"/>
                <w:szCs w:val="28"/>
              </w:rPr>
            </w:pPr>
            <w:r>
              <w:rPr>
                <w:rFonts w:ascii="仿宋" w:hAnsi="仿宋" w:eastAsia="仿宋"/>
                <w:sz w:val="28"/>
                <w:szCs w:val="28"/>
              </w:rPr>
              <w:t>财政专户核拨</w:t>
            </w:r>
          </w:p>
        </w:tc>
        <w:tc>
          <w:tcPr>
            <w:tcW w:w="1085" w:type="dxa"/>
            <w:vAlign w:val="center"/>
          </w:tcPr>
          <w:p>
            <w:pPr>
              <w:pStyle w:val="12"/>
              <w:rPr>
                <w:rFonts w:ascii="仿宋" w:hAnsi="仿宋" w:eastAsia="仿宋"/>
                <w:sz w:val="28"/>
                <w:szCs w:val="28"/>
              </w:rPr>
            </w:pPr>
            <w:r>
              <w:rPr>
                <w:rFonts w:ascii="仿宋" w:hAnsi="仿宋" w:eastAsia="仿宋"/>
                <w:sz w:val="28"/>
                <w:szCs w:val="28"/>
              </w:rPr>
              <w:t>单位    资金</w:t>
            </w:r>
          </w:p>
        </w:tc>
        <w:tc>
          <w:tcPr>
            <w:tcW w:w="851" w:type="dxa"/>
            <w:vAlign w:val="center"/>
          </w:tcPr>
          <w:p>
            <w:pPr>
              <w:pStyle w:val="12"/>
              <w:rPr>
                <w:rFonts w:ascii="仿宋" w:hAnsi="仿宋" w:eastAsia="仿宋"/>
                <w:sz w:val="28"/>
                <w:szCs w:val="28"/>
              </w:rPr>
            </w:pPr>
            <w:r>
              <w:rPr>
                <w:rFonts w:ascii="仿宋" w:hAnsi="仿宋" w:eastAsia="仿宋"/>
                <w:sz w:val="28"/>
                <w:szCs w:val="28"/>
              </w:rPr>
              <w:t>财政拨    款结转</w:t>
            </w:r>
          </w:p>
        </w:tc>
        <w:tc>
          <w:tcPr>
            <w:tcW w:w="899" w:type="dxa"/>
            <w:vAlign w:val="center"/>
          </w:tcPr>
          <w:p>
            <w:pPr>
              <w:pStyle w:val="12"/>
              <w:rPr>
                <w:rFonts w:ascii="仿宋" w:hAnsi="仿宋" w:eastAsia="仿宋"/>
                <w:sz w:val="28"/>
                <w:szCs w:val="28"/>
              </w:rPr>
            </w:pPr>
            <w:r>
              <w:rPr>
                <w:rFonts w:ascii="仿宋" w:hAnsi="仿宋" w:eastAsia="仿宋"/>
                <w:sz w:val="28"/>
                <w:szCs w:val="28"/>
              </w:rPr>
              <w:t>非财政    拨款结    转结余</w:t>
            </w:r>
          </w:p>
        </w:tc>
        <w:tc>
          <w:tcPr>
            <w:tcW w:w="603" w:type="dxa"/>
            <w:vMerge w:val="continue"/>
          </w:tcPr>
          <w:p>
            <w:pPr>
              <w:rPr>
                <w:rFonts w:ascii="仿宋" w:hAnsi="仿宋" w:eastAsia="仿宋"/>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455" w:type="dxa"/>
            <w:vAlign w:val="center"/>
          </w:tcPr>
          <w:p>
            <w:pPr>
              <w:pStyle w:val="13"/>
              <w:rPr>
                <w:sz w:val="28"/>
                <w:szCs w:val="28"/>
              </w:rPr>
            </w:pPr>
          </w:p>
        </w:tc>
        <w:tc>
          <w:tcPr>
            <w:tcW w:w="567" w:type="dxa"/>
            <w:vAlign w:val="center"/>
          </w:tcPr>
          <w:p>
            <w:pPr>
              <w:pStyle w:val="14"/>
              <w:rPr>
                <w:sz w:val="28"/>
                <w:szCs w:val="28"/>
              </w:rPr>
            </w:pPr>
          </w:p>
        </w:tc>
        <w:tc>
          <w:tcPr>
            <w:tcW w:w="658" w:type="dxa"/>
            <w:vAlign w:val="center"/>
          </w:tcPr>
          <w:p>
            <w:pPr>
              <w:pStyle w:val="15"/>
              <w:rPr>
                <w:sz w:val="28"/>
                <w:szCs w:val="28"/>
              </w:rPr>
            </w:pPr>
          </w:p>
        </w:tc>
        <w:tc>
          <w:tcPr>
            <w:tcW w:w="465" w:type="dxa"/>
            <w:vAlign w:val="center"/>
          </w:tcPr>
          <w:p>
            <w:pPr>
              <w:pStyle w:val="15"/>
              <w:rPr>
                <w:sz w:val="28"/>
                <w:szCs w:val="28"/>
              </w:rPr>
            </w:pPr>
          </w:p>
        </w:tc>
        <w:tc>
          <w:tcPr>
            <w:tcW w:w="336" w:type="dxa"/>
            <w:vAlign w:val="center"/>
          </w:tcPr>
          <w:p>
            <w:pPr>
              <w:pStyle w:val="13"/>
              <w:rPr>
                <w:sz w:val="28"/>
                <w:szCs w:val="28"/>
              </w:rPr>
            </w:pPr>
          </w:p>
        </w:tc>
        <w:tc>
          <w:tcPr>
            <w:tcW w:w="567" w:type="dxa"/>
            <w:vAlign w:val="center"/>
          </w:tcPr>
          <w:p>
            <w:pPr>
              <w:pStyle w:val="14"/>
              <w:rPr>
                <w:sz w:val="28"/>
                <w:szCs w:val="28"/>
              </w:rPr>
            </w:pPr>
          </w:p>
        </w:tc>
        <w:tc>
          <w:tcPr>
            <w:tcW w:w="567" w:type="dxa"/>
            <w:vAlign w:val="center"/>
          </w:tcPr>
          <w:p>
            <w:pPr>
              <w:pStyle w:val="14"/>
              <w:rPr>
                <w:sz w:val="28"/>
                <w:szCs w:val="28"/>
              </w:rPr>
            </w:pPr>
          </w:p>
        </w:tc>
        <w:tc>
          <w:tcPr>
            <w:tcW w:w="567" w:type="dxa"/>
            <w:vAlign w:val="center"/>
          </w:tcPr>
          <w:p>
            <w:pPr>
              <w:pStyle w:val="14"/>
              <w:rPr>
                <w:sz w:val="28"/>
                <w:szCs w:val="28"/>
                <w:lang w:eastAsia="zh-CN"/>
              </w:rPr>
            </w:pPr>
          </w:p>
        </w:tc>
        <w:tc>
          <w:tcPr>
            <w:tcW w:w="709" w:type="dxa"/>
            <w:vAlign w:val="center"/>
          </w:tcPr>
          <w:p>
            <w:pPr>
              <w:pStyle w:val="14"/>
              <w:rPr>
                <w:sz w:val="28"/>
                <w:szCs w:val="28"/>
              </w:rPr>
            </w:pPr>
          </w:p>
        </w:tc>
        <w:tc>
          <w:tcPr>
            <w:tcW w:w="709" w:type="dxa"/>
            <w:vAlign w:val="center"/>
          </w:tcPr>
          <w:p>
            <w:pPr>
              <w:pStyle w:val="14"/>
              <w:rPr>
                <w:sz w:val="28"/>
                <w:szCs w:val="28"/>
              </w:rPr>
            </w:pPr>
          </w:p>
        </w:tc>
        <w:tc>
          <w:tcPr>
            <w:tcW w:w="1041" w:type="dxa"/>
            <w:vAlign w:val="center"/>
          </w:tcPr>
          <w:p>
            <w:pPr>
              <w:pStyle w:val="14"/>
              <w:rPr>
                <w:sz w:val="28"/>
                <w:szCs w:val="28"/>
              </w:rPr>
            </w:pPr>
          </w:p>
        </w:tc>
        <w:tc>
          <w:tcPr>
            <w:tcW w:w="1134" w:type="dxa"/>
            <w:vAlign w:val="center"/>
          </w:tcPr>
          <w:p>
            <w:pPr>
              <w:pStyle w:val="14"/>
              <w:rPr>
                <w:sz w:val="28"/>
                <w:szCs w:val="28"/>
              </w:rPr>
            </w:pPr>
          </w:p>
        </w:tc>
        <w:tc>
          <w:tcPr>
            <w:tcW w:w="1085" w:type="dxa"/>
            <w:vAlign w:val="center"/>
          </w:tcPr>
          <w:p>
            <w:pPr>
              <w:pStyle w:val="14"/>
              <w:rPr>
                <w:sz w:val="28"/>
                <w:szCs w:val="28"/>
              </w:rPr>
            </w:pPr>
          </w:p>
        </w:tc>
        <w:tc>
          <w:tcPr>
            <w:tcW w:w="851" w:type="dxa"/>
            <w:vAlign w:val="center"/>
          </w:tcPr>
          <w:p>
            <w:pPr>
              <w:pStyle w:val="14"/>
              <w:rPr>
                <w:sz w:val="28"/>
                <w:szCs w:val="28"/>
              </w:rPr>
            </w:pPr>
          </w:p>
        </w:tc>
        <w:tc>
          <w:tcPr>
            <w:tcW w:w="899" w:type="dxa"/>
            <w:vAlign w:val="center"/>
          </w:tcPr>
          <w:p>
            <w:pPr>
              <w:pStyle w:val="14"/>
              <w:rPr>
                <w:sz w:val="28"/>
                <w:szCs w:val="28"/>
              </w:rPr>
            </w:pPr>
          </w:p>
        </w:tc>
        <w:tc>
          <w:tcPr>
            <w:tcW w:w="603" w:type="dxa"/>
            <w:vAlign w:val="center"/>
          </w:tcPr>
          <w:p>
            <w:pPr>
              <w:pStyle w:val="14"/>
              <w:rPr>
                <w:sz w:val="28"/>
                <w:szCs w:val="28"/>
              </w:rPr>
            </w:pPr>
          </w:p>
        </w:tc>
      </w:tr>
    </w:tbl>
    <w:p>
      <w:pPr>
        <w:spacing w:line="360" w:lineRule="auto"/>
        <w:rPr>
          <w:rFonts w:ascii="仿宋" w:hAnsi="仿宋" w:eastAsia="仿宋"/>
          <w:sz w:val="28"/>
          <w:szCs w:val="28"/>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第七部分：国有资产信息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上年末我单位固定资产总金额为1127.53万元（详见下表）。</w:t>
      </w:r>
      <w:r>
        <w:rPr>
          <w:rFonts w:ascii="仿宋" w:hAnsi="仿宋" w:eastAsia="仿宋"/>
          <w:sz w:val="28"/>
          <w:szCs w:val="28"/>
        </w:rPr>
        <w:t xml:space="preserve"> </w:t>
      </w:r>
      <w:r>
        <w:rPr>
          <w:rFonts w:hint="eastAsia" w:ascii="仿宋" w:hAnsi="仿宋" w:eastAsia="仿宋"/>
          <w:sz w:val="28"/>
          <w:szCs w:val="28"/>
        </w:rPr>
        <w:t>我单位本年度无国有资产购置计划，拟购置金额为</w:t>
      </w:r>
      <w:r>
        <w:rPr>
          <w:rFonts w:ascii="仿宋" w:hAnsi="仿宋" w:eastAsia="仿宋"/>
          <w:sz w:val="28"/>
          <w:szCs w:val="28"/>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28"/>
                <w:szCs w:val="28"/>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 xml:space="preserve">                           截止时间：</w:t>
            </w:r>
            <w:r>
              <w:rPr>
                <w:rFonts w:ascii="仿宋_GB2312" w:hAnsi="仿宋" w:eastAsia="仿宋_GB2312" w:cs="宋体"/>
                <w:bCs/>
                <w:kern w:val="0"/>
                <w:sz w:val="28"/>
                <w:szCs w:val="28"/>
              </w:rPr>
              <w:t>2020</w:t>
            </w:r>
            <w:r>
              <w:rPr>
                <w:rFonts w:hint="eastAsia" w:ascii="仿宋_GB2312" w:hAnsi="仿宋" w:eastAsia="仿宋_GB2312" w:cs="宋体"/>
                <w:bCs/>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8"/>
                <w:szCs w:val="28"/>
              </w:rPr>
            </w:pPr>
            <w:r>
              <w:rPr>
                <w:rFonts w:hint="eastAsia" w:ascii="仿宋_GB2312" w:hAnsi="仿宋" w:eastAsia="仿宋_GB2312" w:cs="宋体"/>
                <w:b/>
                <w:bCs/>
                <w:kern w:val="0"/>
                <w:sz w:val="28"/>
                <w:szCs w:val="28"/>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8"/>
                <w:szCs w:val="28"/>
              </w:rPr>
            </w:pPr>
            <w:r>
              <w:rPr>
                <w:rFonts w:hint="eastAsia" w:ascii="仿宋_GB2312" w:hAnsi="仿宋" w:eastAsia="仿宋_GB2312" w:cs="宋体"/>
                <w:b/>
                <w:bCs/>
                <w:kern w:val="0"/>
                <w:sz w:val="28"/>
                <w:szCs w:val="28"/>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8"/>
                <w:szCs w:val="28"/>
              </w:rPr>
            </w:pPr>
            <w:r>
              <w:rPr>
                <w:rFonts w:hint="eastAsia" w:ascii="仿宋_GB2312" w:hAnsi="仿宋" w:eastAsia="仿宋_GB2312" w:cs="宋体"/>
                <w:b/>
                <w:bCs/>
                <w:kern w:val="0"/>
                <w:sz w:val="28"/>
                <w:szCs w:val="28"/>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8"/>
                <w:szCs w:val="28"/>
              </w:rPr>
            </w:pPr>
            <w:r>
              <w:rPr>
                <w:rFonts w:hint="eastAsia" w:ascii="仿宋_GB2312" w:hAnsi="仿宋" w:eastAsia="仿宋_GB2312" w:cs="宋体"/>
                <w:b/>
                <w:bCs/>
                <w:kern w:val="0"/>
                <w:sz w:val="28"/>
                <w:szCs w:val="28"/>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8"/>
                <w:szCs w:val="28"/>
              </w:rPr>
            </w:pPr>
            <w:r>
              <w:rPr>
                <w:rFonts w:hint="eastAsia" w:ascii="仿宋_GB2312" w:hAnsi="仿宋" w:eastAsia="仿宋_GB2312" w:cs="宋体"/>
                <w:b/>
                <w:kern w:val="0"/>
                <w:sz w:val="28"/>
                <w:szCs w:val="28"/>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8"/>
                <w:szCs w:val="28"/>
              </w:rPr>
            </w:pPr>
            <w:r>
              <w:rPr>
                <w:rFonts w:hint="eastAsia" w:ascii="仿宋_GB2312" w:hAnsi="仿宋" w:eastAsia="仿宋_GB2312" w:cs="宋体"/>
                <w:b/>
                <w:kern w:val="0"/>
                <w:sz w:val="28"/>
                <w:szCs w:val="28"/>
              </w:rPr>
              <w:t>1127.53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4690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8"/>
                <w:szCs w:val="28"/>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344.32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8"/>
                <w:szCs w:val="28"/>
              </w:rPr>
            </w:pPr>
            <w:r>
              <w:rPr>
                <w:rFonts w:hint="eastAsia" w:ascii="仿宋_GB2312" w:hAnsi="仿宋" w:eastAsia="仿宋_GB2312" w:cs="宋体"/>
                <w:kern w:val="0"/>
                <w:sz w:val="28"/>
                <w:szCs w:val="28"/>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8"/>
                <w:szCs w:val="28"/>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8"/>
                <w:szCs w:val="28"/>
              </w:rPr>
            </w:pPr>
            <w:r>
              <w:rPr>
                <w:rFonts w:hint="eastAsia" w:ascii="仿宋_GB2312" w:hAnsi="仿宋" w:eastAsia="仿宋_GB2312" w:cs="宋体"/>
                <w:kern w:val="0"/>
                <w:sz w:val="28"/>
                <w:szCs w:val="28"/>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8"/>
                <w:szCs w:val="28"/>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8"/>
                <w:szCs w:val="28"/>
              </w:rPr>
            </w:pPr>
            <w:r>
              <w:rPr>
                <w:rFonts w:hint="eastAsia" w:ascii="仿宋_GB2312" w:hAnsi="仿宋" w:eastAsia="仿宋_GB2312" w:cs="宋体"/>
                <w:kern w:val="0"/>
                <w:sz w:val="28"/>
                <w:szCs w:val="28"/>
              </w:rPr>
              <w:t>783.21</w:t>
            </w:r>
          </w:p>
        </w:tc>
      </w:tr>
    </w:tbl>
    <w:p>
      <w:pPr>
        <w:spacing w:line="360" w:lineRule="auto"/>
        <w:rPr>
          <w:rFonts w:ascii="黑体" w:hAnsi="黑体" w:eastAsia="黑体" w:cs="Times New Roman"/>
          <w:sz w:val="28"/>
          <w:szCs w:val="28"/>
        </w:rPr>
      </w:pPr>
    </w:p>
    <w:p>
      <w:pPr>
        <w:jc w:val="center"/>
        <w:outlineLvl w:val="0"/>
        <w:rPr>
          <w:rFonts w:ascii="方正小标宋_GBK" w:eastAsia="方正小标宋_GBK"/>
          <w:sz w:val="28"/>
          <w:szCs w:val="28"/>
        </w:rPr>
      </w:pPr>
    </w:p>
    <w:p>
      <w:pPr>
        <w:jc w:val="center"/>
        <w:outlineLvl w:val="0"/>
        <w:rPr>
          <w:rFonts w:ascii="方正小标宋_GBK" w:eastAsia="方正小标宋_GBK"/>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第八部分：名词解释</w:t>
      </w:r>
    </w:p>
    <w:p>
      <w:pPr>
        <w:spacing w:line="360" w:lineRule="auto"/>
        <w:ind w:firstLine="560" w:firstLineChars="200"/>
        <w:rPr>
          <w:rFonts w:ascii="仿宋" w:hAnsi="仿宋" w:eastAsia="仿宋"/>
          <w:sz w:val="28"/>
          <w:szCs w:val="28"/>
        </w:rPr>
      </w:pPr>
      <w:r>
        <w:rPr>
          <w:rFonts w:ascii="仿宋" w:hAnsi="仿宋" w:eastAsia="仿宋"/>
          <w:sz w:val="28"/>
          <w:szCs w:val="28"/>
        </w:rPr>
        <w:t>1、一般公共预算财政拨款收入：指区级财政当年拨付的资金。</w:t>
      </w:r>
    </w:p>
    <w:p>
      <w:pPr>
        <w:spacing w:line="360" w:lineRule="auto"/>
        <w:ind w:firstLine="560" w:firstLineChars="200"/>
        <w:rPr>
          <w:rFonts w:ascii="仿宋" w:hAnsi="仿宋" w:eastAsia="仿宋"/>
          <w:sz w:val="28"/>
          <w:szCs w:val="28"/>
        </w:rPr>
      </w:pPr>
      <w:r>
        <w:rPr>
          <w:rFonts w:ascii="仿宋" w:hAnsi="仿宋" w:eastAsia="仿宋"/>
          <w:sz w:val="28"/>
          <w:szCs w:val="28"/>
        </w:rPr>
        <w:t>2、其他收入：指除上述“财政拨款收入”、“事业收入”等以外的收入。</w:t>
      </w:r>
    </w:p>
    <w:p>
      <w:pPr>
        <w:spacing w:line="360" w:lineRule="auto"/>
        <w:ind w:firstLine="560" w:firstLineChars="200"/>
        <w:rPr>
          <w:rFonts w:ascii="仿宋" w:hAnsi="仿宋" w:eastAsia="仿宋"/>
          <w:sz w:val="28"/>
          <w:szCs w:val="28"/>
        </w:rPr>
      </w:pPr>
      <w:r>
        <w:rPr>
          <w:rFonts w:ascii="仿宋" w:hAnsi="仿宋" w:eastAsia="仿宋"/>
          <w:sz w:val="28"/>
          <w:szCs w:val="28"/>
        </w:rPr>
        <w:t>3、基本支出：指为保障机构正常运转、完成日常工作任务而发生的人员支出和公用支出。</w:t>
      </w:r>
    </w:p>
    <w:p>
      <w:pPr>
        <w:spacing w:line="360" w:lineRule="auto"/>
        <w:ind w:firstLine="560" w:firstLineChars="200"/>
        <w:rPr>
          <w:rFonts w:ascii="仿宋" w:hAnsi="仿宋" w:eastAsia="仿宋"/>
          <w:sz w:val="28"/>
          <w:szCs w:val="28"/>
        </w:rPr>
      </w:pPr>
      <w:r>
        <w:rPr>
          <w:rFonts w:ascii="仿宋" w:hAnsi="仿宋" w:eastAsia="仿宋"/>
          <w:sz w:val="28"/>
          <w:szCs w:val="28"/>
        </w:rPr>
        <w:t>4、项目支出：指在基本支出之外为完成特定行政任务和事业发展目标所发生的支出。</w:t>
      </w:r>
    </w:p>
    <w:p>
      <w:pPr>
        <w:spacing w:line="360" w:lineRule="auto"/>
        <w:ind w:firstLine="560" w:firstLineChars="200"/>
        <w:rPr>
          <w:rFonts w:ascii="仿宋" w:hAnsi="仿宋" w:eastAsia="仿宋"/>
          <w:sz w:val="28"/>
          <w:szCs w:val="28"/>
        </w:rPr>
      </w:pPr>
      <w:r>
        <w:rPr>
          <w:rFonts w:ascii="仿宋" w:hAnsi="仿宋" w:eastAsia="仿宋"/>
          <w:sz w:val="28"/>
          <w:szCs w:val="28"/>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560" w:firstLineChars="200"/>
        <w:rPr>
          <w:rFonts w:ascii="仿宋" w:hAnsi="仿宋" w:eastAsia="仿宋"/>
          <w:sz w:val="28"/>
          <w:szCs w:val="28"/>
        </w:rPr>
      </w:pPr>
      <w:r>
        <w:rPr>
          <w:rFonts w:ascii="仿宋" w:hAnsi="仿宋" w:eastAsia="仿宋"/>
          <w:sz w:val="28"/>
          <w:szCs w:val="28"/>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28"/>
          <w:szCs w:val="28"/>
        </w:rPr>
      </w:pPr>
    </w:p>
    <w:p>
      <w:pPr>
        <w:jc w:val="center"/>
        <w:outlineLvl w:val="0"/>
        <w:rPr>
          <w:rFonts w:ascii="方正小标宋_GBK" w:eastAsia="方正小标宋_GBK"/>
          <w:sz w:val="28"/>
          <w:szCs w:val="28"/>
        </w:rPr>
      </w:pPr>
      <w:r>
        <w:rPr>
          <w:rFonts w:hint="eastAsia" w:ascii="方正小标宋_GBK" w:eastAsia="方正小标宋_GBK"/>
          <w:sz w:val="28"/>
          <w:szCs w:val="28"/>
        </w:rPr>
        <w:t>第九部分：其他需说明的事项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22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0603"/>
    <w:rsid w:val="00044FBC"/>
    <w:rsid w:val="00055F1F"/>
    <w:rsid w:val="000577EF"/>
    <w:rsid w:val="00057F18"/>
    <w:rsid w:val="000A445D"/>
    <w:rsid w:val="000A799F"/>
    <w:rsid w:val="000C178B"/>
    <w:rsid w:val="000D74C7"/>
    <w:rsid w:val="001118E5"/>
    <w:rsid w:val="00131DEC"/>
    <w:rsid w:val="00136AB3"/>
    <w:rsid w:val="00141F30"/>
    <w:rsid w:val="001462BD"/>
    <w:rsid w:val="00152380"/>
    <w:rsid w:val="001638BE"/>
    <w:rsid w:val="00164810"/>
    <w:rsid w:val="00172C7A"/>
    <w:rsid w:val="00181777"/>
    <w:rsid w:val="001A07C0"/>
    <w:rsid w:val="001B4688"/>
    <w:rsid w:val="001B6235"/>
    <w:rsid w:val="001D7886"/>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763FB"/>
    <w:rsid w:val="003A06D2"/>
    <w:rsid w:val="003A4557"/>
    <w:rsid w:val="003A6366"/>
    <w:rsid w:val="003C2317"/>
    <w:rsid w:val="003C442E"/>
    <w:rsid w:val="003D1092"/>
    <w:rsid w:val="003D37CD"/>
    <w:rsid w:val="003E5531"/>
    <w:rsid w:val="003E555C"/>
    <w:rsid w:val="003E6AF3"/>
    <w:rsid w:val="0040243C"/>
    <w:rsid w:val="00406BD1"/>
    <w:rsid w:val="00420918"/>
    <w:rsid w:val="00426C19"/>
    <w:rsid w:val="00450FD9"/>
    <w:rsid w:val="00453CE0"/>
    <w:rsid w:val="00467ED4"/>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2D07"/>
    <w:rsid w:val="005B6CCB"/>
    <w:rsid w:val="005B7D39"/>
    <w:rsid w:val="005C54AA"/>
    <w:rsid w:val="005C7B89"/>
    <w:rsid w:val="0062788A"/>
    <w:rsid w:val="00641F8A"/>
    <w:rsid w:val="0066383B"/>
    <w:rsid w:val="006816D7"/>
    <w:rsid w:val="006A6FA2"/>
    <w:rsid w:val="006B5117"/>
    <w:rsid w:val="006C62DF"/>
    <w:rsid w:val="006F5104"/>
    <w:rsid w:val="006F6549"/>
    <w:rsid w:val="00735B02"/>
    <w:rsid w:val="00765397"/>
    <w:rsid w:val="007657C8"/>
    <w:rsid w:val="00767A77"/>
    <w:rsid w:val="00771E49"/>
    <w:rsid w:val="00782208"/>
    <w:rsid w:val="00791938"/>
    <w:rsid w:val="007A5999"/>
    <w:rsid w:val="007C7FD7"/>
    <w:rsid w:val="007E68F8"/>
    <w:rsid w:val="007F3746"/>
    <w:rsid w:val="00833132"/>
    <w:rsid w:val="00845C67"/>
    <w:rsid w:val="00861840"/>
    <w:rsid w:val="0086454E"/>
    <w:rsid w:val="008672EA"/>
    <w:rsid w:val="00891680"/>
    <w:rsid w:val="008A0099"/>
    <w:rsid w:val="008A0B5F"/>
    <w:rsid w:val="008B5402"/>
    <w:rsid w:val="008B664B"/>
    <w:rsid w:val="008D11BC"/>
    <w:rsid w:val="008D6729"/>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1CCF"/>
    <w:rsid w:val="00B22155"/>
    <w:rsid w:val="00B76AA9"/>
    <w:rsid w:val="00B80FAB"/>
    <w:rsid w:val="00B81A38"/>
    <w:rsid w:val="00B81C88"/>
    <w:rsid w:val="00BA5C83"/>
    <w:rsid w:val="00BC6A7D"/>
    <w:rsid w:val="00BD4829"/>
    <w:rsid w:val="00BD6002"/>
    <w:rsid w:val="00BD719F"/>
    <w:rsid w:val="00BF5442"/>
    <w:rsid w:val="00C177A5"/>
    <w:rsid w:val="00C251DA"/>
    <w:rsid w:val="00C35FEE"/>
    <w:rsid w:val="00C50535"/>
    <w:rsid w:val="00C6153C"/>
    <w:rsid w:val="00C906EF"/>
    <w:rsid w:val="00CC7D74"/>
    <w:rsid w:val="00CE2048"/>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0501F"/>
    <w:rsid w:val="00F10D04"/>
    <w:rsid w:val="00F169E3"/>
    <w:rsid w:val="00F35D4B"/>
    <w:rsid w:val="00F3746B"/>
    <w:rsid w:val="00F572CB"/>
    <w:rsid w:val="00F621AF"/>
    <w:rsid w:val="00F74AC4"/>
    <w:rsid w:val="00F8024E"/>
    <w:rsid w:val="00F82447"/>
    <w:rsid w:val="00F868E5"/>
    <w:rsid w:val="00F92B0F"/>
    <w:rsid w:val="00FB2F32"/>
    <w:rsid w:val="00FC3191"/>
    <w:rsid w:val="00FE0F1F"/>
    <w:rsid w:val="00FF61F3"/>
    <w:rsid w:val="2AA007F0"/>
    <w:rsid w:val="3D3D4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1">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5">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7F3E86-D022-42F1-BC50-F21BCF6E1E34}">
  <ds:schemaRefs/>
</ds:datastoreItem>
</file>

<file path=docProps/app.xml><?xml version="1.0" encoding="utf-8"?>
<Properties xmlns="http://schemas.openxmlformats.org/officeDocument/2006/extended-properties" xmlns:vt="http://schemas.openxmlformats.org/officeDocument/2006/docPropsVTypes">
  <Template>Normal</Template>
  <Pages>24</Pages>
  <Words>1785</Words>
  <Characters>10180</Characters>
  <Lines>84</Lines>
  <Paragraphs>23</Paragraphs>
  <TotalTime>721</TotalTime>
  <ScaleCrop>false</ScaleCrop>
  <LinksUpToDate>false</LinksUpToDate>
  <CharactersWithSpaces>11942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2024-02-04T02:33:45Z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BD28C976A28B4395A84CDBAE0403C088</vt:lpwstr>
  </property>
</Properties>
</file>