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保定市徐水区第一中学</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方正小标宋_GBK" w:eastAsia="方正小标宋_GBK"/>
          <w:sz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numPr>
          <w:ilvl w:val="0"/>
          <w:numId w:val="1"/>
        </w:numPr>
        <w:spacing w:line="360" w:lineRule="auto"/>
        <w:ind w:firstLine="964" w:firstLineChars="300"/>
        <w:rPr>
          <w:rFonts w:ascii="仿宋" w:hAnsi="仿宋" w:eastAsia="仿宋"/>
          <w:b/>
          <w:sz w:val="32"/>
          <w:szCs w:val="32"/>
        </w:rPr>
      </w:pPr>
      <w:r>
        <w:rPr>
          <w:rFonts w:hint="eastAsia" w:ascii="仿宋" w:hAnsi="仿宋" w:eastAsia="仿宋"/>
          <w:b/>
          <w:sz w:val="32"/>
          <w:szCs w:val="32"/>
        </w:rPr>
        <w:t>单位职责:</w:t>
      </w:r>
    </w:p>
    <w:p>
      <w:pPr>
        <w:spacing w:line="360" w:lineRule="auto"/>
        <w:ind w:firstLine="640" w:firstLineChars="200"/>
        <w:rPr>
          <w:rFonts w:ascii="宋体" w:hAnsi="宋体" w:eastAsia="宋体" w:cs="宋体"/>
          <w:sz w:val="32"/>
          <w:szCs w:val="32"/>
        </w:rPr>
      </w:pPr>
      <w:r>
        <w:rPr>
          <w:rFonts w:hint="eastAsia" w:ascii="宋体" w:hAnsi="宋体" w:eastAsia="宋体" w:cs="宋体"/>
          <w:sz w:val="32"/>
          <w:szCs w:val="32"/>
        </w:rPr>
        <w:t>2001年我校被省教育厅评为“河北省示范性高中”，始建于1958年，占地150余亩，是财政补助事业单位二级预算单位、正科级单位。</w:t>
      </w:r>
      <w:bookmarkStart w:id="5" w:name="_GoBack"/>
      <w:bookmarkEnd w:id="5"/>
    </w:p>
    <w:p>
      <w:pPr>
        <w:spacing w:line="240" w:lineRule="atLeast"/>
        <w:ind w:firstLine="716" w:firstLineChars="224"/>
        <w:outlineLvl w:val="0"/>
        <w:rPr>
          <w:rFonts w:ascii="宋体" w:hAnsi="宋体" w:eastAsia="宋体" w:cs="宋体"/>
          <w:sz w:val="32"/>
          <w:szCs w:val="32"/>
        </w:rPr>
      </w:pPr>
      <w:r>
        <w:rPr>
          <w:rFonts w:hint="eastAsia" w:ascii="宋体" w:hAnsi="宋体" w:eastAsia="宋体" w:cs="宋体"/>
          <w:sz w:val="32"/>
          <w:szCs w:val="32"/>
        </w:rPr>
        <w:t>我校实行校长负责制,校长是学校的法人代表。在市教体局领导下主持学校工作,对学校的教育教学实行全面领导管理,对学生德、智体、美、劳诸方面的发展全面负责,学校下设办公室、教务处、政教处、总务处、教研室、团委、艺体处等办事机构。实施高中学历教育，促进基础教育发展。全面贯彻教育方针，面向全体学生，全面落实素质教育；实现教育目标最终创新的理念，使学生学会生活、学会学习。对学生要严格管理规范，形成较好的学习风气。坚持理想教育和正确世界观、人生观、价值观的教育。</w:t>
      </w:r>
    </w:p>
    <w:p>
      <w:pPr>
        <w:spacing w:line="360" w:lineRule="auto"/>
        <w:ind w:firstLine="643" w:firstLineChars="200"/>
        <w:rPr>
          <w:rFonts w:ascii="仿宋" w:hAnsi="仿宋" w:eastAsia="仿宋"/>
          <w:b/>
          <w:sz w:val="32"/>
          <w:szCs w:val="32"/>
        </w:rPr>
      </w:pPr>
    </w:p>
    <w:p>
      <w:pPr>
        <w:spacing w:line="360" w:lineRule="auto"/>
        <w:ind w:firstLine="640" w:firstLineChars="200"/>
        <w:rPr>
          <w:rFonts w:ascii="仿宋" w:hAnsi="仿宋" w:eastAsia="仿宋"/>
          <w:sz w:val="32"/>
          <w:szCs w:val="32"/>
        </w:rPr>
      </w:pP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保定市徐水区第一中学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418"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7049.32</w:t>
      </w:r>
      <w:r>
        <w:rPr>
          <w:rFonts w:ascii="仿宋" w:hAnsi="仿宋" w:eastAsia="仿宋"/>
          <w:sz w:val="32"/>
          <w:szCs w:val="32"/>
        </w:rPr>
        <w:t>万元,其中：一般公共预算收入</w:t>
      </w:r>
      <w:r>
        <w:rPr>
          <w:rFonts w:hint="eastAsia" w:ascii="仿宋" w:hAnsi="仿宋" w:eastAsia="仿宋"/>
          <w:sz w:val="32"/>
          <w:szCs w:val="32"/>
        </w:rPr>
        <w:t>6409.32</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640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w:t>
      </w:r>
      <w:r>
        <w:rPr>
          <w:rFonts w:hint="eastAsia" w:ascii="仿宋" w:hAnsi="仿宋" w:eastAsia="仿宋"/>
          <w:sz w:val="32"/>
          <w:szCs w:val="32"/>
        </w:rPr>
        <w:t>7049.32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基本支出5896.1万元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5779.16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116.94</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1153.22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1153.22</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本年度预算收支安排7049.32万元，较上年增加36.75</w:t>
      </w:r>
      <w:r>
        <w:rPr>
          <w:rFonts w:ascii="仿宋" w:hAnsi="仿宋" w:eastAsia="仿宋"/>
          <w:sz w:val="32"/>
          <w:szCs w:val="32"/>
        </w:rPr>
        <w:t>万元。其中:基本支出减少</w:t>
      </w:r>
      <w:r>
        <w:rPr>
          <w:rFonts w:hint="eastAsia" w:ascii="仿宋" w:hAnsi="仿宋" w:eastAsia="仿宋"/>
          <w:sz w:val="32"/>
          <w:szCs w:val="32"/>
        </w:rPr>
        <w:t>1.6</w:t>
      </w:r>
      <w:r>
        <w:rPr>
          <w:rFonts w:ascii="仿宋" w:hAnsi="仿宋" w:eastAsia="仿宋"/>
          <w:sz w:val="32"/>
          <w:szCs w:val="32"/>
        </w:rPr>
        <w:t>万元，主要原因是</w:t>
      </w:r>
      <w:r>
        <w:rPr>
          <w:rFonts w:hint="eastAsia" w:ascii="仿宋" w:hAnsi="仿宋" w:eastAsia="仿宋"/>
          <w:sz w:val="32"/>
          <w:szCs w:val="32"/>
        </w:rPr>
        <w:t>退休人员增加</w:t>
      </w:r>
      <w:r>
        <w:rPr>
          <w:rFonts w:ascii="仿宋" w:hAnsi="仿宋" w:eastAsia="仿宋"/>
          <w:sz w:val="32"/>
          <w:szCs w:val="32"/>
        </w:rPr>
        <w:t>；项目支出增加</w:t>
      </w:r>
      <w:r>
        <w:rPr>
          <w:rFonts w:hint="eastAsia" w:ascii="仿宋" w:hAnsi="仿宋" w:eastAsia="仿宋"/>
          <w:sz w:val="32"/>
          <w:szCs w:val="32"/>
        </w:rPr>
        <w:t>38.35</w:t>
      </w:r>
      <w:r>
        <w:rPr>
          <w:rFonts w:ascii="仿宋" w:hAnsi="仿宋" w:eastAsia="仿宋"/>
          <w:sz w:val="32"/>
          <w:szCs w:val="32"/>
        </w:rPr>
        <w:t>万元，主要原因是</w:t>
      </w:r>
      <w:r>
        <w:rPr>
          <w:rFonts w:hint="eastAsia" w:ascii="仿宋" w:hAnsi="仿宋" w:eastAsia="仿宋"/>
          <w:sz w:val="32"/>
          <w:szCs w:val="32"/>
        </w:rPr>
        <w:t>学校增加基础设施维修</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w:t>
      </w:r>
      <w:r>
        <w:rPr>
          <w:rFonts w:hint="eastAsia" w:ascii="仿宋" w:hAnsi="仿宋" w:eastAsia="仿宋"/>
          <w:sz w:val="32"/>
          <w:szCs w:val="32"/>
        </w:rPr>
        <w:t>116.94</w:t>
      </w:r>
      <w:r>
        <w:rPr>
          <w:rFonts w:ascii="仿宋" w:hAnsi="仿宋" w:eastAsia="仿宋"/>
          <w:sz w:val="32"/>
          <w:szCs w:val="32"/>
        </w:rPr>
        <w:t>万元，</w:t>
      </w:r>
      <w:r>
        <w:rPr>
          <w:rFonts w:hint="eastAsia" w:ascii="仿宋" w:hAnsi="仿宋" w:eastAsia="仿宋"/>
          <w:sz w:val="32"/>
          <w:szCs w:val="32"/>
        </w:rPr>
        <w:t>其中离退休干部经费12.67万元;</w:t>
      </w:r>
      <w:r>
        <w:rPr>
          <w:rFonts w:ascii="仿宋" w:hAnsi="仿宋" w:eastAsia="仿宋"/>
          <w:sz w:val="32"/>
          <w:szCs w:val="32"/>
        </w:rPr>
        <w:t>工会经费</w:t>
      </w:r>
      <w:r>
        <w:rPr>
          <w:rFonts w:hint="eastAsia" w:ascii="仿宋" w:hAnsi="仿宋" w:eastAsia="仿宋"/>
          <w:sz w:val="32"/>
          <w:szCs w:val="32"/>
        </w:rPr>
        <w:t>60.85万元;</w:t>
      </w:r>
      <w:r>
        <w:rPr>
          <w:rFonts w:ascii="仿宋" w:hAnsi="仿宋" w:eastAsia="仿宋"/>
          <w:sz w:val="32"/>
          <w:szCs w:val="32"/>
        </w:rPr>
        <w:t>福利费</w:t>
      </w:r>
      <w:r>
        <w:rPr>
          <w:rFonts w:hint="eastAsia" w:ascii="仿宋" w:hAnsi="仿宋" w:eastAsia="仿宋"/>
          <w:sz w:val="32"/>
          <w:szCs w:val="32"/>
        </w:rPr>
        <w:t>43.42</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 w:hAnsi="仿宋" w:eastAsia="仿宋" w:cs="仿宋"/>
                      <w:b/>
                      <w:bCs/>
                      <w:sz w:val="32"/>
                      <w:szCs w:val="32"/>
                    </w:rPr>
                    <w:t>2021年，我单位无三公经费，空表列示。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spacing w:before="10" w:after="10"/>
        <w:ind w:firstLine="560"/>
        <w:outlineLvl w:val="1"/>
      </w:pPr>
      <w:r>
        <w:rPr>
          <w:rFonts w:hint="eastAsia" w:ascii="仿宋" w:hAnsi="仿宋" w:eastAsia="仿宋"/>
          <w:sz w:val="32"/>
          <w:szCs w:val="32"/>
        </w:rPr>
        <w:t xml:space="preserve"> </w:t>
      </w:r>
      <w:r>
        <w:rPr>
          <w:rFonts w:ascii="方正黑体_GBK" w:hAnsi="方正黑体_GBK" w:eastAsia="方正黑体_GBK" w:cs="方正黑体_GBK"/>
          <w:color w:val="000000"/>
          <w:sz w:val="28"/>
        </w:rPr>
        <w:t>一、总体绩效目标</w:t>
      </w:r>
    </w:p>
    <w:p>
      <w:pPr>
        <w:pStyle w:val="10"/>
      </w:pPr>
      <w:r>
        <w:rPr>
          <w:rFonts w:hint="eastAsia" w:ascii="仿宋" w:hAnsi="仿宋" w:eastAsia="仿宋"/>
          <w:sz w:val="32"/>
          <w:szCs w:val="32"/>
          <w:lang w:eastAsia="zh-CN"/>
        </w:rPr>
        <w:t xml:space="preserve"> </w:t>
      </w:r>
      <w:r>
        <w:rPr>
          <w:rFonts w:ascii="仿宋" w:hAnsi="仿宋" w:eastAsia="仿宋"/>
          <w:sz w:val="32"/>
          <w:szCs w:val="32"/>
        </w:rPr>
        <w:t>202</w:t>
      </w:r>
      <w:r>
        <w:rPr>
          <w:rFonts w:hint="eastAsia" w:ascii="仿宋" w:hAnsi="仿宋" w:eastAsia="仿宋"/>
          <w:sz w:val="32"/>
          <w:szCs w:val="32"/>
          <w:lang w:eastAsia="zh-CN"/>
        </w:rPr>
        <w:t>1</w:t>
      </w:r>
      <w:r>
        <w:rPr>
          <w:rFonts w:ascii="仿宋" w:hAnsi="仿宋" w:eastAsia="仿宋"/>
          <w:sz w:val="32"/>
          <w:szCs w:val="32"/>
        </w:rPr>
        <w:t>年</w:t>
      </w:r>
      <w:r>
        <w:rPr>
          <w:rFonts w:hint="eastAsia" w:ascii="仿宋" w:hAnsi="仿宋" w:eastAsia="仿宋"/>
          <w:sz w:val="32"/>
          <w:szCs w:val="32"/>
          <w:lang w:eastAsia="zh-CN"/>
        </w:rPr>
        <w:t>保定市徐水区第一中学</w:t>
      </w:r>
      <w:r>
        <w:rPr>
          <w:rFonts w:ascii="仿宋" w:hAnsi="仿宋" w:eastAsia="仿宋"/>
          <w:sz w:val="32"/>
          <w:szCs w:val="32"/>
        </w:rPr>
        <w:t>的</w:t>
      </w:r>
      <w:r>
        <w:rPr>
          <w:rFonts w:hint="eastAsia" w:ascii="仿宋" w:hAnsi="仿宋" w:eastAsia="仿宋"/>
          <w:sz w:val="32"/>
          <w:szCs w:val="32"/>
          <w:lang w:eastAsia="zh-CN"/>
        </w:rPr>
        <w:t>整体绩效</w:t>
      </w:r>
      <w:r>
        <w:rPr>
          <w:rFonts w:ascii="仿宋" w:hAnsi="仿宋" w:eastAsia="仿宋"/>
          <w:sz w:val="32"/>
          <w:szCs w:val="32"/>
        </w:rPr>
        <w:t>目标是：推进高中教育高品质发展；全力打造师德高尚的专业化教师队伍，持续推进教育基础设施建设，努力实现现代信息技术与教育教学深度融合，持之以恒地创建平安校园，强化教育高质量发展支撑保障；推动育人课堂创建，加快建设教育强</w:t>
      </w:r>
      <w:r>
        <w:rPr>
          <w:rFonts w:hint="eastAsia" w:ascii="仿宋" w:hAnsi="仿宋" w:eastAsia="仿宋"/>
          <w:sz w:val="32"/>
          <w:szCs w:val="32"/>
          <w:lang w:eastAsia="zh-CN"/>
        </w:rPr>
        <w:t>校</w:t>
      </w:r>
      <w:r>
        <w:rPr>
          <w:rFonts w:ascii="仿宋" w:hAnsi="仿宋" w:eastAsia="仿宋"/>
          <w:sz w:val="32"/>
          <w:szCs w:val="32"/>
        </w:rPr>
        <w:t>，办好人民满意教育</w:t>
      </w:r>
      <w:r>
        <w:rPr>
          <w:rFonts w:hint="eastAsia" w:ascii="仿宋" w:hAnsi="仿宋" w:eastAsia="仿宋"/>
          <w:sz w:val="32"/>
          <w:szCs w:val="32"/>
          <w:lang w:eastAsia="zh-CN"/>
        </w:rPr>
        <w:t>。</w:t>
      </w:r>
    </w:p>
    <w:p>
      <w:pPr>
        <w:spacing w:before="10" w:after="10"/>
        <w:ind w:firstLine="560"/>
        <w:outlineLvl w:val="1"/>
      </w:pPr>
      <w:bookmarkStart w:id="0" w:name="_Toc_2_2_0000000002"/>
      <w:r>
        <w:rPr>
          <w:rFonts w:ascii="方正黑体_GBK" w:hAnsi="方正黑体_GBK" w:eastAsia="方正黑体_GBK" w:cs="方正黑体_GBK"/>
          <w:color w:val="000000"/>
          <w:sz w:val="28"/>
        </w:rPr>
        <w:t>二、分项绩效目标</w:t>
      </w:r>
      <w:bookmarkEnd w:id="0"/>
    </w:p>
    <w:p>
      <w:pPr>
        <w:pStyle w:val="11"/>
      </w:pPr>
      <w:r>
        <w:t>(一）全面加强思想政治建设。</w:t>
      </w:r>
    </w:p>
    <w:p>
      <w:pPr>
        <w:pStyle w:val="11"/>
      </w:pPr>
      <w:r>
        <w:t>绩效目标：把学习宣传贯彻习近平新时代中国特色社会主义思想作为首要政治任务，深入学习贯彻习近平总书记关于教育的重要论述</w:t>
      </w:r>
      <w:r>
        <w:rPr>
          <w:rFonts w:hint="eastAsia"/>
          <w:lang w:eastAsia="zh-CN"/>
        </w:rPr>
        <w:t>,</w:t>
      </w:r>
      <w:r>
        <w:t>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1"/>
      </w:pPr>
      <w:r>
        <w:t>（</w:t>
      </w:r>
      <w:r>
        <w:rPr>
          <w:rFonts w:hint="eastAsia"/>
          <w:lang w:eastAsia="zh-CN"/>
        </w:rPr>
        <w:t>二</w:t>
      </w:r>
      <w:r>
        <w:t>）推动</w:t>
      </w:r>
      <w:r>
        <w:rPr>
          <w:rFonts w:hint="eastAsia"/>
          <w:lang w:eastAsia="zh-CN"/>
        </w:rPr>
        <w:t>学校</w:t>
      </w:r>
      <w:r>
        <w:t>教育高质量发展。</w:t>
      </w:r>
    </w:p>
    <w:p>
      <w:pPr>
        <w:pStyle w:val="11"/>
      </w:pPr>
      <w:r>
        <w:t>绩效目标：积极参与学校的统一教研，打破以往各校自成一体、重教轻研、相对闭塞的教学传统，推动</w:t>
      </w:r>
      <w:r>
        <w:rPr>
          <w:rFonts w:hint="eastAsia"/>
          <w:lang w:eastAsia="zh-CN"/>
        </w:rPr>
        <w:t>学校</w:t>
      </w:r>
      <w:r>
        <w:t>教研水平的整体提升。狠抓学校教学常规管理，定期组织听课评课、年级统一调研考试等活动，促进教学管理的科学化和精细化。</w:t>
      </w:r>
    </w:p>
    <w:p>
      <w:pPr>
        <w:spacing w:before="10" w:after="10"/>
        <w:ind w:firstLine="560"/>
        <w:outlineLvl w:val="1"/>
      </w:pPr>
      <w:bookmarkStart w:id="1" w:name="_Toc_2_2_0000000003"/>
      <w:r>
        <w:rPr>
          <w:rFonts w:ascii="方正黑体_GBK" w:hAnsi="方正黑体_GBK" w:eastAsia="方正黑体_GBK" w:cs="方正黑体_GBK"/>
          <w:color w:val="000000"/>
          <w:sz w:val="28"/>
        </w:rPr>
        <w:t>三、工作保障措施</w:t>
      </w:r>
      <w:bookmarkEnd w:id="1"/>
    </w:p>
    <w:p>
      <w:pPr>
        <w:pStyle w:val="12"/>
      </w:pPr>
      <w:r>
        <w:t>（一）加强组织领导。建立健全教育领域预算绩效管理制度体系。围绕年度总体绩效目标和分项绩效目标，明确责任主体，细化落实措施，确保绩效目标年内全部完成。</w:t>
      </w:r>
    </w:p>
    <w:p>
      <w:pPr>
        <w:pStyle w:val="12"/>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2"/>
      </w:pPr>
      <w:r>
        <w:t>（三）加强支出管理。单位加快项目执行进度，加快资金支出。严格按照年初预算支出计划加快履行政府采购手续，尽快启动项目，进行资金支付。</w:t>
      </w:r>
    </w:p>
    <w:p>
      <w:pPr>
        <w:pStyle w:val="12"/>
      </w:pPr>
      <w:r>
        <w:t xml:space="preserve">（四）加强绩效运行监控。强化资金监管，单位建立健全内控组织机构、机制建设和内部管理制度，加强对关键岗位人员管理，保证单位各项经济活动合法合规。      </w:t>
      </w:r>
    </w:p>
    <w:p>
      <w:pPr>
        <w:pStyle w:val="12"/>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2"/>
      </w:pPr>
      <w:r>
        <w:t>（六）规范财务资产管理。进一步完善财务管理制度，严格资产采购审批手续，加强固定资产登记、使用及报废处置管理，做到支出合理，物尽其用。</w:t>
      </w:r>
    </w:p>
    <w:p>
      <w:pPr>
        <w:pStyle w:val="12"/>
      </w:pPr>
      <w:r>
        <w:t>（七）加强内部监督。加强内部监督制度建设，对绩效运行情况、重大支出决策、资产处置及其他重要经济业务的决算和执行进行督导，确保财政资金安全有效。</w:t>
      </w:r>
    </w:p>
    <w:p>
      <w:pPr>
        <w:pStyle w:val="12"/>
        <w:ind w:firstLine="2486" w:firstLineChars="565"/>
        <w:rPr>
          <w:rFonts w:ascii="方正小标宋_GBK" w:eastAsia="方正小标宋_GBK"/>
          <w:sz w:val="44"/>
        </w:rPr>
      </w:pPr>
    </w:p>
    <w:p>
      <w:pPr>
        <w:pStyle w:val="12"/>
        <w:ind w:firstLine="2486" w:firstLineChars="565"/>
        <w:rPr>
          <w:rFonts w:ascii="方正小标宋_GBK" w:eastAsia="方正小标宋_GBK"/>
          <w:sz w:val="44"/>
        </w:rPr>
      </w:pPr>
    </w:p>
    <w:p>
      <w:pPr>
        <w:pStyle w:val="12"/>
        <w:ind w:firstLine="2486" w:firstLineChars="565"/>
        <w:rPr>
          <w:rFonts w:ascii="方正小标宋_GBK" w:eastAsia="方正小标宋_GBK"/>
          <w:sz w:val="44"/>
        </w:rPr>
      </w:pPr>
    </w:p>
    <w:p>
      <w:pPr>
        <w:pStyle w:val="12"/>
        <w:ind w:firstLine="2486" w:firstLineChars="565"/>
        <w:rPr>
          <w:rFonts w:ascii="方正小标宋_GBK" w:eastAsia="方正小标宋_GBK"/>
          <w:sz w:val="44"/>
        </w:rPr>
      </w:pPr>
    </w:p>
    <w:p>
      <w:pPr>
        <w:pStyle w:val="12"/>
        <w:ind w:firstLine="2640" w:firstLineChars="600"/>
        <w:rPr>
          <w:rFonts w:ascii="方正小标宋_GBK" w:eastAsia="方正小标宋_GBK"/>
          <w:sz w:val="44"/>
        </w:rPr>
      </w:pPr>
      <w:r>
        <w:rPr>
          <w:rFonts w:hint="eastAsia" w:ascii="方正小标宋_GBK" w:eastAsia="方正小标宋_GBK"/>
          <w:sz w:val="44"/>
        </w:rPr>
        <w:t>预算项目绩效目标</w:t>
      </w:r>
    </w:p>
    <w:p>
      <w:pPr>
        <w:pStyle w:val="12"/>
        <w:ind w:firstLine="1680" w:firstLineChars="600"/>
        <w:rPr>
          <w:rFonts w:ascii="方正书宋_GBK" w:eastAsia="方正书宋_GBK"/>
        </w:rPr>
      </w:pPr>
      <w:r>
        <w:rPr>
          <w:rFonts w:ascii="方正书宋_GBK" w:eastAsia="方正书宋_GBK"/>
        </w:rPr>
        <w:t xml:space="preserve"> </w:t>
      </w:r>
    </w:p>
    <w:p>
      <w:pPr>
        <w:ind w:firstLine="562" w:firstLineChars="200"/>
        <w:jc w:val="left"/>
        <w:outlineLvl w:val="3"/>
        <w:rPr>
          <w:rFonts w:ascii="Times New Roman" w:hAnsi="宋体" w:eastAsia="宋体"/>
          <w:b/>
          <w:sz w:val="28"/>
        </w:rPr>
      </w:pPr>
      <w:bookmarkStart w:id="2" w:name="_Toc71388369"/>
      <w:r>
        <w:rPr>
          <w:rFonts w:hint="eastAsia" w:ascii="方正仿宋_GBK" w:eastAsia="方正仿宋_GBK"/>
          <w:b/>
          <w:sz w:val="28"/>
        </w:rPr>
        <w:t>1</w:t>
      </w:r>
      <w:r>
        <w:rPr>
          <w:rFonts w:ascii="方正仿宋_GBK" w:eastAsia="方正仿宋_GBK"/>
          <w:b/>
          <w:sz w:val="28"/>
        </w:rPr>
        <w:t>.校园安保经费绩效目标表</w:t>
      </w:r>
      <w:bookmarkEnd w:id="2"/>
      <w:r>
        <w:fldChar w:fldCharType="begin"/>
      </w:r>
      <w:r>
        <w:rPr>
          <w:rFonts w:ascii="方正仿宋_GBK" w:eastAsia="方正仿宋_GBK"/>
          <w:b/>
          <w:sz w:val="28"/>
        </w:rPr>
        <w:instrText xml:space="preserve"> TC 66、校园安保经费绩效目标表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360006第一中学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130625214WP5OZM7U8YVG</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205200.00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205200.00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该项目资金用于我单位2021年9名安保人员工资发放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1.加强校园安保，维持正常秩序</w:t>
            </w:r>
          </w:p>
          <w:p>
            <w:pPr>
              <w:spacing w:line="300" w:lineRule="exact"/>
              <w:jc w:val="left"/>
              <w:rPr>
                <w:rFonts w:ascii="方正书宋_GBK" w:eastAsia="方正书宋_GBK"/>
              </w:rPr>
            </w:pPr>
            <w:r>
              <w:rPr>
                <w:rFonts w:ascii="方正书宋_GBK" w:eastAsia="方正书宋_GBK"/>
              </w:rPr>
              <w:t>2.保障师生生命财产安全</w:t>
            </w:r>
          </w:p>
          <w:p>
            <w:pPr>
              <w:spacing w:line="300" w:lineRule="exact"/>
              <w:jc w:val="left"/>
              <w:rPr>
                <w:rFonts w:ascii="方正书宋_GBK" w:eastAsia="方正书宋_GBK"/>
              </w:rPr>
            </w:pPr>
            <w:r>
              <w:rPr>
                <w:rFonts w:ascii="方正书宋_GBK" w:eastAsia="方正书宋_GBK"/>
              </w:rPr>
              <w:t>3.缓解学校经济压力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有效的改善教育教学环境环境，有利于提高工作效率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370"/>
      <w:r>
        <w:rPr>
          <w:rFonts w:hint="eastAsia" w:ascii="方正仿宋_GBK" w:eastAsia="方正仿宋_GBK"/>
          <w:b/>
          <w:sz w:val="28"/>
        </w:rPr>
        <w:t>2</w:t>
      </w:r>
      <w:r>
        <w:rPr>
          <w:rFonts w:ascii="方正仿宋_GBK" w:eastAsia="方正仿宋_GBK"/>
          <w:b/>
          <w:sz w:val="28"/>
        </w:rPr>
        <w:t>.保定市徐水区第一中学教育教学活动经费绩效目标表</w:t>
      </w:r>
      <w:bookmarkEnd w:id="3"/>
      <w:r>
        <w:fldChar w:fldCharType="begin"/>
      </w:r>
      <w:r>
        <w:rPr>
          <w:rFonts w:ascii="方正仿宋_GBK" w:eastAsia="方正仿宋_GBK"/>
          <w:b/>
          <w:sz w:val="28"/>
        </w:rPr>
        <w:instrText xml:space="preserve"> TC 67、保定市徐水区第一中学教育教学活动经费绩效目标表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360006第一中学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13062521DKB9TI6TWXI72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保定市徐水区第一中学教育教学活动经费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6400000.00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6400000.00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项目预算资金640万元，计划2021年开始实施，由县财政一般公共预算安排，用于我校开展正常的教育教学事务活动经费，完成此项目时间为2021年1-12月。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1.确保我单位日常教育教学方面工作的运行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3.全面实施高中学历教育，促进基础教育发展，维持学校正常运转。</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有效的改善教育教学环境环境，有利于提高工作效率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371"/>
      <w:r>
        <w:rPr>
          <w:rFonts w:hint="eastAsia" w:ascii="方正仿宋_GBK" w:eastAsia="方正仿宋_GBK"/>
          <w:b/>
          <w:sz w:val="28"/>
        </w:rPr>
        <w:t>3</w:t>
      </w:r>
      <w:r>
        <w:rPr>
          <w:rFonts w:ascii="方正仿宋_GBK" w:eastAsia="方正仿宋_GBK"/>
          <w:b/>
          <w:sz w:val="28"/>
        </w:rPr>
        <w:t>.普通高中生均公用经费绩效目标表</w:t>
      </w:r>
      <w:bookmarkEnd w:id="4"/>
      <w:r>
        <w:fldChar w:fldCharType="begin"/>
      </w:r>
      <w:r>
        <w:rPr>
          <w:rFonts w:ascii="方正仿宋_GBK" w:eastAsia="方正仿宋_GBK"/>
          <w:b/>
          <w:sz w:val="28"/>
        </w:rPr>
        <w:instrText xml:space="preserve"> TC 68、普通高中生均公用经费绩效目标表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360006第一中学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13062521TU75IRWHPWX7O</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普通高中生均公用经费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4927000.00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4927000.00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
      <w:pPr>
        <w:ind w:firstLine="1320" w:firstLineChars="300"/>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无政府采购预算，空表列示。</w:t>
      </w:r>
    </w:p>
    <w:p>
      <w:pPr>
        <w:spacing w:line="360" w:lineRule="auto"/>
        <w:ind w:firstLine="3520" w:firstLineChars="1100"/>
        <w:rPr>
          <w:rFonts w:ascii="仿宋" w:hAnsi="仿宋" w:eastAsia="仿宋"/>
          <w:sz w:val="32"/>
          <w:szCs w:val="32"/>
        </w:rPr>
      </w:pPr>
      <w:r>
        <w:rPr>
          <w:rFonts w:hint="eastAsia" w:ascii="仿宋" w:hAnsi="仿宋" w:eastAsia="仿宋"/>
          <w:sz w:val="32"/>
          <w:szCs w:val="32"/>
        </w:rPr>
        <w:t>附单位政府采购预算表空表</w:t>
      </w:r>
    </w:p>
    <w:p>
      <w:pPr>
        <w:spacing w:line="360" w:lineRule="auto"/>
        <w:ind w:firstLine="640" w:firstLineChars="200"/>
        <w:rPr>
          <w:rFonts w:ascii="仿宋" w:hAnsi="仿宋" w:eastAsia="仿宋"/>
          <w:sz w:val="32"/>
          <w:szCs w:val="32"/>
        </w:rPr>
      </w:pPr>
    </w:p>
    <w:tbl>
      <w:tblPr>
        <w:tblStyle w:val="5"/>
        <w:tblW w:w="14080" w:type="dxa"/>
        <w:jc w:val="righ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93"/>
        <w:gridCol w:w="846"/>
        <w:gridCol w:w="995"/>
        <w:gridCol w:w="995"/>
        <w:gridCol w:w="622"/>
        <w:gridCol w:w="747"/>
        <w:gridCol w:w="820"/>
        <w:gridCol w:w="777"/>
        <w:gridCol w:w="847"/>
        <w:gridCol w:w="847"/>
        <w:gridCol w:w="847"/>
        <w:gridCol w:w="847"/>
        <w:gridCol w:w="847"/>
        <w:gridCol w:w="847"/>
        <w:gridCol w:w="850"/>
        <w:gridCol w:w="847"/>
        <w:gridCol w:w="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10" w:hRule="atLeast"/>
          <w:tblHeader/>
          <w:jc w:val="right"/>
        </w:trPr>
        <w:tc>
          <w:tcPr>
            <w:tcW w:w="6524" w:type="dxa"/>
            <w:gridSpan w:val="7"/>
            <w:tcBorders>
              <w:top w:val="single" w:color="FFFFFF" w:sz="6" w:space="0"/>
              <w:left w:val="single" w:color="FFFFFF" w:sz="6" w:space="0"/>
              <w:right w:val="single" w:color="FFFFFF" w:sz="6" w:space="0"/>
            </w:tcBorders>
            <w:vAlign w:val="center"/>
          </w:tcPr>
          <w:p>
            <w:pPr>
              <w:outlineLvl w:val="1"/>
              <w:rPr>
                <w:rFonts w:eastAsia="方正小标宋_GBK"/>
              </w:rPr>
            </w:pPr>
            <w:r>
              <w:t>36</w:t>
            </w:r>
            <w:r>
              <w:rPr>
                <w:rFonts w:hint="eastAsia"/>
              </w:rPr>
              <w:t>0006保定市徐水区第一中学</w:t>
            </w:r>
          </w:p>
        </w:tc>
        <w:tc>
          <w:tcPr>
            <w:tcW w:w="7556" w:type="dxa"/>
            <w:gridSpan w:val="10"/>
            <w:tcBorders>
              <w:top w:val="single" w:color="FFFFFF" w:sz="6" w:space="0"/>
              <w:left w:val="single" w:color="FFFFFF" w:sz="6" w:space="0"/>
              <w:right w:val="single" w:color="FFFFFF" w:sz="6" w:space="0"/>
            </w:tcBorders>
            <w:vAlign w:val="center"/>
          </w:tcPr>
          <w:p>
            <w:pPr>
              <w:pStyle w:val="14"/>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1"/>
          <w:wAfter w:w="3" w:type="dxa"/>
          <w:cantSplit/>
          <w:trHeight w:val="596" w:hRule="atLeast"/>
          <w:tblHeader/>
          <w:jc w:val="right"/>
        </w:trPr>
        <w:tc>
          <w:tcPr>
            <w:tcW w:w="2342" w:type="dxa"/>
            <w:gridSpan w:val="2"/>
            <w:vAlign w:val="center"/>
          </w:tcPr>
          <w:p>
            <w:pPr>
              <w:pStyle w:val="15"/>
            </w:pPr>
            <w:r>
              <w:t>政府采购项目来源</w:t>
            </w:r>
          </w:p>
        </w:tc>
        <w:tc>
          <w:tcPr>
            <w:tcW w:w="996" w:type="dxa"/>
            <w:vMerge w:val="restart"/>
            <w:vAlign w:val="center"/>
          </w:tcPr>
          <w:p>
            <w:pPr>
              <w:pStyle w:val="15"/>
            </w:pPr>
            <w:r>
              <w:t>采购物品名称</w:t>
            </w:r>
          </w:p>
        </w:tc>
        <w:tc>
          <w:tcPr>
            <w:tcW w:w="996" w:type="dxa"/>
            <w:vMerge w:val="restart"/>
            <w:vAlign w:val="center"/>
          </w:tcPr>
          <w:p>
            <w:pPr>
              <w:pStyle w:val="15"/>
            </w:pPr>
            <w:r>
              <w:t>政府采购目录序号</w:t>
            </w:r>
          </w:p>
        </w:tc>
        <w:tc>
          <w:tcPr>
            <w:tcW w:w="623" w:type="dxa"/>
            <w:vMerge w:val="restart"/>
            <w:vAlign w:val="center"/>
          </w:tcPr>
          <w:p>
            <w:pPr>
              <w:pStyle w:val="15"/>
            </w:pPr>
            <w:r>
              <w:t>计量  单位</w:t>
            </w:r>
          </w:p>
        </w:tc>
        <w:tc>
          <w:tcPr>
            <w:tcW w:w="747" w:type="dxa"/>
            <w:vMerge w:val="restart"/>
            <w:vAlign w:val="center"/>
          </w:tcPr>
          <w:p>
            <w:pPr>
              <w:pStyle w:val="15"/>
            </w:pPr>
            <w:r>
              <w:t>数量</w:t>
            </w:r>
          </w:p>
        </w:tc>
        <w:tc>
          <w:tcPr>
            <w:tcW w:w="817" w:type="dxa"/>
            <w:vMerge w:val="restart"/>
            <w:vAlign w:val="center"/>
          </w:tcPr>
          <w:p>
            <w:pPr>
              <w:pStyle w:val="15"/>
            </w:pPr>
            <w:r>
              <w:t>单价</w:t>
            </w:r>
          </w:p>
        </w:tc>
        <w:tc>
          <w:tcPr>
            <w:tcW w:w="6709" w:type="dxa"/>
            <w:gridSpan w:val="8"/>
            <w:vAlign w:val="center"/>
          </w:tcPr>
          <w:p>
            <w:pPr>
              <w:pStyle w:val="15"/>
            </w:pPr>
            <w:r>
              <w:t>政府采购金额（当年</w:t>
            </w:r>
            <w:r>
              <w:rPr>
                <w:rFonts w:hint="eastAsia"/>
                <w:lang w:eastAsia="zh-CN"/>
              </w:rPr>
              <w:t>单位</w:t>
            </w:r>
            <w:r>
              <w:t>预算安排资金）</w:t>
            </w:r>
          </w:p>
        </w:tc>
        <w:tc>
          <w:tcPr>
            <w:tcW w:w="847" w:type="dxa"/>
            <w:vMerge w:val="restart"/>
            <w:vAlign w:val="center"/>
          </w:tcPr>
          <w:p>
            <w:pPr>
              <w:pStyle w:val="15"/>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1"/>
          <w:wAfter w:w="6" w:type="dxa"/>
          <w:cantSplit/>
          <w:trHeight w:val="2428" w:hRule="atLeast"/>
          <w:tblHeader/>
          <w:jc w:val="right"/>
        </w:trPr>
        <w:tc>
          <w:tcPr>
            <w:tcW w:w="1495" w:type="dxa"/>
            <w:vAlign w:val="center"/>
          </w:tcPr>
          <w:p>
            <w:pPr>
              <w:pStyle w:val="15"/>
            </w:pPr>
            <w:r>
              <w:t>项目名称</w:t>
            </w:r>
          </w:p>
        </w:tc>
        <w:tc>
          <w:tcPr>
            <w:tcW w:w="847" w:type="dxa"/>
            <w:vAlign w:val="center"/>
          </w:tcPr>
          <w:p>
            <w:pPr>
              <w:pStyle w:val="15"/>
            </w:pPr>
            <w:r>
              <w:t>预算    资金</w:t>
            </w:r>
          </w:p>
        </w:tc>
        <w:tc>
          <w:tcPr>
            <w:tcW w:w="996" w:type="dxa"/>
            <w:vMerge w:val="continue"/>
          </w:tcPr>
          <w:p/>
        </w:tc>
        <w:tc>
          <w:tcPr>
            <w:tcW w:w="996" w:type="dxa"/>
            <w:vMerge w:val="continue"/>
          </w:tcPr>
          <w:p/>
        </w:tc>
        <w:tc>
          <w:tcPr>
            <w:tcW w:w="623" w:type="dxa"/>
            <w:vMerge w:val="continue"/>
          </w:tcPr>
          <w:p/>
        </w:tc>
        <w:tc>
          <w:tcPr>
            <w:tcW w:w="747" w:type="dxa"/>
            <w:vMerge w:val="continue"/>
          </w:tcPr>
          <w:p/>
        </w:tc>
        <w:tc>
          <w:tcPr>
            <w:tcW w:w="817" w:type="dxa"/>
            <w:vMerge w:val="continue"/>
          </w:tcPr>
          <w:p/>
        </w:tc>
        <w:tc>
          <w:tcPr>
            <w:tcW w:w="777" w:type="dxa"/>
            <w:vAlign w:val="center"/>
          </w:tcPr>
          <w:p>
            <w:pPr>
              <w:pStyle w:val="15"/>
            </w:pPr>
            <w:r>
              <w:t>合计</w:t>
            </w:r>
          </w:p>
        </w:tc>
        <w:tc>
          <w:tcPr>
            <w:tcW w:w="847" w:type="dxa"/>
            <w:vAlign w:val="center"/>
          </w:tcPr>
          <w:p>
            <w:pPr>
              <w:pStyle w:val="15"/>
            </w:pPr>
            <w:r>
              <w:t>一般公共预算拨款</w:t>
            </w:r>
          </w:p>
        </w:tc>
        <w:tc>
          <w:tcPr>
            <w:tcW w:w="847" w:type="dxa"/>
            <w:vAlign w:val="center"/>
          </w:tcPr>
          <w:p>
            <w:pPr>
              <w:pStyle w:val="15"/>
            </w:pPr>
            <w:r>
              <w:t>基金预算拨款</w:t>
            </w:r>
          </w:p>
        </w:tc>
        <w:tc>
          <w:tcPr>
            <w:tcW w:w="847" w:type="dxa"/>
            <w:vAlign w:val="center"/>
          </w:tcPr>
          <w:p>
            <w:pPr>
              <w:pStyle w:val="15"/>
            </w:pPr>
            <w:r>
              <w:t>国有资本经营预算拨款</w:t>
            </w:r>
          </w:p>
        </w:tc>
        <w:tc>
          <w:tcPr>
            <w:tcW w:w="847" w:type="dxa"/>
            <w:vAlign w:val="center"/>
          </w:tcPr>
          <w:p>
            <w:pPr>
              <w:pStyle w:val="15"/>
            </w:pPr>
            <w:r>
              <w:t>财政专户核拨</w:t>
            </w:r>
          </w:p>
        </w:tc>
        <w:tc>
          <w:tcPr>
            <w:tcW w:w="847" w:type="dxa"/>
            <w:vAlign w:val="center"/>
          </w:tcPr>
          <w:p>
            <w:pPr>
              <w:pStyle w:val="15"/>
            </w:pPr>
            <w:r>
              <w:t>单位    资金</w:t>
            </w:r>
          </w:p>
        </w:tc>
        <w:tc>
          <w:tcPr>
            <w:tcW w:w="847" w:type="dxa"/>
            <w:vAlign w:val="center"/>
          </w:tcPr>
          <w:p>
            <w:pPr>
              <w:pStyle w:val="15"/>
            </w:pPr>
            <w:r>
              <w:t>财政拨    款结转</w:t>
            </w:r>
          </w:p>
        </w:tc>
        <w:tc>
          <w:tcPr>
            <w:tcW w:w="847" w:type="dxa"/>
            <w:vAlign w:val="center"/>
          </w:tcPr>
          <w:p>
            <w:pPr>
              <w:pStyle w:val="15"/>
            </w:pPr>
            <w:r>
              <w:t>非财政    拨款结    转结余</w:t>
            </w:r>
          </w:p>
        </w:tc>
        <w:tc>
          <w:tcPr>
            <w:tcW w:w="847"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1"/>
          <w:wAfter w:w="6" w:type="dxa"/>
          <w:cantSplit/>
          <w:trHeight w:val="596" w:hRule="atLeast"/>
          <w:jc w:val="right"/>
        </w:trPr>
        <w:tc>
          <w:tcPr>
            <w:tcW w:w="1495" w:type="dxa"/>
            <w:vAlign w:val="center"/>
          </w:tcPr>
          <w:p>
            <w:pPr>
              <w:pStyle w:val="16"/>
              <w:jc w:val="both"/>
              <w:rPr>
                <w:lang w:eastAsia="zh-CN"/>
              </w:rPr>
            </w:pPr>
          </w:p>
        </w:tc>
        <w:tc>
          <w:tcPr>
            <w:tcW w:w="847" w:type="dxa"/>
            <w:vAlign w:val="center"/>
          </w:tcPr>
          <w:p>
            <w:pPr>
              <w:pStyle w:val="17"/>
              <w:rPr>
                <w:lang w:eastAsia="zh-CN"/>
              </w:rPr>
            </w:pPr>
          </w:p>
        </w:tc>
        <w:tc>
          <w:tcPr>
            <w:tcW w:w="996" w:type="dxa"/>
            <w:vAlign w:val="center"/>
          </w:tcPr>
          <w:p>
            <w:pPr>
              <w:pStyle w:val="18"/>
            </w:pPr>
          </w:p>
        </w:tc>
        <w:tc>
          <w:tcPr>
            <w:tcW w:w="996" w:type="dxa"/>
            <w:vAlign w:val="center"/>
          </w:tcPr>
          <w:p>
            <w:pPr>
              <w:pStyle w:val="18"/>
            </w:pPr>
          </w:p>
        </w:tc>
        <w:tc>
          <w:tcPr>
            <w:tcW w:w="623" w:type="dxa"/>
            <w:vAlign w:val="center"/>
          </w:tcPr>
          <w:p>
            <w:pPr>
              <w:pStyle w:val="16"/>
              <w:rPr>
                <w:lang w:eastAsia="zh-CN"/>
              </w:rPr>
            </w:pPr>
          </w:p>
        </w:tc>
        <w:tc>
          <w:tcPr>
            <w:tcW w:w="747" w:type="dxa"/>
            <w:vAlign w:val="center"/>
          </w:tcPr>
          <w:p>
            <w:pPr>
              <w:pStyle w:val="17"/>
              <w:rPr>
                <w:lang w:eastAsia="zh-CN"/>
              </w:rPr>
            </w:pPr>
          </w:p>
        </w:tc>
        <w:tc>
          <w:tcPr>
            <w:tcW w:w="817" w:type="dxa"/>
            <w:vAlign w:val="center"/>
          </w:tcPr>
          <w:p>
            <w:pPr>
              <w:pStyle w:val="17"/>
              <w:rPr>
                <w:lang w:eastAsia="zh-CN"/>
              </w:rPr>
            </w:pPr>
          </w:p>
        </w:tc>
        <w:tc>
          <w:tcPr>
            <w:tcW w:w="777" w:type="dxa"/>
            <w:vAlign w:val="center"/>
          </w:tcPr>
          <w:p>
            <w:pPr>
              <w:pStyle w:val="17"/>
              <w:rPr>
                <w:lang w:eastAsia="zh-CN"/>
              </w:rPr>
            </w:pPr>
          </w:p>
        </w:tc>
        <w:tc>
          <w:tcPr>
            <w:tcW w:w="847" w:type="dxa"/>
            <w:vAlign w:val="center"/>
          </w:tcPr>
          <w:p>
            <w:pPr>
              <w:pStyle w:val="17"/>
            </w:pPr>
          </w:p>
        </w:tc>
        <w:tc>
          <w:tcPr>
            <w:tcW w:w="847" w:type="dxa"/>
            <w:vAlign w:val="center"/>
          </w:tcPr>
          <w:p>
            <w:pPr>
              <w:pStyle w:val="17"/>
            </w:pPr>
          </w:p>
        </w:tc>
        <w:tc>
          <w:tcPr>
            <w:tcW w:w="847" w:type="dxa"/>
            <w:vAlign w:val="center"/>
          </w:tcPr>
          <w:p>
            <w:pPr>
              <w:pStyle w:val="17"/>
            </w:pPr>
          </w:p>
        </w:tc>
        <w:tc>
          <w:tcPr>
            <w:tcW w:w="847" w:type="dxa"/>
            <w:vAlign w:val="center"/>
          </w:tcPr>
          <w:p>
            <w:pPr>
              <w:pStyle w:val="17"/>
              <w:rPr>
                <w:lang w:eastAsia="zh-CN"/>
              </w:rPr>
            </w:pPr>
          </w:p>
        </w:tc>
        <w:tc>
          <w:tcPr>
            <w:tcW w:w="847" w:type="dxa"/>
            <w:vAlign w:val="center"/>
          </w:tcPr>
          <w:p>
            <w:pPr>
              <w:pStyle w:val="17"/>
            </w:pPr>
          </w:p>
        </w:tc>
        <w:tc>
          <w:tcPr>
            <w:tcW w:w="847" w:type="dxa"/>
            <w:vAlign w:val="center"/>
          </w:tcPr>
          <w:p>
            <w:pPr>
              <w:pStyle w:val="17"/>
            </w:pPr>
          </w:p>
        </w:tc>
        <w:tc>
          <w:tcPr>
            <w:tcW w:w="847" w:type="dxa"/>
            <w:vAlign w:val="center"/>
          </w:tcPr>
          <w:p>
            <w:pPr>
              <w:pStyle w:val="17"/>
            </w:pPr>
          </w:p>
        </w:tc>
        <w:tc>
          <w:tcPr>
            <w:tcW w:w="847" w:type="dxa"/>
            <w:vAlign w:val="center"/>
          </w:tcPr>
          <w:p>
            <w:pPr>
              <w:pStyle w:val="17"/>
              <w:rPr>
                <w:lang w:eastAsia="zh-CN"/>
              </w:rPr>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上年末我单位固定资产总金额为7321.57万元（详见下表）。</w:t>
      </w:r>
      <w:r>
        <w:rPr>
          <w:rFonts w:ascii="仿宋" w:hAnsi="仿宋" w:eastAsia="仿宋"/>
          <w:sz w:val="32"/>
          <w:szCs w:val="32"/>
        </w:rPr>
        <w:t xml:space="preserve"> </w:t>
      </w:r>
      <w:r>
        <w:rPr>
          <w:rFonts w:hint="eastAsia" w:ascii="仿宋" w:hAnsi="仿宋" w:eastAsia="仿宋"/>
          <w:sz w:val="32"/>
          <w:szCs w:val="32"/>
        </w:rPr>
        <w:t>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7321.57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53513</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5641.69</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11962</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1261.11</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bl>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w:t>
      </w:r>
      <w:r>
        <w:rPr>
          <w:rFonts w:hint="eastAsia" w:ascii="仿宋" w:hAnsi="仿宋" w:eastAsia="仿宋"/>
          <w:sz w:val="32"/>
          <w:szCs w:val="32"/>
        </w:rPr>
        <w:t>单位</w:t>
      </w:r>
      <w:r>
        <w:rPr>
          <w:rFonts w:ascii="仿宋" w:hAnsi="仿宋" w:eastAsia="仿宋"/>
          <w:sz w:val="32"/>
          <w:szCs w:val="32"/>
        </w:rPr>
        <w:t>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书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177326"/>
    <w:multiLevelType w:val="singleLevel"/>
    <w:tmpl w:val="4217732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1YjhlNjYwN2Q3MjM5NjBmMmQ5YTcwNTFkNDliNjgifQ=="/>
  </w:docVars>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4092"/>
    <w:rsid w:val="005158E2"/>
    <w:rsid w:val="00524204"/>
    <w:rsid w:val="00550049"/>
    <w:rsid w:val="00553F7E"/>
    <w:rsid w:val="00564B00"/>
    <w:rsid w:val="00570142"/>
    <w:rsid w:val="00586C35"/>
    <w:rsid w:val="005B1B6F"/>
    <w:rsid w:val="005B6CCB"/>
    <w:rsid w:val="005C54AA"/>
    <w:rsid w:val="005C7B89"/>
    <w:rsid w:val="0062788A"/>
    <w:rsid w:val="00641F8A"/>
    <w:rsid w:val="0066383B"/>
    <w:rsid w:val="006A6FA2"/>
    <w:rsid w:val="006B5117"/>
    <w:rsid w:val="006C62DF"/>
    <w:rsid w:val="006F5104"/>
    <w:rsid w:val="006F6549"/>
    <w:rsid w:val="00735B02"/>
    <w:rsid w:val="007657C8"/>
    <w:rsid w:val="00767A77"/>
    <w:rsid w:val="00771E49"/>
    <w:rsid w:val="00782208"/>
    <w:rsid w:val="007842CF"/>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D02F97"/>
    <w:rsid w:val="00D45530"/>
    <w:rsid w:val="00D45A0E"/>
    <w:rsid w:val="00D45D23"/>
    <w:rsid w:val="00D723D1"/>
    <w:rsid w:val="00D74C2E"/>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0FAD4948"/>
    <w:rsid w:val="19A35FE5"/>
    <w:rsid w:val="1BAF6604"/>
    <w:rsid w:val="35702DBC"/>
    <w:rsid w:val="43004D3C"/>
    <w:rsid w:val="46814B40"/>
    <w:rsid w:val="650D3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 w:type="paragraph" w:customStyle="1" w:styleId="10">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1">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4">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5">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6">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7">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8">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character" w:customStyle="1" w:styleId="20">
    <w:name w:val="font51"/>
    <w:basedOn w:val="6"/>
    <w:uiPriority w:val="0"/>
    <w:rPr>
      <w:rFonts w:hint="default" w:ascii="方正书宋_GBK" w:hAnsi="方正书宋_GBK" w:eastAsia="方正书宋_GBK" w:cs="方正书宋_GBK"/>
      <w:b/>
      <w:bCs/>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6B279-02E3-4776-840C-BE6F37FCFDB2}">
  <ds:schemaRefs/>
</ds:datastoreItem>
</file>

<file path=docProps/app.xml><?xml version="1.0" encoding="utf-8"?>
<Properties xmlns="http://schemas.openxmlformats.org/officeDocument/2006/extended-properties" xmlns:vt="http://schemas.openxmlformats.org/officeDocument/2006/docPropsVTypes">
  <Template>Normal</Template>
  <Pages>11</Pages>
  <Words>771</Words>
  <Characters>4401</Characters>
  <Lines>36</Lines>
  <Paragraphs>10</Paragraphs>
  <TotalTime>26</TotalTime>
  <ScaleCrop>false</ScaleCrop>
  <LinksUpToDate>false</LinksUpToDate>
  <CharactersWithSpaces>5162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2023-11-16T01:07:10Z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FE0AF84B69784BC6B22FEB8D63434286</vt:lpwstr>
  </property>
</Properties>
</file>