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保定市徐水区职业技术教育中心</w:t>
      </w:r>
    </w:p>
    <w:p>
      <w:pPr>
        <w:spacing w:line="360" w:lineRule="auto"/>
        <w:jc w:val="center"/>
        <w:rPr>
          <w:rFonts w:ascii="宋体" w:hAnsi="宋体" w:eastAsia="宋体"/>
          <w:b/>
          <w:sz w:val="44"/>
          <w:szCs w:val="44"/>
        </w:rPr>
      </w:pPr>
      <w:r>
        <w:rPr>
          <w:rFonts w:ascii="宋体" w:hAnsi="宋体" w:eastAsia="宋体"/>
          <w:b/>
          <w:sz w:val="44"/>
          <w:szCs w:val="44"/>
        </w:rPr>
        <w:t>2021年</w:t>
      </w:r>
      <w:r>
        <w:rPr>
          <w:rFonts w:hint="eastAsia" w:ascii="宋体" w:hAnsi="宋体" w:eastAsia="宋体"/>
          <w:b/>
          <w:sz w:val="44"/>
          <w:szCs w:val="44"/>
        </w:rPr>
        <w:t>单位</w:t>
      </w:r>
      <w:r>
        <w:rPr>
          <w:rFonts w:ascii="宋体" w:hAnsi="宋体" w:eastAsia="宋体"/>
          <w:b/>
          <w:sz w:val="44"/>
          <w:szCs w:val="44"/>
        </w:rPr>
        <w:t>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w:t>
      </w:r>
      <w:r>
        <w:rPr>
          <w:rFonts w:hint="eastAsia" w:ascii="方正小标宋_GBK" w:eastAsia="方正小标宋_GBK"/>
          <w:sz w:val="44"/>
        </w:rPr>
        <w:t>单位</w:t>
      </w:r>
      <w:r>
        <w:rPr>
          <w:rFonts w:ascii="方正小标宋_GBK" w:eastAsia="方正小标宋_GBK"/>
          <w:sz w:val="44"/>
        </w:rPr>
        <w:t>职责及机构设置情况</w:t>
      </w:r>
    </w:p>
    <w:p>
      <w:pPr>
        <w:numPr>
          <w:ilvl w:val="0"/>
          <w:numId w:val="1"/>
        </w:numPr>
        <w:spacing w:line="360" w:lineRule="auto"/>
        <w:ind w:firstLine="643" w:firstLineChars="200"/>
        <w:rPr>
          <w:rFonts w:ascii="仿宋" w:hAnsi="仿宋" w:eastAsia="仿宋"/>
          <w:b/>
          <w:sz w:val="32"/>
          <w:szCs w:val="32"/>
        </w:rPr>
      </w:pPr>
      <w:r>
        <w:rPr>
          <w:rFonts w:hint="eastAsia" w:ascii="仿宋" w:hAnsi="仿宋" w:eastAsia="仿宋"/>
          <w:b/>
          <w:sz w:val="32"/>
          <w:szCs w:val="32"/>
        </w:rPr>
        <w:t>单位职责</w:t>
      </w:r>
    </w:p>
    <w:p>
      <w:pPr>
        <w:spacing w:line="360" w:lineRule="auto"/>
        <w:ind w:firstLine="640" w:firstLineChars="200"/>
        <w:rPr>
          <w:rFonts w:ascii="仿宋" w:hAnsi="仿宋" w:eastAsia="仿宋"/>
          <w:sz w:val="32"/>
          <w:szCs w:val="32"/>
        </w:rPr>
      </w:pPr>
      <w:r>
        <w:rPr>
          <w:rFonts w:hint="eastAsia" w:ascii="仿宋_GB2312" w:hAnsi="黑体" w:eastAsia="仿宋_GB2312"/>
          <w:sz w:val="32"/>
          <w:szCs w:val="32"/>
        </w:rPr>
        <w:t>建立健全职业高</w:t>
      </w:r>
      <w:bookmarkStart w:id="17" w:name="_GoBack"/>
      <w:bookmarkEnd w:id="17"/>
      <w:r>
        <w:rPr>
          <w:rFonts w:hint="eastAsia" w:ascii="仿宋_GB2312" w:hAnsi="黑体" w:eastAsia="仿宋_GB2312"/>
          <w:sz w:val="32"/>
          <w:szCs w:val="32"/>
        </w:rPr>
        <w:t>中国家助学金制度，改善职业高中办学件；推动职业高中教育发展，扩大职业高中教育规模；确保贫困高中学生顺利完成学业</w:t>
      </w:r>
      <w:r>
        <w:rPr>
          <w:rFonts w:hint="eastAsia" w:ascii="仿宋_GB2312" w:hAnsi="仿宋" w:eastAsia="仿宋_GB2312"/>
          <w:sz w:val="32"/>
          <w:szCs w:val="32"/>
        </w:rPr>
        <w:t>。</w:t>
      </w:r>
      <w:r>
        <w:rPr>
          <w:rFonts w:ascii="仿宋_GB2312" w:hAnsi="仿宋" w:eastAsia="仿宋_GB2312"/>
          <w:sz w:val="32"/>
          <w:szCs w:val="32"/>
        </w:rPr>
        <w:tab/>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保定市徐水区职业技术教育中心</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418"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预算中。我单位的收支包含在预算中。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w:t>
      </w:r>
      <w:r>
        <w:rPr>
          <w:rFonts w:hint="eastAsia" w:ascii="仿宋" w:hAnsi="仿宋" w:eastAsia="仿宋"/>
          <w:sz w:val="32"/>
          <w:szCs w:val="32"/>
        </w:rPr>
        <w:t>5420.19</w:t>
      </w:r>
      <w:r>
        <w:rPr>
          <w:rFonts w:ascii="仿宋" w:hAnsi="仿宋" w:eastAsia="仿宋"/>
          <w:sz w:val="32"/>
          <w:szCs w:val="32"/>
        </w:rPr>
        <w:t>万元,其中：一般公共预算收入</w:t>
      </w:r>
      <w:r>
        <w:rPr>
          <w:rFonts w:hint="eastAsia" w:ascii="仿宋" w:hAnsi="仿宋" w:eastAsia="仿宋"/>
          <w:sz w:val="32"/>
          <w:szCs w:val="32"/>
        </w:rPr>
        <w:t>5317.08</w:t>
      </w:r>
      <w:r>
        <w:rPr>
          <w:rFonts w:ascii="仿宋" w:hAnsi="仿宋" w:eastAsia="仿宋"/>
          <w:sz w:val="32"/>
          <w:szCs w:val="32"/>
        </w:rPr>
        <w:t>万元，基金预算收入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103.11</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w:t>
      </w:r>
      <w:r>
        <w:rPr>
          <w:rFonts w:hint="eastAsia" w:ascii="仿宋" w:hAnsi="仿宋" w:eastAsia="仿宋"/>
          <w:sz w:val="32"/>
          <w:szCs w:val="32"/>
        </w:rPr>
        <w:t>单位</w:t>
      </w:r>
      <w:r>
        <w:rPr>
          <w:rFonts w:ascii="仿宋" w:hAnsi="仿宋" w:eastAsia="仿宋"/>
          <w:sz w:val="32"/>
          <w:szCs w:val="32"/>
        </w:rPr>
        <w:t>支出预算：</w:t>
      </w:r>
      <w:r>
        <w:rPr>
          <w:rFonts w:hint="eastAsia" w:ascii="仿宋" w:hAnsi="仿宋" w:eastAsia="仿宋"/>
          <w:sz w:val="32"/>
          <w:szCs w:val="32"/>
        </w:rPr>
        <w:t>5420.19</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基本支出3946.14万元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3869.09</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77.05</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w:t>
      </w:r>
      <w:r>
        <w:rPr>
          <w:rFonts w:hint="eastAsia" w:ascii="仿宋" w:hAnsi="仿宋" w:eastAsia="仿宋"/>
          <w:sz w:val="32"/>
          <w:szCs w:val="32"/>
        </w:rPr>
        <w:t>1474.05</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652.15</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本年度预算收支安排5420.19万元，较上年增加936.48</w:t>
      </w:r>
      <w:r>
        <w:rPr>
          <w:rFonts w:ascii="仿宋" w:hAnsi="仿宋" w:eastAsia="仿宋"/>
          <w:sz w:val="32"/>
          <w:szCs w:val="32"/>
        </w:rPr>
        <w:t>万元。其中:基本支出增加</w:t>
      </w:r>
      <w:r>
        <w:rPr>
          <w:rFonts w:hint="eastAsia" w:ascii="仿宋" w:hAnsi="仿宋" w:eastAsia="仿宋"/>
          <w:sz w:val="32"/>
          <w:szCs w:val="32"/>
        </w:rPr>
        <w:t>149.54</w:t>
      </w:r>
      <w:r>
        <w:rPr>
          <w:rFonts w:ascii="仿宋" w:hAnsi="仿宋" w:eastAsia="仿宋"/>
          <w:sz w:val="32"/>
          <w:szCs w:val="32"/>
        </w:rPr>
        <w:t>万元，主要原因是</w:t>
      </w:r>
      <w:r>
        <w:rPr>
          <w:rFonts w:hint="eastAsia" w:ascii="仿宋" w:hAnsi="仿宋" w:eastAsia="仿宋"/>
          <w:sz w:val="32"/>
          <w:szCs w:val="32"/>
        </w:rPr>
        <w:t>有</w:t>
      </w:r>
      <w:r>
        <w:rPr>
          <w:rFonts w:ascii="仿宋" w:hAnsi="仿宋" w:eastAsia="仿宋"/>
          <w:sz w:val="32"/>
          <w:szCs w:val="32"/>
        </w:rPr>
        <w:t>新入职教师，</w:t>
      </w:r>
      <w:r>
        <w:rPr>
          <w:rFonts w:hint="eastAsia" w:ascii="仿宋" w:hAnsi="仿宋" w:eastAsia="仿宋"/>
          <w:sz w:val="32"/>
          <w:szCs w:val="32"/>
        </w:rPr>
        <w:t>人</w:t>
      </w:r>
      <w:r>
        <w:rPr>
          <w:rFonts w:ascii="仿宋" w:hAnsi="仿宋" w:eastAsia="仿宋"/>
          <w:sz w:val="32"/>
          <w:szCs w:val="32"/>
        </w:rPr>
        <w:t>员工资数增加；项目支出增加</w:t>
      </w:r>
      <w:r>
        <w:rPr>
          <w:rFonts w:hint="eastAsia" w:ascii="仿宋" w:hAnsi="仿宋" w:eastAsia="仿宋"/>
          <w:sz w:val="32"/>
          <w:szCs w:val="32"/>
        </w:rPr>
        <w:t>786.94</w:t>
      </w:r>
      <w:r>
        <w:rPr>
          <w:rFonts w:ascii="仿宋" w:hAnsi="仿宋" w:eastAsia="仿宋"/>
          <w:sz w:val="32"/>
          <w:szCs w:val="32"/>
        </w:rPr>
        <w:t>万元，主要原因是</w:t>
      </w:r>
      <w:r>
        <w:rPr>
          <w:rFonts w:hint="eastAsia" w:ascii="仿宋" w:hAnsi="仿宋" w:eastAsia="仿宋"/>
          <w:sz w:val="32"/>
          <w:szCs w:val="32"/>
        </w:rPr>
        <w:t>上级一般公共预算安排转移支付资金增多</w:t>
      </w:r>
      <w:r>
        <w:rPr>
          <w:rFonts w:ascii="仿宋" w:hAnsi="仿宋" w:eastAsia="仿宋"/>
          <w:sz w:val="32"/>
          <w:szCs w:val="32"/>
        </w:rPr>
        <w:t>。</w:t>
      </w: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2021年我</w:t>
      </w:r>
      <w:r>
        <w:rPr>
          <w:rFonts w:hint="eastAsia" w:ascii="仿宋" w:hAnsi="仿宋" w:eastAsia="仿宋"/>
          <w:sz w:val="32"/>
          <w:szCs w:val="32"/>
        </w:rPr>
        <w:t>单位</w:t>
      </w:r>
      <w:r>
        <w:rPr>
          <w:rFonts w:ascii="仿宋" w:hAnsi="仿宋" w:eastAsia="仿宋"/>
          <w:sz w:val="32"/>
          <w:szCs w:val="32"/>
        </w:rPr>
        <w:t>机关运行经费安排77.05万元，其中</w:t>
      </w:r>
      <w:r>
        <w:rPr>
          <w:rFonts w:hint="eastAsia" w:ascii="仿宋" w:hAnsi="仿宋" w:eastAsia="仿宋"/>
          <w:sz w:val="32"/>
          <w:szCs w:val="32"/>
        </w:rPr>
        <w:t>离退休干部经费7.02</w:t>
      </w:r>
      <w:r>
        <w:rPr>
          <w:rFonts w:ascii="仿宋" w:hAnsi="仿宋" w:eastAsia="仿宋"/>
          <w:sz w:val="32"/>
          <w:szCs w:val="32"/>
        </w:rPr>
        <w:t>万元，工会经费</w:t>
      </w:r>
      <w:r>
        <w:rPr>
          <w:rFonts w:hint="eastAsia" w:ascii="仿宋" w:hAnsi="仿宋" w:eastAsia="仿宋"/>
          <w:sz w:val="32"/>
          <w:szCs w:val="32"/>
        </w:rPr>
        <w:t>40.97</w:t>
      </w:r>
      <w:r>
        <w:rPr>
          <w:rFonts w:ascii="仿宋" w:hAnsi="仿宋" w:eastAsia="仿宋"/>
          <w:sz w:val="32"/>
          <w:szCs w:val="32"/>
        </w:rPr>
        <w:t>、福利费29.06万元，公务用车运行维护费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w:t>
      </w:r>
      <w:r>
        <w:rPr>
          <w:rFonts w:hint="eastAsia" w:ascii="仿宋" w:hAnsi="仿宋" w:eastAsia="仿宋"/>
          <w:sz w:val="32"/>
          <w:szCs w:val="32"/>
        </w:rPr>
        <w:t>0</w:t>
      </w:r>
      <w:r>
        <w:rPr>
          <w:rFonts w:ascii="仿宋" w:hAnsi="仿宋" w:eastAsia="仿宋"/>
          <w:sz w:val="32"/>
          <w:szCs w:val="32"/>
        </w:rPr>
        <w:t>万元。</w:t>
      </w:r>
    </w:p>
    <w:p>
      <w:pPr>
        <w:spacing w:line="360" w:lineRule="auto"/>
        <w:jc w:val="center"/>
        <w:rPr>
          <w:rFonts w:ascii="黑体" w:hAnsi="黑体" w:eastAsia="黑体" w:cs="Times New Roman"/>
          <w:sz w:val="32"/>
          <w:szCs w:val="32"/>
        </w:rPr>
      </w:pP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9299" w:type="dxa"/>
        <w:tblInd w:w="0" w:type="dxa"/>
        <w:tblLayout w:type="fixed"/>
        <w:tblCellMar>
          <w:top w:w="0" w:type="dxa"/>
          <w:left w:w="108" w:type="dxa"/>
          <w:bottom w:w="0" w:type="dxa"/>
          <w:right w:w="108" w:type="dxa"/>
        </w:tblCellMar>
      </w:tblPr>
      <w:tblGrid>
        <w:gridCol w:w="9299"/>
      </w:tblGrid>
      <w:tr>
        <w:tblPrEx>
          <w:tblCellMar>
            <w:top w:w="0" w:type="dxa"/>
            <w:left w:w="108" w:type="dxa"/>
            <w:bottom w:w="0" w:type="dxa"/>
            <w:right w:w="108" w:type="dxa"/>
          </w:tblCellMar>
        </w:tblPrEx>
        <w:trPr>
          <w:trHeight w:val="405" w:hRule="atLeast"/>
        </w:trPr>
        <w:tc>
          <w:tcPr>
            <w:tcW w:w="9299" w:type="dxa"/>
            <w:tcBorders>
              <w:top w:val="nil"/>
              <w:left w:val="nil"/>
              <w:bottom w:val="nil"/>
              <w:right w:val="nil"/>
            </w:tcBorders>
            <w:shd w:val="clear" w:color="auto" w:fill="auto"/>
            <w:vAlign w:val="center"/>
          </w:tcPr>
          <w:tbl>
            <w:tblPr>
              <w:tblStyle w:val="5"/>
              <w:tblW w:w="8090" w:type="dxa"/>
              <w:jc w:val="center"/>
              <w:tblLayout w:type="fixed"/>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r>
                    <w:rPr>
                      <w:rFonts w:hint="eastAsia" w:ascii="仿宋" w:hAnsi="仿宋" w:eastAsia="仿宋" w:cs="仿宋"/>
                      <w:b/>
                      <w:bCs/>
                      <w:sz w:val="32"/>
                      <w:szCs w:val="32"/>
                    </w:rPr>
                    <w:t>2021年，我单位无三公经费，空表列示。</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spacing w:line="500" w:lineRule="exact"/>
        <w:ind w:firstLine="640" w:firstLineChars="200"/>
        <w:jc w:val="left"/>
        <w:rPr>
          <w:rFonts w:ascii="仿宋" w:hAnsi="仿宋" w:eastAsia="仿宋"/>
          <w:sz w:val="32"/>
          <w:szCs w:val="32"/>
        </w:rPr>
      </w:pPr>
      <w:r>
        <w:rPr>
          <w:rFonts w:hint="eastAsia" w:ascii="仿宋" w:hAnsi="仿宋" w:eastAsia="仿宋"/>
          <w:sz w:val="32"/>
          <w:szCs w:val="32"/>
        </w:rPr>
        <w:t>一、总体绩效目标</w:t>
      </w:r>
    </w:p>
    <w:p>
      <w:pPr>
        <w:spacing w:line="500" w:lineRule="exact"/>
        <w:ind w:firstLine="640" w:firstLineChars="200"/>
        <w:jc w:val="left"/>
        <w:rPr>
          <w:rFonts w:ascii="仿宋" w:hAnsi="仿宋" w:eastAsia="仿宋"/>
          <w:sz w:val="32"/>
          <w:szCs w:val="32"/>
        </w:rPr>
      </w:pPr>
      <w:r>
        <w:rPr>
          <w:rFonts w:hint="eastAsia" w:ascii="仿宋" w:hAnsi="仿宋" w:eastAsia="仿宋"/>
          <w:sz w:val="32"/>
          <w:szCs w:val="32"/>
        </w:rPr>
        <w:t>高举中国特色社会主义伟大旗帜，以习近平新时代中国特色社会主义思想为指导，深入学习贯彻党的十九大和全国、全省教育大会精神，继续落实教育部</w:t>
      </w:r>
      <w:r>
        <w:rPr>
          <w:rFonts w:ascii="仿宋" w:hAnsi="仿宋" w:eastAsia="仿宋"/>
          <w:sz w:val="32"/>
          <w:szCs w:val="32"/>
        </w:rPr>
        <w:t>“</w:t>
      </w:r>
      <w:r>
        <w:rPr>
          <w:rFonts w:hint="eastAsia" w:ascii="仿宋" w:hAnsi="仿宋" w:eastAsia="仿宋"/>
          <w:sz w:val="32"/>
          <w:szCs w:val="32"/>
        </w:rPr>
        <w:t>奋进之笔</w:t>
      </w:r>
      <w:r>
        <w:rPr>
          <w:rFonts w:ascii="仿宋" w:hAnsi="仿宋" w:eastAsia="仿宋"/>
          <w:sz w:val="32"/>
          <w:szCs w:val="32"/>
        </w:rPr>
        <w:t>”</w:t>
      </w:r>
      <w:r>
        <w:rPr>
          <w:rFonts w:hint="eastAsia" w:ascii="仿宋" w:hAnsi="仿宋" w:eastAsia="仿宋"/>
          <w:sz w:val="32"/>
          <w:szCs w:val="32"/>
        </w:rPr>
        <w:t>总要求，全面贯彻党的教育方针，用</w:t>
      </w:r>
      <w:r>
        <w:rPr>
          <w:rFonts w:ascii="仿宋" w:hAnsi="仿宋" w:eastAsia="仿宋"/>
          <w:sz w:val="32"/>
          <w:szCs w:val="32"/>
        </w:rPr>
        <w:t>“</w:t>
      </w:r>
      <w:r>
        <w:rPr>
          <w:rFonts w:hint="eastAsia" w:ascii="仿宋" w:hAnsi="仿宋" w:eastAsia="仿宋"/>
          <w:sz w:val="32"/>
          <w:szCs w:val="32"/>
        </w:rPr>
        <w:t>四个激活</w:t>
      </w:r>
      <w:r>
        <w:rPr>
          <w:rFonts w:ascii="仿宋" w:hAnsi="仿宋" w:eastAsia="仿宋"/>
          <w:sz w:val="32"/>
          <w:szCs w:val="32"/>
        </w:rPr>
        <w:t>”</w:t>
      </w:r>
      <w:r>
        <w:rPr>
          <w:rFonts w:hint="eastAsia" w:ascii="仿宋" w:hAnsi="仿宋" w:eastAsia="仿宋"/>
          <w:sz w:val="32"/>
          <w:szCs w:val="32"/>
        </w:rPr>
        <w:t>全面推动教育改革发展，坚持目标导向、问题导向，完善体制机制，推进综合改革，实施标准化提升，以加快推进职业教育现代化，办好人民满意的职业教育为目标，为全区经济社会发展提供服务和支撑。</w:t>
      </w:r>
    </w:p>
    <w:p>
      <w:pPr>
        <w:spacing w:before="156" w:beforeLines="50" w:after="156" w:afterLines="50" w:line="500" w:lineRule="exact"/>
        <w:ind w:firstLine="640" w:firstLineChars="200"/>
        <w:jc w:val="left"/>
        <w:outlineLvl w:val="1"/>
        <w:rPr>
          <w:rFonts w:ascii="仿宋" w:hAnsi="仿宋" w:eastAsia="仿宋"/>
          <w:sz w:val="32"/>
          <w:szCs w:val="32"/>
        </w:rPr>
      </w:pPr>
      <w:bookmarkStart w:id="0" w:name="_Toc71388301"/>
      <w:r>
        <w:rPr>
          <w:rFonts w:ascii="仿宋" w:hAnsi="仿宋" w:eastAsia="仿宋"/>
          <w:sz w:val="32"/>
          <w:szCs w:val="32"/>
        </w:rPr>
        <w:t>二、分项绩效目标</w:t>
      </w:r>
      <w:bookmarkEnd w:id="0"/>
      <w:r>
        <w:rPr>
          <w:rFonts w:ascii="仿宋" w:hAnsi="仿宋" w:eastAsia="仿宋"/>
          <w:sz w:val="32"/>
          <w:szCs w:val="32"/>
        </w:rPr>
        <w:fldChar w:fldCharType="begin"/>
      </w:r>
      <w:r>
        <w:rPr>
          <w:rFonts w:ascii="仿宋" w:hAnsi="仿宋" w:eastAsia="仿宋"/>
          <w:sz w:val="32"/>
          <w:szCs w:val="32"/>
        </w:rPr>
        <w:instrText xml:space="preserve"> TC 分项绩效目标 \f A \l 1 </w:instrText>
      </w:r>
      <w:r>
        <w:rPr>
          <w:rFonts w:ascii="仿宋" w:hAnsi="仿宋" w:eastAsia="仿宋"/>
          <w:sz w:val="32"/>
          <w:szCs w:val="32"/>
        </w:rPr>
        <w:fldChar w:fldCharType="end"/>
      </w:r>
    </w:p>
    <w:p>
      <w:pPr>
        <w:spacing w:line="500" w:lineRule="exact"/>
        <w:ind w:firstLine="640" w:firstLineChars="200"/>
        <w:jc w:val="left"/>
        <w:rPr>
          <w:rFonts w:ascii="仿宋" w:hAnsi="仿宋" w:eastAsia="仿宋"/>
          <w:sz w:val="32"/>
          <w:szCs w:val="32"/>
        </w:rPr>
      </w:pPr>
      <w:r>
        <w:rPr>
          <w:rFonts w:hint="eastAsia" w:ascii="仿宋" w:hAnsi="仿宋" w:eastAsia="仿宋"/>
          <w:sz w:val="32"/>
          <w:szCs w:val="32"/>
        </w:rPr>
        <w:t>（一）全面加强党的政治建设</w:t>
      </w:r>
    </w:p>
    <w:p>
      <w:pPr>
        <w:spacing w:line="500" w:lineRule="exact"/>
        <w:ind w:firstLine="640" w:firstLineChars="200"/>
        <w:jc w:val="left"/>
        <w:rPr>
          <w:rFonts w:ascii="仿宋" w:hAnsi="仿宋" w:eastAsia="仿宋"/>
          <w:sz w:val="32"/>
          <w:szCs w:val="32"/>
        </w:rPr>
      </w:pPr>
      <w:r>
        <w:rPr>
          <w:rFonts w:hint="eastAsia" w:ascii="仿宋" w:hAnsi="仿宋" w:eastAsia="仿宋"/>
          <w:sz w:val="32"/>
          <w:szCs w:val="32"/>
        </w:rPr>
        <w:t>绩效目标：把深入学习宣传贯彻习近平新时代中国特色社会主义思想作为重大政治任务，把党的政治建设放在首位。严格落实全面从严治党主体责任、监督责任和党风廉政建设责任制，压紧压实教体系统意识形态风险防控主体责任，加强作风纪律建设，强化监督执纪问责，加强源头治理，深化整改落实，推进教体系统政治生态持续优化。</w:t>
      </w:r>
    </w:p>
    <w:p>
      <w:pPr>
        <w:spacing w:line="500" w:lineRule="exact"/>
        <w:ind w:firstLine="640" w:firstLineChars="200"/>
        <w:jc w:val="left"/>
        <w:rPr>
          <w:rFonts w:ascii="仿宋" w:hAnsi="仿宋" w:eastAsia="仿宋"/>
          <w:sz w:val="32"/>
          <w:szCs w:val="32"/>
        </w:rPr>
      </w:pPr>
      <w:r>
        <w:rPr>
          <w:rFonts w:hint="eastAsia" w:ascii="仿宋" w:hAnsi="仿宋" w:eastAsia="仿宋"/>
          <w:sz w:val="32"/>
          <w:szCs w:val="32"/>
        </w:rPr>
        <w:t>（二）健全完善新时代职业教育体系</w:t>
      </w:r>
    </w:p>
    <w:p>
      <w:pPr>
        <w:spacing w:line="500" w:lineRule="exact"/>
        <w:ind w:firstLine="640" w:firstLineChars="200"/>
        <w:jc w:val="left"/>
        <w:rPr>
          <w:rFonts w:ascii="仿宋" w:hAnsi="仿宋" w:eastAsia="仿宋"/>
          <w:sz w:val="32"/>
          <w:szCs w:val="32"/>
        </w:rPr>
      </w:pPr>
      <w:r>
        <w:rPr>
          <w:rFonts w:hint="eastAsia" w:ascii="仿宋" w:hAnsi="仿宋" w:eastAsia="仿宋"/>
          <w:sz w:val="32"/>
          <w:szCs w:val="32"/>
        </w:rPr>
        <w:t>绩效目标：完善新时代职业教育体系，深化产教融合、校企合作，促进职业教育提质培优，提升职业教育服务发展能力。</w:t>
      </w:r>
    </w:p>
    <w:p>
      <w:pPr>
        <w:spacing w:line="500" w:lineRule="exact"/>
        <w:ind w:firstLine="640" w:firstLineChars="200"/>
        <w:jc w:val="left"/>
        <w:rPr>
          <w:rFonts w:ascii="仿宋" w:hAnsi="仿宋" w:eastAsia="仿宋"/>
          <w:sz w:val="32"/>
          <w:szCs w:val="32"/>
        </w:rPr>
      </w:pPr>
      <w:r>
        <w:rPr>
          <w:rFonts w:hint="eastAsia" w:ascii="仿宋" w:hAnsi="仿宋" w:eastAsia="仿宋"/>
          <w:sz w:val="32"/>
          <w:szCs w:val="32"/>
        </w:rPr>
        <w:t>绩效指标：足额落实中等职业学校免学费、助学金政策和生均公用经费标准；建档立卡贫困学生全部享受助学金。中职学生家长、学生综合满意度</w:t>
      </w:r>
      <w:r>
        <w:rPr>
          <w:rFonts w:ascii="仿宋" w:hAnsi="仿宋" w:eastAsia="仿宋"/>
          <w:sz w:val="32"/>
          <w:szCs w:val="32"/>
        </w:rPr>
        <w:t>≥95%</w:t>
      </w:r>
      <w:r>
        <w:rPr>
          <w:rFonts w:hint="eastAsia" w:ascii="仿宋" w:hAnsi="仿宋" w:eastAsia="仿宋"/>
          <w:sz w:val="32"/>
          <w:szCs w:val="32"/>
        </w:rPr>
        <w:t>。</w:t>
      </w:r>
    </w:p>
    <w:p>
      <w:pPr>
        <w:spacing w:line="500" w:lineRule="exact"/>
        <w:ind w:firstLine="640" w:firstLineChars="200"/>
        <w:jc w:val="left"/>
        <w:rPr>
          <w:rFonts w:ascii="仿宋" w:hAnsi="仿宋" w:eastAsia="仿宋"/>
          <w:sz w:val="32"/>
          <w:szCs w:val="32"/>
        </w:rPr>
      </w:pPr>
      <w:r>
        <w:rPr>
          <w:rFonts w:hint="eastAsia" w:ascii="仿宋" w:hAnsi="仿宋" w:eastAsia="仿宋"/>
          <w:sz w:val="32"/>
          <w:szCs w:val="32"/>
        </w:rPr>
        <w:t>（三）加强教师队伍建设，提升教师核心竞争力</w:t>
      </w:r>
    </w:p>
    <w:p>
      <w:pPr>
        <w:spacing w:line="500" w:lineRule="exact"/>
        <w:ind w:firstLine="640" w:firstLineChars="200"/>
        <w:jc w:val="left"/>
        <w:rPr>
          <w:rFonts w:ascii="仿宋" w:hAnsi="仿宋" w:eastAsia="仿宋"/>
          <w:sz w:val="32"/>
          <w:szCs w:val="32"/>
        </w:rPr>
      </w:pPr>
      <w:r>
        <w:rPr>
          <w:rFonts w:hint="eastAsia" w:ascii="仿宋" w:hAnsi="仿宋" w:eastAsia="仿宋"/>
          <w:sz w:val="32"/>
          <w:szCs w:val="32"/>
        </w:rPr>
        <w:t>绩效目标：落实师德师风第一标准，强化师德建设主体责任，深化拓展师德师风治理成果。</w:t>
      </w:r>
    </w:p>
    <w:p>
      <w:pPr>
        <w:spacing w:line="500" w:lineRule="exact"/>
        <w:ind w:firstLine="640" w:firstLineChars="200"/>
        <w:jc w:val="left"/>
        <w:rPr>
          <w:rFonts w:ascii="仿宋" w:hAnsi="仿宋" w:eastAsia="仿宋"/>
          <w:sz w:val="32"/>
          <w:szCs w:val="32"/>
        </w:rPr>
      </w:pPr>
      <w:r>
        <w:rPr>
          <w:rFonts w:hint="eastAsia" w:ascii="仿宋" w:hAnsi="仿宋" w:eastAsia="仿宋"/>
          <w:sz w:val="32"/>
          <w:szCs w:val="32"/>
        </w:rPr>
        <w:t>绩效指标：每年参加培训的教师人数</w:t>
      </w:r>
      <w:r>
        <w:rPr>
          <w:rFonts w:ascii="仿宋" w:hAnsi="仿宋" w:eastAsia="仿宋"/>
          <w:sz w:val="32"/>
          <w:szCs w:val="32"/>
        </w:rPr>
        <w:t>≥</w:t>
      </w:r>
      <w:r>
        <w:rPr>
          <w:rFonts w:hint="eastAsia" w:ascii="仿宋" w:hAnsi="仿宋" w:eastAsia="仿宋"/>
          <w:sz w:val="32"/>
          <w:szCs w:val="32"/>
        </w:rPr>
        <w:t>20人，学生、家长满意度情况</w:t>
      </w:r>
      <w:r>
        <w:rPr>
          <w:rFonts w:ascii="仿宋" w:hAnsi="仿宋" w:eastAsia="仿宋"/>
          <w:sz w:val="32"/>
          <w:szCs w:val="32"/>
        </w:rPr>
        <w:t>≥90%</w:t>
      </w:r>
      <w:r>
        <w:rPr>
          <w:rFonts w:hint="eastAsia" w:ascii="仿宋" w:hAnsi="仿宋" w:eastAsia="仿宋"/>
          <w:sz w:val="32"/>
          <w:szCs w:val="32"/>
        </w:rPr>
        <w:t>。</w:t>
      </w:r>
    </w:p>
    <w:p>
      <w:pPr>
        <w:spacing w:before="156" w:beforeLines="50" w:after="156" w:afterLines="50" w:line="500" w:lineRule="exact"/>
        <w:ind w:firstLine="640" w:firstLineChars="200"/>
        <w:jc w:val="left"/>
        <w:outlineLvl w:val="1"/>
        <w:rPr>
          <w:rFonts w:ascii="仿宋" w:hAnsi="仿宋" w:eastAsia="仿宋"/>
          <w:sz w:val="32"/>
          <w:szCs w:val="32"/>
        </w:rPr>
      </w:pPr>
      <w:bookmarkStart w:id="1" w:name="_Toc71388302"/>
      <w:r>
        <w:rPr>
          <w:rFonts w:ascii="仿宋" w:hAnsi="仿宋" w:eastAsia="仿宋"/>
          <w:sz w:val="32"/>
          <w:szCs w:val="32"/>
        </w:rPr>
        <w:t>三、工作保障措施</w:t>
      </w:r>
      <w:bookmarkEnd w:id="1"/>
      <w:r>
        <w:rPr>
          <w:rFonts w:ascii="仿宋" w:hAnsi="仿宋" w:eastAsia="仿宋"/>
          <w:sz w:val="32"/>
          <w:szCs w:val="32"/>
        </w:rPr>
        <w:fldChar w:fldCharType="begin"/>
      </w:r>
      <w:r>
        <w:rPr>
          <w:rFonts w:ascii="仿宋" w:hAnsi="仿宋" w:eastAsia="仿宋"/>
          <w:sz w:val="32"/>
          <w:szCs w:val="32"/>
        </w:rPr>
        <w:instrText xml:space="preserve"> TC 工作保障措施 \f A \l 1 </w:instrText>
      </w:r>
      <w:r>
        <w:rPr>
          <w:rFonts w:ascii="仿宋" w:hAnsi="仿宋" w:eastAsia="仿宋"/>
          <w:sz w:val="32"/>
          <w:szCs w:val="32"/>
        </w:rPr>
        <w:fldChar w:fldCharType="end"/>
      </w:r>
    </w:p>
    <w:p>
      <w:pPr>
        <w:spacing w:line="500" w:lineRule="exact"/>
        <w:ind w:firstLine="640" w:firstLineChars="200"/>
        <w:jc w:val="left"/>
        <w:rPr>
          <w:rFonts w:ascii="仿宋" w:hAnsi="仿宋" w:eastAsia="仿宋"/>
          <w:sz w:val="32"/>
          <w:szCs w:val="32"/>
        </w:rPr>
      </w:pPr>
      <w:r>
        <w:rPr>
          <w:rFonts w:hint="eastAsia" w:ascii="仿宋" w:hAnsi="仿宋" w:eastAsia="仿宋"/>
          <w:sz w:val="32"/>
          <w:szCs w:val="32"/>
        </w:rPr>
        <w:t>（一）加强组织领导。建立健全教育领域预算绩效管理制度体系。围绕年度总体绩效目标和分项绩效目标，明确责任主体，细化落实措施，确保绩效目标年内全部完成。</w:t>
      </w:r>
    </w:p>
    <w:p>
      <w:pPr>
        <w:spacing w:line="500" w:lineRule="exact"/>
        <w:ind w:firstLine="640" w:firstLineChars="200"/>
        <w:jc w:val="left"/>
        <w:rPr>
          <w:rFonts w:ascii="仿宋" w:hAnsi="仿宋" w:eastAsia="仿宋"/>
          <w:sz w:val="32"/>
          <w:szCs w:val="32"/>
        </w:rPr>
      </w:pPr>
      <w:r>
        <w:rPr>
          <w:rFonts w:hint="eastAsia" w:ascii="仿宋" w:hAnsi="仿宋" w:eastAsia="仿宋"/>
          <w:sz w:val="32"/>
          <w:szCs w:val="32"/>
        </w:rP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spacing w:line="500" w:lineRule="exact"/>
        <w:ind w:firstLine="640" w:firstLineChars="200"/>
        <w:jc w:val="left"/>
        <w:rPr>
          <w:rFonts w:ascii="仿宋" w:hAnsi="仿宋" w:eastAsia="仿宋"/>
          <w:sz w:val="32"/>
          <w:szCs w:val="32"/>
        </w:rPr>
      </w:pPr>
      <w:r>
        <w:rPr>
          <w:rFonts w:hint="eastAsia" w:ascii="仿宋" w:hAnsi="仿宋" w:eastAsia="仿宋"/>
          <w:sz w:val="32"/>
          <w:szCs w:val="32"/>
        </w:rPr>
        <w:t>（三）加强支出管理。督促指导下属单位加快项目执行进度，加快资金支出。严格按照年初预算支出计划加快履行政府采购手续，尽快启动项目，进行资金支付。</w:t>
      </w:r>
    </w:p>
    <w:p>
      <w:pPr>
        <w:spacing w:line="500" w:lineRule="exact"/>
        <w:ind w:firstLine="640" w:firstLineChars="200"/>
        <w:jc w:val="left"/>
        <w:rPr>
          <w:rFonts w:ascii="仿宋" w:hAnsi="仿宋" w:eastAsia="仿宋"/>
          <w:sz w:val="32"/>
          <w:szCs w:val="32"/>
        </w:rPr>
      </w:pPr>
      <w:r>
        <w:rPr>
          <w:rFonts w:hint="eastAsia" w:ascii="仿宋" w:hAnsi="仿宋" w:eastAsia="仿宋"/>
          <w:sz w:val="32"/>
          <w:szCs w:val="32"/>
        </w:rPr>
        <w:t>（四）加强绩效运行监控。强化资金监管，指导各单位建立健全内控组织机构、机制建设和内部管理制度，加强对关键岗位人员管理，保证单位各项经济活动合法合规。</w:t>
      </w:r>
      <w:r>
        <w:rPr>
          <w:rFonts w:ascii="仿宋" w:hAnsi="仿宋" w:eastAsia="仿宋"/>
          <w:sz w:val="32"/>
          <w:szCs w:val="32"/>
        </w:rPr>
        <w:t xml:space="preserve">      </w:t>
      </w:r>
    </w:p>
    <w:p>
      <w:pPr>
        <w:spacing w:line="500" w:lineRule="exact"/>
        <w:ind w:firstLine="640" w:firstLineChars="200"/>
        <w:jc w:val="left"/>
        <w:rPr>
          <w:rFonts w:ascii="仿宋" w:hAnsi="仿宋" w:eastAsia="仿宋"/>
          <w:sz w:val="32"/>
          <w:szCs w:val="32"/>
        </w:rPr>
      </w:pPr>
      <w:r>
        <w:rPr>
          <w:rFonts w:hint="eastAsia" w:ascii="仿宋" w:hAnsi="仿宋" w:eastAsia="仿宋"/>
          <w:sz w:val="32"/>
          <w:szCs w:val="32"/>
        </w:rP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spacing w:line="500" w:lineRule="exact"/>
        <w:ind w:firstLine="640" w:firstLineChars="200"/>
        <w:jc w:val="left"/>
        <w:rPr>
          <w:rFonts w:ascii="仿宋" w:hAnsi="仿宋" w:eastAsia="仿宋"/>
          <w:sz w:val="32"/>
          <w:szCs w:val="32"/>
        </w:rPr>
      </w:pPr>
      <w:r>
        <w:rPr>
          <w:rFonts w:hint="eastAsia" w:ascii="仿宋" w:hAnsi="仿宋" w:eastAsia="仿宋"/>
          <w:sz w:val="32"/>
          <w:szCs w:val="32"/>
        </w:rPr>
        <w:t>（六）规范财务资产管理。进一步完善财务管理制度，严格资产采购审批手续，加强固定资产登记、使用及报废处置管理，做到支出合理，物尽其用。</w:t>
      </w:r>
    </w:p>
    <w:p>
      <w:pPr>
        <w:spacing w:line="500" w:lineRule="exact"/>
        <w:ind w:firstLine="640" w:firstLineChars="200"/>
        <w:jc w:val="left"/>
        <w:rPr>
          <w:rFonts w:ascii="仿宋" w:hAnsi="仿宋" w:eastAsia="仿宋"/>
          <w:sz w:val="32"/>
          <w:szCs w:val="32"/>
        </w:rPr>
      </w:pPr>
    </w:p>
    <w:p>
      <w:pPr>
        <w:spacing w:line="500" w:lineRule="exact"/>
        <w:ind w:firstLine="640" w:firstLineChars="200"/>
        <w:jc w:val="left"/>
        <w:rPr>
          <w:rFonts w:ascii="仿宋" w:hAnsi="仿宋" w:eastAsia="仿宋"/>
          <w:sz w:val="32"/>
          <w:szCs w:val="32"/>
        </w:rPr>
      </w:pPr>
    </w:p>
    <w:p>
      <w:pPr>
        <w:spacing w:line="500" w:lineRule="exact"/>
        <w:ind w:firstLine="640" w:firstLineChars="200"/>
        <w:jc w:val="left"/>
        <w:rPr>
          <w:rFonts w:ascii="仿宋" w:hAnsi="仿宋" w:eastAsia="仿宋"/>
          <w:sz w:val="32"/>
          <w:szCs w:val="32"/>
        </w:rPr>
      </w:pPr>
    </w:p>
    <w:p>
      <w:pPr>
        <w:spacing w:line="500" w:lineRule="exact"/>
        <w:ind w:firstLine="640" w:firstLineChars="200"/>
        <w:jc w:val="left"/>
        <w:rPr>
          <w:rFonts w:ascii="仿宋" w:hAnsi="仿宋" w:eastAsia="仿宋"/>
          <w:sz w:val="32"/>
          <w:szCs w:val="32"/>
        </w:rPr>
      </w:pPr>
    </w:p>
    <w:p>
      <w:pPr>
        <w:jc w:val="center"/>
        <w:outlineLvl w:val="0"/>
        <w:rPr>
          <w:rFonts w:ascii="方正小标宋_GBK" w:eastAsia="方正小标宋_GBK"/>
          <w:sz w:val="44"/>
        </w:rPr>
      </w:pPr>
    </w:p>
    <w:p>
      <w:pPr>
        <w:spacing w:line="360" w:lineRule="auto"/>
        <w:ind w:firstLine="640" w:firstLineChars="200"/>
        <w:rPr>
          <w:rFonts w:ascii="仿宋" w:hAnsi="仿宋" w:eastAsia="仿宋"/>
          <w:sz w:val="32"/>
          <w:szCs w:val="32"/>
        </w:rPr>
      </w:pPr>
    </w:p>
    <w:p>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pPr>
        <w:spacing w:line="360" w:lineRule="auto"/>
        <w:ind w:firstLine="640" w:firstLineChars="200"/>
        <w:rPr>
          <w:rFonts w:ascii="仿宋" w:hAnsi="仿宋" w:eastAsia="仿宋"/>
          <w:sz w:val="32"/>
          <w:szCs w:val="32"/>
        </w:rPr>
      </w:pPr>
    </w:p>
    <w:p>
      <w:pPr>
        <w:ind w:firstLine="562" w:firstLineChars="200"/>
        <w:jc w:val="left"/>
        <w:outlineLvl w:val="3"/>
        <w:rPr>
          <w:rFonts w:ascii="Times New Roman" w:hAnsi="宋体" w:eastAsia="宋体"/>
          <w:b/>
          <w:sz w:val="28"/>
        </w:rPr>
      </w:pPr>
      <w:bookmarkStart w:id="2" w:name="_Toc71388375"/>
      <w:r>
        <w:rPr>
          <w:rFonts w:hint="eastAsia" w:ascii="方正仿宋_GBK" w:eastAsia="方正仿宋_GBK"/>
          <w:b/>
          <w:sz w:val="28"/>
        </w:rPr>
        <w:t>1</w:t>
      </w:r>
      <w:r>
        <w:rPr>
          <w:rFonts w:ascii="方正仿宋_GBK" w:eastAsia="方正仿宋_GBK"/>
          <w:b/>
          <w:sz w:val="28"/>
        </w:rPr>
        <w:t>.提前下达2021年现代职业教育质量提升计划中央补助资金预算绩效目标表</w:t>
      </w:r>
      <w:bookmarkEnd w:id="2"/>
      <w:r>
        <w:rPr>
          <w:rFonts w:ascii="方正仿宋_GBK" w:eastAsia="方正仿宋_GBK"/>
          <w:b/>
          <w:sz w:val="28"/>
        </w:rPr>
        <w:fldChar w:fldCharType="begin"/>
      </w:r>
      <w:r>
        <w:rPr>
          <w:rFonts w:ascii="方正仿宋_GBK" w:eastAsia="方正仿宋_GBK"/>
          <w:b/>
          <w:sz w:val="28"/>
        </w:rPr>
        <w:instrText xml:space="preserve"> TC 72、提前下达2021年现代职业教育质量提升计划中央补助资金预算绩效目标表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360008职教中心</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130625214HT5U9GX9ACUK</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提前下达2021年现代职业教育质量提升计划中央补助资金预算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2000000.00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2000000.00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本项目需资金200万元，资金主要用于我校2021年教学仪器设备购置。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1.购置教学实习设备，改善办学条件。</w:t>
            </w:r>
          </w:p>
          <w:p>
            <w:pPr>
              <w:spacing w:line="300" w:lineRule="exact"/>
              <w:jc w:val="left"/>
              <w:rPr>
                <w:rFonts w:ascii="方正书宋_GBK" w:eastAsia="方正书宋_GBK"/>
              </w:rPr>
            </w:pPr>
            <w:r>
              <w:rPr>
                <w:rFonts w:ascii="方正书宋_GBK" w:eastAsia="方正书宋_GBK"/>
              </w:rPr>
              <w:t>2.提升教育教学水平</w:t>
            </w:r>
          </w:p>
          <w:p>
            <w:pPr>
              <w:spacing w:line="300" w:lineRule="exact"/>
              <w:jc w:val="left"/>
              <w:rPr>
                <w:rFonts w:ascii="方正书宋_GBK" w:eastAsia="方正书宋_GBK"/>
              </w:rPr>
            </w:pPr>
            <w:r>
              <w:rPr>
                <w:rFonts w:ascii="方正书宋_GBK" w:eastAsia="方正书宋_GBK"/>
              </w:rPr>
              <w:t>3.提高学校运转水平</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根据保定市财政局、保定市教育局《关于提前下达2021年现代职业教育质量提升计划中央补助资金预算（参照直达资金）的通知》（保财教[2020]81号）文件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购置设备合格率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购置教学仪器合格率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根据保定市财政局、保定市教育局《关于提前下达2021年现代职业教育质量提升计划中央补助资金预算（参照直达资金）的通知》（保财教[2020]81号）文件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根据保定市财政局、保定市教育局《关于提前下达2021年现代职业教育质量提升计划中央补助资金预算（参照直达资金）的通知》（保财教[2020]81号）文件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根据保定市财政局、保定市教育局《关于提前下达2021年现代职业教育质量提升计划中央补助资金预算（参照直达资金）的通知》（保财教[2020]81号）文件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学校毕业生就业率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根据保定市财政局、保定市教育局《关于提前下达2021年现代职业教育质量提升计划中央补助资金预算（参照直达资金）的通知》（保财教[2020]81号）文件</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3" w:name="_Toc71388376"/>
      <w:r>
        <w:rPr>
          <w:rFonts w:hint="eastAsia" w:ascii="方正仿宋_GBK" w:eastAsia="方正仿宋_GBK"/>
          <w:b/>
          <w:sz w:val="28"/>
        </w:rPr>
        <w:t>2</w:t>
      </w:r>
      <w:r>
        <w:rPr>
          <w:rFonts w:ascii="方正仿宋_GBK" w:eastAsia="方正仿宋_GBK"/>
          <w:b/>
          <w:sz w:val="28"/>
        </w:rPr>
        <w:t>.徐水职教中心教育教学事务活动经费绩效目标表</w:t>
      </w:r>
      <w:bookmarkEnd w:id="3"/>
      <w:r>
        <w:rPr>
          <w:rFonts w:ascii="方正仿宋_GBK" w:eastAsia="方正仿宋_GBK"/>
          <w:b/>
          <w:sz w:val="28"/>
        </w:rPr>
        <w:fldChar w:fldCharType="begin"/>
      </w:r>
      <w:r>
        <w:rPr>
          <w:rFonts w:ascii="方正仿宋_GBK" w:eastAsia="方正仿宋_GBK"/>
          <w:b/>
          <w:sz w:val="28"/>
        </w:rPr>
        <w:instrText xml:space="preserve"> TC 73、徐水职教中心教育教学事务活动经费绩效目标表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360008职教中心</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130625216LW83T450R1PX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徐水职教中心教育教学事务活动经费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1031100.00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1031100.00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该项目资金为学校2021年全年事业收入，该资金主要用于2021年维持学校正常日常运转，开展各项业务活动。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1.弥补学校运转缺口，保证学校正常运转</w:t>
            </w:r>
          </w:p>
          <w:p>
            <w:pPr>
              <w:spacing w:line="300" w:lineRule="exact"/>
              <w:jc w:val="left"/>
              <w:rPr>
                <w:rFonts w:ascii="方正书宋_GBK" w:eastAsia="方正书宋_GBK"/>
              </w:rPr>
            </w:pPr>
            <w:r>
              <w:rPr>
                <w:rFonts w:ascii="方正书宋_GBK" w:eastAsia="方正书宋_GBK"/>
              </w:rPr>
              <w:t>2.增强教育教学水平</w:t>
            </w:r>
          </w:p>
          <w:p>
            <w:pPr>
              <w:spacing w:line="300" w:lineRule="exact"/>
              <w:jc w:val="left"/>
              <w:rPr>
                <w:rFonts w:ascii="方正书宋_GBK" w:eastAsia="方正书宋_GBK"/>
              </w:rPr>
            </w:pPr>
            <w:r>
              <w:rPr>
                <w:rFonts w:ascii="方正书宋_GBK" w:eastAsia="方正书宋_GBK"/>
              </w:rPr>
              <w:t>3.增强职业教育发展活力</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有效的改善学校环境，提高教育教学质量</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4" w:name="_Toc71388377"/>
      <w:r>
        <w:rPr>
          <w:rFonts w:hint="eastAsia" w:ascii="方正仿宋_GBK" w:eastAsia="方正仿宋_GBK"/>
          <w:b/>
          <w:sz w:val="28"/>
        </w:rPr>
        <w:t>3</w:t>
      </w:r>
      <w:r>
        <w:rPr>
          <w:rFonts w:ascii="方正仿宋_GBK" w:eastAsia="方正仿宋_GBK"/>
          <w:b/>
          <w:sz w:val="28"/>
        </w:rPr>
        <w:t>.中等职业学校助学金绩效目标表</w:t>
      </w:r>
      <w:bookmarkEnd w:id="4"/>
      <w:r>
        <w:rPr>
          <w:rFonts w:ascii="方正仿宋_GBK" w:eastAsia="方正仿宋_GBK"/>
          <w:b/>
          <w:sz w:val="28"/>
        </w:rPr>
        <w:fldChar w:fldCharType="begin"/>
      </w:r>
      <w:r>
        <w:rPr>
          <w:rFonts w:ascii="方正仿宋_GBK" w:eastAsia="方正仿宋_GBK"/>
          <w:b/>
          <w:sz w:val="28"/>
        </w:rPr>
        <w:instrText xml:space="preserve"> TC 74、中等职业学校助学金绩效目标表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360008职教中心</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130625218WQYUH88CCDW1</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中等职业学校助学金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60000.00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60000.00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该项目主要资助具有中等职业学校全日制学历教育的正式学籍的一、二年级在校涉农专业学生和非涉农专业家庭经济困难学生。用于受助学生2021年的生活费开支。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1.落实中等职业学校助学金政策</w:t>
            </w:r>
          </w:p>
          <w:p>
            <w:pPr>
              <w:spacing w:line="300" w:lineRule="exact"/>
              <w:jc w:val="left"/>
              <w:rPr>
                <w:rFonts w:ascii="方正书宋_GBK" w:eastAsia="方正书宋_GBK"/>
              </w:rPr>
            </w:pPr>
            <w:r>
              <w:rPr>
                <w:rFonts w:ascii="方正书宋_GBK" w:eastAsia="方正书宋_GBK"/>
              </w:rPr>
              <w:t>2.减轻贫困家庭生活负担</w:t>
            </w:r>
          </w:p>
          <w:p>
            <w:pPr>
              <w:spacing w:line="300" w:lineRule="exact"/>
              <w:jc w:val="left"/>
              <w:rPr>
                <w:rFonts w:ascii="方正书宋_GBK" w:eastAsia="方正书宋_GBK"/>
              </w:rPr>
            </w:pPr>
            <w:r>
              <w:rPr>
                <w:rFonts w:ascii="方正书宋_GBK" w:eastAsia="方正书宋_GBK"/>
              </w:rPr>
              <w:t>3.保障家庭困难学生顺利完成学业</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资助学生比率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实际受助学生人数占应受助学生的比率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资助经费及时发放率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资助经费及时发放率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资助标准达标率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资助标准达标率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受助学生完成学业率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受助学生满意度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受助学生满意数量占受助学生总数的比例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受助学生满意度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受助学生对助学金政策的整体满意度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受助家庭满意度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受助家庭对助学金政策的整体满意度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5" w:name="_Toc71388378"/>
      <w:r>
        <w:rPr>
          <w:rFonts w:hint="eastAsia" w:ascii="方正仿宋_GBK" w:eastAsia="方正仿宋_GBK"/>
          <w:b/>
          <w:sz w:val="28"/>
        </w:rPr>
        <w:t>4</w:t>
      </w:r>
      <w:r>
        <w:rPr>
          <w:rFonts w:ascii="方正仿宋_GBK" w:eastAsia="方正仿宋_GBK"/>
          <w:b/>
          <w:sz w:val="28"/>
        </w:rPr>
        <w:t>.提前下达2021年中央学生资助补助经费预算（直达资金）-中职免学费绩效目标表</w:t>
      </w:r>
      <w:bookmarkEnd w:id="5"/>
      <w:r>
        <w:rPr>
          <w:rFonts w:ascii="方正仿宋_GBK" w:eastAsia="方正仿宋_GBK"/>
          <w:b/>
          <w:sz w:val="28"/>
        </w:rPr>
        <w:fldChar w:fldCharType="begin"/>
      </w:r>
      <w:r>
        <w:rPr>
          <w:rFonts w:ascii="方正仿宋_GBK" w:eastAsia="方正仿宋_GBK"/>
          <w:b/>
          <w:sz w:val="28"/>
        </w:rPr>
        <w:instrText xml:space="preserve"> TC 75、提前下达2021年中央学生资助补助经费预算（直达资金）-中职免学费绩效目标表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360008职教中心</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130625219G3FXS2AT94T1</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提前下达2021年中央学生资助补助经费预算（直达资金）-中职免学费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3330000.00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3330000.00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该项目是指中等职业学校学生享受免学费政策后，为弥补学校运转出现的经费缺口，财政核拨的补助资金，主要用于2021年学校公用经费、维修改造支出，保障学校正常运转。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1.全面落实中职学校在校生免学费政策</w:t>
            </w:r>
          </w:p>
          <w:p>
            <w:pPr>
              <w:spacing w:line="300" w:lineRule="exact"/>
              <w:jc w:val="left"/>
              <w:rPr>
                <w:rFonts w:ascii="方正书宋_GBK" w:eastAsia="方正书宋_GBK"/>
              </w:rPr>
            </w:pPr>
            <w:r>
              <w:rPr>
                <w:rFonts w:ascii="方正书宋_GBK" w:eastAsia="方正书宋_GBK"/>
              </w:rPr>
              <w:t>2.确保农村及城市困难学生人人有学上，减轻学生家庭负担</w:t>
            </w:r>
          </w:p>
          <w:p>
            <w:pPr>
              <w:spacing w:line="300" w:lineRule="exact"/>
              <w:jc w:val="left"/>
              <w:rPr>
                <w:rFonts w:ascii="方正书宋_GBK" w:eastAsia="方正书宋_GBK"/>
              </w:rPr>
            </w:pPr>
            <w:r>
              <w:rPr>
                <w:rFonts w:ascii="方正书宋_GBK" w:eastAsia="方正书宋_GBK"/>
              </w:rPr>
              <w:t>3.提高学校运转水平</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依据保定市财政局、保定市教育局《关于提前下达2021年中央学生资助补助中经费预算（直达资金）的通知》保财教[2020]86号文件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日常工作及教育教学的正常运转情况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依据保定市财政局、保定市教育局《关于提前下达2021年中央学生资助补助中经费预算（直达资金）的通知》保财教[2020]86号文件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依据保定市财政局、保定市教育局《关于提前下达2021年中央学生资助补助中经费预算（直达资金）的通知》保财教[2020]86号文件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依据保定市财政局、保定市教育局《关于提前下达2021年中央学生资助补助中经费预算（直达资金）的通知》保财教[2020]86号文件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缓解农村及城市困难学生家庭负担</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依据保定市财政局、保定市教育局《关于提前下达2021年中央学生资助补助中经费预算（直达资金）的通知》保财教[2020]86号文件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享受免学费政策学生满意度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享受免学费学生满意数量占享受免学费学生总数的比例。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依据保定市财政局、保定市教育局《关于提前下达2021年中央学生资助补助中经费预算（直达资金）的通知》保财教[2020]86号文件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享受免学费学生满意度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享受免学费学生对免学费政策的整体满意度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依据保定市财政局、保定市教育局《关于提前下达2021年中央学生资助补助中经费预算（直达资金）的通知》保财教[2020]86号文件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享受免学费政策受助家庭满意度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享受免学费学生家庭对免学费政策的整体满意度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依据保定市财政局、保定市教育局《关于提前下达2021年中央学生资助补助中经费预算（直达资金）的通知》保财教[2020]86号文件</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6" w:name="_Toc71388379"/>
      <w:r>
        <w:rPr>
          <w:rFonts w:hint="eastAsia" w:ascii="方正仿宋_GBK" w:eastAsia="方正仿宋_GBK"/>
          <w:b/>
          <w:sz w:val="28"/>
        </w:rPr>
        <w:t>5</w:t>
      </w:r>
      <w:r>
        <w:rPr>
          <w:rFonts w:ascii="方正仿宋_GBK" w:eastAsia="方正仿宋_GBK"/>
          <w:b/>
          <w:sz w:val="28"/>
        </w:rPr>
        <w:t>.提前下达2021年省级现代职业教育发展专项资金预算（助学金）绩效目标表</w:t>
      </w:r>
      <w:bookmarkEnd w:id="6"/>
      <w:r>
        <w:rPr>
          <w:rFonts w:ascii="方正仿宋_GBK" w:eastAsia="方正仿宋_GBK"/>
          <w:b/>
          <w:sz w:val="28"/>
        </w:rPr>
        <w:fldChar w:fldCharType="begin"/>
      </w:r>
      <w:r>
        <w:rPr>
          <w:rFonts w:ascii="方正仿宋_GBK" w:eastAsia="方正仿宋_GBK"/>
          <w:b/>
          <w:sz w:val="28"/>
        </w:rPr>
        <w:instrText xml:space="preserve"> TC 76、提前下达2021年省级现代职业教育发展专项资金预算（助学金）绩效目标表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360008职教中心</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13062521ANLW74GOW3HW9</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提前下达2021年省级现代职业教育发展专项资金预算（助学金）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国家助学金资助对象是具有中等职业学校全日制学历教育的正式学籍的一、二年级在校涉农专业学生和非涉农专业家庭经济困难学生，该项目主要资助2021受助学生的助学金发放。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1.落实中等职业学校助学金政策</w:t>
            </w:r>
          </w:p>
          <w:p>
            <w:pPr>
              <w:spacing w:line="300" w:lineRule="exact"/>
              <w:jc w:val="left"/>
              <w:rPr>
                <w:rFonts w:ascii="方正书宋_GBK" w:eastAsia="方正书宋_GBK"/>
              </w:rPr>
            </w:pPr>
            <w:r>
              <w:rPr>
                <w:rFonts w:ascii="方正书宋_GBK" w:eastAsia="方正书宋_GBK"/>
              </w:rPr>
              <w:t>2.减轻贫困家庭生活负担</w:t>
            </w:r>
          </w:p>
          <w:p>
            <w:pPr>
              <w:spacing w:line="300" w:lineRule="exact"/>
              <w:jc w:val="left"/>
              <w:rPr>
                <w:rFonts w:ascii="方正书宋_GBK" w:eastAsia="方正书宋_GBK"/>
              </w:rPr>
            </w:pPr>
            <w:r>
              <w:rPr>
                <w:rFonts w:ascii="方正书宋_GBK" w:eastAsia="方正书宋_GBK"/>
              </w:rPr>
              <w:t>3.保障家庭困难学生顺利完成学业</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资助学生比率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实际受助学生人数占应受助学生的比率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资助经费及时发放率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资助经费及时发放率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资助标准达标率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资助标准达标率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受助学生完成学业率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受助学生满意度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受助学生满意数量占受助学生总数的比例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受助学生满意度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受助学生对助学金政策的整体满意度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受助家庭满意度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受助家庭对助学金政策的整体满意度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7" w:name="_Toc71388380"/>
      <w:r>
        <w:rPr>
          <w:rFonts w:hint="eastAsia" w:ascii="方正仿宋_GBK" w:eastAsia="方正仿宋_GBK"/>
          <w:b/>
          <w:sz w:val="28"/>
        </w:rPr>
        <w:t>6</w:t>
      </w:r>
      <w:r>
        <w:rPr>
          <w:rFonts w:ascii="方正仿宋_GBK" w:eastAsia="方正仿宋_GBK"/>
          <w:b/>
          <w:sz w:val="28"/>
        </w:rPr>
        <w:t>.提前下达2021年省级现代职业教育发展专项资金预算（免学费）绩效目标表</w:t>
      </w:r>
      <w:bookmarkEnd w:id="7"/>
      <w:r>
        <w:rPr>
          <w:rFonts w:ascii="方正仿宋_GBK" w:eastAsia="方正仿宋_GBK"/>
          <w:b/>
          <w:sz w:val="28"/>
        </w:rPr>
        <w:fldChar w:fldCharType="begin"/>
      </w:r>
      <w:r>
        <w:rPr>
          <w:rFonts w:ascii="方正仿宋_GBK" w:eastAsia="方正仿宋_GBK"/>
          <w:b/>
          <w:sz w:val="28"/>
        </w:rPr>
        <w:instrText xml:space="preserve"> TC 77、提前下达2021年省级现代职业教育发展专项资金预算（免学费）绩效目标表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360008职教中心</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13062521BTLLETIDR5GP6</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提前下达2021年省级现代职业教育发展专项资金预算（免学费）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700000.00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700000.00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该项目是指中等职业学校学生享受免学费政策后，为弥补学校运转出现的经费缺口，财政核拨的补助资金，主要用于2021年学校公用经费、维修改造支出，保障学校正常运转。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1.全面落实中职学校在校生免学费政策</w:t>
            </w:r>
          </w:p>
          <w:p>
            <w:pPr>
              <w:spacing w:line="300" w:lineRule="exact"/>
              <w:jc w:val="left"/>
              <w:rPr>
                <w:rFonts w:ascii="方正书宋_GBK" w:eastAsia="方正书宋_GBK"/>
              </w:rPr>
            </w:pPr>
            <w:r>
              <w:rPr>
                <w:rFonts w:ascii="方正书宋_GBK" w:eastAsia="方正书宋_GBK"/>
              </w:rPr>
              <w:t>2.确保农村及城市困难学生人人有学上，减轻学生家庭负担</w:t>
            </w:r>
          </w:p>
          <w:p>
            <w:pPr>
              <w:spacing w:line="300" w:lineRule="exact"/>
              <w:jc w:val="left"/>
              <w:rPr>
                <w:rFonts w:ascii="方正书宋_GBK" w:eastAsia="方正书宋_GBK"/>
              </w:rPr>
            </w:pPr>
            <w:r>
              <w:rPr>
                <w:rFonts w:ascii="方正书宋_GBK" w:eastAsia="方正书宋_GBK"/>
              </w:rPr>
              <w:t>3.提高学校运转水平</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日常工作及教育教学的正常运转情况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缓解农村及城市困难学生家庭负担</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享受免学费学生满意度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享受免学费学生对免学费政策的整体满意度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享受免学费政策学生满意度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享受免学费学生满意数量占享受免学费学生总数的比例。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享受免学费政策受助家庭满意度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享受免学费学生家庭对免学费政策的整体满意度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8" w:name="_Toc71388381"/>
      <w:r>
        <w:rPr>
          <w:rFonts w:hint="eastAsia" w:ascii="方正仿宋_GBK" w:eastAsia="方正仿宋_GBK"/>
          <w:b/>
          <w:sz w:val="28"/>
        </w:rPr>
        <w:t>7</w:t>
      </w:r>
      <w:r>
        <w:rPr>
          <w:rFonts w:ascii="方正仿宋_GBK" w:eastAsia="方正仿宋_GBK"/>
          <w:b/>
          <w:sz w:val="28"/>
        </w:rPr>
        <w:t>.提前下达2021年学生资助市级配套资金-中职助学金绩效目标表</w:t>
      </w:r>
      <w:bookmarkEnd w:id="8"/>
      <w:r>
        <w:rPr>
          <w:rFonts w:ascii="方正仿宋_GBK" w:eastAsia="方正仿宋_GBK"/>
          <w:b/>
          <w:sz w:val="28"/>
        </w:rPr>
        <w:fldChar w:fldCharType="begin"/>
      </w:r>
      <w:r>
        <w:rPr>
          <w:rFonts w:ascii="方正仿宋_GBK" w:eastAsia="方正仿宋_GBK"/>
          <w:b/>
          <w:sz w:val="28"/>
        </w:rPr>
        <w:instrText xml:space="preserve"> TC 78、提前下达2021年学生资助市级配套资金-中职助学金绩效目标表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360008职教中心</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13062521DWE6TWVG1GLHG</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提前下达2021年学生资助市级配套资金-中职助学金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该项目主要资助具有中等职业学校全日制学历教育的正式学籍的一、二年级在校涉农专业学生和非涉农专业家庭经济困难学生。用于受助学生2021年的生活费开支。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1.落实中等职业学校助学金政策</w:t>
            </w:r>
          </w:p>
          <w:p>
            <w:pPr>
              <w:spacing w:line="300" w:lineRule="exact"/>
              <w:jc w:val="left"/>
              <w:rPr>
                <w:rFonts w:ascii="方正书宋_GBK" w:eastAsia="方正书宋_GBK"/>
              </w:rPr>
            </w:pPr>
            <w:r>
              <w:rPr>
                <w:rFonts w:ascii="方正书宋_GBK" w:eastAsia="方正书宋_GBK"/>
              </w:rPr>
              <w:t>2.减轻贫困家庭生活负担</w:t>
            </w:r>
          </w:p>
          <w:p>
            <w:pPr>
              <w:spacing w:line="300" w:lineRule="exact"/>
              <w:jc w:val="left"/>
              <w:rPr>
                <w:rFonts w:ascii="方正书宋_GBK" w:eastAsia="方正书宋_GBK"/>
              </w:rPr>
            </w:pPr>
            <w:r>
              <w:rPr>
                <w:rFonts w:ascii="方正书宋_GBK" w:eastAsia="方正书宋_GBK"/>
              </w:rPr>
              <w:t>3.保障家庭困难学生顺利完成学业</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资助学生比率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实际受助学生人数占应受助学生的比率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资助经费及时发放率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资助经费及时发放率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资助标准达标率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资助标准达标率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受助学生完成学业率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受助家庭满意度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受助家庭对助学金政策的整体满意度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受助学生满意度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受助学生满意数量占受助学生总数的比例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受助学生满意度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受助学生对助学金政策的整体满意度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9" w:name="_Toc71388382"/>
      <w:r>
        <w:rPr>
          <w:rFonts w:hint="eastAsia" w:ascii="方正仿宋_GBK" w:eastAsia="方正仿宋_GBK"/>
          <w:b/>
          <w:sz w:val="28"/>
        </w:rPr>
        <w:t>8</w:t>
      </w:r>
      <w:r>
        <w:rPr>
          <w:rFonts w:ascii="方正仿宋_GBK" w:eastAsia="方正仿宋_GBK"/>
          <w:b/>
          <w:sz w:val="28"/>
        </w:rPr>
        <w:t>.职业教育免学费绩效目标表</w:t>
      </w:r>
      <w:bookmarkEnd w:id="9"/>
      <w:r>
        <w:rPr>
          <w:rFonts w:ascii="方正仿宋_GBK" w:eastAsia="方正仿宋_GBK"/>
          <w:b/>
          <w:sz w:val="28"/>
        </w:rPr>
        <w:fldChar w:fldCharType="begin"/>
      </w:r>
      <w:r>
        <w:rPr>
          <w:rFonts w:ascii="方正仿宋_GBK" w:eastAsia="方正仿宋_GBK"/>
          <w:b/>
          <w:sz w:val="28"/>
        </w:rPr>
        <w:instrText xml:space="preserve"> TC 79、职业教育免学费绩效目标表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360008职教中心</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13062521EWLFVM0S67Y4I</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职业教育免学费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1120000.00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1120000.00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该项目是指中等职业学校学生享受免学费政策后，为弥补学校运转出现的经费缺口，财政核拨的补助资金，主要用于2021年学校日常运转、大型修缮和校内贫困生资助项目。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1.全面落实中职学校在校生免学费政策</w:t>
            </w:r>
          </w:p>
          <w:p>
            <w:pPr>
              <w:spacing w:line="300" w:lineRule="exact"/>
              <w:jc w:val="left"/>
              <w:rPr>
                <w:rFonts w:ascii="方正书宋_GBK" w:eastAsia="方正书宋_GBK"/>
              </w:rPr>
            </w:pPr>
            <w:r>
              <w:rPr>
                <w:rFonts w:ascii="方正书宋_GBK" w:eastAsia="方正书宋_GBK"/>
              </w:rPr>
              <w:t>2.确保农村及城市困难学生人人有学上</w:t>
            </w:r>
          </w:p>
          <w:p>
            <w:pPr>
              <w:spacing w:line="300" w:lineRule="exact"/>
              <w:jc w:val="left"/>
              <w:rPr>
                <w:rFonts w:ascii="方正书宋_GBK" w:eastAsia="方正书宋_GBK"/>
              </w:rPr>
            </w:pPr>
            <w:r>
              <w:rPr>
                <w:rFonts w:ascii="方正书宋_GBK" w:eastAsia="方正书宋_GBK"/>
              </w:rPr>
              <w:t>3.减轻学生家庭负担</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日常工作及教育教学的正常运转情况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缓解农村及城市困难学生家庭负担</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享受免学费政策学生满意度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享受免学费学生满意数量占享受免学费学生总数的比例。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享受免学费学生满意度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享受免学费学生对免学费政策的整体满意度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享受免学费政策受助家庭满意度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享受免学费学生家庭对免学费政策的整体满意度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0" w:name="_Toc71388383"/>
      <w:r>
        <w:rPr>
          <w:rFonts w:hint="eastAsia" w:ascii="方正仿宋_GBK" w:eastAsia="方正仿宋_GBK"/>
          <w:b/>
          <w:sz w:val="28"/>
        </w:rPr>
        <w:t>9</w:t>
      </w:r>
      <w:r>
        <w:rPr>
          <w:rFonts w:ascii="方正仿宋_GBK" w:eastAsia="方正仿宋_GBK"/>
          <w:b/>
          <w:sz w:val="28"/>
        </w:rPr>
        <w:t>.校园安保经费绩效目标表</w:t>
      </w:r>
      <w:bookmarkEnd w:id="10"/>
      <w:r>
        <w:rPr>
          <w:rFonts w:ascii="方正仿宋_GBK" w:eastAsia="方正仿宋_GBK"/>
          <w:b/>
          <w:sz w:val="28"/>
        </w:rPr>
        <w:fldChar w:fldCharType="begin"/>
      </w:r>
      <w:r>
        <w:rPr>
          <w:rFonts w:ascii="方正仿宋_GBK" w:eastAsia="方正仿宋_GBK"/>
          <w:b/>
          <w:sz w:val="28"/>
        </w:rPr>
        <w:instrText xml:space="preserve"> TC 80、校园安保经费绩效目标表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360008职教中心</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13062521G07DARVCSNALC</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182400.00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182400.00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该项目资金用于我单位2021年8名安保人员工资发放。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1.加强校园保卫，维持正常秩序</w:t>
            </w:r>
          </w:p>
          <w:p>
            <w:pPr>
              <w:spacing w:line="300" w:lineRule="exact"/>
              <w:jc w:val="left"/>
              <w:rPr>
                <w:rFonts w:ascii="方正书宋_GBK" w:eastAsia="方正书宋_GBK"/>
              </w:rPr>
            </w:pPr>
            <w:r>
              <w:rPr>
                <w:rFonts w:ascii="方正书宋_GBK" w:eastAsia="方正书宋_GBK"/>
              </w:rPr>
              <w:t>2.保障师生生命财产安全</w:t>
            </w:r>
          </w:p>
          <w:p>
            <w:pPr>
              <w:spacing w:line="300" w:lineRule="exact"/>
              <w:jc w:val="left"/>
              <w:rPr>
                <w:rFonts w:ascii="方正书宋_GBK" w:eastAsia="方正书宋_GBK"/>
              </w:rPr>
            </w:pPr>
            <w:r>
              <w:rPr>
                <w:rFonts w:ascii="方正书宋_GBK" w:eastAsia="方正书宋_GBK"/>
              </w:rPr>
              <w:t>3.缓解学校经济压力</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日常工作及设备设施正常运行情况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1" w:name="_Toc71388384"/>
      <w:r>
        <w:rPr>
          <w:rFonts w:hint="eastAsia" w:ascii="方正仿宋_GBK" w:eastAsia="方正仿宋_GBK"/>
          <w:b/>
          <w:sz w:val="28"/>
        </w:rPr>
        <w:t>10</w:t>
      </w:r>
      <w:r>
        <w:rPr>
          <w:rFonts w:ascii="方正仿宋_GBK" w:eastAsia="方正仿宋_GBK"/>
          <w:b/>
          <w:sz w:val="28"/>
        </w:rPr>
        <w:t>.提前下达2021年中央学生资助补助经费预算（直达资金）-中职助学金绩效目标表</w:t>
      </w:r>
      <w:bookmarkEnd w:id="11"/>
      <w:r>
        <w:rPr>
          <w:rFonts w:ascii="方正仿宋_GBK" w:eastAsia="方正仿宋_GBK"/>
          <w:b/>
          <w:sz w:val="28"/>
        </w:rPr>
        <w:fldChar w:fldCharType="begin"/>
      </w:r>
      <w:r>
        <w:rPr>
          <w:rFonts w:ascii="方正仿宋_GBK" w:eastAsia="方正仿宋_GBK"/>
          <w:b/>
          <w:sz w:val="28"/>
        </w:rPr>
        <w:instrText xml:space="preserve"> TC 81、提前下达2021年中央学生资助补助经费预算（直达资金）-中职助学金绩效目标表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360008职教中心</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13062521GGCFOC5HIUM11</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提前下达2021年中央学生资助补助经费预算（直达资金）-中职助学金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90000.00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该项目主要资助具有中等职业学校全日制学历教育的正式学籍的一、二年级在校涉农专业学生和非涉农专业家庭经济困难学生，用于受助学生2021年的生活费开支。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1.落实中等职业学校助学金政策</w:t>
            </w:r>
          </w:p>
          <w:p>
            <w:pPr>
              <w:spacing w:line="300" w:lineRule="exact"/>
              <w:jc w:val="left"/>
              <w:rPr>
                <w:rFonts w:ascii="方正书宋_GBK" w:eastAsia="方正书宋_GBK"/>
              </w:rPr>
            </w:pPr>
            <w:r>
              <w:rPr>
                <w:rFonts w:ascii="方正书宋_GBK" w:eastAsia="方正书宋_GBK"/>
              </w:rPr>
              <w:t>2.减轻贫困家庭生活负担</w:t>
            </w:r>
          </w:p>
          <w:p>
            <w:pPr>
              <w:spacing w:line="300" w:lineRule="exact"/>
              <w:jc w:val="left"/>
              <w:rPr>
                <w:rFonts w:ascii="方正书宋_GBK" w:eastAsia="方正书宋_GBK"/>
              </w:rPr>
            </w:pPr>
            <w:r>
              <w:rPr>
                <w:rFonts w:ascii="方正书宋_GBK" w:eastAsia="方正书宋_GBK"/>
              </w:rPr>
              <w:t>3.保障家庭困难学生顺利完成学业</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依据保定市财政局、保定市教育局《关于提前下达2021年中央学生资助补助中经费预算（直达资金）的通知》保财教[2020]86号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资助学生比率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实际受助学生人数占应受助学生的比率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依据保定市财政局、保定市教育局《关于提前下达2021年中央学生资助补助中经费预算（直达资金）的通知》保财教[2020]86号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资助经费及时发放率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资助经费及时发放率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依据保定市财政局、保定市教育局《关于提前下达2021年中央学生资助补助中经费预算（直达资金）的通知》保财教[2020]86号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资助标准达标率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资助标准达标率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依据保定市财政局、保定市教育局《关于提前下达2021年中央学生资助补助中经费预算（直达资金）的通知》保财教[2020]86号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受助学生完成学业率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依据保定市财政局、保定市教育局《关于提前下达2021年中央学生资助补助中经费预算（直达资金）的通知》保财教[2020]86号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受助学生满意度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受助学生满意数量占受助学生总数的比例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依据保定市财政局、保定市教育局《关于提前下达2021年中央学生资助补助中经费预算（直达资金）的通知》保财教[2020]86号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受助学生满意度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受助学生对助学金政策的整体满意度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依据保定市财政局、保定市教育局《关于提前下达2021年中央学生资助补助中经费预算（直达资金）的通知》保财教[2020]86号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受助家庭满意度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受助家庭对助学金政策的整体满意度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依据保定市财政局、保定市教育局《关于提前下达2021年中央学生资助补助中经费预算（直达资金）的通知》保财教[2020]86号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2" w:name="_Toc71388385"/>
      <w:r>
        <w:rPr>
          <w:rFonts w:hint="eastAsia" w:ascii="方正仿宋_GBK" w:eastAsia="方正仿宋_GBK"/>
          <w:b/>
          <w:sz w:val="28"/>
        </w:rPr>
        <w:t>11</w:t>
      </w:r>
      <w:r>
        <w:rPr>
          <w:rFonts w:ascii="方正仿宋_GBK" w:eastAsia="方正仿宋_GBK"/>
          <w:b/>
          <w:sz w:val="28"/>
        </w:rPr>
        <w:t>.中职生均公用经费绩效目标表</w:t>
      </w:r>
      <w:bookmarkEnd w:id="12"/>
      <w:r>
        <w:rPr>
          <w:rFonts w:ascii="方正仿宋_GBK" w:eastAsia="方正仿宋_GBK"/>
          <w:b/>
          <w:sz w:val="28"/>
        </w:rPr>
        <w:fldChar w:fldCharType="begin"/>
      </w:r>
      <w:r>
        <w:rPr>
          <w:rFonts w:ascii="方正仿宋_GBK" w:eastAsia="方正仿宋_GBK"/>
          <w:b/>
          <w:sz w:val="28"/>
        </w:rPr>
        <w:instrText xml:space="preserve"> TC 82、中职生均公用经费绩效目标表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360008职教中心</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13062521N9Y550REYUBPR</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中职生均公用经费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3828000.00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3828000.00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该项目主要用于弥补学校运转缺口，保证学校正常运转，该项目资金主要用于2021年学校公用经费、日常维修维护、大型修缮，加强校园基础能力建设。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1.确保我单位教学事务活动的正常开展</w:t>
            </w:r>
          </w:p>
          <w:p>
            <w:pPr>
              <w:spacing w:line="300" w:lineRule="exact"/>
              <w:jc w:val="left"/>
              <w:rPr>
                <w:rFonts w:ascii="方正书宋_GBK" w:eastAsia="方正书宋_GBK"/>
              </w:rPr>
            </w:pPr>
            <w:r>
              <w:rPr>
                <w:rFonts w:ascii="方正书宋_GBK" w:eastAsia="方正书宋_GBK"/>
              </w:rPr>
              <w:t>2.加强基础设施建设，促进学校发展</w:t>
            </w:r>
          </w:p>
          <w:p>
            <w:pPr>
              <w:spacing w:line="300" w:lineRule="exact"/>
              <w:jc w:val="left"/>
              <w:rPr>
                <w:rFonts w:ascii="方正书宋_GBK" w:eastAsia="方正书宋_GBK"/>
              </w:rPr>
            </w:pPr>
            <w:r>
              <w:rPr>
                <w:rFonts w:ascii="方正书宋_GBK" w:eastAsia="方正书宋_GBK"/>
              </w:rPr>
              <w:t>3.提高教育教学质量</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有效的改善学校环境，有利于提高教学质量</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3" w:name="_Toc71388386"/>
      <w:r>
        <w:rPr>
          <w:rFonts w:hint="eastAsia" w:ascii="方正仿宋_GBK" w:eastAsia="方正仿宋_GBK"/>
          <w:b/>
          <w:sz w:val="28"/>
        </w:rPr>
        <w:t>12</w:t>
      </w:r>
      <w:r>
        <w:rPr>
          <w:rFonts w:ascii="方正仿宋_GBK" w:eastAsia="方正仿宋_GBK"/>
          <w:b/>
          <w:sz w:val="28"/>
        </w:rPr>
        <w:t>.提前下达2021年省级现代职业教育发展专项资金预算（建档立卡资金）绩效目标表</w:t>
      </w:r>
      <w:bookmarkEnd w:id="13"/>
      <w:r>
        <w:rPr>
          <w:rFonts w:ascii="方正仿宋_GBK" w:eastAsia="方正仿宋_GBK"/>
          <w:b/>
          <w:sz w:val="28"/>
        </w:rPr>
        <w:fldChar w:fldCharType="begin"/>
      </w:r>
      <w:r>
        <w:rPr>
          <w:rFonts w:ascii="方正仿宋_GBK" w:eastAsia="方正仿宋_GBK"/>
          <w:b/>
          <w:sz w:val="28"/>
        </w:rPr>
        <w:instrText xml:space="preserve"> TC 83、提前下达2021年省级现代职业教育发展专项资金预算（建档立卡资金）绩效目标表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360008职教中心</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13062521SR8BT78GISA7D</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提前下达2021年省级现代职业教育发展专项资金预算（建档立卡资金）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9000.00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该项目资金为学校免除建档立卡学生免住宿费、免教科书费后，省级配套补助学校经费。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1.落实建档立卡学生“三免”补助资金政策。</w:t>
            </w:r>
          </w:p>
          <w:p>
            <w:pPr>
              <w:spacing w:line="300" w:lineRule="exact"/>
              <w:jc w:val="left"/>
              <w:rPr>
                <w:rFonts w:ascii="方正书宋_GBK" w:eastAsia="方正书宋_GBK"/>
              </w:rPr>
            </w:pPr>
            <w:r>
              <w:rPr>
                <w:rFonts w:ascii="方正书宋_GBK" w:eastAsia="方正书宋_GBK"/>
              </w:rPr>
              <w:t>2.缓解建档立卡学生家庭教育负担。</w:t>
            </w:r>
          </w:p>
          <w:p>
            <w:pPr>
              <w:spacing w:line="300" w:lineRule="exact"/>
              <w:jc w:val="left"/>
              <w:rPr>
                <w:rFonts w:ascii="方正书宋_GBK" w:eastAsia="方正书宋_GBK"/>
              </w:rPr>
            </w:pPr>
            <w:r>
              <w:rPr>
                <w:rFonts w:ascii="方正书宋_GBK" w:eastAsia="方正书宋_GBK"/>
              </w:rPr>
              <w:t>3.保障家庭贫困学生在校就读率。</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建档立卡学生受助率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实际受助建档立卡学生占建档立卡学生的比例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教育教学的正常运转情况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缓解农村及城市困难学生家庭负担</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享受政策学生满意度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享受政策学生满意度比例。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学生满意度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学生对政策的整体满意度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享受政策受助家庭满意度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享受政策学生家庭对政策的整体满意度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4" w:name="_Toc71388387"/>
      <w:r>
        <w:rPr>
          <w:rFonts w:hint="eastAsia" w:ascii="方正仿宋_GBK" w:eastAsia="方正仿宋_GBK"/>
          <w:b/>
          <w:sz w:val="28"/>
        </w:rPr>
        <w:t>13</w:t>
      </w:r>
      <w:r>
        <w:rPr>
          <w:rFonts w:ascii="方正仿宋_GBK" w:eastAsia="方正仿宋_GBK"/>
          <w:b/>
          <w:sz w:val="28"/>
        </w:rPr>
        <w:t>.提前下达2021年学生资助市级配套资金-中职免学费绩效目标表</w:t>
      </w:r>
      <w:bookmarkEnd w:id="14"/>
      <w:r>
        <w:rPr>
          <w:rFonts w:ascii="方正仿宋_GBK" w:eastAsia="方正仿宋_GBK"/>
          <w:b/>
          <w:sz w:val="28"/>
        </w:rPr>
        <w:fldChar w:fldCharType="begin"/>
      </w:r>
      <w:r>
        <w:rPr>
          <w:rFonts w:ascii="方正仿宋_GBK" w:eastAsia="方正仿宋_GBK"/>
          <w:b/>
          <w:sz w:val="28"/>
        </w:rPr>
        <w:instrText xml:space="preserve"> TC 84、提前下达2021年学生资助市级配套资金-中职免学费绩效目标表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360008职教中心</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13062521WBG30SUTZPTOU</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提前下达2021年学生资助市级配套资金-中职免学费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900000.00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该项目是指中等职业学校学生享受免学费政策后，为弥补学校运转出现的经费缺口，财政核拨的补助资金，主要用于2021年学校大型修缮及公用经费支出。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1.全面落实中职学校在校生免学费政策</w:t>
            </w:r>
          </w:p>
          <w:p>
            <w:pPr>
              <w:spacing w:line="300" w:lineRule="exact"/>
              <w:jc w:val="left"/>
              <w:rPr>
                <w:rFonts w:ascii="方正书宋_GBK" w:eastAsia="方正书宋_GBK"/>
              </w:rPr>
            </w:pPr>
            <w:r>
              <w:rPr>
                <w:rFonts w:ascii="方正书宋_GBK" w:eastAsia="方正书宋_GBK"/>
              </w:rPr>
              <w:t>2.减轻学生家庭负担</w:t>
            </w:r>
          </w:p>
          <w:p>
            <w:pPr>
              <w:spacing w:line="300" w:lineRule="exact"/>
              <w:jc w:val="left"/>
              <w:rPr>
                <w:rFonts w:ascii="方正书宋_GBK" w:eastAsia="方正书宋_GBK"/>
              </w:rPr>
            </w:pPr>
            <w:r>
              <w:rPr>
                <w:rFonts w:ascii="方正书宋_GBK" w:eastAsia="方正书宋_GBK"/>
              </w:rPr>
              <w:t>3.弥补学校运转缺口，保证学校正常运转</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日常工作及教育教学的正常运转情况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免学费学生人数覆盖率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享受免学费政策学生满意度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享受免学费学生满意数量占享受免学费学生总数的比例。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享受免学费政策受助家庭满意度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享受免学费学生家庭对免学费政策的整体满意度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享受免学费学生满意度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享受免学费学生对免学费政策的整体满意度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5" w:name="_Toc71388388"/>
      <w:r>
        <w:rPr>
          <w:rFonts w:hint="eastAsia" w:ascii="方正仿宋_GBK" w:eastAsia="方正仿宋_GBK"/>
          <w:b/>
          <w:sz w:val="28"/>
        </w:rPr>
        <w:t>14</w:t>
      </w:r>
      <w:r>
        <w:rPr>
          <w:rFonts w:ascii="方正仿宋_GBK" w:eastAsia="方正仿宋_GBK"/>
          <w:b/>
          <w:sz w:val="28"/>
        </w:rPr>
        <w:t>.提前下达2021年省级现代职业教育发展专项资金预算(生均公用经费奖补）绩效目标表</w:t>
      </w:r>
      <w:bookmarkEnd w:id="15"/>
      <w:r>
        <w:rPr>
          <w:rFonts w:ascii="方正仿宋_GBK" w:eastAsia="方正仿宋_GBK"/>
          <w:b/>
          <w:sz w:val="28"/>
        </w:rPr>
        <w:fldChar w:fldCharType="begin"/>
      </w:r>
      <w:r>
        <w:rPr>
          <w:rFonts w:ascii="方正仿宋_GBK" w:eastAsia="方正仿宋_GBK"/>
          <w:b/>
          <w:sz w:val="28"/>
        </w:rPr>
        <w:instrText xml:space="preserve"> TC 85、提前下达2021年省级现代职业教育发展专项资金预算(生均公用经费奖补）绩效目标表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360008职教中心</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13062521WY79PY9HOOI3E</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提前下达2021年省级现代职业教育发展专项资金预算(生均公用经费奖补）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1140000.00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1140000.00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该项目资金主要用于2021年学校维修改造项目支出，改善学校办学条件。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1.弥补学校运转缺口，保证学校正常运转。</w:t>
            </w:r>
          </w:p>
          <w:p>
            <w:pPr>
              <w:spacing w:line="300" w:lineRule="exact"/>
              <w:jc w:val="left"/>
              <w:rPr>
                <w:rFonts w:ascii="方正书宋_GBK" w:eastAsia="方正书宋_GBK"/>
              </w:rPr>
            </w:pPr>
            <w:r>
              <w:rPr>
                <w:rFonts w:ascii="方正书宋_GBK" w:eastAsia="方正书宋_GBK"/>
              </w:rPr>
              <w:t>2.促进学校发展，提高教育教学质量。</w:t>
            </w:r>
          </w:p>
          <w:p>
            <w:pPr>
              <w:spacing w:line="300" w:lineRule="exact"/>
              <w:jc w:val="left"/>
              <w:rPr>
                <w:rFonts w:ascii="方正书宋_GBK" w:eastAsia="方正书宋_GBK"/>
              </w:rPr>
            </w:pPr>
            <w:r>
              <w:rPr>
                <w:rFonts w:ascii="方正书宋_GBK" w:eastAsia="方正书宋_GBK"/>
              </w:rPr>
              <w:t>3.改善学校办学条件。</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有效的改善校园环境，提高教育教学质量</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根据保定市财政局、保定市教育局《关于提前下达2021年省级现代职业教育发展专项资金预算的通知）（保财教[2020]102号）文件要求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6" w:name="_Toc71388389"/>
      <w:r>
        <w:rPr>
          <w:rFonts w:hint="eastAsia" w:ascii="方正仿宋_GBK" w:eastAsia="方正仿宋_GBK"/>
          <w:b/>
          <w:sz w:val="28"/>
        </w:rPr>
        <w:t>15</w:t>
      </w:r>
      <w:r>
        <w:rPr>
          <w:rFonts w:ascii="方正仿宋_GBK" w:eastAsia="方正仿宋_GBK"/>
          <w:b/>
          <w:sz w:val="28"/>
        </w:rPr>
        <w:t>.徐水职教中心聘请专业兼职教师项目绩效目标表</w:t>
      </w:r>
      <w:bookmarkEnd w:id="16"/>
      <w:r>
        <w:rPr>
          <w:rFonts w:ascii="方正仿宋_GBK" w:eastAsia="方正仿宋_GBK"/>
          <w:b/>
          <w:sz w:val="28"/>
        </w:rPr>
        <w:fldChar w:fldCharType="begin"/>
      </w:r>
      <w:r>
        <w:rPr>
          <w:rFonts w:ascii="方正仿宋_GBK" w:eastAsia="方正仿宋_GBK"/>
          <w:b/>
          <w:sz w:val="28"/>
        </w:rPr>
        <w:instrText xml:space="preserve"> TC 86、徐水职教中心聘请专业兼职教师项目绩效目标表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360008职教中心</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13062521ZI51ZHHCFOR48</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徐水职教中心聘请专业兼职教师项目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300000.00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300000.00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该项目用于开展2021年招聘兼职教师，项目资金用于支付兼职教师工资。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1.补充“双师型”教师数量</w:t>
            </w:r>
          </w:p>
          <w:p>
            <w:pPr>
              <w:spacing w:line="300" w:lineRule="exact"/>
              <w:jc w:val="left"/>
              <w:rPr>
                <w:rFonts w:ascii="方正书宋_GBK" w:eastAsia="方正书宋_GBK"/>
              </w:rPr>
            </w:pPr>
            <w:r>
              <w:rPr>
                <w:rFonts w:ascii="方正书宋_GBK" w:eastAsia="方正书宋_GBK"/>
              </w:rPr>
              <w:t>2.提高教师师资力量</w:t>
            </w:r>
          </w:p>
          <w:p>
            <w:pPr>
              <w:spacing w:line="300" w:lineRule="exact"/>
              <w:jc w:val="left"/>
              <w:rPr>
                <w:rFonts w:ascii="方正书宋_GBK" w:eastAsia="方正书宋_GBK"/>
              </w:rPr>
            </w:pPr>
            <w:r>
              <w:rPr>
                <w:rFonts w:ascii="方正书宋_GBK" w:eastAsia="方正书宋_GBK"/>
              </w:rPr>
              <w:t>3.强化学生技能培养</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提高师资力量</w:t>
            </w:r>
          </w:p>
        </w:tc>
        <w:tc>
          <w:tcPr>
            <w:tcW w:w="2891" w:type="dxa"/>
            <w:shd w:val="clear" w:color="auto" w:fill="auto"/>
            <w:vAlign w:val="center"/>
          </w:tcPr>
          <w:p>
            <w:pPr>
              <w:spacing w:line="300" w:lineRule="exact"/>
              <w:jc w:val="left"/>
              <w:rPr>
                <w:rFonts w:ascii="方正书宋_GBK" w:eastAsia="方正书宋_GBK"/>
              </w:rPr>
            </w:pPr>
            <w:r>
              <w:rPr>
                <w:rFonts w:hint="cs" w:ascii="方正书宋_GBK" w:eastAsia="方正书宋_GBK"/>
              </w:rPr>
              <w:t>“</w:t>
            </w:r>
            <w:r>
              <w:rPr>
                <w:rFonts w:ascii="方正书宋_GBK" w:eastAsia="方正书宋_GBK"/>
              </w:rPr>
              <w:t>双师型”教师占教师比例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≥80%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有效的提高师资力量，有利于提高学生专业技能</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bl>
    <w:p>
      <w:pPr>
        <w:spacing w:line="360" w:lineRule="auto"/>
        <w:rPr>
          <w:rFonts w:ascii="仿宋" w:hAnsi="仿宋" w:eastAsia="仿宋"/>
          <w:sz w:val="32"/>
          <w:szCs w:val="32"/>
        </w:rPr>
        <w:sectPr>
          <w:pgSz w:w="11907" w:h="16839"/>
          <w:pgMar w:top="1984" w:right="1304" w:bottom="1134" w:left="1304" w:header="851" w:footer="992" w:gutter="0"/>
          <w:cols w:space="425" w:num="1"/>
          <w:docGrid w:type="lines" w:linePitch="312" w:charSpace="0"/>
        </w:sectPr>
      </w:pPr>
    </w:p>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3" w:firstLineChars="200"/>
        <w:rPr>
          <w:rFonts w:ascii="仿宋" w:hAnsi="仿宋" w:eastAsia="仿宋"/>
          <w:sz w:val="32"/>
          <w:szCs w:val="32"/>
        </w:rPr>
      </w:pPr>
      <w:r>
        <w:rPr>
          <w:rFonts w:hint="eastAsia" w:ascii="仿宋" w:hAnsi="仿宋" w:eastAsia="仿宋"/>
          <w:b/>
          <w:sz w:val="32"/>
          <w:szCs w:val="32"/>
        </w:rPr>
        <w:t>有政府采购预算的写</w:t>
      </w:r>
      <w:r>
        <w:rPr>
          <w:rFonts w:hint="eastAsia" w:ascii="仿宋" w:hAnsi="仿宋" w:eastAsia="仿宋"/>
          <w:sz w:val="32"/>
          <w:szCs w:val="32"/>
        </w:rPr>
        <w:t>：</w:t>
      </w:r>
      <w:r>
        <w:rPr>
          <w:rFonts w:ascii="仿宋" w:hAnsi="仿宋" w:eastAsia="仿宋"/>
          <w:sz w:val="32"/>
          <w:szCs w:val="32"/>
        </w:rPr>
        <w:t>2021年，我</w:t>
      </w:r>
      <w:r>
        <w:rPr>
          <w:rFonts w:hint="eastAsia" w:ascii="仿宋" w:hAnsi="仿宋" w:eastAsia="仿宋"/>
          <w:sz w:val="32"/>
          <w:szCs w:val="32"/>
        </w:rPr>
        <w:t>单位</w:t>
      </w:r>
      <w:r>
        <w:rPr>
          <w:rFonts w:ascii="仿宋" w:hAnsi="仿宋" w:eastAsia="仿宋"/>
          <w:sz w:val="32"/>
          <w:szCs w:val="32"/>
        </w:rPr>
        <w:t>安排政府采购预算</w:t>
      </w:r>
      <w:r>
        <w:rPr>
          <w:rFonts w:hint="eastAsia" w:ascii="仿宋" w:hAnsi="仿宋" w:eastAsia="仿宋"/>
          <w:sz w:val="32"/>
          <w:szCs w:val="32"/>
        </w:rPr>
        <w:t>200</w:t>
      </w:r>
      <w:r>
        <w:rPr>
          <w:rFonts w:ascii="仿宋" w:hAnsi="仿宋" w:eastAsia="仿宋"/>
          <w:sz w:val="32"/>
          <w:szCs w:val="32"/>
        </w:rPr>
        <w:t>万元，具体内容见下表：</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附单位政府采购预算表。</w:t>
      </w: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sectPr>
          <w:footerReference r:id="rId3" w:type="default"/>
          <w:pgSz w:w="11906" w:h="16838"/>
          <w:pgMar w:top="1440" w:right="1800" w:bottom="1440" w:left="1800" w:header="851" w:footer="992" w:gutter="0"/>
          <w:cols w:space="425" w:num="1"/>
          <w:docGrid w:type="lines" w:linePitch="312" w:charSpace="0"/>
        </w:sectPr>
      </w:pPr>
    </w:p>
    <w:tbl>
      <w:tblPr>
        <w:tblStyle w:val="5"/>
        <w:tblW w:w="1550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4"/>
        <w:gridCol w:w="1134"/>
        <w:gridCol w:w="1531"/>
        <w:gridCol w:w="1531"/>
        <w:gridCol w:w="709"/>
        <w:gridCol w:w="907"/>
        <w:gridCol w:w="907"/>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8703" w:type="dxa"/>
            <w:gridSpan w:val="7"/>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360</w:t>
            </w:r>
            <w:r>
              <w:rPr>
                <w:rFonts w:hint="eastAsia" w:ascii="方正小标宋_GBK" w:eastAsia="方正小标宋_GBK"/>
                <w:sz w:val="24"/>
              </w:rPr>
              <w:t>008</w:t>
            </w:r>
            <w:r>
              <w:rPr>
                <w:rFonts w:ascii="方正小标宋_GBK" w:eastAsia="方正小标宋_GBK"/>
                <w:sz w:val="24"/>
              </w:rPr>
              <w:t>保定市徐水区</w:t>
            </w:r>
            <w:r>
              <w:rPr>
                <w:rFonts w:hint="eastAsia" w:ascii="方正小标宋_GBK" w:eastAsia="方正小标宋_GBK"/>
                <w:sz w:val="24"/>
              </w:rPr>
              <w:t>职业技术教育中心</w:t>
            </w:r>
          </w:p>
        </w:tc>
        <w:tc>
          <w:tcPr>
            <w:tcW w:w="6804"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sz w:val="24"/>
              </w:rPr>
            </w:pPr>
            <w:r>
              <w:rPr>
                <w:rFonts w:ascii="方正书宋_GBK" w:eastAsia="方正书宋_GBK"/>
                <w:sz w:val="24"/>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3118"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政府采购项目来源</w:t>
            </w:r>
          </w:p>
        </w:tc>
        <w:tc>
          <w:tcPr>
            <w:tcW w:w="1531"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采购物品名称</w:t>
            </w:r>
          </w:p>
        </w:tc>
        <w:tc>
          <w:tcPr>
            <w:tcW w:w="1531"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政府采购目录序号</w:t>
            </w:r>
          </w:p>
        </w:tc>
        <w:tc>
          <w:tcPr>
            <w:tcW w:w="709"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计量  单位</w:t>
            </w:r>
          </w:p>
        </w:tc>
        <w:tc>
          <w:tcPr>
            <w:tcW w:w="907"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数量</w:t>
            </w:r>
          </w:p>
        </w:tc>
        <w:tc>
          <w:tcPr>
            <w:tcW w:w="907"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单价</w:t>
            </w:r>
          </w:p>
        </w:tc>
        <w:tc>
          <w:tcPr>
            <w:tcW w:w="6804" w:type="dxa"/>
            <w:gridSpan w:val="6"/>
            <w:shd w:val="clear" w:color="auto" w:fill="auto"/>
            <w:vAlign w:val="center"/>
          </w:tcPr>
          <w:p>
            <w:pPr>
              <w:spacing w:line="300" w:lineRule="exact"/>
              <w:jc w:val="center"/>
              <w:rPr>
                <w:rFonts w:ascii="方正书宋_GBK" w:eastAsia="方正书宋_GBK"/>
                <w:b/>
              </w:rPr>
            </w:pPr>
            <w:r>
              <w:rPr>
                <w:rFonts w:ascii="方正书宋_GBK" w:eastAsia="方正书宋_GBK"/>
                <w:b/>
              </w:rPr>
              <w:t>政府采购金额（当年</w:t>
            </w:r>
            <w:r>
              <w:rPr>
                <w:rFonts w:hint="eastAsia" w:ascii="方正书宋_GBK" w:eastAsia="方正书宋_GBK"/>
                <w:b/>
              </w:rPr>
              <w:t>单位</w:t>
            </w:r>
            <w:r>
              <w:rPr>
                <w:rFonts w:ascii="方正书宋_GBK" w:eastAsia="方正书宋_GBK"/>
                <w:b/>
              </w:rPr>
              <w:t>预算安排资金）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98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预算资金</w:t>
            </w:r>
          </w:p>
        </w:tc>
        <w:tc>
          <w:tcPr>
            <w:tcW w:w="1531" w:type="dxa"/>
            <w:vMerge w:val="continue"/>
            <w:shd w:val="clear" w:color="auto" w:fill="auto"/>
            <w:vAlign w:val="center"/>
          </w:tcPr>
          <w:p>
            <w:pPr>
              <w:spacing w:line="300" w:lineRule="exact"/>
              <w:jc w:val="left"/>
              <w:outlineLvl w:val="1"/>
              <w:rPr>
                <w:rFonts w:ascii="Times New Roman" w:eastAsia="方正仿宋_GBK"/>
                <w:sz w:val="28"/>
              </w:rPr>
            </w:pPr>
          </w:p>
        </w:tc>
        <w:tc>
          <w:tcPr>
            <w:tcW w:w="1531" w:type="dxa"/>
            <w:vMerge w:val="continue"/>
            <w:shd w:val="clear" w:color="auto" w:fill="auto"/>
            <w:vAlign w:val="center"/>
          </w:tcPr>
          <w:p>
            <w:pPr>
              <w:spacing w:line="300" w:lineRule="exact"/>
              <w:jc w:val="left"/>
              <w:outlineLvl w:val="1"/>
              <w:rPr>
                <w:rFonts w:ascii="Times New Roman" w:eastAsia="方正仿宋_GBK"/>
                <w:sz w:val="28"/>
              </w:rPr>
            </w:pPr>
          </w:p>
        </w:tc>
        <w:tc>
          <w:tcPr>
            <w:tcW w:w="709" w:type="dxa"/>
            <w:vMerge w:val="continue"/>
            <w:shd w:val="clear" w:color="auto" w:fill="auto"/>
            <w:vAlign w:val="center"/>
          </w:tcPr>
          <w:p>
            <w:pPr>
              <w:spacing w:line="300" w:lineRule="exact"/>
              <w:jc w:val="left"/>
              <w:outlineLvl w:val="1"/>
              <w:rPr>
                <w:rFonts w:ascii="Times New Roman" w:eastAsia="方正仿宋_GBK"/>
                <w:sz w:val="28"/>
              </w:rPr>
            </w:pPr>
          </w:p>
        </w:tc>
        <w:tc>
          <w:tcPr>
            <w:tcW w:w="907" w:type="dxa"/>
            <w:vMerge w:val="continue"/>
            <w:shd w:val="clear" w:color="auto" w:fill="auto"/>
            <w:vAlign w:val="center"/>
          </w:tcPr>
          <w:p>
            <w:pPr>
              <w:spacing w:line="300" w:lineRule="exact"/>
              <w:jc w:val="left"/>
              <w:outlineLvl w:val="1"/>
              <w:rPr>
                <w:rFonts w:ascii="Times New Roman" w:eastAsia="方正仿宋_GBK"/>
                <w:sz w:val="28"/>
              </w:rPr>
            </w:pPr>
          </w:p>
        </w:tc>
        <w:tc>
          <w:tcPr>
            <w:tcW w:w="907" w:type="dxa"/>
            <w:vMerge w:val="continue"/>
            <w:shd w:val="clear" w:color="auto" w:fill="auto"/>
            <w:vAlign w:val="center"/>
          </w:tcPr>
          <w:p>
            <w:pPr>
              <w:spacing w:line="300" w:lineRule="exact"/>
              <w:jc w:val="left"/>
              <w:outlineLvl w:val="1"/>
              <w:rPr>
                <w:rFonts w:ascii="Times New Roman" w:eastAsia="方正仿宋_GBK"/>
                <w:sz w:val="28"/>
              </w:rPr>
            </w:pP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合计</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一般公共预算拨款</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基金预算拨款</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国有资本经营预算拨款</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财政专户核拨</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单位资金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84" w:type="dxa"/>
            <w:shd w:val="clear" w:color="auto" w:fill="auto"/>
            <w:vAlign w:val="center"/>
          </w:tcPr>
          <w:p>
            <w:pPr>
              <w:spacing w:line="300" w:lineRule="exact"/>
              <w:jc w:val="center"/>
              <w:rPr>
                <w:rFonts w:ascii="方正书宋_GBK" w:eastAsia="方正书宋_GBK"/>
                <w:b/>
              </w:rPr>
            </w:pPr>
            <w:r>
              <w:rPr>
                <w:rFonts w:ascii="方正书宋_GBK" w:eastAsia="方正书宋_GBK"/>
                <w:b/>
              </w:rPr>
              <w:t>合  计</w:t>
            </w:r>
          </w:p>
        </w:tc>
        <w:tc>
          <w:tcPr>
            <w:tcW w:w="1134" w:type="dxa"/>
            <w:shd w:val="clear" w:color="auto" w:fill="auto"/>
            <w:vAlign w:val="center"/>
          </w:tcPr>
          <w:p>
            <w:pPr>
              <w:spacing w:line="300" w:lineRule="exact"/>
              <w:jc w:val="right"/>
              <w:rPr>
                <w:rFonts w:ascii="方正书宋_GBK" w:eastAsia="方正书宋_GBK"/>
                <w:b/>
              </w:rPr>
            </w:pPr>
          </w:p>
        </w:tc>
        <w:tc>
          <w:tcPr>
            <w:tcW w:w="1531" w:type="dxa"/>
            <w:shd w:val="clear" w:color="auto" w:fill="auto"/>
            <w:vAlign w:val="center"/>
          </w:tcPr>
          <w:p>
            <w:pPr>
              <w:spacing w:line="300" w:lineRule="exact"/>
              <w:jc w:val="left"/>
              <w:rPr>
                <w:rFonts w:ascii="方正书宋_GBK" w:eastAsia="方正书宋_GBK"/>
                <w:b/>
              </w:rPr>
            </w:pPr>
          </w:p>
        </w:tc>
        <w:tc>
          <w:tcPr>
            <w:tcW w:w="1531" w:type="dxa"/>
            <w:shd w:val="clear" w:color="auto" w:fill="auto"/>
            <w:vAlign w:val="center"/>
          </w:tcPr>
          <w:p>
            <w:pPr>
              <w:spacing w:line="300" w:lineRule="exact"/>
              <w:jc w:val="left"/>
              <w:rPr>
                <w:rFonts w:ascii="方正书宋_GBK" w:eastAsia="方正书宋_GBK"/>
                <w:b/>
              </w:rPr>
            </w:pPr>
          </w:p>
        </w:tc>
        <w:tc>
          <w:tcPr>
            <w:tcW w:w="709" w:type="dxa"/>
            <w:shd w:val="clear" w:color="auto" w:fill="auto"/>
            <w:vAlign w:val="center"/>
          </w:tcPr>
          <w:p>
            <w:pPr>
              <w:spacing w:line="300" w:lineRule="exact"/>
              <w:jc w:val="center"/>
              <w:rPr>
                <w:rFonts w:ascii="方正书宋_GBK" w:eastAsia="方正书宋_GBK"/>
                <w:b/>
              </w:rPr>
            </w:pPr>
          </w:p>
        </w:tc>
        <w:tc>
          <w:tcPr>
            <w:tcW w:w="907" w:type="dxa"/>
            <w:shd w:val="clear" w:color="auto" w:fill="auto"/>
            <w:vAlign w:val="center"/>
          </w:tcPr>
          <w:p>
            <w:pPr>
              <w:spacing w:line="300" w:lineRule="exact"/>
              <w:jc w:val="right"/>
              <w:rPr>
                <w:rFonts w:ascii="方正书宋_GBK" w:eastAsia="方正书宋_GBK"/>
                <w:b/>
              </w:rPr>
            </w:pPr>
          </w:p>
        </w:tc>
        <w:tc>
          <w:tcPr>
            <w:tcW w:w="907"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2000000</w:t>
            </w:r>
          </w:p>
        </w:tc>
        <w:tc>
          <w:tcPr>
            <w:tcW w:w="113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2000000</w:t>
            </w: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84" w:type="dxa"/>
            <w:shd w:val="clear" w:color="auto" w:fill="auto"/>
            <w:vAlign w:val="center"/>
          </w:tcPr>
          <w:p>
            <w:pPr>
              <w:spacing w:line="300" w:lineRule="exact"/>
              <w:jc w:val="left"/>
              <w:rPr>
                <w:rFonts w:ascii="方正书宋_GBK" w:eastAsia="方正书宋_GBK"/>
              </w:rPr>
            </w:pPr>
            <w:r>
              <w:rPr>
                <w:rFonts w:ascii="方正书宋_GBK" w:eastAsia="方正书宋_GBK"/>
              </w:rPr>
              <w:t>提前下达2021年现代职业教育质量提升计划中央补助资金预算</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2000000.00</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台式计算机</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A02010104</w:t>
            </w:r>
          </w:p>
        </w:tc>
        <w:tc>
          <w:tcPr>
            <w:tcW w:w="709" w:type="dxa"/>
            <w:shd w:val="clear" w:color="auto" w:fill="auto"/>
            <w:vAlign w:val="center"/>
          </w:tcPr>
          <w:p>
            <w:pPr>
              <w:spacing w:line="300" w:lineRule="exact"/>
              <w:jc w:val="center"/>
              <w:rPr>
                <w:rFonts w:ascii="方正书宋_GBK" w:eastAsia="方正书宋_GBK"/>
              </w:rPr>
            </w:pPr>
            <w:r>
              <w:rPr>
                <w:rFonts w:ascii="方正书宋_GBK" w:eastAsia="方正书宋_GBK"/>
              </w:rPr>
              <w:t>台</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335</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4000.00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1340000.00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1340000.00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84" w:type="dxa"/>
            <w:shd w:val="clear" w:color="auto" w:fill="auto"/>
            <w:vAlign w:val="center"/>
          </w:tcPr>
          <w:p>
            <w:pPr>
              <w:spacing w:line="300" w:lineRule="exact"/>
              <w:jc w:val="left"/>
              <w:rPr>
                <w:rFonts w:ascii="方正书宋_GBK" w:eastAsia="方正书宋_GBK"/>
              </w:rPr>
            </w:pPr>
            <w:r>
              <w:rPr>
                <w:rFonts w:ascii="方正书宋_GBK" w:eastAsia="方正书宋_GBK"/>
              </w:rPr>
              <w:t>提前下达2021年现代职业教育质量提升计划中央补助资金预算</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2000000.00</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车辆附属设施及零部件</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A020313</w:t>
            </w:r>
          </w:p>
        </w:tc>
        <w:tc>
          <w:tcPr>
            <w:tcW w:w="709" w:type="dxa"/>
            <w:shd w:val="clear" w:color="auto" w:fill="auto"/>
            <w:vAlign w:val="center"/>
          </w:tcPr>
          <w:p>
            <w:pPr>
              <w:spacing w:line="300" w:lineRule="exact"/>
              <w:jc w:val="center"/>
              <w:rPr>
                <w:rFonts w:ascii="方正书宋_GBK" w:eastAsia="方正书宋_GBK"/>
              </w:rPr>
            </w:pPr>
            <w:r>
              <w:rPr>
                <w:rFonts w:ascii="方正书宋_GBK" w:eastAsia="方正书宋_GBK"/>
              </w:rPr>
              <w:t>套</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3</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220000.00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660000.00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660000.00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bl>
    <w:p>
      <w:pPr>
        <w:spacing w:line="360" w:lineRule="auto"/>
        <w:rPr>
          <w:rFonts w:ascii="仿宋" w:hAnsi="仿宋" w:eastAsia="仿宋"/>
          <w:sz w:val="32"/>
          <w:szCs w:val="32"/>
        </w:rPr>
        <w:sectPr>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上年末我单位固定资产总金额为7178.75万元（详见下表）。</w:t>
      </w:r>
      <w:r>
        <w:rPr>
          <w:rFonts w:ascii="仿宋" w:hAnsi="仿宋" w:eastAsia="仿宋"/>
          <w:sz w:val="32"/>
          <w:szCs w:val="32"/>
        </w:rPr>
        <w:t xml:space="preserve"> 本年度拟购置固定资产总额为</w:t>
      </w:r>
      <w:r>
        <w:rPr>
          <w:rFonts w:hint="eastAsia" w:ascii="仿宋" w:hAnsi="仿宋" w:eastAsia="仿宋"/>
          <w:sz w:val="32"/>
          <w:szCs w:val="32"/>
        </w:rPr>
        <w:t>200</w:t>
      </w:r>
      <w:r>
        <w:rPr>
          <w:rFonts w:ascii="仿宋" w:hAnsi="仿宋" w:eastAsia="仿宋"/>
          <w:sz w:val="32"/>
          <w:szCs w:val="32"/>
        </w:rPr>
        <w:t>万元，已列入政府采购预算，详见政府采购预算表。</w:t>
      </w:r>
    </w:p>
    <w:tbl>
      <w:tblPr>
        <w:tblStyle w:val="5"/>
        <w:tblW w:w="10084" w:type="dxa"/>
        <w:jc w:val="center"/>
        <w:tblLayout w:type="fixed"/>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仿宋" w:eastAsia="仿宋_GB2312" w:cs="宋体"/>
                <w:b/>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41931</w:t>
            </w:r>
          </w:p>
        </w:tc>
        <w:tc>
          <w:tcPr>
            <w:tcW w:w="426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3870.64</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41861</w:t>
            </w:r>
          </w:p>
        </w:tc>
        <w:tc>
          <w:tcPr>
            <w:tcW w:w="42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3867.44</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w:t>
            </w:r>
          </w:p>
        </w:tc>
        <w:tc>
          <w:tcPr>
            <w:tcW w:w="426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13.93</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w:t>
            </w:r>
          </w:p>
        </w:tc>
        <w:tc>
          <w:tcPr>
            <w:tcW w:w="426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243.77</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w:t>
            </w:r>
          </w:p>
        </w:tc>
        <w:tc>
          <w:tcPr>
            <w:tcW w:w="4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243.77</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3050.41</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w:t>
      </w:r>
      <w:r>
        <w:rPr>
          <w:rFonts w:hint="eastAsia" w:ascii="仿宋" w:hAnsi="仿宋" w:eastAsia="仿宋"/>
          <w:sz w:val="32"/>
          <w:szCs w:val="32"/>
        </w:rPr>
        <w:t>单位</w:t>
      </w:r>
      <w:r>
        <w:rPr>
          <w:rFonts w:ascii="仿宋" w:hAnsi="仿宋" w:eastAsia="仿宋"/>
          <w:sz w:val="32"/>
          <w:szCs w:val="32"/>
        </w:rPr>
        <w:t>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书宋_GBK">
    <w:altName w:val="微软雅黑"/>
    <w:panose1 w:val="00000000000000000000"/>
    <w:charset w:val="86"/>
    <w:family w:val="script"/>
    <w:pitch w:val="default"/>
    <w:sig w:usb0="00000000" w:usb1="00000000" w:usb2="00000010" w:usb3="00000000" w:csb0="00040000" w:csb1="00000000"/>
  </w:font>
  <w:font w:name="方正仿宋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33</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81C9EE"/>
    <w:multiLevelType w:val="singleLevel"/>
    <w:tmpl w:val="BB81C9E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F1F"/>
    <w:rsid w:val="00013B8A"/>
    <w:rsid w:val="00033D9D"/>
    <w:rsid w:val="00044FBC"/>
    <w:rsid w:val="00055F1F"/>
    <w:rsid w:val="000577EF"/>
    <w:rsid w:val="00057F18"/>
    <w:rsid w:val="000A445D"/>
    <w:rsid w:val="000C178B"/>
    <w:rsid w:val="00131DEC"/>
    <w:rsid w:val="00136AB3"/>
    <w:rsid w:val="001462BD"/>
    <w:rsid w:val="00152380"/>
    <w:rsid w:val="001638BE"/>
    <w:rsid w:val="00164810"/>
    <w:rsid w:val="00172C7A"/>
    <w:rsid w:val="00181777"/>
    <w:rsid w:val="001B4688"/>
    <w:rsid w:val="001B6235"/>
    <w:rsid w:val="001F4875"/>
    <w:rsid w:val="00212335"/>
    <w:rsid w:val="002918C6"/>
    <w:rsid w:val="00291EF3"/>
    <w:rsid w:val="00296524"/>
    <w:rsid w:val="002E01F6"/>
    <w:rsid w:val="002F1ACB"/>
    <w:rsid w:val="002F530F"/>
    <w:rsid w:val="00305E97"/>
    <w:rsid w:val="00310532"/>
    <w:rsid w:val="0032782B"/>
    <w:rsid w:val="00340B3D"/>
    <w:rsid w:val="0034253A"/>
    <w:rsid w:val="003505E6"/>
    <w:rsid w:val="003634CC"/>
    <w:rsid w:val="003669CF"/>
    <w:rsid w:val="00367A30"/>
    <w:rsid w:val="003A06D2"/>
    <w:rsid w:val="003A4557"/>
    <w:rsid w:val="003A6366"/>
    <w:rsid w:val="003C2317"/>
    <w:rsid w:val="003C442E"/>
    <w:rsid w:val="003D1092"/>
    <w:rsid w:val="003D37CD"/>
    <w:rsid w:val="003E5531"/>
    <w:rsid w:val="003E555C"/>
    <w:rsid w:val="003E6AF3"/>
    <w:rsid w:val="0040243C"/>
    <w:rsid w:val="00406BD1"/>
    <w:rsid w:val="00426C19"/>
    <w:rsid w:val="00450FD9"/>
    <w:rsid w:val="00453CE0"/>
    <w:rsid w:val="00470736"/>
    <w:rsid w:val="00470BBB"/>
    <w:rsid w:val="0048611E"/>
    <w:rsid w:val="004B6929"/>
    <w:rsid w:val="004E2F43"/>
    <w:rsid w:val="004E3572"/>
    <w:rsid w:val="004F3C52"/>
    <w:rsid w:val="00510A1E"/>
    <w:rsid w:val="005158E2"/>
    <w:rsid w:val="00524204"/>
    <w:rsid w:val="00550049"/>
    <w:rsid w:val="00553F7E"/>
    <w:rsid w:val="00570142"/>
    <w:rsid w:val="00586C35"/>
    <w:rsid w:val="005B1B6F"/>
    <w:rsid w:val="005B6CCB"/>
    <w:rsid w:val="005C54AA"/>
    <w:rsid w:val="005C7B89"/>
    <w:rsid w:val="0062788A"/>
    <w:rsid w:val="00641F8A"/>
    <w:rsid w:val="0066383B"/>
    <w:rsid w:val="006A6FA2"/>
    <w:rsid w:val="006B5117"/>
    <w:rsid w:val="006C62DF"/>
    <w:rsid w:val="006F5104"/>
    <w:rsid w:val="006F6549"/>
    <w:rsid w:val="00735B02"/>
    <w:rsid w:val="007657C8"/>
    <w:rsid w:val="00767A77"/>
    <w:rsid w:val="00771E49"/>
    <w:rsid w:val="00782208"/>
    <w:rsid w:val="00791938"/>
    <w:rsid w:val="007A5999"/>
    <w:rsid w:val="007C7FD7"/>
    <w:rsid w:val="007F3746"/>
    <w:rsid w:val="00833132"/>
    <w:rsid w:val="00845C67"/>
    <w:rsid w:val="0086454E"/>
    <w:rsid w:val="008672EA"/>
    <w:rsid w:val="00891680"/>
    <w:rsid w:val="008A0099"/>
    <w:rsid w:val="008A0B5F"/>
    <w:rsid w:val="008B5402"/>
    <w:rsid w:val="008D11BC"/>
    <w:rsid w:val="0090527E"/>
    <w:rsid w:val="00905BB7"/>
    <w:rsid w:val="0090620C"/>
    <w:rsid w:val="00912DA4"/>
    <w:rsid w:val="009302B8"/>
    <w:rsid w:val="009305C6"/>
    <w:rsid w:val="009752AE"/>
    <w:rsid w:val="00982F3D"/>
    <w:rsid w:val="00983232"/>
    <w:rsid w:val="009A278A"/>
    <w:rsid w:val="009B6368"/>
    <w:rsid w:val="009F63C4"/>
    <w:rsid w:val="00A16957"/>
    <w:rsid w:val="00A6155C"/>
    <w:rsid w:val="00A8079E"/>
    <w:rsid w:val="00A90328"/>
    <w:rsid w:val="00A92D66"/>
    <w:rsid w:val="00AA4262"/>
    <w:rsid w:val="00AB5A90"/>
    <w:rsid w:val="00AB7449"/>
    <w:rsid w:val="00AE4AA5"/>
    <w:rsid w:val="00AE7FA9"/>
    <w:rsid w:val="00B147EB"/>
    <w:rsid w:val="00B22155"/>
    <w:rsid w:val="00B76AA9"/>
    <w:rsid w:val="00B80FAB"/>
    <w:rsid w:val="00B81C88"/>
    <w:rsid w:val="00BA5C83"/>
    <w:rsid w:val="00BC6A7D"/>
    <w:rsid w:val="00BD4829"/>
    <w:rsid w:val="00BD6002"/>
    <w:rsid w:val="00BD719F"/>
    <w:rsid w:val="00BF5442"/>
    <w:rsid w:val="00C177A5"/>
    <w:rsid w:val="00C35FEE"/>
    <w:rsid w:val="00C50535"/>
    <w:rsid w:val="00C6153C"/>
    <w:rsid w:val="00C906EF"/>
    <w:rsid w:val="00CC7D74"/>
    <w:rsid w:val="00D02F97"/>
    <w:rsid w:val="00D45530"/>
    <w:rsid w:val="00D45A0E"/>
    <w:rsid w:val="00D45D23"/>
    <w:rsid w:val="00D723D1"/>
    <w:rsid w:val="00D80C60"/>
    <w:rsid w:val="00D8525F"/>
    <w:rsid w:val="00DA0C4D"/>
    <w:rsid w:val="00DA5DA7"/>
    <w:rsid w:val="00DE3935"/>
    <w:rsid w:val="00DE6B32"/>
    <w:rsid w:val="00DF26B8"/>
    <w:rsid w:val="00E12C68"/>
    <w:rsid w:val="00E2325B"/>
    <w:rsid w:val="00E24075"/>
    <w:rsid w:val="00E270C9"/>
    <w:rsid w:val="00E35F38"/>
    <w:rsid w:val="00E46F27"/>
    <w:rsid w:val="00E509CC"/>
    <w:rsid w:val="00E56DC0"/>
    <w:rsid w:val="00E71A04"/>
    <w:rsid w:val="00E90DA6"/>
    <w:rsid w:val="00E96342"/>
    <w:rsid w:val="00EA2FEA"/>
    <w:rsid w:val="00EA56CB"/>
    <w:rsid w:val="00EA7853"/>
    <w:rsid w:val="00EE4078"/>
    <w:rsid w:val="00F000B1"/>
    <w:rsid w:val="00F012D3"/>
    <w:rsid w:val="00F044C3"/>
    <w:rsid w:val="00F10D04"/>
    <w:rsid w:val="00F169E3"/>
    <w:rsid w:val="00F35D4B"/>
    <w:rsid w:val="00F3746B"/>
    <w:rsid w:val="00F572CB"/>
    <w:rsid w:val="00F621AF"/>
    <w:rsid w:val="00F8024E"/>
    <w:rsid w:val="00F82447"/>
    <w:rsid w:val="00F868E5"/>
    <w:rsid w:val="00FB2F32"/>
    <w:rsid w:val="00FC3191"/>
    <w:rsid w:val="00FE0F1F"/>
    <w:rsid w:val="00FF61F3"/>
    <w:rsid w:val="0B6D4728"/>
    <w:rsid w:val="0C9C099E"/>
    <w:rsid w:val="17A33274"/>
    <w:rsid w:val="21ED2B12"/>
    <w:rsid w:val="29917795"/>
    <w:rsid w:val="30731A92"/>
    <w:rsid w:val="30DA1752"/>
    <w:rsid w:val="37E43678"/>
    <w:rsid w:val="3C4F44E4"/>
    <w:rsid w:val="3D2773BA"/>
    <w:rsid w:val="44CD38AC"/>
    <w:rsid w:val="466A0C1B"/>
    <w:rsid w:val="47D872C4"/>
    <w:rsid w:val="49EE1E7C"/>
    <w:rsid w:val="4B0D4A12"/>
    <w:rsid w:val="5013742E"/>
    <w:rsid w:val="57F109F9"/>
    <w:rsid w:val="5D782E22"/>
    <w:rsid w:val="60331A97"/>
    <w:rsid w:val="622B187F"/>
    <w:rsid w:val="70142B16"/>
    <w:rsid w:val="71A37281"/>
    <w:rsid w:val="72717293"/>
    <w:rsid w:val="75540CCA"/>
    <w:rsid w:val="7CD51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uiPriority w:val="99"/>
    <w:rPr>
      <w:sz w:val="18"/>
      <w:szCs w:val="18"/>
    </w:rPr>
  </w:style>
  <w:style w:type="character" w:customStyle="1" w:styleId="9">
    <w:name w:val="批注框文本 字符"/>
    <w:basedOn w:val="6"/>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1789C3-0E2C-42AA-96E0-54DE502C1643}">
  <ds:schemaRefs/>
</ds:datastoreItem>
</file>

<file path=docProps/app.xml><?xml version="1.0" encoding="utf-8"?>
<Properties xmlns="http://schemas.openxmlformats.org/officeDocument/2006/extended-properties" xmlns:vt="http://schemas.openxmlformats.org/officeDocument/2006/docPropsVTypes">
  <Template>Normal</Template>
  <Pages>37</Pages>
  <Words>2551</Words>
  <Characters>14542</Characters>
  <Lines>121</Lines>
  <Paragraphs>34</Paragraphs>
  <TotalTime>49</TotalTime>
  <ScaleCrop>false</ScaleCrop>
  <LinksUpToDate>false</LinksUpToDate>
  <CharactersWithSpaces>17059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2023-11-16T00:59:23Z</dcterms:modified>
  <cp:revision>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56C117D457F74C0691498FBDDB2CAB37</vt:lpwstr>
  </property>
</Properties>
</file>