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保定市徐水区南留中学</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保定市徐水区南留中学主要职责是：</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（一）贯彻落实教育和体育工作方针、政策、法律、法规，负责教育体制、办学体制、学校管理体制；落实教育优先发</w:t>
      </w:r>
      <w:bookmarkStart w:id="5" w:name="_GoBack"/>
      <w:bookmarkEnd w:id="5"/>
      <w:r>
        <w:rPr>
          <w:rFonts w:hint="eastAsia" w:ascii="仿宋" w:hAnsi="仿宋" w:eastAsia="仿宋"/>
          <w:sz w:val="28"/>
          <w:szCs w:val="32"/>
        </w:rPr>
        <w:t>展的战略地位，推动本学校教育和体育事业改革发展。</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（二）全面实施素质教育，指导推动教育教学和教育科研工作；负责全校的宏观指导、综合管理与服务，对全校教育工作状况及办学水平进行监督、检查、评估、验收；配合徐水区教体局组织各类招生考试工作。</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（三）配合上级主管单位对学校教育培训、职称评聘、评优评模、考核奖惩等工作；负责单位领导班子的领导干部的培养、考察、考核、和管理以及后备干部队伍建设工作。</w:t>
      </w:r>
    </w:p>
    <w:p>
      <w:pPr>
        <w:spacing w:line="360" w:lineRule="auto"/>
        <w:ind w:firstLine="560" w:firstLineChars="200"/>
        <w:rPr>
          <w:rFonts w:ascii="仿宋" w:hAnsi="仿宋" w:eastAsia="仿宋"/>
          <w:sz w:val="28"/>
          <w:szCs w:val="32"/>
        </w:rPr>
      </w:pPr>
      <w:r>
        <w:rPr>
          <w:rFonts w:hint="eastAsia" w:ascii="仿宋" w:hAnsi="仿宋" w:eastAsia="仿宋"/>
          <w:sz w:val="28"/>
          <w:szCs w:val="32"/>
        </w:rPr>
        <w:t>（四）负责全校年度教育和体育经费的预决算工作；做好计划统计工作；负责各班助学政策和经费的落实。</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（五）指导学校的德育、智育、体育、美育、劳动、国防和安全教育工作；负责学校党的建设工作，指导工会、共青团、妇女工作；负责学校的安全稳定及综合治理工作。</w:t>
      </w:r>
    </w:p>
    <w:p>
      <w:pPr>
        <w:spacing w:line="360" w:lineRule="auto"/>
        <w:ind w:firstLine="560" w:firstLineChars="200"/>
        <w:rPr>
          <w:rFonts w:ascii="仿宋" w:hAnsi="仿宋" w:eastAsia="仿宋"/>
          <w:sz w:val="28"/>
          <w:szCs w:val="32"/>
        </w:rPr>
      </w:pPr>
      <w:r>
        <w:rPr>
          <w:rFonts w:hint="eastAsia" w:ascii="仿宋" w:hAnsi="仿宋" w:eastAsia="仿宋"/>
          <w:sz w:val="28"/>
          <w:szCs w:val="32"/>
        </w:rPr>
        <w:t>（六）负责学校体育运动项目的设置和布局；加强体育公共服务、促进多元体育服务体系建设；统筹规划全校青少年体育发展，指导和推进青少年体育工作；加强体育管理人员、教练员、运动员队伍建设；负责组织开展反兴奋剂工作；</w:t>
      </w:r>
    </w:p>
    <w:p>
      <w:pPr>
        <w:spacing w:line="360" w:lineRule="auto"/>
        <w:ind w:firstLine="560" w:firstLineChars="200"/>
        <w:rPr>
          <w:rFonts w:ascii="仿宋" w:hAnsi="仿宋" w:eastAsia="仿宋"/>
          <w:sz w:val="28"/>
          <w:szCs w:val="32"/>
        </w:rPr>
      </w:pPr>
      <w:r>
        <w:rPr>
          <w:rFonts w:hint="eastAsia" w:ascii="仿宋" w:hAnsi="仿宋" w:eastAsia="仿宋"/>
          <w:sz w:val="28"/>
          <w:szCs w:val="32"/>
        </w:rPr>
        <w:t>（七）负责学校语言文字工作，制订语言文字工作规划；组织协调并监督检查汉语和少数民族语言文字规范、标准的实施；加强推广普通话和普通话测试工作；负责社会用字规范管理。</w:t>
      </w:r>
    </w:p>
    <w:p>
      <w:pPr>
        <w:spacing w:line="360" w:lineRule="auto"/>
        <w:ind w:firstLine="560" w:firstLineChars="200"/>
        <w:rPr>
          <w:rFonts w:ascii="仿宋" w:hAnsi="仿宋" w:eastAsia="仿宋"/>
          <w:sz w:val="28"/>
          <w:szCs w:val="32"/>
        </w:rPr>
      </w:pPr>
      <w:r>
        <w:rPr>
          <w:rFonts w:hint="eastAsia" w:ascii="仿宋" w:hAnsi="仿宋" w:eastAsia="仿宋"/>
          <w:sz w:val="28"/>
          <w:szCs w:val="32"/>
        </w:rPr>
        <w:t>（八）配合区委、区政府和上级教育行政单位交办的其他事。</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保定市徐水区南留中学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6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预算中。我单位的收支包含在本单位的预算中。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2021年预算收入为1132.099万元,其中：一般公共预算收入1132.099万元，基金预算收</w:t>
      </w:r>
      <w:r>
        <w:rPr>
          <w:rFonts w:hint="eastAsia" w:ascii="仿宋" w:hAnsi="仿宋" w:eastAsia="仿宋"/>
          <w:sz w:val="32"/>
          <w:szCs w:val="32"/>
        </w:rPr>
        <w:t>0</w:t>
      </w:r>
      <w:r>
        <w:rPr>
          <w:rFonts w:ascii="仿宋" w:hAnsi="仿宋" w:eastAsia="仿宋"/>
          <w:sz w:val="32"/>
          <w:szCs w:val="32"/>
        </w:rPr>
        <w:t>万元，财政专户收入0万元，其他来源收入0万元。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支出预算：1132.099万元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w:t>
      </w:r>
      <w:r>
        <w:rPr>
          <w:rFonts w:ascii="仿宋" w:hAnsi="仿宋" w:eastAsia="仿宋"/>
          <w:sz w:val="32"/>
          <w:szCs w:val="32"/>
        </w:rPr>
        <w:t>012.23</w:t>
      </w:r>
      <w:r>
        <w:rPr>
          <w:rFonts w:hint="eastAsia"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其中：人员经费992.38万元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日常公用经费19.85万元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119.869万元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其中：本级支出119.869万元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1132.099</w:t>
      </w:r>
      <w:r>
        <w:rPr>
          <w:rFonts w:hint="eastAsia" w:ascii="仿宋" w:hAnsi="仿宋" w:eastAsia="仿宋"/>
          <w:sz w:val="32"/>
          <w:szCs w:val="32"/>
        </w:rPr>
        <w:t>万元，较上年</w:t>
      </w:r>
      <w:r>
        <w:rPr>
          <w:rFonts w:ascii="仿宋" w:hAnsi="仿宋" w:eastAsia="仿宋"/>
          <w:sz w:val="32"/>
          <w:szCs w:val="32"/>
        </w:rPr>
        <w:t>减少3.381万元。其中:基本支出增加6.57万元，主要原因是</w:t>
      </w:r>
      <w:r>
        <w:rPr>
          <w:rFonts w:hint="eastAsia" w:ascii="仿宋" w:hAnsi="仿宋" w:eastAsia="仿宋"/>
          <w:sz w:val="32"/>
          <w:szCs w:val="32"/>
        </w:rPr>
        <w:t>202</w:t>
      </w:r>
      <w:r>
        <w:rPr>
          <w:rFonts w:ascii="仿宋" w:hAnsi="仿宋" w:eastAsia="仿宋"/>
          <w:sz w:val="32"/>
          <w:szCs w:val="32"/>
        </w:rPr>
        <w:t>0</w:t>
      </w:r>
      <w:r>
        <w:rPr>
          <w:rFonts w:hint="eastAsia" w:ascii="仿宋" w:hAnsi="仿宋" w:eastAsia="仿宋"/>
          <w:sz w:val="32"/>
          <w:szCs w:val="32"/>
        </w:rPr>
        <w:t>年新招聘三位教师，导致日常公用经费增加。</w:t>
      </w:r>
      <w:r>
        <w:rPr>
          <w:rFonts w:ascii="仿宋" w:hAnsi="仿宋" w:eastAsia="仿宋"/>
          <w:sz w:val="32"/>
          <w:szCs w:val="32"/>
        </w:rPr>
        <w:t>项目支出增加3.789万元，主要原因是</w:t>
      </w:r>
      <w:r>
        <w:rPr>
          <w:rFonts w:hint="eastAsia" w:ascii="仿宋" w:hAnsi="仿宋" w:eastAsia="仿宋"/>
          <w:sz w:val="32"/>
          <w:szCs w:val="32"/>
        </w:rPr>
        <w:t>困难学生人数较上年增加，生活补助资金增加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机关运行经费安排19.85万元，其中</w:t>
      </w:r>
      <w:r>
        <w:rPr>
          <w:rFonts w:hint="eastAsia" w:ascii="仿宋" w:hAnsi="仿宋" w:eastAsia="仿宋"/>
          <w:sz w:val="32"/>
          <w:szCs w:val="32"/>
        </w:rPr>
        <w:t>离退休干部经费2</w:t>
      </w:r>
      <w:r>
        <w:rPr>
          <w:rFonts w:ascii="仿宋" w:hAnsi="仿宋" w:eastAsia="仿宋"/>
          <w:sz w:val="32"/>
          <w:szCs w:val="32"/>
        </w:rPr>
        <w:t>.64万元，工会经费</w:t>
      </w:r>
      <w:r>
        <w:rPr>
          <w:rFonts w:hint="eastAsia" w:ascii="仿宋" w:hAnsi="仿宋" w:eastAsia="仿宋"/>
          <w:sz w:val="32"/>
          <w:szCs w:val="32"/>
        </w:rPr>
        <w:t>1</w:t>
      </w:r>
      <w:r>
        <w:rPr>
          <w:rFonts w:ascii="仿宋" w:hAnsi="仿宋" w:eastAsia="仿宋"/>
          <w:sz w:val="32"/>
          <w:szCs w:val="32"/>
        </w:rPr>
        <w:t>0.1</w:t>
      </w:r>
      <w:r>
        <w:rPr>
          <w:rFonts w:hint="eastAsia" w:ascii="仿宋" w:hAnsi="仿宋" w:eastAsia="仿宋"/>
          <w:sz w:val="32"/>
          <w:szCs w:val="32"/>
        </w:rPr>
        <w:t>万元</w:t>
      </w:r>
      <w:r>
        <w:rPr>
          <w:rFonts w:ascii="仿宋" w:hAnsi="仿宋" w:eastAsia="仿宋"/>
          <w:sz w:val="32"/>
          <w:szCs w:val="32"/>
        </w:rPr>
        <w:t>、福利费7.11万元，公务用车运行维护费0万元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hint="eastAsia" w:ascii="黑体" w:hAnsi="黑体" w:eastAsia="黑体" w:cs="宋体"/>
                      <w:kern w:val="0"/>
                      <w:sz w:val="32"/>
                      <w:szCs w:val="32"/>
                    </w:rPr>
                  </w:pPr>
                  <w:r>
                    <w:rPr>
                      <w:rFonts w:hint="eastAsia" w:ascii="黑体" w:hAnsi="黑体" w:eastAsia="黑体" w:cs="宋体"/>
                      <w:kern w:val="0"/>
                      <w:sz w:val="32"/>
                      <w:szCs w:val="32"/>
                    </w:rPr>
                    <w:t>2</w:t>
                  </w:r>
                  <w:r>
                    <w:rPr>
                      <w:rFonts w:ascii="黑体" w:hAnsi="黑体" w:eastAsia="黑体" w:cs="宋体"/>
                      <w:kern w:val="0"/>
                      <w:sz w:val="32"/>
                      <w:szCs w:val="32"/>
                    </w:rPr>
                    <w:t>021</w:t>
                  </w:r>
                  <w:r>
                    <w:rPr>
                      <w:rFonts w:hint="eastAsia" w:ascii="黑体" w:hAnsi="黑体" w:eastAsia="黑体" w:cs="宋体"/>
                      <w:kern w:val="0"/>
                      <w:sz w:val="32"/>
                      <w:szCs w:val="32"/>
                    </w:rPr>
                    <w:t>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36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1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6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pStyle w:val="10"/>
        <w:spacing w:line="360" w:lineRule="auto"/>
        <w:ind w:firstLine="640" w:firstLineChars="200"/>
        <w:rPr>
          <w:rFonts w:ascii="仿宋" w:hAnsi="仿宋" w:eastAsia="仿宋" w:cstheme="minorBidi"/>
          <w:kern w:val="2"/>
          <w:sz w:val="32"/>
          <w:szCs w:val="32"/>
          <w:lang w:eastAsia="zh-CN"/>
        </w:rPr>
      </w:pPr>
      <w:bookmarkStart w:id="0" w:name="_Toc_2_2_0000000003"/>
      <w:r>
        <w:rPr>
          <w:rFonts w:hint="eastAsia" w:ascii="仿宋" w:hAnsi="仿宋" w:eastAsia="仿宋" w:cstheme="minorBidi"/>
          <w:kern w:val="2"/>
          <w:sz w:val="32"/>
          <w:szCs w:val="32"/>
          <w:lang w:eastAsia="zh-CN"/>
        </w:rPr>
        <w:t>为了改善学校教育教学条件，学校将进行操场改造项目的面层部分，让学生能在优美的教学环境中强健体魄，茁壮成长。通过开展义务教育生均公用经费项目，保障学校正常运转，顺利完成教育教学活动和其他教学任务，提高办学条件，提升教学质量。通过开展其他教育专项-办公业务项目，保障除一般公共预算收入外的其他资金能最大限度的得到利用。</w:t>
      </w:r>
      <w:r>
        <w:rPr>
          <w:rFonts w:hint="eastAsia" w:ascii="仿宋" w:hAnsi="仿宋" w:eastAsia="仿宋" w:cstheme="minorBidi"/>
          <w:kern w:val="2"/>
          <w:sz w:val="32"/>
          <w:szCs w:val="32"/>
          <w:lang w:eastAsia="zh-CN"/>
        </w:rPr>
        <w:tab/>
      </w:r>
      <w:r>
        <w:rPr>
          <w:rFonts w:hint="eastAsia" w:ascii="仿宋" w:hAnsi="仿宋" w:eastAsia="仿宋" w:cstheme="minorBidi"/>
          <w:kern w:val="2"/>
          <w:sz w:val="32"/>
          <w:szCs w:val="32"/>
          <w:lang w:eastAsia="zh-CN"/>
        </w:rPr>
        <w:t>通过开展校园安保经费项目可以加强学校安全保卫工作，维持正常教育教学秩序，保障师生安全、财产安全，有效缓解学校经费压力。通过对家庭经济困难学生生活补助发放，改善家庭经济困难学生生活。具体做法如下。</w:t>
      </w:r>
    </w:p>
    <w:bookmarkEnd w:id="0"/>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（一）加强组织领导。建立健全教育领域预算绩效管理制度体系。围绕年度总体绩效目标和分项绩效目标，明确责任主体，细化落实措施，确保绩效目标年内全部完成。</w:t>
      </w:r>
    </w:p>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（二）加强支出管理。根据上级要求加快项目执行进度，加快资金支出。严格按照年初预算支出计划加快履行政府采购手续，尽快启动项目，进行资金支付。</w:t>
      </w:r>
    </w:p>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 xml:space="preserve">（三）加强绩效运行监控。强化资金监管，健全内控组织机构、机制建设和内部管理制度，保证各项经济活动合法合规。      </w:t>
      </w:r>
    </w:p>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（四）做好绩效自评。认真开展各项目的项目绩效自评工作，加强预算绩效评价结果应用，将绩效目标和绩效结果与预算安排有机衔接。</w:t>
      </w:r>
    </w:p>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（五）规范财务资产管理。进一步完善财务管理制度，严格执行资产采购审批手续，加强固定资产登记、使用及报废处置管理，做到支出合理，物尽其用。</w:t>
      </w:r>
    </w:p>
    <w:p>
      <w:pPr>
        <w:pStyle w:val="11"/>
        <w:rPr>
          <w:rFonts w:ascii="仿宋" w:hAnsi="仿宋" w:eastAsia="仿宋" w:cstheme="minorBidi"/>
          <w:kern w:val="2"/>
          <w:sz w:val="32"/>
          <w:szCs w:val="32"/>
          <w:lang w:eastAsia="zh-CN"/>
        </w:rPr>
      </w:pPr>
      <w:r>
        <w:rPr>
          <w:rFonts w:hint="eastAsia" w:ascii="仿宋" w:hAnsi="仿宋" w:eastAsia="仿宋" w:cstheme="minorBidi"/>
          <w:kern w:val="2"/>
          <w:sz w:val="32"/>
          <w:szCs w:val="32"/>
          <w:lang w:eastAsia="zh-CN"/>
        </w:rPr>
        <w:t>（六）加强学习力度。认真参加教育系统各种财务培训，提高教育业务素养，促进财务水平的提高，并使绩效预算执行水平进一步提升。</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hint="eastAsia" w:ascii="仿宋" w:hAnsi="仿宋" w:eastAsia="仿宋"/>
          <w:sz w:val="32"/>
          <w:szCs w:val="32"/>
        </w:rPr>
      </w:pP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r>
        <w:rPr>
          <w:rFonts w:ascii="方正仿宋_GBK" w:eastAsia="方正仿宋_GBK"/>
          <w:b/>
          <w:sz w:val="28"/>
        </w:rPr>
        <w:t>关于提前下达2021年城乡义务教育中央补助经费预算（直达资金）-公用经费绩效目标表</w:t>
      </w:r>
      <w:r>
        <w:rPr>
          <w:rFonts w:ascii="方正仿宋_GBK" w:eastAsia="方正仿宋_GBK"/>
          <w:b/>
          <w:sz w:val="28"/>
        </w:rPr>
        <w:fldChar w:fldCharType="begin"/>
      </w:r>
      <w:r>
        <w:rPr>
          <w:rFonts w:ascii="方正仿宋_GBK" w:eastAsia="方正仿宋_GBK"/>
          <w:b/>
          <w:sz w:val="28"/>
        </w:rPr>
        <w:instrText xml:space="preserve"> TC 310、关于提前下达2021年城乡义务教育中央补助经费预算（直达资金）-公用经费绩效目标表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360050南留中学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599634.00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599634.00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1.通过实施义务教育经费项目，保障义务教育学校正常运转</w:t>
            </w:r>
          </w:p>
          <w:p>
            <w:pPr>
              <w:spacing w:line="300" w:lineRule="exact"/>
              <w:jc w:val="left"/>
              <w:rPr>
                <w:rFonts w:ascii="方正书宋_GBK" w:eastAsia="方正书宋_GBK"/>
              </w:rPr>
            </w:pPr>
            <w:r>
              <w:rPr>
                <w:rFonts w:ascii="方正书宋_GBK" w:eastAsia="方正书宋_GBK"/>
              </w:rPr>
              <w:t>2.通过实施义务教育经费项目，保障义务教育学校完成教育教学活动</w:t>
            </w:r>
          </w:p>
          <w:p>
            <w:pPr>
              <w:spacing w:line="300" w:lineRule="exact"/>
              <w:jc w:val="left"/>
              <w:rPr>
                <w:rFonts w:ascii="方正书宋_GBK" w:eastAsia="方正书宋_GBK"/>
              </w:rPr>
            </w:pPr>
            <w:r>
              <w:rPr>
                <w:rFonts w:ascii="方正书宋_GBK" w:eastAsia="方正书宋_GBK"/>
              </w:rPr>
              <w:t>3.通过实施义务教育经费项目，促进本校在正常运转的情况下有所发展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≥96%</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满足学校日常运转率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学校日常运转支出占总支出的比例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614"/>
      <w:r>
        <w:rPr>
          <w:rFonts w:ascii="方正仿宋_GBK" w:eastAsia="方正仿宋_GBK"/>
          <w:b/>
          <w:sz w:val="28"/>
        </w:rPr>
        <w:t>提前下达2021年城乡义务教育保障机制改革市级资金-公用经费绩效目标表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311、提前下达2021年城乡义务教育保障机制改革市级资金-公用经费绩效目标表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360050南留中学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399756.00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399756.00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该项目用于保障义务教育阶段学校正常运转，提升义务教育学校办学水平。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1.通过实施义务教育经费项目，保障义务教育学校正常运转</w:t>
            </w:r>
          </w:p>
          <w:p>
            <w:pPr>
              <w:spacing w:line="300" w:lineRule="exact"/>
              <w:jc w:val="left"/>
              <w:rPr>
                <w:rFonts w:ascii="方正书宋_GBK" w:eastAsia="方正书宋_GBK"/>
              </w:rPr>
            </w:pPr>
            <w:r>
              <w:rPr>
                <w:rFonts w:ascii="方正书宋_GBK" w:eastAsia="方正书宋_GBK"/>
              </w:rPr>
              <w:t>2.通过实施义务教育经费项目，保障义务教育学校完成教育教学活动</w:t>
            </w:r>
          </w:p>
          <w:p>
            <w:pPr>
              <w:spacing w:line="300" w:lineRule="exact"/>
              <w:jc w:val="left"/>
              <w:rPr>
                <w:rFonts w:ascii="方正书宋_GBK" w:eastAsia="方正书宋_GBK"/>
              </w:rPr>
            </w:pPr>
            <w:r>
              <w:rPr>
                <w:rFonts w:ascii="方正书宋_GBK" w:eastAsia="方正书宋_GBK"/>
              </w:rPr>
              <w:t>3.通过实施义务教育经费项目，促进本校在正常运转的情况下有所发展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满足学校日常运转率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学校日常运转支出占总支出的比例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提高资金利用率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保障了学校的运转，提高了资金利用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615"/>
      <w:r>
        <w:rPr>
          <w:rFonts w:ascii="方正仿宋_GBK" w:eastAsia="方正仿宋_GBK"/>
          <w:b/>
          <w:sz w:val="28"/>
        </w:rPr>
        <w:t>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312、提前下达2021年城乡义务教育省级补助资金-困难学生生活补助绩效目标表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360050南留中学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25625.00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25625.00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1.推进义务教育持续发展。</w:t>
            </w:r>
          </w:p>
          <w:p>
            <w:pPr>
              <w:spacing w:line="300" w:lineRule="exact"/>
              <w:jc w:val="left"/>
              <w:rPr>
                <w:rFonts w:ascii="方正书宋_GBK" w:eastAsia="方正书宋_GBK"/>
              </w:rPr>
            </w:pPr>
            <w:r>
              <w:rPr>
                <w:rFonts w:ascii="方正书宋_GBK" w:eastAsia="方正书宋_GBK"/>
              </w:rPr>
              <w:t>2.解决家庭经济困难学生就学。</w:t>
            </w:r>
          </w:p>
          <w:p>
            <w:pPr>
              <w:spacing w:line="300" w:lineRule="exact"/>
              <w:jc w:val="left"/>
              <w:rPr>
                <w:rFonts w:ascii="方正书宋_GBK" w:eastAsia="方正书宋_GBK"/>
              </w:rPr>
            </w:pPr>
            <w:r>
              <w:rPr>
                <w:rFonts w:ascii="方正书宋_GBK" w:eastAsia="方正书宋_GBK"/>
              </w:rPr>
              <w:t>3.确保国家资助政策到位。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实际发放人数比率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资金成本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经济效益指标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资金的使用效率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616"/>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313、校园安保经费绩效目标表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360050南留中学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136800.00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为加强中小学安全保卫工作，维持正常教育教学秩序，切实保障师生生命财产安全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1.加强中小学安全保卫工作，维持正常教学秩序</w:t>
            </w:r>
          </w:p>
          <w:p>
            <w:pPr>
              <w:spacing w:line="300" w:lineRule="exact"/>
              <w:jc w:val="left"/>
              <w:rPr>
                <w:rFonts w:ascii="方正书宋_GBK" w:eastAsia="方正书宋_GBK"/>
              </w:rPr>
            </w:pPr>
            <w:r>
              <w:rPr>
                <w:rFonts w:ascii="方正书宋_GBK" w:eastAsia="方正书宋_GBK"/>
              </w:rPr>
              <w:t>2.保障师生生命财产安全</w:t>
            </w:r>
          </w:p>
          <w:p>
            <w:pPr>
              <w:spacing w:line="300" w:lineRule="exact"/>
              <w:jc w:val="left"/>
              <w:rPr>
                <w:rFonts w:ascii="方正书宋_GBK" w:eastAsia="方正书宋_GBK"/>
              </w:rPr>
            </w:pPr>
            <w:r>
              <w:rPr>
                <w:rFonts w:ascii="方正书宋_GBK" w:eastAsia="方正书宋_GBK"/>
              </w:rPr>
              <w:t>3.维持正常学习教育教学秩序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保障全校财产安全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较好的完成校园安保工作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保障校园安全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维持正常教学秩序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≥97%</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安保工作认真负责</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&gt;98%</w:t>
            </w:r>
          </w:p>
          <w:p>
            <w:pPr>
              <w:spacing w:line="300" w:lineRule="exact"/>
              <w:jc w:val="left"/>
              <w:rPr>
                <w:rFonts w:ascii="方正书宋_GBK" w:eastAsia="方正书宋_GBK"/>
              </w:rPr>
            </w:pP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能长期保障师生安全。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617"/>
      <w:r>
        <w:rPr>
          <w:rFonts w:ascii="方正仿宋_GBK" w:eastAsia="方正仿宋_GBK"/>
          <w:b/>
          <w:sz w:val="28"/>
        </w:rPr>
        <w:t>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314、关于提前下达2021年城乡义务教育中央补助经费预算（直达资金）-困难学生生活补助绩效目标表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360050南留中学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36875.00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36875.00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有效缓解学生经济负担，提升贫困学生在及家长对教育的满意度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无政府采购预算，空表列示。</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spacing w:line="360" w:lineRule="auto"/>
              <w:ind w:firstLine="1050" w:firstLineChars="500"/>
            </w:pPr>
          </w:p>
        </w:tc>
        <w:tc>
          <w:tcPr>
            <w:tcW w:w="8674" w:type="dxa"/>
            <w:gridSpan w:val="9"/>
            <w:tcBorders>
              <w:top w:val="single" w:color="FFFFFF" w:sz="6" w:space="0"/>
              <w:left w:val="single" w:color="FFFFFF" w:sz="6" w:space="0"/>
              <w:right w:val="single" w:color="FFFFFF" w:sz="6" w:space="0"/>
            </w:tcBorders>
            <w:vAlign w:val="center"/>
          </w:tcPr>
          <w:p>
            <w:pPr>
              <w:pStyle w:val="13"/>
            </w:pPr>
            <w:r>
              <w:rPr>
                <w:rFonts w:hint="eastAsia" w:ascii="微软雅黑" w:hAnsi="微软雅黑" w:eastAsia="微软雅黑" w:cs="微软雅黑"/>
              </w:rPr>
              <w:t>单位</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4"/>
            </w:pPr>
            <w:r>
              <w:t>政府采购项目来源</w:t>
            </w:r>
          </w:p>
        </w:tc>
        <w:tc>
          <w:tcPr>
            <w:tcW w:w="1134" w:type="dxa"/>
            <w:vMerge w:val="restart"/>
            <w:vAlign w:val="center"/>
          </w:tcPr>
          <w:p>
            <w:pPr>
              <w:pStyle w:val="14"/>
            </w:pPr>
            <w:r>
              <w:t>采购物品名称</w:t>
            </w:r>
          </w:p>
        </w:tc>
        <w:tc>
          <w:tcPr>
            <w:tcW w:w="1134" w:type="dxa"/>
            <w:vMerge w:val="restart"/>
            <w:vAlign w:val="center"/>
          </w:tcPr>
          <w:p>
            <w:pPr>
              <w:pStyle w:val="14"/>
            </w:pPr>
            <w:r>
              <w:t>政府采购目录序号</w:t>
            </w:r>
          </w:p>
        </w:tc>
        <w:tc>
          <w:tcPr>
            <w:tcW w:w="709" w:type="dxa"/>
            <w:vMerge w:val="restart"/>
            <w:vAlign w:val="center"/>
          </w:tcPr>
          <w:p>
            <w:pPr>
              <w:pStyle w:val="14"/>
            </w:pPr>
            <w:r>
              <w:t>计量  单位</w:t>
            </w:r>
          </w:p>
        </w:tc>
        <w:tc>
          <w:tcPr>
            <w:tcW w:w="850" w:type="dxa"/>
            <w:vMerge w:val="restart"/>
            <w:vAlign w:val="center"/>
          </w:tcPr>
          <w:p>
            <w:pPr>
              <w:pStyle w:val="14"/>
            </w:pPr>
            <w:r>
              <w:t>数量</w:t>
            </w:r>
          </w:p>
        </w:tc>
        <w:tc>
          <w:tcPr>
            <w:tcW w:w="850" w:type="dxa"/>
            <w:vMerge w:val="restart"/>
            <w:vAlign w:val="center"/>
          </w:tcPr>
          <w:p>
            <w:pPr>
              <w:pStyle w:val="14"/>
            </w:pPr>
            <w:r>
              <w:t>单价</w:t>
            </w:r>
          </w:p>
        </w:tc>
        <w:tc>
          <w:tcPr>
            <w:tcW w:w="7710" w:type="dxa"/>
            <w:gridSpan w:val="8"/>
            <w:vAlign w:val="center"/>
          </w:tcPr>
          <w:p>
            <w:pPr>
              <w:pStyle w:val="14"/>
            </w:pPr>
            <w:r>
              <w:t>政府采购金额（当年</w:t>
            </w:r>
            <w:r>
              <w:rPr>
                <w:rFonts w:hint="eastAsia" w:ascii="微软雅黑" w:hAnsi="微软雅黑" w:eastAsia="微软雅黑" w:cs="微软雅黑"/>
                <w:lang w:eastAsia="zh-CN"/>
              </w:rPr>
              <w:t>单位</w:t>
            </w:r>
            <w:r>
              <w:t>预算安排资金）</w:t>
            </w:r>
          </w:p>
        </w:tc>
        <w:tc>
          <w:tcPr>
            <w:tcW w:w="964" w:type="dxa"/>
            <w:vMerge w:val="restart"/>
            <w:vAlign w:val="center"/>
          </w:tcPr>
          <w:p>
            <w:pPr>
              <w:pStyle w:val="14"/>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87" w:hRule="atLeast"/>
          <w:tblHeader/>
          <w:jc w:val="center"/>
        </w:trPr>
        <w:tc>
          <w:tcPr>
            <w:tcW w:w="1701" w:type="dxa"/>
            <w:vAlign w:val="center"/>
          </w:tcPr>
          <w:p>
            <w:pPr>
              <w:pStyle w:val="14"/>
            </w:pPr>
            <w:r>
              <w:t>项目名称</w:t>
            </w:r>
          </w:p>
        </w:tc>
        <w:tc>
          <w:tcPr>
            <w:tcW w:w="964" w:type="dxa"/>
            <w:vAlign w:val="center"/>
          </w:tcPr>
          <w:p>
            <w:pPr>
              <w:pStyle w:val="14"/>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4"/>
            </w:pPr>
            <w:r>
              <w:t>合计</w:t>
            </w:r>
          </w:p>
        </w:tc>
        <w:tc>
          <w:tcPr>
            <w:tcW w:w="964" w:type="dxa"/>
            <w:vAlign w:val="center"/>
          </w:tcPr>
          <w:p>
            <w:pPr>
              <w:pStyle w:val="14"/>
            </w:pPr>
            <w:r>
              <w:t>一般公共预算拨款</w:t>
            </w:r>
          </w:p>
        </w:tc>
        <w:tc>
          <w:tcPr>
            <w:tcW w:w="964" w:type="dxa"/>
            <w:vAlign w:val="center"/>
          </w:tcPr>
          <w:p>
            <w:pPr>
              <w:pStyle w:val="14"/>
            </w:pPr>
            <w:r>
              <w:t>基金预算拨款</w:t>
            </w:r>
          </w:p>
        </w:tc>
        <w:tc>
          <w:tcPr>
            <w:tcW w:w="964" w:type="dxa"/>
            <w:vAlign w:val="center"/>
          </w:tcPr>
          <w:p>
            <w:pPr>
              <w:pStyle w:val="14"/>
            </w:pPr>
            <w:r>
              <w:t>国有资本经营预算拨款</w:t>
            </w:r>
          </w:p>
        </w:tc>
        <w:tc>
          <w:tcPr>
            <w:tcW w:w="964" w:type="dxa"/>
            <w:vAlign w:val="center"/>
          </w:tcPr>
          <w:p>
            <w:pPr>
              <w:pStyle w:val="14"/>
            </w:pPr>
            <w:r>
              <w:t>财政专户核拨</w:t>
            </w:r>
          </w:p>
        </w:tc>
        <w:tc>
          <w:tcPr>
            <w:tcW w:w="964" w:type="dxa"/>
            <w:vAlign w:val="center"/>
          </w:tcPr>
          <w:p>
            <w:pPr>
              <w:pStyle w:val="14"/>
            </w:pPr>
            <w:r>
              <w:t>单位    资金</w:t>
            </w:r>
          </w:p>
        </w:tc>
        <w:tc>
          <w:tcPr>
            <w:tcW w:w="964" w:type="dxa"/>
            <w:vAlign w:val="center"/>
          </w:tcPr>
          <w:p>
            <w:pPr>
              <w:pStyle w:val="14"/>
            </w:pPr>
            <w:r>
              <w:t>财政拨    款结转</w:t>
            </w:r>
          </w:p>
        </w:tc>
        <w:tc>
          <w:tcPr>
            <w:tcW w:w="964" w:type="dxa"/>
            <w:vAlign w:val="center"/>
          </w:tcPr>
          <w:p>
            <w:pPr>
              <w:pStyle w:val="14"/>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5"/>
            </w:pPr>
            <w:r>
              <w:t>合  计</w:t>
            </w:r>
          </w:p>
        </w:tc>
        <w:tc>
          <w:tcPr>
            <w:tcW w:w="964" w:type="dxa"/>
            <w:vAlign w:val="center"/>
          </w:tcPr>
          <w:p>
            <w:pPr>
              <w:pStyle w:val="16"/>
            </w:pPr>
          </w:p>
        </w:tc>
        <w:tc>
          <w:tcPr>
            <w:tcW w:w="1134" w:type="dxa"/>
            <w:vAlign w:val="center"/>
          </w:tcPr>
          <w:p>
            <w:pPr>
              <w:pStyle w:val="17"/>
            </w:pPr>
          </w:p>
        </w:tc>
        <w:tc>
          <w:tcPr>
            <w:tcW w:w="1134" w:type="dxa"/>
            <w:vAlign w:val="center"/>
          </w:tcPr>
          <w:p>
            <w:pPr>
              <w:pStyle w:val="17"/>
            </w:pPr>
          </w:p>
        </w:tc>
        <w:tc>
          <w:tcPr>
            <w:tcW w:w="709" w:type="dxa"/>
            <w:vAlign w:val="center"/>
          </w:tcPr>
          <w:p>
            <w:pPr>
              <w:pStyle w:val="15"/>
            </w:pPr>
          </w:p>
        </w:tc>
        <w:tc>
          <w:tcPr>
            <w:tcW w:w="850" w:type="dxa"/>
            <w:vAlign w:val="center"/>
          </w:tcPr>
          <w:p>
            <w:pPr>
              <w:pStyle w:val="16"/>
            </w:pPr>
          </w:p>
        </w:tc>
        <w:tc>
          <w:tcPr>
            <w:tcW w:w="850"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5"/>
            </w:pPr>
          </w:p>
        </w:tc>
        <w:tc>
          <w:tcPr>
            <w:tcW w:w="964" w:type="dxa"/>
            <w:vAlign w:val="center"/>
          </w:tcPr>
          <w:p>
            <w:pPr>
              <w:pStyle w:val="16"/>
            </w:pPr>
          </w:p>
        </w:tc>
        <w:tc>
          <w:tcPr>
            <w:tcW w:w="1134" w:type="dxa"/>
            <w:vAlign w:val="center"/>
          </w:tcPr>
          <w:p>
            <w:pPr>
              <w:pStyle w:val="17"/>
            </w:pPr>
          </w:p>
        </w:tc>
        <w:tc>
          <w:tcPr>
            <w:tcW w:w="1134" w:type="dxa"/>
            <w:vAlign w:val="center"/>
          </w:tcPr>
          <w:p>
            <w:pPr>
              <w:pStyle w:val="17"/>
            </w:pPr>
          </w:p>
        </w:tc>
        <w:tc>
          <w:tcPr>
            <w:tcW w:w="709" w:type="dxa"/>
            <w:vAlign w:val="center"/>
          </w:tcPr>
          <w:p>
            <w:pPr>
              <w:pStyle w:val="15"/>
            </w:pPr>
          </w:p>
        </w:tc>
        <w:tc>
          <w:tcPr>
            <w:tcW w:w="850" w:type="dxa"/>
            <w:vAlign w:val="center"/>
          </w:tcPr>
          <w:p>
            <w:pPr>
              <w:pStyle w:val="16"/>
            </w:pPr>
          </w:p>
        </w:tc>
        <w:tc>
          <w:tcPr>
            <w:tcW w:w="850"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0"/>
            </w:pPr>
          </w:p>
        </w:tc>
        <w:tc>
          <w:tcPr>
            <w:tcW w:w="964" w:type="dxa"/>
            <w:vAlign w:val="center"/>
          </w:tcPr>
          <w:p>
            <w:pPr>
              <w:pStyle w:val="18"/>
            </w:pPr>
          </w:p>
        </w:tc>
        <w:tc>
          <w:tcPr>
            <w:tcW w:w="1134" w:type="dxa"/>
            <w:vAlign w:val="center"/>
          </w:tcPr>
          <w:p>
            <w:pPr>
              <w:pStyle w:val="10"/>
            </w:pPr>
          </w:p>
        </w:tc>
        <w:tc>
          <w:tcPr>
            <w:tcW w:w="1134" w:type="dxa"/>
            <w:vAlign w:val="center"/>
          </w:tcPr>
          <w:p>
            <w:pPr>
              <w:pStyle w:val="10"/>
            </w:pPr>
          </w:p>
        </w:tc>
        <w:tc>
          <w:tcPr>
            <w:tcW w:w="709" w:type="dxa"/>
            <w:vAlign w:val="center"/>
          </w:tcPr>
          <w:p>
            <w:pPr>
              <w:pStyle w:val="19"/>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上年末我单位固定资产总金额为7</w:t>
      </w:r>
      <w:r>
        <w:rPr>
          <w:rFonts w:ascii="仿宋" w:hAnsi="仿宋" w:eastAsia="仿宋"/>
          <w:sz w:val="32"/>
          <w:szCs w:val="32"/>
        </w:rPr>
        <w:t>23.29913</w:t>
      </w:r>
      <w:r>
        <w:rPr>
          <w:rFonts w:hint="eastAsia" w:ascii="仿宋" w:hAnsi="仿宋" w:eastAsia="仿宋"/>
          <w:sz w:val="32"/>
          <w:szCs w:val="32"/>
        </w:rPr>
        <w:t>万元（详见下表）。我单位本年度无国有资产购置计划，拟购置金额为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000000" w:themeColor="text1"/>
                <w:kern w:val="0"/>
                <w:sz w:val="28"/>
                <w:szCs w:val="28"/>
                <w14:textFill>
                  <w14:solidFill>
                    <w14:schemeClr w14:val="tx1"/>
                  </w14:solidFill>
                </w14:textFill>
              </w:rPr>
              <w:t>2020</w:t>
            </w:r>
            <w:r>
              <w:rPr>
                <w:rFonts w:hint="eastAsia" w:ascii="仿宋_GB2312" w:hAnsi="仿宋" w:eastAsia="仿宋_GB2312" w:cs="宋体"/>
                <w:bCs/>
                <w:color w:val="000000" w:themeColor="text1"/>
                <w:kern w:val="0"/>
                <w:sz w:val="28"/>
                <w:szCs w:val="28"/>
                <w14:textFill>
                  <w14:solidFill>
                    <w14:schemeClr w14:val="tx1"/>
                  </w14:solidFill>
                </w14:textFill>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7</w:t>
            </w:r>
            <w:r>
              <w:rPr>
                <w:rFonts w:ascii="仿宋_GB2312" w:hAnsi="仿宋" w:eastAsia="仿宋_GB2312" w:cs="宋体"/>
                <w:b/>
                <w:kern w:val="0"/>
                <w:sz w:val="24"/>
                <w:szCs w:val="24"/>
              </w:rPr>
              <w:t>23.29913</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ind w:firstLine="240" w:firstLineChars="100"/>
              <w:rPr>
                <w:rFonts w:ascii="仿宋_GB2312" w:hAnsi="仿宋" w:eastAsia="仿宋_GB2312" w:cs="宋体"/>
                <w:kern w:val="0"/>
                <w:sz w:val="24"/>
                <w:szCs w:val="24"/>
              </w:rPr>
            </w:pPr>
            <w:r>
              <w:rPr>
                <w:rFonts w:hint="eastAsia" w:ascii="仿宋_GB2312" w:hAnsi="仿宋" w:eastAsia="仿宋_GB2312" w:cs="宋体"/>
                <w:kern w:val="0"/>
                <w:sz w:val="24"/>
                <w:szCs w:val="24"/>
              </w:rPr>
              <w:t>2</w:t>
            </w:r>
            <w:r>
              <w:rPr>
                <w:rFonts w:ascii="仿宋_GB2312" w:hAnsi="仿宋" w:eastAsia="仿宋_GB2312" w:cs="宋体"/>
                <w:kern w:val="0"/>
                <w:sz w:val="24"/>
                <w:szCs w:val="24"/>
              </w:rPr>
              <w:t>551</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ascii="仿宋_GB2312" w:hAnsi="仿宋" w:eastAsia="仿宋_GB2312" w:cs="宋体"/>
                <w:kern w:val="0"/>
                <w:sz w:val="24"/>
                <w:szCs w:val="24"/>
              </w:rPr>
              <w:t>267.046152</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w:t>
            </w:r>
            <w:r>
              <w:rPr>
                <w:rFonts w:ascii="仿宋_GB2312" w:hAnsi="仿宋" w:eastAsia="仿宋_GB2312" w:cs="宋体"/>
                <w:kern w:val="0"/>
                <w:sz w:val="24"/>
                <w:szCs w:val="24"/>
              </w:rPr>
              <w:t>551</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267.046152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62.0476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62.0476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ascii="仿宋_GB2312" w:hAnsi="仿宋" w:eastAsia="仿宋_GB2312" w:cs="宋体"/>
                <w:kern w:val="0"/>
                <w:sz w:val="24"/>
                <w:szCs w:val="24"/>
              </w:rPr>
              <w:t>394.205378</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w:t>
      </w:r>
      <w:r>
        <w:rPr>
          <w:rFonts w:hint="eastAsia" w:ascii="仿宋" w:hAnsi="仿宋" w:eastAsia="仿宋"/>
          <w:sz w:val="32"/>
          <w:szCs w:val="32"/>
        </w:rPr>
        <w:t>单位</w:t>
      </w:r>
      <w:r>
        <w:rPr>
          <w:rFonts w:ascii="仿宋" w:hAnsi="仿宋" w:eastAsia="仿宋"/>
          <w:sz w:val="32"/>
          <w:szCs w:val="32"/>
        </w:rPr>
        <w:t>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Malgun Gothic Semilight"/>
    <w:panose1 w:val="00000000000000000000"/>
    <w:charset w:val="86"/>
    <w:family w:val="script"/>
    <w:pitch w:val="default"/>
    <w:sig w:usb0="00000000" w:usb1="00000000" w:usb2="00000010" w:usb3="00000000" w:csb0="00040000" w:csb1="00000000"/>
  </w:font>
  <w:font w:name="Malgun Gothic Semilight">
    <w:panose1 w:val="020B0502040204020203"/>
    <w:charset w:val="86"/>
    <w:family w:val="auto"/>
    <w:pitch w:val="default"/>
    <w:sig w:usb0="900002AF" w:usb1="01D77CFB" w:usb2="00000012" w:usb3="00000000" w:csb0="203E01BD" w:csb1="D7FF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Malgun Gothic Semilight"/>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13</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mYWVmODhmNDFmMTI2ZDM0ZWY1MjFmNGNjNTAzODAifQ=="/>
  </w:docVars>
  <w:rsids>
    <w:rsidRoot w:val="00055F1F"/>
    <w:rsid w:val="00013B8A"/>
    <w:rsid w:val="00044FBC"/>
    <w:rsid w:val="00055F1F"/>
    <w:rsid w:val="000577EF"/>
    <w:rsid w:val="00057F18"/>
    <w:rsid w:val="000A445D"/>
    <w:rsid w:val="000C178B"/>
    <w:rsid w:val="00103C96"/>
    <w:rsid w:val="00131DEC"/>
    <w:rsid w:val="00136AB3"/>
    <w:rsid w:val="001462BD"/>
    <w:rsid w:val="00152380"/>
    <w:rsid w:val="001638BE"/>
    <w:rsid w:val="00164810"/>
    <w:rsid w:val="00172C7A"/>
    <w:rsid w:val="00181777"/>
    <w:rsid w:val="00195FB7"/>
    <w:rsid w:val="001B4688"/>
    <w:rsid w:val="001B6235"/>
    <w:rsid w:val="001F4875"/>
    <w:rsid w:val="00204839"/>
    <w:rsid w:val="00212335"/>
    <w:rsid w:val="00233883"/>
    <w:rsid w:val="002652B8"/>
    <w:rsid w:val="002918C6"/>
    <w:rsid w:val="00291EF3"/>
    <w:rsid w:val="00296524"/>
    <w:rsid w:val="002E01F6"/>
    <w:rsid w:val="002F1ACB"/>
    <w:rsid w:val="002F530F"/>
    <w:rsid w:val="00305E97"/>
    <w:rsid w:val="00310532"/>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29FD"/>
    <w:rsid w:val="00426C19"/>
    <w:rsid w:val="00433390"/>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5D065A"/>
    <w:rsid w:val="0062788A"/>
    <w:rsid w:val="00641F8A"/>
    <w:rsid w:val="0066383B"/>
    <w:rsid w:val="00687959"/>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E5408"/>
    <w:rsid w:val="008E6368"/>
    <w:rsid w:val="00904771"/>
    <w:rsid w:val="0090527E"/>
    <w:rsid w:val="00905BB7"/>
    <w:rsid w:val="0090620C"/>
    <w:rsid w:val="00912DA4"/>
    <w:rsid w:val="009302B8"/>
    <w:rsid w:val="009305C6"/>
    <w:rsid w:val="009352AC"/>
    <w:rsid w:val="009752AE"/>
    <w:rsid w:val="00982F3D"/>
    <w:rsid w:val="00983232"/>
    <w:rsid w:val="009A278A"/>
    <w:rsid w:val="009B6368"/>
    <w:rsid w:val="009F63C4"/>
    <w:rsid w:val="00A16957"/>
    <w:rsid w:val="00A6155C"/>
    <w:rsid w:val="00A8079E"/>
    <w:rsid w:val="00A90328"/>
    <w:rsid w:val="00A92BF4"/>
    <w:rsid w:val="00A92D66"/>
    <w:rsid w:val="00AA4262"/>
    <w:rsid w:val="00AA4633"/>
    <w:rsid w:val="00AB5A90"/>
    <w:rsid w:val="00AB7449"/>
    <w:rsid w:val="00AE4AA5"/>
    <w:rsid w:val="00AE7FA9"/>
    <w:rsid w:val="00B147EB"/>
    <w:rsid w:val="00B2156D"/>
    <w:rsid w:val="00B22155"/>
    <w:rsid w:val="00B33130"/>
    <w:rsid w:val="00B40F20"/>
    <w:rsid w:val="00B74329"/>
    <w:rsid w:val="00B75220"/>
    <w:rsid w:val="00B76AA9"/>
    <w:rsid w:val="00B80FAB"/>
    <w:rsid w:val="00B81C88"/>
    <w:rsid w:val="00B8681B"/>
    <w:rsid w:val="00BA5C83"/>
    <w:rsid w:val="00BA665C"/>
    <w:rsid w:val="00BC6A7D"/>
    <w:rsid w:val="00BD4829"/>
    <w:rsid w:val="00BD6002"/>
    <w:rsid w:val="00BD719F"/>
    <w:rsid w:val="00BF5442"/>
    <w:rsid w:val="00C177A5"/>
    <w:rsid w:val="00C35FEE"/>
    <w:rsid w:val="00C50535"/>
    <w:rsid w:val="00C6153C"/>
    <w:rsid w:val="00C906EF"/>
    <w:rsid w:val="00CA03E5"/>
    <w:rsid w:val="00CC7D74"/>
    <w:rsid w:val="00D02F97"/>
    <w:rsid w:val="00D45530"/>
    <w:rsid w:val="00D45A0E"/>
    <w:rsid w:val="00D45D23"/>
    <w:rsid w:val="00D723D1"/>
    <w:rsid w:val="00D80C60"/>
    <w:rsid w:val="00D8525F"/>
    <w:rsid w:val="00DA0C4D"/>
    <w:rsid w:val="00DA5DA7"/>
    <w:rsid w:val="00DE3935"/>
    <w:rsid w:val="00DE6B32"/>
    <w:rsid w:val="00DF26B8"/>
    <w:rsid w:val="00E03F81"/>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D2444"/>
    <w:rsid w:val="00FE0F1F"/>
    <w:rsid w:val="00FF61F3"/>
    <w:rsid w:val="0BB93035"/>
    <w:rsid w:val="1954439D"/>
    <w:rsid w:val="241A61C9"/>
    <w:rsid w:val="274C247A"/>
    <w:rsid w:val="2CEC0645"/>
    <w:rsid w:val="2F350375"/>
    <w:rsid w:val="39066E89"/>
    <w:rsid w:val="3B0D21A6"/>
    <w:rsid w:val="3FA04A27"/>
    <w:rsid w:val="453A003B"/>
    <w:rsid w:val="571406EC"/>
    <w:rsid w:val="59B166C6"/>
    <w:rsid w:val="5F0559C3"/>
    <w:rsid w:val="660E6480"/>
    <w:rsid w:val="6E086BB4"/>
    <w:rsid w:val="7CD70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 w:type="paragraph" w:customStyle="1" w:styleId="1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1">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4">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17">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3"/>
    <w:basedOn w:val="1"/>
    <w:qFormat/>
    <w:uiPriority w:val="0"/>
    <w:pPr>
      <w:widowControl/>
      <w:jc w:val="center"/>
    </w:pPr>
    <w:rPr>
      <w:rFonts w:ascii="方正书宋_GBK" w:hAnsi="方正书宋_GBK" w:eastAsia="方正书宋_GBK" w:cs="方正书宋_GBK"/>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C7D732-F1E1-4338-BA34-02EB11338C9C}">
  <ds:schemaRefs/>
</ds:datastoreItem>
</file>

<file path=docProps/app.xml><?xml version="1.0" encoding="utf-8"?>
<Properties xmlns="http://schemas.openxmlformats.org/officeDocument/2006/extended-properties" xmlns:vt="http://schemas.openxmlformats.org/officeDocument/2006/docPropsVTypes">
  <Template>Normal</Template>
  <Pages>14</Pages>
  <Words>965</Words>
  <Characters>5504</Characters>
  <Lines>45</Lines>
  <Paragraphs>12</Paragraphs>
  <TotalTime>33</TotalTime>
  <ScaleCrop>false</ScaleCrop>
  <LinksUpToDate>false</LinksUpToDate>
  <CharactersWithSpaces>6457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2023-11-16T01:08:57Z</dcterms:modified>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67E5ED2F498F45B280C01249BB7BC01F</vt:lpwstr>
  </property>
</Properties>
</file>