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保定市徐水区幼儿园</w:t>
      </w:r>
    </w:p>
    <w:p>
      <w:pPr>
        <w:spacing w:line="360" w:lineRule="auto"/>
        <w:jc w:val="center"/>
        <w:rPr>
          <w:rFonts w:ascii="宋体" w:hAnsi="宋体" w:eastAsia="宋体"/>
          <w:b/>
          <w:sz w:val="44"/>
          <w:szCs w:val="44"/>
        </w:rPr>
      </w:pPr>
      <w:r>
        <w:rPr>
          <w:rFonts w:ascii="宋体" w:hAnsi="宋体" w:eastAsia="宋体"/>
          <w:b/>
          <w:sz w:val="44"/>
          <w:szCs w:val="44"/>
        </w:rPr>
        <w:t>2021年</w:t>
      </w:r>
      <w:r>
        <w:rPr>
          <w:rFonts w:hint="eastAsia" w:ascii="宋体" w:hAnsi="宋体" w:eastAsia="宋体"/>
          <w:b/>
          <w:sz w:val="44"/>
          <w:szCs w:val="44"/>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预算法》、《地方预决算公开操作规程》等文件规定，现将我部门预算信息公开如下：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为学龄前儿童提供保育和教育服务、 保育服务 、教育服务,</w:t>
      </w:r>
      <w:r>
        <w:rPr>
          <w:rFonts w:ascii="仿宋" w:hAnsi="仿宋" w:eastAsia="仿宋"/>
          <w:sz w:val="32"/>
          <w:szCs w:val="32"/>
        </w:rPr>
        <w:t>提高幼儿园教科研水平，加强园本教研、区域教研，及时解决幼儿园教师在教育实践过程中的困惑和问题，促进我</w:t>
      </w:r>
      <w:r>
        <w:rPr>
          <w:rFonts w:hint="eastAsia" w:ascii="仿宋" w:hAnsi="仿宋" w:eastAsia="仿宋"/>
          <w:sz w:val="32"/>
          <w:szCs w:val="32"/>
        </w:rPr>
        <w:t>单位</w:t>
      </w:r>
      <w:r>
        <w:rPr>
          <w:rFonts w:ascii="仿宋" w:hAnsi="仿宋" w:eastAsia="仿宋"/>
          <w:sz w:val="32"/>
          <w:szCs w:val="32"/>
        </w:rPr>
        <w:t>学前教育高质量发展。</w:t>
      </w:r>
    </w:p>
    <w:p>
      <w:pPr>
        <w:spacing w:line="360" w:lineRule="auto"/>
        <w:ind w:firstLine="640" w:firstLineChars="200"/>
        <w:rPr>
          <w:rFonts w:ascii="仿宋" w:hAnsi="仿宋" w:eastAsia="仿宋"/>
          <w:sz w:val="32"/>
          <w:szCs w:val="32"/>
        </w:rPr>
      </w:pP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801"/>
        <w:gridCol w:w="28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8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2877"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保定市徐水区幼儿园</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8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2877" w:type="dxa"/>
          </w:tcPr>
          <w:p>
            <w:pPr>
              <w:rPr>
                <w:rFonts w:hint="eastAsia" w:ascii="仿宋_GB2312" w:hAnsi="仿宋" w:eastAsia="仿宋_GB2312"/>
                <w:bCs/>
                <w:sz w:val="24"/>
                <w:szCs w:val="24"/>
              </w:rPr>
            </w:pPr>
            <w:r>
              <w:rPr>
                <w:rFonts w:hint="eastAsia" w:ascii="仿宋_GB2312" w:hAnsi="仿宋" w:eastAsia="仿宋_GB2312"/>
                <w:bCs/>
                <w:sz w:val="24"/>
                <w:szCs w:val="24"/>
              </w:rPr>
              <w:t>财政</w:t>
            </w:r>
            <w:r>
              <w:rPr>
                <w:rFonts w:ascii="仿宋_GB2312" w:hAnsi="仿宋" w:eastAsia="仿宋_GB2312"/>
                <w:bCs/>
                <w:sz w:val="24"/>
                <w:szCs w:val="24"/>
              </w:rPr>
              <w:t>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1676.2</w:t>
      </w:r>
      <w:r>
        <w:rPr>
          <w:rFonts w:ascii="仿宋" w:hAnsi="仿宋" w:eastAsia="仿宋"/>
          <w:sz w:val="32"/>
          <w:szCs w:val="32"/>
        </w:rPr>
        <w:t>万元,其中：一般公共预算收入</w:t>
      </w:r>
      <w:r>
        <w:rPr>
          <w:rFonts w:hint="eastAsia" w:ascii="仿宋" w:hAnsi="仿宋" w:eastAsia="仿宋"/>
          <w:sz w:val="32"/>
          <w:szCs w:val="32"/>
        </w:rPr>
        <w:t>1676.2</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w:t>
      </w:r>
      <w:r>
        <w:rPr>
          <w:rFonts w:hint="eastAsia" w:ascii="仿宋" w:hAnsi="仿宋" w:eastAsia="仿宋"/>
          <w:sz w:val="32"/>
          <w:szCs w:val="32"/>
        </w:rPr>
        <w:t>单位</w:t>
      </w:r>
      <w:r>
        <w:rPr>
          <w:rFonts w:ascii="仿宋" w:hAnsi="仿宋" w:eastAsia="仿宋"/>
          <w:sz w:val="32"/>
          <w:szCs w:val="32"/>
        </w:rPr>
        <w:t>支出预算：</w:t>
      </w:r>
      <w:r>
        <w:rPr>
          <w:rFonts w:hint="eastAsia" w:ascii="仿宋" w:hAnsi="仿宋" w:eastAsia="仿宋"/>
          <w:sz w:val="32"/>
          <w:szCs w:val="32"/>
        </w:rPr>
        <w:t>1676.2</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基本支出1143.6万元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1118.33</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25.27</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532.6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532.6</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本年度预算收支安排1676.2万元，较上年增加187.77</w:t>
      </w:r>
      <w:r>
        <w:rPr>
          <w:rFonts w:ascii="仿宋" w:hAnsi="仿宋" w:eastAsia="仿宋"/>
          <w:sz w:val="32"/>
          <w:szCs w:val="32"/>
        </w:rPr>
        <w:t>万元。其中:基本支出增加</w:t>
      </w:r>
      <w:r>
        <w:rPr>
          <w:rFonts w:hint="eastAsia" w:ascii="仿宋" w:hAnsi="仿宋" w:eastAsia="仿宋"/>
          <w:sz w:val="32"/>
          <w:szCs w:val="32"/>
        </w:rPr>
        <w:t>4.31</w:t>
      </w:r>
      <w:r>
        <w:rPr>
          <w:rFonts w:ascii="仿宋" w:hAnsi="仿宋" w:eastAsia="仿宋"/>
          <w:sz w:val="32"/>
          <w:szCs w:val="32"/>
        </w:rPr>
        <w:t>万元，主要原因是202</w:t>
      </w:r>
      <w:r>
        <w:rPr>
          <w:rFonts w:hint="eastAsia" w:ascii="仿宋" w:hAnsi="仿宋" w:eastAsia="仿宋"/>
          <w:sz w:val="32"/>
          <w:szCs w:val="32"/>
        </w:rPr>
        <w:t>1</w:t>
      </w:r>
      <w:r>
        <w:rPr>
          <w:rFonts w:ascii="仿宋" w:hAnsi="仿宋" w:eastAsia="仿宋"/>
          <w:sz w:val="32"/>
          <w:szCs w:val="32"/>
        </w:rPr>
        <w:t>年教师工资增长，导致人员经费增加；项目支出增加</w:t>
      </w:r>
      <w:r>
        <w:rPr>
          <w:rFonts w:hint="eastAsia" w:ascii="仿宋" w:hAnsi="仿宋" w:eastAsia="仿宋"/>
          <w:sz w:val="32"/>
          <w:szCs w:val="32"/>
        </w:rPr>
        <w:t xml:space="preserve"> 183.46</w:t>
      </w:r>
      <w:r>
        <w:rPr>
          <w:rFonts w:ascii="仿宋" w:hAnsi="仿宋" w:eastAsia="仿宋"/>
          <w:sz w:val="32"/>
          <w:szCs w:val="32"/>
        </w:rPr>
        <w:t>万元，主要原因是</w:t>
      </w:r>
      <w:r>
        <w:rPr>
          <w:rFonts w:hint="eastAsia" w:ascii="仿宋" w:hAnsi="仿宋" w:eastAsia="仿宋"/>
          <w:sz w:val="32"/>
          <w:szCs w:val="32"/>
        </w:rPr>
        <w:t>由于</w:t>
      </w:r>
      <w:bookmarkStart w:id="4" w:name="_GoBack"/>
      <w:bookmarkEnd w:id="4"/>
      <w:r>
        <w:rPr>
          <w:rFonts w:hint="eastAsia" w:ascii="仿宋" w:hAnsi="仿宋" w:eastAsia="仿宋"/>
          <w:sz w:val="32"/>
          <w:szCs w:val="32"/>
        </w:rPr>
        <w:t>疫情2020年上半年未开学、未收费，2021年度幼儿正常入园收费，导致项目支出增加</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w:t>
      </w:r>
      <w:r>
        <w:rPr>
          <w:rFonts w:hint="eastAsia" w:ascii="仿宋" w:hAnsi="仿宋" w:eastAsia="仿宋"/>
          <w:sz w:val="32"/>
          <w:szCs w:val="32"/>
        </w:rPr>
        <w:t>25.27</w:t>
      </w:r>
      <w:r>
        <w:rPr>
          <w:rFonts w:ascii="仿宋" w:hAnsi="仿宋" w:eastAsia="仿宋"/>
          <w:sz w:val="32"/>
          <w:szCs w:val="32"/>
        </w:rPr>
        <w:t>万元，其中</w:t>
      </w:r>
      <w:r>
        <w:rPr>
          <w:rFonts w:hint="eastAsia" w:ascii="仿宋" w:hAnsi="仿宋" w:eastAsia="仿宋"/>
          <w:sz w:val="32"/>
          <w:szCs w:val="32"/>
        </w:rPr>
        <w:t>离退休干部经费6.28</w:t>
      </w:r>
      <w:r>
        <w:rPr>
          <w:rFonts w:ascii="仿宋" w:hAnsi="仿宋" w:eastAsia="仿宋"/>
          <w:sz w:val="32"/>
          <w:szCs w:val="32"/>
        </w:rPr>
        <w:t>万元，</w:t>
      </w:r>
      <w:r>
        <w:rPr>
          <w:rFonts w:hint="eastAsia" w:ascii="仿宋" w:hAnsi="仿宋" w:eastAsia="仿宋"/>
          <w:sz w:val="32"/>
          <w:szCs w:val="32"/>
        </w:rPr>
        <w:t>工会经费11.09</w:t>
      </w:r>
      <w:r>
        <w:rPr>
          <w:rFonts w:ascii="仿宋" w:hAnsi="仿宋" w:eastAsia="仿宋"/>
          <w:sz w:val="32"/>
          <w:szCs w:val="32"/>
        </w:rPr>
        <w:t>万元，福利费</w:t>
      </w:r>
      <w:r>
        <w:rPr>
          <w:rFonts w:hint="eastAsia" w:ascii="仿宋" w:hAnsi="仿宋" w:eastAsia="仿宋"/>
          <w:sz w:val="32"/>
          <w:szCs w:val="32"/>
        </w:rPr>
        <w:t>7.9</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hint="eastAsia" w:ascii="黑体" w:hAnsi="黑体" w:eastAsia="黑体" w:cs="宋体"/>
                      <w:kern w:val="0"/>
                      <w:sz w:val="32"/>
                      <w:szCs w:val="32"/>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p>
            <w:pPr>
              <w:spacing w:line="360" w:lineRule="auto"/>
              <w:ind w:firstLine="640" w:firstLineChars="200"/>
              <w:rPr>
                <w:rFonts w:ascii="黑体" w:hAnsi="黑体" w:eastAsia="黑体" w:cs="宋体"/>
                <w:kern w:val="0"/>
                <w:sz w:val="32"/>
                <w:szCs w:val="32"/>
              </w:rPr>
            </w:pPr>
            <w:r>
              <w:rPr>
                <w:rFonts w:hint="eastAsia" w:ascii="黑体" w:hAnsi="黑体" w:eastAsia="黑体" w:cs="宋体"/>
                <w:kern w:val="0"/>
                <w:sz w:val="32"/>
                <w:szCs w:val="32"/>
              </w:rPr>
              <w:t>我单位无三公经费，以空表列示。</w:t>
            </w:r>
          </w:p>
        </w:tc>
      </w:tr>
    </w:tbl>
    <w:p>
      <w:pPr>
        <w:spacing w:line="360" w:lineRule="auto"/>
        <w:rPr>
          <w:rFonts w:hint="eastAsia" w:ascii="黑体" w:hAnsi="黑体" w:eastAsia="黑体" w:cs="Times New Roman"/>
          <w:sz w:val="32"/>
          <w:szCs w:val="32"/>
        </w:rPr>
      </w:pPr>
    </w:p>
    <w:p>
      <w:pPr>
        <w:spacing w:line="360" w:lineRule="auto"/>
        <w:rPr>
          <w:rFonts w:hint="eastAsia"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ind w:firstLine="640" w:firstLineChars="200"/>
        <w:outlineLvl w:val="0"/>
        <w:rPr>
          <w:rFonts w:ascii="仿宋" w:hAnsi="仿宋" w:eastAsia="仿宋"/>
          <w:sz w:val="32"/>
          <w:szCs w:val="32"/>
        </w:rPr>
      </w:pPr>
      <w:r>
        <w:rPr>
          <w:rFonts w:hint="eastAsia" w:ascii="仿宋" w:hAnsi="仿宋" w:eastAsia="仿宋"/>
          <w:sz w:val="32"/>
          <w:szCs w:val="32"/>
        </w:rPr>
        <w:t>一、总体绩效目标</w:t>
      </w:r>
      <w:r>
        <w:rPr>
          <w:rFonts w:ascii="仿宋" w:hAnsi="仿宋" w:eastAsia="仿宋"/>
          <w:sz w:val="32"/>
          <w:szCs w:val="32"/>
        </w:rPr>
        <w:t xml:space="preserve"> </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我单位的总体目标是：推进学前教育普及及发展，加强硬件建设努历实现环境设施完善化、优美化；优化教工队伍，提高教师的整体素质，全力打造师德高尚的专业化教师队伍；提高保教质量，促进幼儿全面发展，高水平发展学前教育；加大教育基础设施建设，努力实现现代信息技术与教育教学深度融合，持之以恒地创建平安校园，强化教育高质量发展支撑保障；推动育人课堂创建，加快建设教育强校，办好人民满意教育。</w:t>
      </w:r>
    </w:p>
    <w:p>
      <w:pPr>
        <w:ind w:firstLine="640" w:firstLineChars="200"/>
        <w:jc w:val="left"/>
        <w:outlineLvl w:val="0"/>
        <w:rPr>
          <w:rFonts w:ascii="仿宋" w:hAnsi="仿宋" w:eastAsia="仿宋"/>
          <w:sz w:val="32"/>
          <w:szCs w:val="32"/>
        </w:rPr>
      </w:pPr>
      <w:r>
        <w:rPr>
          <w:rFonts w:hint="eastAsia" w:ascii="仿宋" w:hAnsi="仿宋" w:eastAsia="仿宋"/>
          <w:sz w:val="32"/>
          <w:szCs w:val="32"/>
        </w:rPr>
        <w:t>二、分项绩效目标</w:t>
      </w:r>
    </w:p>
    <w:p>
      <w:pPr>
        <w:ind w:firstLine="640" w:firstLineChars="200"/>
        <w:jc w:val="left"/>
        <w:outlineLvl w:val="0"/>
        <w:rPr>
          <w:rFonts w:ascii="仿宋" w:hAnsi="仿宋" w:eastAsia="仿宋"/>
          <w:sz w:val="32"/>
          <w:szCs w:val="32"/>
        </w:rPr>
      </w:pPr>
      <w:r>
        <w:rPr>
          <w:rFonts w:ascii="仿宋" w:hAnsi="仿宋" w:eastAsia="仿宋"/>
          <w:sz w:val="32"/>
          <w:szCs w:val="32"/>
        </w:rPr>
        <w:t>(一）全面加强思想政治建设。</w:t>
      </w:r>
    </w:p>
    <w:p>
      <w:pPr>
        <w:jc w:val="left"/>
        <w:outlineLvl w:val="0"/>
        <w:rPr>
          <w:rFonts w:ascii="仿宋" w:hAnsi="仿宋" w:eastAsia="仿宋"/>
          <w:sz w:val="32"/>
          <w:szCs w:val="32"/>
        </w:rPr>
      </w:pPr>
      <w:r>
        <w:rPr>
          <w:rFonts w:hint="eastAsia" w:ascii="仿宋" w:hAnsi="仿宋" w:eastAsia="仿宋"/>
          <w:sz w:val="32"/>
          <w:szCs w:val="32"/>
        </w:rPr>
        <w:t xml:space="preserve">    绩效目标：把学习宣传贯彻习近平新时代中国特色社会主义思想作为首要政治任务，深入学习贯彻习近平总书记关于教育的重要论述</w:t>
      </w:r>
      <w:r>
        <w:rPr>
          <w:rFonts w:ascii="仿宋" w:hAnsi="仿宋" w:eastAsia="仿宋"/>
          <w:sz w:val="32"/>
          <w:szCs w:val="32"/>
        </w:rPr>
        <w:t>,切实把思想和行动统一到党中央、省委、市委、区委决策部署上来。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ind w:firstLine="640" w:firstLineChars="200"/>
        <w:jc w:val="left"/>
        <w:outlineLvl w:val="0"/>
        <w:rPr>
          <w:rFonts w:ascii="仿宋" w:hAnsi="仿宋" w:eastAsia="仿宋"/>
          <w:sz w:val="32"/>
          <w:szCs w:val="32"/>
        </w:rPr>
      </w:pPr>
      <w:r>
        <w:rPr>
          <w:rFonts w:hint="eastAsia" w:ascii="仿宋" w:hAnsi="仿宋" w:eastAsia="仿宋"/>
          <w:sz w:val="32"/>
          <w:szCs w:val="32"/>
        </w:rPr>
        <w:t>（二）推动学校教育高质量发展。</w:t>
      </w:r>
    </w:p>
    <w:p>
      <w:pPr>
        <w:jc w:val="left"/>
        <w:outlineLvl w:val="0"/>
        <w:rPr>
          <w:rFonts w:ascii="仿宋" w:hAnsi="仿宋" w:eastAsia="仿宋"/>
          <w:sz w:val="32"/>
          <w:szCs w:val="32"/>
        </w:rPr>
      </w:pPr>
      <w:r>
        <w:rPr>
          <w:rFonts w:hint="eastAsia" w:ascii="仿宋" w:hAnsi="仿宋" w:eastAsia="仿宋"/>
          <w:sz w:val="32"/>
          <w:szCs w:val="32"/>
        </w:rPr>
        <w:t xml:space="preserve">    绩效目标：我单位成立学前教育研训科室，充实学前教育研训队伍，提高幼儿园教科研水平，加强园本教研、区域教研，及时解决幼儿园教师在教育实践过程中的困惑和问题，促进我单位学前教育高质量发展。</w:t>
      </w:r>
    </w:p>
    <w:p>
      <w:pPr>
        <w:ind w:firstLine="800" w:firstLineChars="250"/>
        <w:jc w:val="left"/>
        <w:outlineLvl w:val="0"/>
        <w:rPr>
          <w:rFonts w:ascii="仿宋" w:hAnsi="仿宋" w:eastAsia="仿宋"/>
          <w:sz w:val="32"/>
          <w:szCs w:val="32"/>
        </w:rPr>
      </w:pPr>
      <w:r>
        <w:rPr>
          <w:rFonts w:hint="eastAsia" w:ascii="仿宋" w:hAnsi="仿宋" w:eastAsia="仿宋"/>
          <w:sz w:val="32"/>
          <w:szCs w:val="32"/>
        </w:rPr>
        <w:t>三、工作保障措施</w:t>
      </w:r>
    </w:p>
    <w:p>
      <w:pPr>
        <w:jc w:val="left"/>
        <w:outlineLvl w:val="0"/>
        <w:rPr>
          <w:rFonts w:ascii="仿宋" w:hAnsi="仿宋" w:eastAsia="仿宋"/>
          <w:sz w:val="32"/>
          <w:szCs w:val="32"/>
        </w:rPr>
      </w:pPr>
      <w:r>
        <w:rPr>
          <w:rFonts w:hint="eastAsia" w:ascii="仿宋" w:hAnsi="仿宋" w:eastAsia="仿宋"/>
          <w:sz w:val="32"/>
          <w:szCs w:val="32"/>
        </w:rPr>
        <w:t xml:space="preserve">    （一）加强组织领导。建立健全教育领域预算绩效管理制度体系。围绕年度总体绩效目标和分项绩效目标，明确责任主体，细化落实措施，确保绩效目标年内全部完成。</w:t>
      </w:r>
    </w:p>
    <w:p>
      <w:pPr>
        <w:jc w:val="center"/>
        <w:outlineLvl w:val="0"/>
        <w:rPr>
          <w:rFonts w:ascii="仿宋" w:hAnsi="仿宋" w:eastAsia="仿宋"/>
          <w:sz w:val="32"/>
          <w:szCs w:val="32"/>
        </w:rPr>
      </w:pPr>
      <w:r>
        <w:rPr>
          <w:rFonts w:hint="eastAsia" w:ascii="仿宋" w:hAnsi="仿宋" w:eastAsia="仿宋"/>
          <w:sz w:val="32"/>
          <w:szCs w:val="32"/>
        </w:rPr>
        <w:t xml:space="preserve">    （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jc w:val="left"/>
        <w:outlineLvl w:val="0"/>
        <w:rPr>
          <w:rFonts w:ascii="仿宋" w:hAnsi="仿宋" w:eastAsia="仿宋"/>
          <w:sz w:val="32"/>
          <w:szCs w:val="32"/>
        </w:rPr>
      </w:pPr>
      <w:r>
        <w:rPr>
          <w:rFonts w:hint="eastAsia" w:ascii="仿宋" w:hAnsi="仿宋" w:eastAsia="仿宋"/>
          <w:sz w:val="32"/>
          <w:szCs w:val="32"/>
        </w:rPr>
        <w:t xml:space="preserve">    （三）加强支出管理。单位加快项目执行进度，加快资金支出。严格按照年初预算支出计划加快履行政府采购手续，尽快启动项目，进行资金支付。</w:t>
      </w:r>
    </w:p>
    <w:p>
      <w:pPr>
        <w:jc w:val="left"/>
        <w:outlineLvl w:val="0"/>
        <w:rPr>
          <w:rFonts w:ascii="仿宋" w:hAnsi="仿宋" w:eastAsia="仿宋"/>
          <w:sz w:val="32"/>
          <w:szCs w:val="32"/>
        </w:rPr>
      </w:pPr>
      <w:r>
        <w:rPr>
          <w:rFonts w:hint="eastAsia" w:ascii="仿宋" w:hAnsi="仿宋" w:eastAsia="仿宋"/>
          <w:sz w:val="32"/>
          <w:szCs w:val="32"/>
        </w:rPr>
        <w:t xml:space="preserve">    （四）加强绩效运行监控。强化资金监管，单位建立健全内控组织机构、机制建设和内部管理制度，加强对关键岗位人员管理，保证单位各项经济活动合法合规。</w:t>
      </w:r>
      <w:r>
        <w:rPr>
          <w:rFonts w:ascii="仿宋" w:hAnsi="仿宋" w:eastAsia="仿宋"/>
          <w:sz w:val="32"/>
          <w:szCs w:val="32"/>
        </w:rPr>
        <w:t xml:space="preserve">      </w:t>
      </w:r>
    </w:p>
    <w:p>
      <w:pPr>
        <w:jc w:val="left"/>
        <w:outlineLvl w:val="0"/>
        <w:rPr>
          <w:rFonts w:ascii="仿宋" w:hAnsi="仿宋" w:eastAsia="仿宋"/>
          <w:sz w:val="32"/>
          <w:szCs w:val="32"/>
        </w:rPr>
      </w:pPr>
      <w:r>
        <w:rPr>
          <w:rFonts w:hint="eastAsia" w:ascii="仿宋" w:hAnsi="仿宋" w:eastAsia="仿宋"/>
          <w:sz w:val="32"/>
          <w:szCs w:val="32"/>
        </w:rPr>
        <w:t xml:space="preserve">    （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jc w:val="left"/>
        <w:outlineLvl w:val="0"/>
        <w:rPr>
          <w:rFonts w:ascii="仿宋" w:hAnsi="仿宋" w:eastAsia="仿宋"/>
          <w:sz w:val="32"/>
          <w:szCs w:val="32"/>
        </w:rPr>
      </w:pPr>
      <w:r>
        <w:rPr>
          <w:rFonts w:hint="eastAsia" w:ascii="仿宋" w:hAnsi="仿宋" w:eastAsia="仿宋"/>
          <w:sz w:val="32"/>
          <w:szCs w:val="32"/>
        </w:rPr>
        <w:t xml:space="preserve">    （六）规范财务资产管理。进一步完善财务管理制度，严格资产采购审批手续，加强固定资产登记、使用及报废处置管理，做到支出合理，物尽其用。</w:t>
      </w:r>
    </w:p>
    <w:p>
      <w:pPr>
        <w:jc w:val="left"/>
        <w:outlineLvl w:val="0"/>
        <w:rPr>
          <w:rFonts w:ascii="仿宋" w:hAnsi="仿宋" w:eastAsia="仿宋"/>
          <w:sz w:val="32"/>
          <w:szCs w:val="32"/>
        </w:rPr>
      </w:pPr>
      <w:r>
        <w:rPr>
          <w:rFonts w:hint="eastAsia" w:ascii="仿宋" w:hAnsi="仿宋" w:eastAsia="仿宋"/>
          <w:sz w:val="32"/>
          <w:szCs w:val="32"/>
        </w:rPr>
        <w:t xml:space="preserve">    （七）加强内部监督。加强内部监督制度建设，对绩效运行情况、重大支出决策、资产处置及其他重要经济业务的决算和执行进行督导，确保财政资金安全有效。</w:t>
      </w:r>
    </w:p>
    <w:p>
      <w:pPr>
        <w:jc w:val="left"/>
        <w:outlineLvl w:val="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spacing w:line="360" w:lineRule="auto"/>
        <w:ind w:firstLine="640" w:firstLineChars="200"/>
        <w:rPr>
          <w:rFonts w:ascii="仿宋" w:hAnsi="仿宋" w:eastAsia="仿宋"/>
          <w:sz w:val="32"/>
          <w:szCs w:val="32"/>
        </w:rPr>
      </w:pPr>
    </w:p>
    <w:p>
      <w:pPr>
        <w:ind w:firstLine="562" w:firstLineChars="200"/>
        <w:jc w:val="left"/>
        <w:outlineLvl w:val="3"/>
        <w:rPr>
          <w:rFonts w:ascii="Times New Roman" w:hAnsi="宋体" w:eastAsia="宋体"/>
          <w:b/>
          <w:sz w:val="28"/>
        </w:rPr>
      </w:pPr>
      <w:bookmarkStart w:id="0" w:name="_Toc71388418"/>
      <w:r>
        <w:rPr>
          <w:rFonts w:ascii="方正仿宋_GBK" w:eastAsia="方正仿宋_GBK"/>
          <w:b/>
          <w:sz w:val="28"/>
        </w:rPr>
        <w:t>1.徐水区幼儿园教育教学活动经费绩效目标表</w:t>
      </w:r>
      <w:bookmarkEnd w:id="0"/>
      <w:r>
        <w:rPr>
          <w:rFonts w:ascii="方正仿宋_GBK" w:eastAsia="方正仿宋_GBK"/>
          <w:b/>
          <w:sz w:val="28"/>
        </w:rPr>
        <w:fldChar w:fldCharType="begin"/>
      </w:r>
      <w:r>
        <w:rPr>
          <w:rFonts w:ascii="方正仿宋_GBK" w:eastAsia="方正仿宋_GBK"/>
          <w:b/>
          <w:sz w:val="28"/>
        </w:rPr>
        <w:instrText xml:space="preserve"> TC 115、徐水区幼儿园教育教学活动经费绩效目标表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360013区幼儿园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13062521WBWCP2IKF9C3A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徐水区幼儿园教育教学活动经费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4800000.00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4800000.00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确保我单位日常教育教学工作的正常运行，保障我单位设备设施的正常运转，有效的改善办学环境。</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p>
            <w:pPr>
              <w:spacing w:line="300" w:lineRule="exact"/>
              <w:jc w:val="left"/>
              <w:rPr>
                <w:rFonts w:ascii="方正书宋_GBK" w:eastAsia="方正书宋_GBK"/>
              </w:rPr>
            </w:pP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1.确保我单位日常教育教学工作的正常运行。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3.改善我园办学环境。</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有效的改善教育教学环境，有利于提高工作效率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pPr>
    </w:p>
    <w:p>
      <w:pPr>
        <w:spacing w:line="300" w:lineRule="exact"/>
        <w:jc w:val="left"/>
      </w:pPr>
    </w:p>
    <w:p>
      <w:pPr>
        <w:spacing w:line="300" w:lineRule="exact"/>
        <w:jc w:val="left"/>
        <w:rPr>
          <w:rFonts w:hint="eastAsia"/>
        </w:rPr>
      </w:pPr>
    </w:p>
    <w:p>
      <w:pPr>
        <w:ind w:firstLine="562" w:firstLineChars="200"/>
        <w:jc w:val="left"/>
        <w:outlineLvl w:val="3"/>
        <w:rPr>
          <w:rFonts w:ascii="Times New Roman" w:hAnsi="宋体" w:eastAsia="宋体"/>
          <w:b/>
          <w:sz w:val="28"/>
        </w:rPr>
      </w:pPr>
      <w:bookmarkStart w:id="1" w:name="_Toc71388417"/>
      <w:r>
        <w:rPr>
          <w:rFonts w:hint="eastAsia" w:ascii="方正仿宋_GBK" w:eastAsia="方正仿宋_GBK"/>
          <w:b/>
          <w:sz w:val="28"/>
        </w:rPr>
        <w:t>2</w:t>
      </w:r>
      <w:r>
        <w:rPr>
          <w:rFonts w:ascii="方正仿宋_GBK" w:eastAsia="方正仿宋_GBK"/>
          <w:b/>
          <w:sz w:val="28"/>
        </w:rPr>
        <w:t>.幼儿园生均公用经费绩效目标表</w:t>
      </w:r>
      <w:bookmarkEnd w:id="1"/>
      <w:r>
        <w:rPr>
          <w:rFonts w:ascii="方正仿宋_GBK" w:eastAsia="方正仿宋_GBK"/>
          <w:b/>
          <w:sz w:val="28"/>
        </w:rPr>
        <w:fldChar w:fldCharType="begin"/>
      </w:r>
      <w:r>
        <w:rPr>
          <w:rFonts w:ascii="方正仿宋_GBK" w:eastAsia="方正仿宋_GBK"/>
          <w:b/>
          <w:sz w:val="28"/>
        </w:rPr>
        <w:instrText xml:space="preserve"> TC 114、幼儿园生均公用经费绩效目标表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360013区幼儿园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457600.00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457600.00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为完成本单位日常教育教学方面的费用开支，以及用于设备设施等维持性费用支出，和直接支出。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3.创设良好的办学环境</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pPr>
    </w:p>
    <w:p>
      <w:pPr>
        <w:spacing w:line="300" w:lineRule="exact"/>
        <w:jc w:val="left"/>
        <w:rPr>
          <w:rFonts w:hint="eastAsia"/>
        </w:rPr>
      </w:pPr>
    </w:p>
    <w:p>
      <w:pPr>
        <w:ind w:firstLine="562" w:firstLineChars="200"/>
        <w:jc w:val="left"/>
        <w:outlineLvl w:val="3"/>
        <w:rPr>
          <w:rFonts w:ascii="Times New Roman" w:hAnsi="宋体" w:eastAsia="宋体"/>
          <w:b/>
          <w:sz w:val="28"/>
        </w:rPr>
      </w:pPr>
      <w:bookmarkStart w:id="2" w:name="_Toc71388416"/>
      <w:r>
        <w:rPr>
          <w:rFonts w:ascii="方正仿宋_GBK" w:eastAsia="方正仿宋_GBK"/>
          <w:b/>
          <w:sz w:val="28"/>
        </w:rPr>
        <w:t>3.校园安保经费绩效目标表</w:t>
      </w:r>
      <w:bookmarkEnd w:id="2"/>
      <w:r>
        <w:rPr>
          <w:rFonts w:ascii="方正仿宋_GBK" w:eastAsia="方正仿宋_GBK"/>
          <w:b/>
          <w:sz w:val="28"/>
        </w:rPr>
        <w:fldChar w:fldCharType="begin"/>
      </w:r>
      <w:r>
        <w:rPr>
          <w:rFonts w:ascii="方正仿宋_GBK" w:eastAsia="方正仿宋_GBK"/>
          <w:b/>
          <w:sz w:val="28"/>
        </w:rPr>
        <w:instrText xml:space="preserve"> TC 113、校园安保经费绩效目标表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360013区幼儿园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68400.00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68400.00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加强幼儿园安全保卫工作，维持正常教育教学秩序，切实保障了师生生命、财产安全，缓解学校经济压力。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1.加强幼儿园安全保卫工作，维持正常教育教学秩序。</w:t>
            </w:r>
          </w:p>
          <w:p>
            <w:pPr>
              <w:spacing w:line="300" w:lineRule="exact"/>
              <w:jc w:val="left"/>
              <w:rPr>
                <w:rFonts w:ascii="方正书宋_GBK" w:eastAsia="方正书宋_GBK"/>
              </w:rPr>
            </w:pPr>
            <w:r>
              <w:rPr>
                <w:rFonts w:ascii="方正书宋_GBK" w:eastAsia="方正书宋_GBK"/>
              </w:rPr>
              <w:t>2.切实保障师生生命、财产安全。</w:t>
            </w:r>
          </w:p>
          <w:p>
            <w:pPr>
              <w:spacing w:line="300" w:lineRule="exact"/>
              <w:jc w:val="left"/>
              <w:rPr>
                <w:rFonts w:ascii="方正书宋_GBK" w:eastAsia="方正书宋_GBK"/>
              </w:rPr>
            </w:pPr>
            <w:r>
              <w:rPr>
                <w:rFonts w:ascii="方正书宋_GBK" w:eastAsia="方正书宋_GBK"/>
              </w:rPr>
              <w:t>3.缓解学校经济压力。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60" w:lineRule="auto"/>
        <w:ind w:firstLine="640" w:firstLineChars="200"/>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tbl>
      <w:tblPr>
        <w:tblStyle w:val="5"/>
        <w:tblW w:w="160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930"/>
        <w:gridCol w:w="884"/>
        <w:gridCol w:w="964"/>
        <w:gridCol w:w="964"/>
        <w:gridCol w:w="964"/>
        <w:gridCol w:w="889"/>
        <w:gridCol w:w="1039"/>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422" w:type="dxa"/>
            <w:gridSpan w:val="7"/>
            <w:tcBorders>
              <w:top w:val="single" w:color="FFFFFF" w:sz="6" w:space="0"/>
              <w:left w:val="single" w:color="FFFFFF" w:sz="6" w:space="0"/>
              <w:right w:val="single" w:color="FFFFFF" w:sz="6" w:space="0"/>
            </w:tcBorders>
            <w:vAlign w:val="center"/>
          </w:tcPr>
          <w:p>
            <w:pPr>
              <w:tabs>
                <w:tab w:val="left" w:pos="6255"/>
              </w:tabs>
              <w:ind w:firstLine="1320" w:firstLineChars="300"/>
              <w:outlineLvl w:val="0"/>
              <w:rPr>
                <w:rFonts w:ascii="方正小标宋_GBK" w:eastAsia="方正小标宋_GBK"/>
                <w:sz w:val="44"/>
              </w:rPr>
            </w:pPr>
            <w:r>
              <w:rPr>
                <w:rFonts w:hint="eastAsia" w:ascii="方正小标宋_GBK" w:eastAsia="方正小标宋_GBK"/>
                <w:sz w:val="44"/>
              </w:rPr>
              <w:t>第六部分：政府采购预算情况</w:t>
            </w:r>
          </w:p>
          <w:p>
            <w:pPr>
              <w:jc w:val="center"/>
              <w:outlineLvl w:val="1"/>
            </w:pPr>
            <w:r>
              <w:rPr>
                <w:rFonts w:hint="eastAsia" w:ascii="方正小标宋_GBK" w:hAnsi="方正小标宋_GBK" w:eastAsia="方正小标宋_GBK" w:cs="方正小标宋_GBK"/>
                <w:color w:val="000000"/>
                <w:sz w:val="32"/>
              </w:rPr>
              <w:t xml:space="preserve">   </w:t>
            </w:r>
            <w:bookmarkStart w:id="3" w:name="_Toc_2_2_0000000007"/>
            <w:r>
              <w:rPr>
                <w:rFonts w:hint="eastAsia" w:ascii="方正小标宋_GBK" w:hAnsi="方正小标宋_GBK" w:eastAsia="方正小标宋_GBK" w:cs="方正小标宋_GBK"/>
                <w:color w:val="000000"/>
                <w:sz w:val="32"/>
              </w:rPr>
              <w:t>单位</w:t>
            </w:r>
            <w:r>
              <w:rPr>
                <w:rFonts w:ascii="方正小标宋_GBK" w:hAnsi="方正小标宋_GBK" w:eastAsia="方正小标宋_GBK" w:cs="方正小标宋_GBK"/>
                <w:color w:val="000000"/>
                <w:sz w:val="32"/>
              </w:rPr>
              <w:t>政府采购预算</w:t>
            </w:r>
            <w:bookmarkEnd w:id="3"/>
          </w:p>
          <w:p>
            <w:pPr>
              <w:pStyle w:val="14"/>
              <w:rPr>
                <w:lang w:eastAsia="zh-CN"/>
              </w:rPr>
            </w:pPr>
            <w:r>
              <w:t>36</w:t>
            </w:r>
            <w:r>
              <w:rPr>
                <w:rFonts w:hint="eastAsia"/>
                <w:lang w:eastAsia="zh-CN"/>
              </w:rPr>
              <w:t>0013保定市徐水区幼儿园</w:t>
            </w:r>
          </w:p>
        </w:tc>
        <w:tc>
          <w:tcPr>
            <w:tcW w:w="8596" w:type="dxa"/>
            <w:gridSpan w:val="9"/>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1"/>
            </w:pPr>
            <w:r>
              <w:t>政府采购项目来源</w:t>
            </w:r>
          </w:p>
        </w:tc>
        <w:tc>
          <w:tcPr>
            <w:tcW w:w="1134" w:type="dxa"/>
            <w:vMerge w:val="restart"/>
            <w:vAlign w:val="center"/>
          </w:tcPr>
          <w:p>
            <w:pPr>
              <w:pStyle w:val="11"/>
            </w:pPr>
            <w:r>
              <w:t>采购物品名称</w:t>
            </w:r>
          </w:p>
        </w:tc>
        <w:tc>
          <w:tcPr>
            <w:tcW w:w="1134" w:type="dxa"/>
            <w:vMerge w:val="restart"/>
            <w:vAlign w:val="center"/>
          </w:tcPr>
          <w:p>
            <w:pPr>
              <w:pStyle w:val="11"/>
            </w:pPr>
            <w:r>
              <w:t>政府采购目录序号</w:t>
            </w:r>
          </w:p>
        </w:tc>
        <w:tc>
          <w:tcPr>
            <w:tcW w:w="709" w:type="dxa"/>
            <w:vMerge w:val="restart"/>
            <w:vAlign w:val="center"/>
          </w:tcPr>
          <w:p>
            <w:pPr>
              <w:pStyle w:val="11"/>
            </w:pPr>
            <w:r>
              <w:t>计量  单位</w:t>
            </w:r>
          </w:p>
        </w:tc>
        <w:tc>
          <w:tcPr>
            <w:tcW w:w="850" w:type="dxa"/>
            <w:vMerge w:val="restart"/>
            <w:vAlign w:val="center"/>
          </w:tcPr>
          <w:p>
            <w:pPr>
              <w:pStyle w:val="11"/>
            </w:pPr>
            <w:r>
              <w:t>数量</w:t>
            </w:r>
          </w:p>
        </w:tc>
        <w:tc>
          <w:tcPr>
            <w:tcW w:w="930" w:type="dxa"/>
            <w:vMerge w:val="restart"/>
            <w:vAlign w:val="center"/>
          </w:tcPr>
          <w:p>
            <w:pPr>
              <w:pStyle w:val="11"/>
            </w:pPr>
            <w:r>
              <w:t>单价</w:t>
            </w:r>
          </w:p>
        </w:tc>
        <w:tc>
          <w:tcPr>
            <w:tcW w:w="7632" w:type="dxa"/>
            <w:gridSpan w:val="8"/>
            <w:vAlign w:val="center"/>
          </w:tcPr>
          <w:p>
            <w:pPr>
              <w:pStyle w:val="11"/>
            </w:pPr>
            <w:r>
              <w:t>政府采购金额（当年</w:t>
            </w:r>
            <w:r>
              <w:rPr>
                <w:rFonts w:hint="eastAsia"/>
                <w:lang w:eastAsia="zh-CN"/>
              </w:rPr>
              <w:t>单位</w:t>
            </w:r>
            <w:r>
              <w:t>预算安排资金）</w:t>
            </w:r>
          </w:p>
        </w:tc>
        <w:tc>
          <w:tcPr>
            <w:tcW w:w="964" w:type="dxa"/>
            <w:vMerge w:val="restart"/>
            <w:vAlign w:val="center"/>
          </w:tcPr>
          <w:p>
            <w:pPr>
              <w:pStyle w:val="11"/>
            </w:pPr>
            <w:r>
              <w:t>202</w:t>
            </w:r>
            <w:r>
              <w:rPr>
                <w:rFonts w:hint="eastAsia"/>
                <w:lang w:eastAsia="zh-CN"/>
              </w:rPr>
              <w:t>1</w:t>
            </w:r>
            <w:r>
              <w:t>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1"/>
            </w:pPr>
            <w:r>
              <w:t>项目名称</w:t>
            </w:r>
          </w:p>
        </w:tc>
        <w:tc>
          <w:tcPr>
            <w:tcW w:w="964" w:type="dxa"/>
            <w:vAlign w:val="center"/>
          </w:tcPr>
          <w:p>
            <w:pPr>
              <w:pStyle w:val="11"/>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930" w:type="dxa"/>
            <w:vMerge w:val="continue"/>
          </w:tcPr>
          <w:p/>
        </w:tc>
        <w:tc>
          <w:tcPr>
            <w:tcW w:w="884" w:type="dxa"/>
            <w:vAlign w:val="center"/>
          </w:tcPr>
          <w:p>
            <w:pPr>
              <w:pStyle w:val="11"/>
            </w:pPr>
            <w:r>
              <w:t>合计</w:t>
            </w:r>
          </w:p>
        </w:tc>
        <w:tc>
          <w:tcPr>
            <w:tcW w:w="964" w:type="dxa"/>
            <w:vAlign w:val="center"/>
          </w:tcPr>
          <w:p>
            <w:pPr>
              <w:pStyle w:val="11"/>
            </w:pPr>
            <w:r>
              <w:t>一般公共预算拨款</w:t>
            </w:r>
          </w:p>
        </w:tc>
        <w:tc>
          <w:tcPr>
            <w:tcW w:w="964" w:type="dxa"/>
            <w:vAlign w:val="center"/>
          </w:tcPr>
          <w:p>
            <w:pPr>
              <w:pStyle w:val="11"/>
            </w:pPr>
            <w:r>
              <w:t>基金预算拨款</w:t>
            </w:r>
          </w:p>
        </w:tc>
        <w:tc>
          <w:tcPr>
            <w:tcW w:w="964" w:type="dxa"/>
            <w:vAlign w:val="center"/>
          </w:tcPr>
          <w:p>
            <w:pPr>
              <w:pStyle w:val="11"/>
            </w:pPr>
            <w:r>
              <w:t>国有资本经营预算拨款</w:t>
            </w:r>
          </w:p>
        </w:tc>
        <w:tc>
          <w:tcPr>
            <w:tcW w:w="889" w:type="dxa"/>
            <w:vAlign w:val="center"/>
          </w:tcPr>
          <w:p>
            <w:pPr>
              <w:pStyle w:val="11"/>
            </w:pPr>
            <w:r>
              <w:t>财政专户核拨</w:t>
            </w:r>
          </w:p>
        </w:tc>
        <w:tc>
          <w:tcPr>
            <w:tcW w:w="1039" w:type="dxa"/>
            <w:vAlign w:val="center"/>
          </w:tcPr>
          <w:p>
            <w:pPr>
              <w:pStyle w:val="11"/>
            </w:pPr>
            <w:r>
              <w:t>单位    资金</w:t>
            </w:r>
          </w:p>
        </w:tc>
        <w:tc>
          <w:tcPr>
            <w:tcW w:w="964" w:type="dxa"/>
            <w:vAlign w:val="center"/>
          </w:tcPr>
          <w:p>
            <w:pPr>
              <w:pStyle w:val="11"/>
            </w:pPr>
            <w:r>
              <w:t>财政拨    款结转</w:t>
            </w:r>
          </w:p>
        </w:tc>
        <w:tc>
          <w:tcPr>
            <w:tcW w:w="964" w:type="dxa"/>
            <w:vAlign w:val="center"/>
          </w:tcPr>
          <w:p>
            <w:pPr>
              <w:pStyle w:val="11"/>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rPr>
                <w:lang w:eastAsia="zh-CN"/>
              </w:rPr>
            </w:pPr>
          </w:p>
        </w:tc>
        <w:tc>
          <w:tcPr>
            <w:tcW w:w="964" w:type="dxa"/>
            <w:vAlign w:val="center"/>
          </w:tcPr>
          <w:p>
            <w:pPr>
              <w:pStyle w:val="17"/>
              <w:rPr>
                <w:lang w:eastAsia="zh-CN"/>
              </w:rPr>
            </w:pPr>
          </w:p>
        </w:tc>
        <w:tc>
          <w:tcPr>
            <w:tcW w:w="1134" w:type="dxa"/>
            <w:vAlign w:val="center"/>
          </w:tcPr>
          <w:p>
            <w:pPr>
              <w:pStyle w:val="12"/>
              <w:rPr>
                <w:lang w:eastAsia="zh-CN"/>
              </w:rPr>
            </w:pPr>
          </w:p>
        </w:tc>
        <w:tc>
          <w:tcPr>
            <w:tcW w:w="1134" w:type="dxa"/>
            <w:vAlign w:val="center"/>
          </w:tcPr>
          <w:p>
            <w:pPr>
              <w:pStyle w:val="12"/>
              <w:rPr>
                <w:lang w:eastAsia="zh-CN"/>
              </w:rPr>
            </w:pPr>
          </w:p>
        </w:tc>
        <w:tc>
          <w:tcPr>
            <w:tcW w:w="709" w:type="dxa"/>
            <w:vAlign w:val="center"/>
          </w:tcPr>
          <w:p>
            <w:pPr>
              <w:pStyle w:val="16"/>
              <w:rPr>
                <w:lang w:eastAsia="zh-CN"/>
              </w:rPr>
            </w:pPr>
          </w:p>
        </w:tc>
        <w:tc>
          <w:tcPr>
            <w:tcW w:w="850" w:type="dxa"/>
            <w:vAlign w:val="center"/>
          </w:tcPr>
          <w:p>
            <w:pPr>
              <w:pStyle w:val="17"/>
              <w:rPr>
                <w:lang w:eastAsia="zh-CN"/>
              </w:rPr>
            </w:pPr>
          </w:p>
        </w:tc>
        <w:tc>
          <w:tcPr>
            <w:tcW w:w="930" w:type="dxa"/>
            <w:vAlign w:val="center"/>
          </w:tcPr>
          <w:p>
            <w:pPr>
              <w:pStyle w:val="17"/>
              <w:rPr>
                <w:lang w:eastAsia="zh-CN"/>
              </w:rPr>
            </w:pPr>
          </w:p>
        </w:tc>
        <w:tc>
          <w:tcPr>
            <w:tcW w:w="884" w:type="dxa"/>
            <w:vAlign w:val="center"/>
          </w:tcPr>
          <w:p>
            <w:pPr>
              <w:pStyle w:val="17"/>
              <w:rPr>
                <w:lang w:eastAsia="zh-CN"/>
              </w:rPr>
            </w:pPr>
          </w:p>
        </w:tc>
        <w:tc>
          <w:tcPr>
            <w:tcW w:w="964" w:type="dxa"/>
            <w:vAlign w:val="center"/>
          </w:tcPr>
          <w:p>
            <w:pPr>
              <w:pStyle w:val="17"/>
              <w:rPr>
                <w:lang w:eastAsia="zh-CN"/>
              </w:rPr>
            </w:pPr>
          </w:p>
        </w:tc>
        <w:tc>
          <w:tcPr>
            <w:tcW w:w="964" w:type="dxa"/>
            <w:vAlign w:val="center"/>
          </w:tcPr>
          <w:p>
            <w:pPr>
              <w:pStyle w:val="17"/>
            </w:pPr>
          </w:p>
        </w:tc>
        <w:tc>
          <w:tcPr>
            <w:tcW w:w="964" w:type="dxa"/>
            <w:vAlign w:val="center"/>
          </w:tcPr>
          <w:p>
            <w:pPr>
              <w:pStyle w:val="17"/>
            </w:pPr>
          </w:p>
        </w:tc>
        <w:tc>
          <w:tcPr>
            <w:tcW w:w="889" w:type="dxa"/>
            <w:vAlign w:val="center"/>
          </w:tcPr>
          <w:p>
            <w:pPr>
              <w:pStyle w:val="17"/>
              <w:rPr>
                <w:lang w:eastAsia="zh-CN"/>
              </w:rPr>
            </w:pPr>
          </w:p>
        </w:tc>
        <w:tc>
          <w:tcPr>
            <w:tcW w:w="1039"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rPr>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rPr>
                <w:lang w:eastAsia="zh-CN"/>
              </w:rPr>
            </w:pPr>
          </w:p>
        </w:tc>
        <w:tc>
          <w:tcPr>
            <w:tcW w:w="964" w:type="dxa"/>
            <w:vAlign w:val="center"/>
          </w:tcPr>
          <w:p>
            <w:pPr>
              <w:pStyle w:val="17"/>
              <w:rPr>
                <w:lang w:eastAsia="zh-CN"/>
              </w:rPr>
            </w:pPr>
          </w:p>
        </w:tc>
        <w:tc>
          <w:tcPr>
            <w:tcW w:w="1134" w:type="dxa"/>
            <w:vAlign w:val="center"/>
          </w:tcPr>
          <w:p>
            <w:pPr>
              <w:pStyle w:val="13"/>
              <w:rPr>
                <w:lang w:eastAsia="zh-CN"/>
              </w:rPr>
            </w:pPr>
          </w:p>
        </w:tc>
        <w:tc>
          <w:tcPr>
            <w:tcW w:w="1134" w:type="dxa"/>
            <w:vAlign w:val="center"/>
          </w:tcPr>
          <w:p>
            <w:pPr>
              <w:pStyle w:val="13"/>
              <w:rPr>
                <w:lang w:eastAsia="zh-CN"/>
              </w:rPr>
            </w:pPr>
          </w:p>
        </w:tc>
        <w:tc>
          <w:tcPr>
            <w:tcW w:w="709" w:type="dxa"/>
            <w:vAlign w:val="center"/>
          </w:tcPr>
          <w:p>
            <w:pPr>
              <w:pStyle w:val="16"/>
              <w:rPr>
                <w:lang w:eastAsia="zh-CN"/>
              </w:rPr>
            </w:pPr>
          </w:p>
        </w:tc>
        <w:tc>
          <w:tcPr>
            <w:tcW w:w="850" w:type="dxa"/>
            <w:vAlign w:val="center"/>
          </w:tcPr>
          <w:p>
            <w:pPr>
              <w:pStyle w:val="17"/>
              <w:rPr>
                <w:lang w:eastAsia="zh-CN"/>
              </w:rPr>
            </w:pPr>
          </w:p>
        </w:tc>
        <w:tc>
          <w:tcPr>
            <w:tcW w:w="930" w:type="dxa"/>
            <w:vAlign w:val="center"/>
          </w:tcPr>
          <w:p>
            <w:pPr>
              <w:pStyle w:val="17"/>
              <w:rPr>
                <w:lang w:eastAsia="zh-CN"/>
              </w:rPr>
            </w:pPr>
          </w:p>
        </w:tc>
        <w:tc>
          <w:tcPr>
            <w:tcW w:w="884" w:type="dxa"/>
            <w:vAlign w:val="center"/>
          </w:tcPr>
          <w:p>
            <w:pPr>
              <w:pStyle w:val="17"/>
              <w:rPr>
                <w:lang w:eastAsia="zh-CN"/>
              </w:rPr>
            </w:pPr>
          </w:p>
        </w:tc>
        <w:tc>
          <w:tcPr>
            <w:tcW w:w="964" w:type="dxa"/>
            <w:vAlign w:val="center"/>
          </w:tcPr>
          <w:p>
            <w:pPr>
              <w:pStyle w:val="17"/>
              <w:rPr>
                <w:lang w:eastAsia="zh-CN"/>
              </w:rPr>
            </w:pPr>
          </w:p>
        </w:tc>
        <w:tc>
          <w:tcPr>
            <w:tcW w:w="964" w:type="dxa"/>
            <w:vAlign w:val="center"/>
          </w:tcPr>
          <w:p>
            <w:pPr>
              <w:pStyle w:val="17"/>
            </w:pPr>
          </w:p>
        </w:tc>
        <w:tc>
          <w:tcPr>
            <w:tcW w:w="964" w:type="dxa"/>
            <w:vAlign w:val="center"/>
          </w:tcPr>
          <w:p>
            <w:pPr>
              <w:pStyle w:val="17"/>
            </w:pPr>
          </w:p>
        </w:tc>
        <w:tc>
          <w:tcPr>
            <w:tcW w:w="889" w:type="dxa"/>
            <w:vAlign w:val="center"/>
          </w:tcPr>
          <w:p>
            <w:pPr>
              <w:pStyle w:val="17"/>
              <w:rPr>
                <w:lang w:eastAsia="zh-CN"/>
              </w:rPr>
            </w:pPr>
          </w:p>
        </w:tc>
        <w:tc>
          <w:tcPr>
            <w:tcW w:w="1039"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rPr>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rPr>
                <w:lang w:eastAsia="zh-CN"/>
              </w:rPr>
            </w:pPr>
          </w:p>
        </w:tc>
        <w:tc>
          <w:tcPr>
            <w:tcW w:w="964" w:type="dxa"/>
            <w:vAlign w:val="center"/>
          </w:tcPr>
          <w:p>
            <w:pPr>
              <w:pStyle w:val="17"/>
              <w:wordWrap w:val="0"/>
              <w:rPr>
                <w:lang w:eastAsia="zh-CN"/>
              </w:rPr>
            </w:pPr>
          </w:p>
        </w:tc>
        <w:tc>
          <w:tcPr>
            <w:tcW w:w="1134" w:type="dxa"/>
            <w:vAlign w:val="center"/>
          </w:tcPr>
          <w:p>
            <w:pPr>
              <w:pStyle w:val="13"/>
              <w:rPr>
                <w:lang w:eastAsia="zh-CN"/>
              </w:rPr>
            </w:pPr>
          </w:p>
        </w:tc>
        <w:tc>
          <w:tcPr>
            <w:tcW w:w="1134" w:type="dxa"/>
            <w:vAlign w:val="center"/>
          </w:tcPr>
          <w:p>
            <w:pPr>
              <w:pStyle w:val="13"/>
              <w:rPr>
                <w:lang w:eastAsia="zh-CN"/>
              </w:rPr>
            </w:pPr>
          </w:p>
        </w:tc>
        <w:tc>
          <w:tcPr>
            <w:tcW w:w="709" w:type="dxa"/>
            <w:vAlign w:val="center"/>
          </w:tcPr>
          <w:p>
            <w:pPr>
              <w:pStyle w:val="16"/>
              <w:rPr>
                <w:lang w:eastAsia="zh-CN"/>
              </w:rPr>
            </w:pPr>
          </w:p>
        </w:tc>
        <w:tc>
          <w:tcPr>
            <w:tcW w:w="850" w:type="dxa"/>
            <w:vAlign w:val="center"/>
          </w:tcPr>
          <w:p>
            <w:pPr>
              <w:pStyle w:val="17"/>
              <w:rPr>
                <w:lang w:eastAsia="zh-CN"/>
              </w:rPr>
            </w:pPr>
          </w:p>
        </w:tc>
        <w:tc>
          <w:tcPr>
            <w:tcW w:w="930" w:type="dxa"/>
            <w:vAlign w:val="center"/>
          </w:tcPr>
          <w:p>
            <w:pPr>
              <w:pStyle w:val="17"/>
              <w:rPr>
                <w:lang w:eastAsia="zh-CN"/>
              </w:rPr>
            </w:pPr>
          </w:p>
        </w:tc>
        <w:tc>
          <w:tcPr>
            <w:tcW w:w="884" w:type="dxa"/>
            <w:vAlign w:val="center"/>
          </w:tcPr>
          <w:p>
            <w:pPr>
              <w:pStyle w:val="17"/>
              <w:rPr>
                <w:lang w:eastAsia="zh-CN"/>
              </w:rPr>
            </w:pPr>
          </w:p>
        </w:tc>
        <w:tc>
          <w:tcPr>
            <w:tcW w:w="964" w:type="dxa"/>
            <w:vAlign w:val="center"/>
          </w:tcPr>
          <w:p>
            <w:pPr>
              <w:pStyle w:val="17"/>
              <w:rPr>
                <w:lang w:eastAsia="zh-CN"/>
              </w:rPr>
            </w:pPr>
          </w:p>
        </w:tc>
        <w:tc>
          <w:tcPr>
            <w:tcW w:w="964" w:type="dxa"/>
            <w:vAlign w:val="center"/>
          </w:tcPr>
          <w:p>
            <w:pPr>
              <w:pStyle w:val="17"/>
            </w:pPr>
          </w:p>
        </w:tc>
        <w:tc>
          <w:tcPr>
            <w:tcW w:w="964" w:type="dxa"/>
            <w:vAlign w:val="center"/>
          </w:tcPr>
          <w:p>
            <w:pPr>
              <w:pStyle w:val="17"/>
            </w:pPr>
          </w:p>
        </w:tc>
        <w:tc>
          <w:tcPr>
            <w:tcW w:w="889" w:type="dxa"/>
            <w:vAlign w:val="center"/>
          </w:tcPr>
          <w:p>
            <w:pPr>
              <w:pStyle w:val="17"/>
              <w:rPr>
                <w:lang w:eastAsia="zh-CN"/>
              </w:rPr>
            </w:pPr>
          </w:p>
        </w:tc>
        <w:tc>
          <w:tcPr>
            <w:tcW w:w="1039"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rPr>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6"/>
            </w:pPr>
            <w:r>
              <w:t>合  计</w:t>
            </w:r>
          </w:p>
        </w:tc>
        <w:tc>
          <w:tcPr>
            <w:tcW w:w="964" w:type="dxa"/>
            <w:vAlign w:val="center"/>
          </w:tcPr>
          <w:p>
            <w:pPr>
              <w:pStyle w:val="17"/>
              <w:rPr>
                <w:lang w:eastAsia="zh-CN"/>
              </w:rPr>
            </w:pPr>
          </w:p>
        </w:tc>
        <w:tc>
          <w:tcPr>
            <w:tcW w:w="1134" w:type="dxa"/>
            <w:vAlign w:val="center"/>
          </w:tcPr>
          <w:p>
            <w:pPr>
              <w:pStyle w:val="13"/>
            </w:pPr>
          </w:p>
        </w:tc>
        <w:tc>
          <w:tcPr>
            <w:tcW w:w="1134" w:type="dxa"/>
            <w:vAlign w:val="center"/>
          </w:tcPr>
          <w:p>
            <w:pPr>
              <w:pStyle w:val="13"/>
            </w:pPr>
          </w:p>
        </w:tc>
        <w:tc>
          <w:tcPr>
            <w:tcW w:w="709" w:type="dxa"/>
            <w:vAlign w:val="center"/>
          </w:tcPr>
          <w:p>
            <w:pPr>
              <w:pStyle w:val="16"/>
            </w:pPr>
          </w:p>
        </w:tc>
        <w:tc>
          <w:tcPr>
            <w:tcW w:w="850" w:type="dxa"/>
            <w:vAlign w:val="center"/>
          </w:tcPr>
          <w:p>
            <w:pPr>
              <w:pStyle w:val="17"/>
            </w:pPr>
          </w:p>
        </w:tc>
        <w:tc>
          <w:tcPr>
            <w:tcW w:w="930" w:type="dxa"/>
            <w:vAlign w:val="center"/>
          </w:tcPr>
          <w:p>
            <w:pPr>
              <w:pStyle w:val="17"/>
            </w:pPr>
          </w:p>
        </w:tc>
        <w:tc>
          <w:tcPr>
            <w:tcW w:w="884" w:type="dxa"/>
            <w:vAlign w:val="center"/>
          </w:tcPr>
          <w:p>
            <w:pPr>
              <w:pStyle w:val="17"/>
              <w:rPr>
                <w:lang w:eastAsia="zh-CN"/>
              </w:rPr>
            </w:pPr>
          </w:p>
        </w:tc>
        <w:tc>
          <w:tcPr>
            <w:tcW w:w="964" w:type="dxa"/>
            <w:vAlign w:val="center"/>
          </w:tcPr>
          <w:p>
            <w:pPr>
              <w:pStyle w:val="17"/>
              <w:rPr>
                <w:lang w:eastAsia="zh-CN"/>
              </w:rPr>
            </w:pPr>
          </w:p>
        </w:tc>
        <w:tc>
          <w:tcPr>
            <w:tcW w:w="964" w:type="dxa"/>
            <w:vAlign w:val="center"/>
          </w:tcPr>
          <w:p>
            <w:pPr>
              <w:pStyle w:val="17"/>
            </w:pPr>
          </w:p>
        </w:tc>
        <w:tc>
          <w:tcPr>
            <w:tcW w:w="964" w:type="dxa"/>
            <w:vAlign w:val="center"/>
          </w:tcPr>
          <w:p>
            <w:pPr>
              <w:pStyle w:val="17"/>
            </w:pPr>
          </w:p>
        </w:tc>
        <w:tc>
          <w:tcPr>
            <w:tcW w:w="889" w:type="dxa"/>
            <w:vAlign w:val="center"/>
          </w:tcPr>
          <w:p>
            <w:pPr>
              <w:pStyle w:val="17"/>
              <w:rPr>
                <w:lang w:eastAsia="zh-CN"/>
              </w:rPr>
            </w:pPr>
          </w:p>
        </w:tc>
        <w:tc>
          <w:tcPr>
            <w:tcW w:w="1039" w:type="dxa"/>
            <w:vAlign w:val="center"/>
          </w:tcPr>
          <w:p>
            <w:pPr>
              <w:pStyle w:val="17"/>
            </w:pPr>
          </w:p>
        </w:tc>
        <w:tc>
          <w:tcPr>
            <w:tcW w:w="964" w:type="dxa"/>
            <w:vAlign w:val="center"/>
          </w:tcPr>
          <w:p>
            <w:pPr>
              <w:pStyle w:val="17"/>
            </w:pPr>
          </w:p>
        </w:tc>
        <w:tc>
          <w:tcPr>
            <w:tcW w:w="964" w:type="dxa"/>
            <w:vAlign w:val="center"/>
          </w:tcPr>
          <w:p>
            <w:pPr>
              <w:pStyle w:val="17"/>
            </w:pPr>
          </w:p>
        </w:tc>
        <w:tc>
          <w:tcPr>
            <w:tcW w:w="964" w:type="dxa"/>
            <w:vAlign w:val="center"/>
          </w:tcPr>
          <w:p>
            <w:pPr>
              <w:pStyle w:val="17"/>
              <w:rPr>
                <w:lang w:eastAsia="zh-CN"/>
              </w:rPr>
            </w:pPr>
          </w:p>
        </w:tc>
      </w:tr>
    </w:tbl>
    <w:p>
      <w:pPr>
        <w:spacing w:line="360" w:lineRule="auto"/>
        <w:ind w:firstLine="640" w:firstLineChars="200"/>
        <w:rPr>
          <w:rFonts w:ascii="仿宋" w:hAnsi="仿宋" w:eastAsia="仿宋"/>
          <w:sz w:val="32"/>
          <w:szCs w:val="32"/>
        </w:rPr>
      </w:pPr>
      <w:r>
        <w:rPr>
          <w:rFonts w:ascii="仿宋" w:hAnsi="仿宋" w:eastAsia="仿宋"/>
          <w:sz w:val="32"/>
          <w:szCs w:val="32"/>
        </w:rPr>
        <w:t>2021年，我部门无政府采购预算，空表列示。</w:t>
      </w:r>
    </w:p>
    <w:p>
      <w:pPr>
        <w:spacing w:line="360" w:lineRule="auto"/>
        <w:rPr>
          <w:rFonts w:ascii="仿宋" w:hAnsi="仿宋" w:eastAsia="仿宋"/>
          <w:sz w:val="32"/>
          <w:szCs w:val="32"/>
        </w:rPr>
        <w:sectPr>
          <w:footerReference r:id="rId4"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上年末我单位固定资产总金额为1072万元（详见下表）。</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本年度无拟购置固定资产的写：我部门本年度无国有资产购置计划，拟购置金额为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1072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5000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826.7</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1200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826.7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245.3</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9097238"/>
    </w:sdtPr>
    <w:sdtContent>
      <w:p>
        <w:pPr>
          <w:pStyle w:val="3"/>
          <w:jc w:val="center"/>
        </w:pPr>
        <w:r>
          <w:fldChar w:fldCharType="begin"/>
        </w:r>
        <w:r>
          <w:instrText xml:space="preserve">PAGE   \* MERGEFORMAT</w:instrText>
        </w:r>
        <w:r>
          <w:fldChar w:fldCharType="separate"/>
        </w:r>
        <w:r>
          <w:rPr>
            <w:lang w:val="zh-CN"/>
          </w:rPr>
          <w:t>11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F1F"/>
    <w:rsid w:val="00012651"/>
    <w:rsid w:val="00013B8A"/>
    <w:rsid w:val="00044FBC"/>
    <w:rsid w:val="00055F1F"/>
    <w:rsid w:val="000577EF"/>
    <w:rsid w:val="00057F18"/>
    <w:rsid w:val="000A445D"/>
    <w:rsid w:val="000A4DF4"/>
    <w:rsid w:val="000C178B"/>
    <w:rsid w:val="00131DEC"/>
    <w:rsid w:val="00136AB3"/>
    <w:rsid w:val="001462BD"/>
    <w:rsid w:val="00152380"/>
    <w:rsid w:val="001638BE"/>
    <w:rsid w:val="00164810"/>
    <w:rsid w:val="001713A1"/>
    <w:rsid w:val="00172C7A"/>
    <w:rsid w:val="00181777"/>
    <w:rsid w:val="001B247D"/>
    <w:rsid w:val="001B4688"/>
    <w:rsid w:val="001B6235"/>
    <w:rsid w:val="001F4875"/>
    <w:rsid w:val="00212335"/>
    <w:rsid w:val="00274583"/>
    <w:rsid w:val="002918C6"/>
    <w:rsid w:val="00291EF3"/>
    <w:rsid w:val="00296524"/>
    <w:rsid w:val="002E01F6"/>
    <w:rsid w:val="002F1ACB"/>
    <w:rsid w:val="002F530F"/>
    <w:rsid w:val="00305E97"/>
    <w:rsid w:val="00310532"/>
    <w:rsid w:val="0032216B"/>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62788A"/>
    <w:rsid w:val="00641F8A"/>
    <w:rsid w:val="0066383B"/>
    <w:rsid w:val="006A6FA2"/>
    <w:rsid w:val="006B3665"/>
    <w:rsid w:val="006B5117"/>
    <w:rsid w:val="006C62DF"/>
    <w:rsid w:val="006F5104"/>
    <w:rsid w:val="006F6549"/>
    <w:rsid w:val="00705C1A"/>
    <w:rsid w:val="00735B02"/>
    <w:rsid w:val="007657C8"/>
    <w:rsid w:val="00767A77"/>
    <w:rsid w:val="00771E49"/>
    <w:rsid w:val="00782208"/>
    <w:rsid w:val="00786CD6"/>
    <w:rsid w:val="00791938"/>
    <w:rsid w:val="007A5999"/>
    <w:rsid w:val="007C7FD7"/>
    <w:rsid w:val="007F3746"/>
    <w:rsid w:val="008028FD"/>
    <w:rsid w:val="00833132"/>
    <w:rsid w:val="00845C67"/>
    <w:rsid w:val="00850B53"/>
    <w:rsid w:val="0086454E"/>
    <w:rsid w:val="008672EA"/>
    <w:rsid w:val="00891680"/>
    <w:rsid w:val="008A0099"/>
    <w:rsid w:val="008A0B5F"/>
    <w:rsid w:val="008B5402"/>
    <w:rsid w:val="008D11BC"/>
    <w:rsid w:val="008D2135"/>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25D"/>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906EF"/>
    <w:rsid w:val="00CC7D74"/>
    <w:rsid w:val="00CD2A8B"/>
    <w:rsid w:val="00D02F97"/>
    <w:rsid w:val="00D45530"/>
    <w:rsid w:val="00D45A0E"/>
    <w:rsid w:val="00D45D23"/>
    <w:rsid w:val="00D723D1"/>
    <w:rsid w:val="00D73C9B"/>
    <w:rsid w:val="00D80C60"/>
    <w:rsid w:val="00D8525F"/>
    <w:rsid w:val="00DA0C4D"/>
    <w:rsid w:val="00DA5DA7"/>
    <w:rsid w:val="00DE172F"/>
    <w:rsid w:val="00DE3935"/>
    <w:rsid w:val="00DE6B32"/>
    <w:rsid w:val="00DF26B8"/>
    <w:rsid w:val="00DF73CE"/>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C3191"/>
    <w:rsid w:val="00FE0F1F"/>
    <w:rsid w:val="00FF61F3"/>
    <w:rsid w:val="19BB1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1">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2">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3">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5">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6">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7">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66119D-86B5-4F2F-988D-0C1DF5B12F6E}">
  <ds:schemaRefs/>
</ds:datastoreItem>
</file>

<file path=docProps/app.xml><?xml version="1.0" encoding="utf-8"?>
<Properties xmlns="http://schemas.openxmlformats.org/officeDocument/2006/extended-properties" xmlns:vt="http://schemas.openxmlformats.org/officeDocument/2006/docPropsVTypes">
  <Template>Normal</Template>
  <Pages>11</Pages>
  <Words>769</Words>
  <Characters>4384</Characters>
  <Lines>36</Lines>
  <Paragraphs>10</Paragraphs>
  <TotalTime>721</TotalTime>
  <ScaleCrop>false</ScaleCrop>
  <LinksUpToDate>false</LinksUpToDate>
  <CharactersWithSpaces>5143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2023-11-16T02:22:33Z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4EC5D9FF56514A49B5EB86ECE0AC1BBB</vt:lpwstr>
  </property>
</Properties>
</file>