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保定市徐水区安肃镇中心学校</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1</w:t>
      </w:r>
      <w:r>
        <w:rPr>
          <w:rFonts w:ascii="宋体" w:hAnsi="宋体" w:eastAsia="宋体"/>
          <w:b/>
          <w:sz w:val="44"/>
          <w:szCs w:val="44"/>
        </w:rPr>
        <w:t>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《中华人民共和国预算法》</w:t>
      </w:r>
      <w:r>
        <w:rPr>
          <w:rFonts w:hint="eastAsia" w:ascii="仿宋" w:hAnsi="仿宋" w:eastAsia="仿宋"/>
          <w:sz w:val="32"/>
          <w:szCs w:val="32"/>
        </w:rPr>
        <w:t>、《地方预决算公开操作规程》等文件规定，现将我单位预算信息公开如下：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jc w:val="center"/>
        <w:outlineLvl w:val="0"/>
        <w:rPr>
          <w:rFonts w:ascii="方正小标宋_GBK" w:eastAsia="方正小标宋_GBK"/>
          <w:szCs w:val="21"/>
        </w:rPr>
      </w:pPr>
    </w:p>
    <w:p>
      <w:pPr>
        <w:pStyle w:val="14"/>
        <w:numPr>
          <w:ilvl w:val="0"/>
          <w:numId w:val="1"/>
        </w:numPr>
        <w:spacing w:line="360" w:lineRule="auto"/>
        <w:ind w:firstLineChars="0"/>
        <w:rPr>
          <w:rFonts w:ascii="仿宋" w:hAnsi="仿宋" w:eastAsia="仿宋"/>
          <w:b/>
          <w:sz w:val="32"/>
          <w:szCs w:val="32"/>
        </w:rPr>
      </w:pPr>
      <w:r>
        <w:rPr>
          <w:rFonts w:hint="eastAsia" w:ascii="仿宋" w:hAnsi="仿宋" w:eastAsia="仿宋"/>
          <w:b/>
          <w:sz w:val="32"/>
          <w:szCs w:val="32"/>
        </w:rPr>
        <w:t>单位职责</w:t>
      </w:r>
    </w:p>
    <w:p>
      <w:pPr>
        <w:pStyle w:val="14"/>
        <w:spacing w:line="360" w:lineRule="auto"/>
        <w:ind w:left="1363" w:firstLine="0" w:firstLineChars="0"/>
        <w:rPr>
          <w:rFonts w:ascii="仿宋" w:hAnsi="仿宋" w:eastAsia="仿宋"/>
          <w:sz w:val="32"/>
          <w:szCs w:val="32"/>
        </w:rPr>
      </w:pPr>
      <w:r>
        <w:rPr>
          <w:rFonts w:hint="eastAsia" w:ascii="仿宋" w:hAnsi="仿宋" w:eastAsia="仿宋"/>
          <w:sz w:val="32"/>
          <w:szCs w:val="32"/>
        </w:rPr>
        <w:t>保定市徐水区安肃镇中心学校的主要职责是：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（一）贯彻落实教育和体育工作方针、政策、法律、法规，负责教育体制、办学体制、学校管理体制及教育综合改革的统筹规划和协调指导；落实教育优先发展的战略地位，推动全镇教育和体育事业改革发展。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（二）研究制定全镇教育和体育工作的发展规划，统筹规划学校布局和体育事业发展，在省、市、区规定的权限内承担各级各类学校设立、撤销、调整的上报工作。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（三）全面实施素质教育，指导推动教育教学和教育科研工作；负责全镇义务教育、学前教育的宏观指导、综合管理与服务，对全镇教育工作状况及办学水平进行监督、检查；负责组织各类考试工作。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镇教育和体育系统队伍建设工作，负责人员招聘录用、工作调配、教育培训、职称评聘、评优评模、考核奖惩等工作；负责下属单位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（五）负责教育经费统筹管理；负责教育财务的管理、监督工作；参与全区年度教育和体育经费的预决算工作；做好计划统计工作；负责各级助学政策和经费的落实。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（六）指导全镇学校的德育、智育、体育、美育、劳动、国防和安全教育工作；负责教育和体育系统党的建设工作，指导工会、共青团、妇女工作；负责教育和体育系统的安全稳定及综合治理工作。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（七）统筹规划全镇青少年体育发展，指导和推进青少年体育工作；指导体育管理人员、教练员、运动员队伍建设。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（八）负责全镇语言文字工作，制订语言文字工作规划；组织协调并监督检查汉语和少数民族语言文字规范、标准的实施；指导推广普通话工作；负责社会用字规范管理。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（九）承办镇委、镇政府和上级教育行政部门交办的其他事项。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8"/>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660"/>
        <w:gridCol w:w="3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6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0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安肃</w:t>
            </w:r>
            <w:r>
              <w:rPr>
                <w:rFonts w:hint="eastAsia" w:ascii="仿宋_GB2312" w:hAnsi="仿宋" w:eastAsia="仿宋_GB2312"/>
                <w:bCs/>
                <w:sz w:val="24"/>
                <w:szCs w:val="24"/>
              </w:rPr>
              <w:t>镇中心学校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北上关</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北下关</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南孤庄营</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5</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迁民庄</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6</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三岔口</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7</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商庄小学</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8</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仁里村</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9</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西张丰小学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10</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坟台小学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中营</w:t>
            </w:r>
            <w:r>
              <w:rPr>
                <w:rFonts w:ascii="仿宋_GB2312" w:hAnsi="仿宋" w:eastAsia="仿宋_GB2312"/>
                <w:bCs/>
                <w:sz w:val="24"/>
                <w:szCs w:val="24"/>
              </w:rPr>
              <w:t>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ascii="仿宋_GB2312" w:hAnsi="仿宋" w:eastAsia="仿宋_GB2312"/>
                <w:bCs/>
                <w:sz w:val="24"/>
                <w:szCs w:val="24"/>
              </w:rPr>
              <w:t>北</w:t>
            </w:r>
            <w:r>
              <w:rPr>
                <w:rFonts w:hint="eastAsia" w:ascii="仿宋_GB2312" w:hAnsi="仿宋" w:eastAsia="仿宋_GB2312"/>
                <w:bCs/>
                <w:sz w:val="24"/>
                <w:szCs w:val="24"/>
              </w:rPr>
              <w:t>上关</w:t>
            </w:r>
            <w:r>
              <w:rPr>
                <w:rFonts w:ascii="仿宋_GB2312" w:hAnsi="仿宋" w:eastAsia="仿宋_GB2312"/>
                <w:bCs/>
                <w:sz w:val="24"/>
                <w:szCs w:val="24"/>
              </w:rPr>
              <w:t>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岳家营</w:t>
            </w:r>
            <w:r>
              <w:rPr>
                <w:rFonts w:ascii="仿宋_GB2312" w:hAnsi="仿宋" w:eastAsia="仿宋_GB2312"/>
                <w:bCs/>
                <w:sz w:val="24"/>
                <w:szCs w:val="24"/>
              </w:rPr>
              <w:t>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南徐城</w:t>
            </w:r>
            <w:r>
              <w:rPr>
                <w:rFonts w:ascii="仿宋_GB2312" w:hAnsi="仿宋" w:eastAsia="仿宋_GB2312"/>
                <w:bCs/>
                <w:sz w:val="24"/>
                <w:szCs w:val="24"/>
              </w:rPr>
              <w:t>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5</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南张丰幼</w:t>
            </w:r>
            <w:r>
              <w:rPr>
                <w:rFonts w:ascii="仿宋_GB2312" w:hAnsi="仿宋" w:eastAsia="仿宋_GB2312"/>
                <w:bCs/>
                <w:sz w:val="24"/>
                <w:szCs w:val="24"/>
              </w:rPr>
              <w:t>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6</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八四</w:t>
            </w:r>
            <w:r>
              <w:rPr>
                <w:rFonts w:ascii="仿宋_GB2312" w:hAnsi="仿宋" w:eastAsia="仿宋_GB2312"/>
                <w:bCs/>
                <w:sz w:val="24"/>
                <w:szCs w:val="24"/>
              </w:rPr>
              <w:t>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7</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青庙</w:t>
            </w:r>
            <w:r>
              <w:rPr>
                <w:rFonts w:ascii="仿宋_GB2312" w:hAnsi="仿宋" w:eastAsia="仿宋_GB2312"/>
                <w:bCs/>
                <w:sz w:val="24"/>
                <w:szCs w:val="24"/>
              </w:rPr>
              <w:t>营幼儿园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420" w:firstLineChars="200"/>
        <w:rPr>
          <w:rFonts w:ascii="仿宋" w:hAnsi="仿宋" w:eastAsia="仿宋"/>
          <w:szCs w:val="21"/>
        </w:rPr>
      </w:pP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按照预算管理有关规定，目前我镇单位预算的编制实行综合预算制度，即全部收入和支出都反映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8459.72</w:t>
      </w:r>
      <w:r>
        <w:rPr>
          <w:rFonts w:ascii="仿宋" w:hAnsi="仿宋" w:eastAsia="仿宋"/>
          <w:sz w:val="32"/>
          <w:szCs w:val="32"/>
        </w:rPr>
        <w:t>万元,其中：一般公共预算收入</w:t>
      </w:r>
      <w:r>
        <w:rPr>
          <w:rFonts w:hint="eastAsia" w:ascii="仿宋" w:hAnsi="仿宋" w:eastAsia="仿宋"/>
          <w:sz w:val="32"/>
          <w:szCs w:val="32"/>
        </w:rPr>
        <w:t>8459.72</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上</w:t>
      </w:r>
      <w:r>
        <w:rPr>
          <w:rFonts w:ascii="仿宋" w:hAnsi="仿宋" w:eastAsia="仿宋"/>
          <w:sz w:val="32"/>
          <w:szCs w:val="32"/>
        </w:rPr>
        <w:t>年结转结余资金</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8459.72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基本支出7276.08万元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7101.74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174.34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项目支出1183.64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1183.64</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本年度预算收支安排8459.72万元，较上年增加731.44</w:t>
      </w:r>
      <w:r>
        <w:rPr>
          <w:rFonts w:ascii="仿宋" w:hAnsi="仿宋" w:eastAsia="仿宋"/>
          <w:sz w:val="32"/>
          <w:szCs w:val="32"/>
        </w:rPr>
        <w:t>万元。其中:基本支出增加</w:t>
      </w:r>
      <w:r>
        <w:rPr>
          <w:rFonts w:hint="eastAsia" w:ascii="仿宋" w:hAnsi="仿宋" w:eastAsia="仿宋"/>
          <w:sz w:val="32"/>
          <w:szCs w:val="32"/>
        </w:rPr>
        <w:t>580.51</w:t>
      </w:r>
      <w:r>
        <w:rPr>
          <w:rFonts w:ascii="仿宋" w:hAnsi="仿宋" w:eastAsia="仿宋"/>
          <w:sz w:val="32"/>
          <w:szCs w:val="32"/>
        </w:rPr>
        <w:t>万元，主要原因是人员经费增加；项目支出</w:t>
      </w:r>
      <w:r>
        <w:rPr>
          <w:rFonts w:hint="eastAsia" w:ascii="仿宋" w:hAnsi="仿宋" w:eastAsia="仿宋"/>
          <w:sz w:val="32"/>
          <w:szCs w:val="32"/>
        </w:rPr>
        <w:t>增加150.93</w:t>
      </w:r>
      <w:r>
        <w:rPr>
          <w:rFonts w:ascii="仿宋" w:hAnsi="仿宋" w:eastAsia="仿宋"/>
          <w:sz w:val="32"/>
          <w:szCs w:val="32"/>
        </w:rPr>
        <w:t>万元，主要原因是</w:t>
      </w:r>
      <w:r>
        <w:rPr>
          <w:rFonts w:hint="eastAsia" w:ascii="仿宋" w:hAnsi="仿宋" w:eastAsia="仿宋"/>
          <w:sz w:val="32"/>
          <w:szCs w:val="32"/>
        </w:rPr>
        <w:t>年</w:t>
      </w:r>
      <w:r>
        <w:rPr>
          <w:rFonts w:ascii="仿宋" w:hAnsi="仿宋" w:eastAsia="仿宋"/>
          <w:sz w:val="32"/>
          <w:szCs w:val="32"/>
        </w:rPr>
        <w:t>初预算校舍建设资金</w:t>
      </w:r>
      <w:r>
        <w:rPr>
          <w:rFonts w:hint="eastAsia" w:ascii="仿宋" w:hAnsi="仿宋" w:eastAsia="仿宋"/>
          <w:sz w:val="32"/>
          <w:szCs w:val="32"/>
        </w:rPr>
        <w:t>较</w:t>
      </w:r>
      <w:r>
        <w:rPr>
          <w:rFonts w:ascii="仿宋" w:hAnsi="仿宋" w:eastAsia="仿宋"/>
          <w:sz w:val="32"/>
          <w:szCs w:val="32"/>
        </w:rPr>
        <w:t>上年</w:t>
      </w:r>
      <w:r>
        <w:rPr>
          <w:rFonts w:hint="eastAsia" w:ascii="仿宋" w:hAnsi="仿宋" w:eastAsia="仿宋"/>
          <w:sz w:val="32"/>
          <w:szCs w:val="32"/>
        </w:rPr>
        <w:t>增加</w:t>
      </w:r>
      <w:r>
        <w:rPr>
          <w:rFonts w:ascii="仿宋" w:hAnsi="仿宋" w:eastAsia="仿宋"/>
          <w:sz w:val="32"/>
          <w:szCs w:val="32"/>
        </w:rPr>
        <w:t>。</w:t>
      </w: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w:t>
      </w:r>
      <w:r>
        <w:rPr>
          <w:rFonts w:hint="eastAsia" w:ascii="仿宋" w:hAnsi="仿宋" w:eastAsia="仿宋"/>
          <w:sz w:val="32"/>
          <w:szCs w:val="32"/>
        </w:rPr>
        <w:t>174.34</w:t>
      </w:r>
      <w:r>
        <w:rPr>
          <w:rFonts w:ascii="仿宋" w:hAnsi="仿宋" w:eastAsia="仿宋"/>
          <w:sz w:val="32"/>
          <w:szCs w:val="32"/>
        </w:rPr>
        <w:t>万元，其中办公费</w:t>
      </w:r>
      <w:r>
        <w:rPr>
          <w:rFonts w:hint="eastAsia" w:ascii="仿宋" w:hAnsi="仿宋" w:eastAsia="仿宋"/>
          <w:sz w:val="32"/>
          <w:szCs w:val="32"/>
        </w:rPr>
        <w:t>5.40</w:t>
      </w:r>
      <w:r>
        <w:rPr>
          <w:rFonts w:ascii="仿宋" w:hAnsi="仿宋" w:eastAsia="仿宋"/>
          <w:sz w:val="32"/>
          <w:szCs w:val="32"/>
        </w:rPr>
        <w:t>万元，</w:t>
      </w:r>
      <w:r>
        <w:rPr>
          <w:rFonts w:hint="eastAsia" w:ascii="仿宋" w:hAnsi="仿宋" w:eastAsia="仿宋"/>
          <w:sz w:val="32"/>
          <w:szCs w:val="32"/>
        </w:rPr>
        <w:t>离退休干部</w:t>
      </w:r>
      <w:r>
        <w:rPr>
          <w:rFonts w:ascii="仿宋" w:hAnsi="仿宋" w:eastAsia="仿宋"/>
          <w:sz w:val="32"/>
          <w:szCs w:val="32"/>
        </w:rPr>
        <w:t>费57.07万元，工会经费64.84万元、福利费47.03万元，其他支出0万元。</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p>
      <w:pPr>
        <w:ind w:firstLine="482" w:firstLineChars="150"/>
        <w:jc w:val="left"/>
        <w:outlineLvl w:val="0"/>
        <w:rPr>
          <w:rFonts w:hint="eastAsia" w:ascii="方正小标宋_GBK" w:eastAsia="方正小标宋_GBK"/>
          <w:sz w:val="44"/>
        </w:rPr>
      </w:pPr>
      <w:r>
        <w:rPr>
          <w:rFonts w:hint="eastAsia" w:ascii="仿宋" w:hAnsi="仿宋" w:eastAsia="仿宋" w:cs="仿宋"/>
          <w:b/>
          <w:bCs/>
          <w:sz w:val="32"/>
          <w:szCs w:val="32"/>
        </w:rPr>
        <w:t>2021年，我单位无三公经费，空表列示。</w:t>
      </w:r>
    </w:p>
    <w:tbl>
      <w:tblPr>
        <w:tblStyle w:val="8"/>
        <w:tblW w:w="5000" w:type="pct"/>
        <w:tblInd w:w="0" w:type="dxa"/>
        <w:tblLayout w:type="autofit"/>
        <w:tblCellMar>
          <w:top w:w="0" w:type="dxa"/>
          <w:left w:w="108" w:type="dxa"/>
          <w:bottom w:w="0" w:type="dxa"/>
          <w:right w:w="108" w:type="dxa"/>
        </w:tblCellMar>
      </w:tblPr>
      <w:tblGrid>
        <w:gridCol w:w="9515"/>
      </w:tblGrid>
      <w:tr>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36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1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1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15"/>
      </w:pPr>
      <w:r>
        <w:t>2021年安肃镇教育工作的总体目标是：推进义务教育优质均衡发展、学前教育普及普惠发展；全力打造师德高尚的专业化教师队伍，持续推进教育基础设施建设，努力实现现代信息技术与教育教学深度融合，持之以恒地创建平安校园，强化教育高质量发展支撑保障；积极做好对接交流工作，推动育人课堂创建，加快建设教育强镇，办好人民满意教育，以一流的工作业绩助推我镇教育工作在全市区当先锋、做表率、走在前，以实际行动和优异成绩迎接党的二十大胜利召开。</w:t>
      </w:r>
    </w:p>
    <w:p>
      <w:pPr>
        <w:spacing w:before="10" w:after="10"/>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16"/>
      </w:pPr>
      <w:r>
        <w:t>(一）全面加强思想政治建设。</w:t>
      </w:r>
    </w:p>
    <w:p>
      <w:pPr>
        <w:pStyle w:val="16"/>
      </w:pPr>
      <w:r>
        <w:t>绩效目标：把学习宣传贯彻习近平新时代中国特色社会主义思想作为首要政治任务，深入学习贯彻习近平总书记关于教育的重要论述。制定2021年镇理论</w:t>
      </w:r>
      <w:r>
        <w:rPr>
          <w:rFonts w:hint="eastAsia"/>
          <w:lang w:eastAsia="zh-CN"/>
        </w:rPr>
        <w:t>学习</w:t>
      </w:r>
      <w:r>
        <w:t>中心组学习</w:t>
      </w:r>
      <w:r>
        <w:rPr>
          <w:lang w:val="uk-UA"/>
        </w:rPr>
        <w:t>方案</w:t>
      </w:r>
      <w:r>
        <w:t>，把习近平新时代中国特色社会主义思想和党的十九大、十九届历次全会和二十大精神纳入理论</w:t>
      </w:r>
      <w:r>
        <w:rPr>
          <w:rFonts w:hint="eastAsia"/>
          <w:lang w:eastAsia="zh-CN"/>
        </w:rPr>
        <w:t>学习</w:t>
      </w:r>
      <w:bookmarkStart w:id="19" w:name="_GoBack"/>
      <w:bookmarkEnd w:id="19"/>
      <w:r>
        <w:t>中心组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6"/>
      </w:pPr>
      <w:r>
        <w:t>（二）推动学前教育普及普惠发展。</w:t>
      </w:r>
    </w:p>
    <w:p>
      <w:pPr>
        <w:pStyle w:val="16"/>
      </w:pPr>
      <w:r>
        <w:t>绩效目标：建立镇级学前教育研训机构，充实学前教育研训队伍，提高幼儿园教科研水平，加强园本教研，及时解决幼儿园教师在教育实践过程中的困惑和问题，促进我镇学前教育高质量发展。</w:t>
      </w:r>
    </w:p>
    <w:p>
      <w:pPr>
        <w:pStyle w:val="16"/>
      </w:pPr>
      <w:r>
        <w:t>绩效指标：在园幼儿数达到</w:t>
      </w:r>
      <w:r>
        <w:rPr>
          <w:rFonts w:hint="eastAsia"/>
          <w:lang w:eastAsia="zh-CN"/>
        </w:rPr>
        <w:t>1286</w:t>
      </w:r>
      <w:r>
        <w:t>人，学前三年毛入园率达到90%，应享受学前教育资助政策的幼儿全部得到资助，受益幼儿园、家长满意度达到85%以上。</w:t>
      </w:r>
    </w:p>
    <w:p>
      <w:pPr>
        <w:pStyle w:val="16"/>
      </w:pPr>
      <w:r>
        <w:t>（三）推动义务教育优质均衡发展。</w:t>
      </w:r>
    </w:p>
    <w:p>
      <w:pPr>
        <w:pStyle w:val="16"/>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6"/>
      </w:pPr>
      <w:r>
        <w:t>绩效指标：统一城乡义务教育年生均公用经费标准：小学735万元（含取暖费85万元）。为农村义务教育学生免费提供教科书。所有义务教育阶段学生免费发放教科书，教师、学生对保障机制的综合满意度≥90%。</w:t>
      </w:r>
    </w:p>
    <w:p>
      <w:pPr>
        <w:pStyle w:val="16"/>
      </w:pPr>
      <w:r>
        <w:t>（四）推进学校体育深入开展。</w:t>
      </w:r>
    </w:p>
    <w:p>
      <w:pPr>
        <w:pStyle w:val="16"/>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6"/>
      </w:pPr>
      <w:r>
        <w:t>绩效指标：落实学生“体育家庭作业”制度，确保参与体质健康测试率95%以上，学校学生体检健康测试上报率100%。</w:t>
      </w:r>
    </w:p>
    <w:p>
      <w:pPr>
        <w:spacing w:before="10" w:after="10"/>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7"/>
      </w:pPr>
      <w:r>
        <w:t>（一）加强组织领导。建立健全教育领域预算绩效管理制度体系。围绕年度总体绩效目标和分项绩效目标，明确责任主体，细化落实措施，确保绩效目标年内全部完成。</w:t>
      </w:r>
    </w:p>
    <w:p>
      <w:pPr>
        <w:pStyle w:val="17"/>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7"/>
      </w:pPr>
      <w:r>
        <w:t>（三）加强支出管理。督促指导下属单位加快项目执行进度，加快资金支出。严格按照年初预算支出计划加快履行政府采购手续，尽快启动项目，进行资金支付。</w:t>
      </w:r>
    </w:p>
    <w:p>
      <w:pPr>
        <w:pStyle w:val="17"/>
      </w:pPr>
      <w:r>
        <w:t>（四）加强绩效运行监控。强化资金监管，指导各单位建立健全内控组织机构、机制建设和内部管理制度，加强对关键岗位人员管理，保证单位各项经济活动合法合规。</w:t>
      </w:r>
    </w:p>
    <w:p>
      <w:pPr>
        <w:pStyle w:val="17"/>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7"/>
      </w:pPr>
      <w:r>
        <w:t>（六）规范财务资产管理。进一步完善财务管理制度，严格资产采购审批手续，加强固定资产登记、使用及报废处置管理，做到支出合理，物尽其用。</w:t>
      </w:r>
    </w:p>
    <w:p>
      <w:pPr>
        <w:pStyle w:val="17"/>
      </w:pPr>
      <w:r>
        <w:t>（七）加强内部监督。加强内部监督制度建设，对绩效运行情况、重大支出决策、资产处置及其他重要经济业务的决算和执行进行监督，并配合做好审计、财政监督等外部监督工作，确保财政资金安全有效。</w:t>
      </w:r>
    </w:p>
    <w:p>
      <w:pPr>
        <w:pStyle w:val="17"/>
      </w:pPr>
      <w:r>
        <w:t>（八）加强宣传培训力度。加强教育系统人员培训，提高全区教育业务素养；加大宣传力度，强化绩效预算管理意识，促进绩效预算管理水平进一步提升。</w:t>
      </w:r>
    </w:p>
    <w:p>
      <w:pPr>
        <w:spacing w:line="360" w:lineRule="auto"/>
        <w:ind w:firstLine="640" w:firstLineChars="200"/>
        <w:rPr>
          <w:rFonts w:ascii="仿宋" w:hAnsi="仿宋" w:eastAsia="仿宋"/>
          <w:sz w:val="32"/>
          <w:szCs w:val="32"/>
        </w:rPr>
      </w:pPr>
      <w:r>
        <w:rPr>
          <w:rFonts w:ascii="仿宋" w:hAnsi="仿宋" w:eastAsia="仿宋"/>
          <w:sz w:val="32"/>
          <w:szCs w:val="32"/>
        </w:rPr>
        <w:br w:type="page"/>
      </w:r>
    </w:p>
    <w:p>
      <w:pPr>
        <w:ind w:firstLine="880" w:firstLineChars="200"/>
        <w:jc w:val="left"/>
        <w:outlineLvl w:val="3"/>
        <w:rPr>
          <w:rFonts w:ascii="方正小标宋_GBK" w:eastAsia="方正小标宋_GBK"/>
          <w:sz w:val="44"/>
        </w:rPr>
      </w:pPr>
      <w:r>
        <w:rPr>
          <w:rFonts w:hint="eastAsia" w:ascii="方正小标宋_GBK" w:eastAsia="方正小标宋_GBK"/>
          <w:sz w:val="44"/>
        </w:rPr>
        <w:t>预算项目绩效目标</w:t>
      </w:r>
      <w:bookmarkStart w:id="3" w:name="_Toc71388423"/>
    </w:p>
    <w:p>
      <w:pPr>
        <w:ind w:firstLine="562" w:firstLineChars="200"/>
        <w:jc w:val="left"/>
        <w:outlineLvl w:val="3"/>
        <w:rPr>
          <w:rFonts w:ascii="Times New Roman" w:hAnsi="宋体" w:eastAsia="宋体"/>
          <w:b/>
          <w:sz w:val="28"/>
        </w:rPr>
      </w:pPr>
      <w:r>
        <w:rPr>
          <w:rFonts w:ascii="方正仿宋_GBK" w:eastAsia="方正仿宋_GBK"/>
          <w:b/>
          <w:sz w:val="28"/>
        </w:rPr>
        <w:t>120.提前下达2021年城乡义务教育保障机制改革市级资金-困难学生生活补助绩效目标表</w:t>
      </w:r>
      <w:bookmarkEnd w:id="3"/>
      <w:r>
        <w:rPr>
          <w:rFonts w:ascii="方正仿宋_GBK" w:eastAsia="方正仿宋_GBK"/>
          <w:b/>
          <w:sz w:val="28"/>
        </w:rPr>
        <w:fldChar w:fldCharType="begin"/>
      </w:r>
      <w:r>
        <w:rPr>
          <w:rFonts w:ascii="方正仿宋_GBK" w:eastAsia="方正仿宋_GBK"/>
          <w:b/>
          <w:sz w:val="28"/>
        </w:rPr>
        <w:instrText xml:space="preserve"> TC 120、提前下达2021年城乡义务教育保障机制改革市级资金-困难学生生活补助绩效目标表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424"/>
      <w:r>
        <w:rPr>
          <w:rFonts w:ascii="方正仿宋_GBK" w:eastAsia="方正仿宋_GBK"/>
          <w:b/>
          <w:sz w:val="28"/>
        </w:rPr>
        <w:t>121.关于提前下达2021年城乡义务教育中央补助经费预算（直达资金）-公用经费绩效目标表</w:t>
      </w:r>
      <w:bookmarkEnd w:id="4"/>
      <w:r>
        <w:rPr>
          <w:rFonts w:ascii="方正仿宋_GBK" w:eastAsia="方正仿宋_GBK"/>
          <w:b/>
          <w:sz w:val="28"/>
        </w:rPr>
        <w:fldChar w:fldCharType="begin"/>
      </w:r>
      <w:r>
        <w:rPr>
          <w:rFonts w:ascii="方正仿宋_GBK" w:eastAsia="方正仿宋_GBK"/>
          <w:b/>
          <w:sz w:val="28"/>
        </w:rPr>
        <w:instrText xml:space="preserve"> TC 121、关于提前下达2021年城乡义务教育中央补助经费预算（直达资金）-公用经费绩效目标表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2869146.00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2869146.00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用于学校开展教育教学活动。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3.按时完成教育教学任务</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足额保障义务教育阶段学校公用经费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经费使用率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公用经费全部用于教育教学工作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425"/>
      <w:r>
        <w:rPr>
          <w:rFonts w:ascii="方正仿宋_GBK" w:eastAsia="方正仿宋_GBK"/>
          <w:b/>
          <w:sz w:val="28"/>
        </w:rPr>
        <w:t>122.义务教育公用经费区级配套-王府学校绩效目标表</w:t>
      </w:r>
      <w:bookmarkEnd w:id="5"/>
      <w:r>
        <w:rPr>
          <w:rFonts w:ascii="方正仿宋_GBK" w:eastAsia="方正仿宋_GBK"/>
          <w:b/>
          <w:sz w:val="28"/>
        </w:rPr>
        <w:fldChar w:fldCharType="begin"/>
      </w:r>
      <w:r>
        <w:rPr>
          <w:rFonts w:ascii="方正仿宋_GBK" w:eastAsia="方正仿宋_GBK"/>
          <w:b/>
          <w:sz w:val="28"/>
        </w:rPr>
        <w:instrText xml:space="preserve"> TC 122、义务教育公用经费区级配套-王府学校绩效目标表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130625213KSLB84UGP6D8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义务教育公用经费区级配套-王府学校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148917.00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148917.00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用于学校开展教育教学活动。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3.按时完成教育教学任务</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经费使用率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公用经费全部用于教育教学工作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426"/>
      <w:r>
        <w:rPr>
          <w:rFonts w:ascii="方正仿宋_GBK" w:eastAsia="方正仿宋_GBK"/>
          <w:b/>
          <w:sz w:val="28"/>
        </w:rPr>
        <w:t>123.区自建乡村学校少年宫日常运转经费绩效目标表</w:t>
      </w:r>
      <w:bookmarkEnd w:id="6"/>
      <w:r>
        <w:rPr>
          <w:rFonts w:ascii="方正仿宋_GBK" w:eastAsia="方正仿宋_GBK"/>
          <w:b/>
          <w:sz w:val="28"/>
        </w:rPr>
        <w:fldChar w:fldCharType="begin"/>
      </w:r>
      <w:r>
        <w:rPr>
          <w:rFonts w:ascii="方正仿宋_GBK" w:eastAsia="方正仿宋_GBK"/>
          <w:b/>
          <w:sz w:val="28"/>
        </w:rPr>
        <w:instrText xml:space="preserve"> TC 123、区自建乡村学校少年宫日常运转经费绩效目标表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保障农村少年宫项目日常运转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1.促进学生全方面发展，丰富学生课余文化生活。</w:t>
            </w:r>
          </w:p>
          <w:p>
            <w:pPr>
              <w:spacing w:line="300" w:lineRule="exact"/>
              <w:jc w:val="left"/>
              <w:rPr>
                <w:rFonts w:ascii="方正书宋_GBK" w:eastAsia="方正书宋_GBK"/>
              </w:rPr>
            </w:pPr>
            <w:r>
              <w:rPr>
                <w:rFonts w:ascii="方正书宋_GBK" w:eastAsia="方正书宋_GBK"/>
              </w:rPr>
              <w:t>2.调动农村教师积极性，提高学生学习兴趣。</w:t>
            </w:r>
          </w:p>
          <w:p>
            <w:pPr>
              <w:spacing w:line="300" w:lineRule="exact"/>
              <w:jc w:val="left"/>
              <w:rPr>
                <w:rFonts w:ascii="方正书宋_GBK" w:eastAsia="方正书宋_GBK"/>
              </w:rPr>
            </w:pPr>
            <w:r>
              <w:rPr>
                <w:rFonts w:ascii="方正书宋_GBK" w:eastAsia="方正书宋_GBK"/>
              </w:rPr>
              <w:t>3.保障农村少年宫项目日常运转</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开展少年宫活动单位享受资金保障。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活动计划完成率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学校按教学计划完成活动开展项目</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按预算保障乡村少年宫运转经费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按预算资金完成率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按预算和支出计划进行资金支付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提高学生素质，发展学生专项技能</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427"/>
      <w:r>
        <w:rPr>
          <w:rFonts w:ascii="方正仿宋_GBK" w:eastAsia="方正仿宋_GBK"/>
          <w:b/>
          <w:sz w:val="28"/>
        </w:rPr>
        <w:t>124.关于提前下达2021年城乡义务教育中央补助经费预算（直达资金）-困难学生生活补助（王府学校）绩效目标表</w:t>
      </w:r>
      <w:bookmarkEnd w:id="7"/>
      <w:r>
        <w:rPr>
          <w:rFonts w:ascii="方正仿宋_GBK" w:eastAsia="方正仿宋_GBK"/>
          <w:b/>
          <w:sz w:val="28"/>
        </w:rPr>
        <w:fldChar w:fldCharType="begin"/>
      </w:r>
      <w:r>
        <w:rPr>
          <w:rFonts w:ascii="方正仿宋_GBK" w:eastAsia="方正仿宋_GBK"/>
          <w:b/>
          <w:sz w:val="28"/>
        </w:rPr>
        <w:instrText xml:space="preserve"> TC 124、关于提前下达2021年城乡义务教育中央补助经费预算（直达资金）-困难学生生活补助（王府学校）绩效目标表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1306252188O1X11R7GSME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关于提前下达2021年城乡义务教育中央补助经费预算（直达资金）-困难学生生活补助（王府学校）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56000.00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56000.00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428"/>
      <w:r>
        <w:rPr>
          <w:rFonts w:ascii="方正仿宋_GBK" w:eastAsia="方正仿宋_GBK"/>
          <w:b/>
          <w:sz w:val="28"/>
        </w:rPr>
        <w:t>125.校园安保经费绩效目标表</w:t>
      </w:r>
      <w:bookmarkEnd w:id="8"/>
      <w:r>
        <w:rPr>
          <w:rFonts w:ascii="方正仿宋_GBK" w:eastAsia="方正仿宋_GBK"/>
          <w:b/>
          <w:sz w:val="28"/>
        </w:rPr>
        <w:fldChar w:fldCharType="begin"/>
      </w:r>
      <w:r>
        <w:rPr>
          <w:rFonts w:ascii="方正仿宋_GBK" w:eastAsia="方正仿宋_GBK"/>
          <w:b/>
          <w:sz w:val="28"/>
        </w:rPr>
        <w:instrText xml:space="preserve"> TC 125、校园安保经费绩效目标表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820800.00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820800.00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加强中小学（幼儿园）安全保卫工作，维持正常教育教学秩序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1.切实保障安保人员基本权益，提高校园安全度</w:t>
            </w:r>
          </w:p>
          <w:p>
            <w:pPr>
              <w:spacing w:line="300" w:lineRule="exact"/>
              <w:jc w:val="left"/>
              <w:rPr>
                <w:rFonts w:ascii="方正书宋_GBK" w:eastAsia="方正书宋_GBK"/>
              </w:rPr>
            </w:pPr>
            <w:r>
              <w:rPr>
                <w:rFonts w:ascii="方正书宋_GBK" w:eastAsia="方正书宋_GBK"/>
              </w:rPr>
              <w:t>2.提升学校的安全度，扩大学校的影响力</w:t>
            </w:r>
          </w:p>
          <w:p>
            <w:pPr>
              <w:spacing w:line="300" w:lineRule="exact"/>
              <w:jc w:val="left"/>
              <w:rPr>
                <w:rFonts w:ascii="方正书宋_GBK" w:eastAsia="方正书宋_GBK"/>
              </w:rPr>
            </w:pPr>
            <w:r>
              <w:rPr>
                <w:rFonts w:ascii="方正书宋_GBK" w:eastAsia="方正书宋_GBK"/>
              </w:rPr>
              <w:t>3.加强中小学（幼儿园）安全保卫工作，维持正常教育教学秩序</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安保人员覆盖情况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校园安保工作运行情况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按预算计划，及时发放安保人员工资</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校园安全保障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保障学校师生安全，校园财产安全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429"/>
      <w:r>
        <w:rPr>
          <w:rFonts w:ascii="方正仿宋_GBK" w:eastAsia="方正仿宋_GBK"/>
          <w:b/>
          <w:sz w:val="28"/>
        </w:rPr>
        <w:t>126.提前下达2021年城乡义务教育省级补助资金-公用经费绩效目标表</w:t>
      </w:r>
      <w:bookmarkEnd w:id="9"/>
      <w:r>
        <w:rPr>
          <w:rFonts w:ascii="方正仿宋_GBK" w:eastAsia="方正仿宋_GBK"/>
          <w:b/>
          <w:sz w:val="28"/>
        </w:rPr>
        <w:fldChar w:fldCharType="begin"/>
      </w:r>
      <w:r>
        <w:rPr>
          <w:rFonts w:ascii="方正仿宋_GBK" w:eastAsia="方正仿宋_GBK"/>
          <w:b/>
          <w:sz w:val="28"/>
        </w:rPr>
        <w:instrText xml:space="preserve"> TC 126、提前下达2021年城乡义务教育省级补助资金-公用经费绩效目标表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1912764.00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1912764.00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用于学校开展教育教学活动。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3.按时完成教育教学任务</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足额保障义务教育阶段学校公用经费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经费使用率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公用经费全部用于教育教学工作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430"/>
      <w:r>
        <w:rPr>
          <w:rFonts w:ascii="方正仿宋_GBK" w:eastAsia="方正仿宋_GBK"/>
          <w:b/>
          <w:sz w:val="28"/>
        </w:rPr>
        <w:t>127.提前下达2021年城乡义务教育省级补助资金-困难学生生活补助(王府学校)绩效目标表</w:t>
      </w:r>
      <w:bookmarkEnd w:id="10"/>
      <w:r>
        <w:rPr>
          <w:rFonts w:ascii="方正仿宋_GBK" w:eastAsia="方正仿宋_GBK"/>
          <w:b/>
          <w:sz w:val="28"/>
        </w:rPr>
        <w:fldChar w:fldCharType="begin"/>
      </w:r>
      <w:r>
        <w:rPr>
          <w:rFonts w:ascii="方正仿宋_GBK" w:eastAsia="方正仿宋_GBK"/>
          <w:b/>
          <w:sz w:val="28"/>
        </w:rPr>
        <w:instrText xml:space="preserve"> TC 127、提前下达2021年城乡义务教育省级补助资金-困难学生生活补助(王府学校)绩效目标表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13062521KX2B061RASFC7</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提前下达2021年城乡义务教育省级补助资金-困难学生生活补助(王府学校)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35050.00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35050.00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431"/>
      <w:r>
        <w:rPr>
          <w:rFonts w:ascii="方正仿宋_GBK" w:eastAsia="方正仿宋_GBK"/>
          <w:b/>
          <w:sz w:val="28"/>
        </w:rPr>
        <w:t>128.义务教育家庭经济困难学生生活补助区级配套-王府学校绩效目标表</w:t>
      </w:r>
      <w:bookmarkEnd w:id="11"/>
      <w:r>
        <w:rPr>
          <w:rFonts w:ascii="方正仿宋_GBK" w:eastAsia="方正仿宋_GBK"/>
          <w:b/>
          <w:sz w:val="28"/>
        </w:rPr>
        <w:fldChar w:fldCharType="begin"/>
      </w:r>
      <w:r>
        <w:rPr>
          <w:rFonts w:ascii="方正仿宋_GBK" w:eastAsia="方正仿宋_GBK"/>
          <w:b/>
          <w:sz w:val="28"/>
        </w:rPr>
        <w:instrText xml:space="preserve"> TC 128、义务教育家庭经济困难学生生活补助区级配套-王府学校绩效目标表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13062521KZFL3ON79PRFV</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义务教育家庭经济困难学生生活补助区级配套-王府学校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17450.00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17450.00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2" w:name="_Toc71388432"/>
      <w:r>
        <w:rPr>
          <w:rFonts w:ascii="方正仿宋_GBK" w:eastAsia="方正仿宋_GBK"/>
          <w:b/>
          <w:sz w:val="28"/>
        </w:rPr>
        <w:t>129.关于提前下达2021年城乡义务教育中央补助经费预算（直达资金）-困难学生生活补助绩效目标表</w:t>
      </w:r>
      <w:bookmarkEnd w:id="12"/>
      <w:r>
        <w:rPr>
          <w:rFonts w:ascii="方正仿宋_GBK" w:eastAsia="方正仿宋_GBK"/>
          <w:b/>
          <w:sz w:val="28"/>
        </w:rPr>
        <w:fldChar w:fldCharType="begin"/>
      </w:r>
      <w:r>
        <w:rPr>
          <w:rFonts w:ascii="方正仿宋_GBK" w:eastAsia="方正仿宋_GBK"/>
          <w:b/>
          <w:sz w:val="28"/>
        </w:rPr>
        <w:instrText xml:space="preserve"> TC 129、关于提前下达2021年城乡义务教育中央补助经费预算（直达资金）-困难学生生活补助绩效目标表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21500.00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21500.00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3" w:name="_Toc71388433"/>
      <w:r>
        <w:rPr>
          <w:rFonts w:ascii="方正仿宋_GBK" w:eastAsia="方正仿宋_GBK"/>
          <w:b/>
          <w:sz w:val="28"/>
        </w:rPr>
        <w:t>130.义务教育阶段小学生营养改善计划地方试点区级资金绩效目标表</w:t>
      </w:r>
      <w:bookmarkEnd w:id="13"/>
      <w:r>
        <w:rPr>
          <w:rFonts w:ascii="方正仿宋_GBK" w:eastAsia="方正仿宋_GBK"/>
          <w:b/>
          <w:sz w:val="28"/>
        </w:rPr>
        <w:fldChar w:fldCharType="begin"/>
      </w:r>
      <w:r>
        <w:rPr>
          <w:rFonts w:ascii="方正仿宋_GBK" w:eastAsia="方正仿宋_GBK"/>
          <w:b/>
          <w:sz w:val="28"/>
        </w:rPr>
        <w:instrText xml:space="preserve"> TC 130、义务教育阶段小学生营养改善计划地方试点区级资金绩效目标表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1643250.00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1643250.00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用于开展义务教育阶段小学生营养改善计划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1.保障义务教育阶段小学生营养改善计划顺利实施</w:t>
            </w:r>
          </w:p>
          <w:p>
            <w:pPr>
              <w:spacing w:line="300" w:lineRule="exact"/>
              <w:jc w:val="left"/>
              <w:rPr>
                <w:rFonts w:ascii="方正书宋_GBK" w:eastAsia="方正书宋_GBK"/>
              </w:rPr>
            </w:pPr>
            <w:r>
              <w:rPr>
                <w:rFonts w:ascii="方正书宋_GBK" w:eastAsia="方正书宋_GBK"/>
              </w:rPr>
              <w:t>2.提高义务教育阶段小学生体质</w:t>
            </w:r>
          </w:p>
          <w:p>
            <w:pPr>
              <w:spacing w:line="300" w:lineRule="exact"/>
              <w:jc w:val="left"/>
              <w:rPr>
                <w:rFonts w:ascii="方正书宋_GBK" w:eastAsia="方正书宋_GBK"/>
              </w:rPr>
            </w:pPr>
            <w:r>
              <w:rPr>
                <w:rFonts w:ascii="方正书宋_GBK" w:eastAsia="方正书宋_GBK"/>
              </w:rPr>
              <w:t>3.义务教育阶段营养改善计划按标准执行</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营养改善计划享受学生数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农村义务教育阶段小学生享受营养餐改善计划学生数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≤1588人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供餐质量达标率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义务教育学生营养改善计划供餐质量达标率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按时实施营养改善计划</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义务教育小学生营养改善计划生均补助标准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对小学生健康的贡献率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通过提高学生营养健康水平促进全民健康水平。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4" w:name="_Toc71388434"/>
      <w:r>
        <w:rPr>
          <w:rFonts w:ascii="方正仿宋_GBK" w:eastAsia="方正仿宋_GBK"/>
          <w:b/>
          <w:sz w:val="28"/>
        </w:rPr>
        <w:t>131.关于提前下达2021年城乡义务教育中央补助经费预算（直达资金）-公用经费（王府学校）绩效目标表</w:t>
      </w:r>
      <w:bookmarkEnd w:id="14"/>
      <w:r>
        <w:rPr>
          <w:rFonts w:ascii="方正仿宋_GBK" w:eastAsia="方正仿宋_GBK"/>
          <w:b/>
          <w:sz w:val="28"/>
        </w:rPr>
        <w:fldChar w:fldCharType="begin"/>
      </w:r>
      <w:r>
        <w:rPr>
          <w:rFonts w:ascii="方正仿宋_GBK" w:eastAsia="方正仿宋_GBK"/>
          <w:b/>
          <w:sz w:val="28"/>
        </w:rPr>
        <w:instrText xml:space="preserve"> TC 131、关于提前下达2021年城乡义务教育中央补助经费预算（直达资金）-公用经费（王府学校）绩效目标表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360015安肃镇中心学校（小学）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13062521ZPQGA12RM26X7</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关于提前下达2021年城乡义务教育中央补助经费预算（直达资金）-公用经费（王府学校）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288903.00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288903.00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用于学校开展教育教学活动。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3.按时完成教育教学任务</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足额保障义务教育阶段学校公用经费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经费使用率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公用经费全部用于教育教学工作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5" w:name="_Toc71388435"/>
      <w:r>
        <w:rPr>
          <w:rFonts w:ascii="方正仿宋_GBK" w:eastAsia="方正仿宋_GBK"/>
          <w:b/>
          <w:sz w:val="28"/>
        </w:rPr>
        <w:t>132.普惠性民办幼儿园生均公用经费绩效目标表</w:t>
      </w:r>
      <w:bookmarkEnd w:id="15"/>
      <w:r>
        <w:rPr>
          <w:rFonts w:ascii="方正仿宋_GBK" w:eastAsia="方正仿宋_GBK"/>
          <w:b/>
          <w:sz w:val="28"/>
        </w:rPr>
        <w:fldChar w:fldCharType="begin"/>
      </w:r>
      <w:r>
        <w:rPr>
          <w:rFonts w:ascii="方正仿宋_GBK" w:eastAsia="方正仿宋_GBK"/>
          <w:b/>
          <w:sz w:val="28"/>
        </w:rPr>
        <w:instrText xml:space="preserve"> TC 132、普惠性民办幼儿园生均公用经费绩效目标表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360016安肃镇中心学校（幼儿园）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1104800.00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1104800.00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为加强普惠性幼儿园的扶持和管理，不断扩充普惠性学前教育资源，保障适龄儿童接受公益普惠、质量良好的学前教育。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3.保障适龄儿童接受公益普惠、质量良好的学前教育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全镇幼儿园足额落实每生400元。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全镇幼儿园足额保障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按预算保障生均公用经费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普惠性民办园幼儿受益情况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1178人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6" w:name="_Toc71388436"/>
      <w:r>
        <w:rPr>
          <w:rFonts w:ascii="方正仿宋_GBK" w:eastAsia="方正仿宋_GBK"/>
          <w:b/>
          <w:sz w:val="28"/>
        </w:rPr>
        <w:t>133.安肃镇幼儿园教育教学活动经费绩效目标表</w:t>
      </w:r>
      <w:bookmarkEnd w:id="16"/>
      <w:r>
        <w:rPr>
          <w:rFonts w:ascii="方正仿宋_GBK" w:eastAsia="方正仿宋_GBK"/>
          <w:b/>
          <w:sz w:val="28"/>
        </w:rPr>
        <w:fldChar w:fldCharType="begin"/>
      </w:r>
      <w:r>
        <w:rPr>
          <w:rFonts w:ascii="方正仿宋_GBK" w:eastAsia="方正仿宋_GBK"/>
          <w:b/>
          <w:sz w:val="28"/>
        </w:rPr>
        <w:instrText xml:space="preserve"> TC 133、安肃镇幼儿园教育教学活动经费绩效目标表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360016安肃镇中心学校（幼儿园）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13062521GLPEC6UADE03W</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安肃镇幼儿园教育教学活动经费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2344900.00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2344900.00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为在园幼儿提供保育和教育服务，保障幼儿园正常运转。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学前教育活动经费覆盖情况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按照时间进度要求和计划完成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7" w:name="_Toc71388437"/>
      <w:r>
        <w:rPr>
          <w:rFonts w:ascii="方正仿宋_GBK" w:eastAsia="方正仿宋_GBK"/>
          <w:b/>
          <w:sz w:val="28"/>
        </w:rPr>
        <w:t>134.幼儿园生均公用经费绩效目标表</w:t>
      </w:r>
      <w:bookmarkEnd w:id="17"/>
      <w:r>
        <w:rPr>
          <w:rFonts w:ascii="方正仿宋_GBK" w:eastAsia="方正仿宋_GBK"/>
          <w:b/>
          <w:sz w:val="28"/>
        </w:rPr>
        <w:fldChar w:fldCharType="begin"/>
      </w:r>
      <w:r>
        <w:rPr>
          <w:rFonts w:ascii="方正仿宋_GBK" w:eastAsia="方正仿宋_GBK"/>
          <w:b/>
          <w:sz w:val="28"/>
        </w:rPr>
        <w:instrText xml:space="preserve"> TC 134、幼儿园生均公用经费绩效目标表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360016安肃镇中心学校（幼儿园）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514400.00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514400.00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促进学前教育健康快速发展，提高幼儿园经费保障水平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公办幼儿园生均公用经费落实情况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按预算保障公办园生均公用经费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outlineLvl w:val="0"/>
        <w:sectPr>
          <w:pgSz w:w="11900" w:h="16840"/>
          <w:pgMar w:top="1984" w:right="1304" w:bottom="1134" w:left="1304" w:header="720" w:footer="720" w:gutter="0"/>
          <w:cols w:space="720" w:num="1"/>
        </w:sectP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jc w:val="center"/>
        <w:outlineLvl w:val="1"/>
      </w:pPr>
      <w:bookmarkStart w:id="18" w:name="_Toc_2_2_0000000007"/>
      <w:r>
        <w:rPr>
          <w:rFonts w:ascii="方正小标宋_GBK" w:hAnsi="方正小标宋_GBK" w:eastAsia="方正小标宋_GBK" w:cs="方正小标宋_GBK"/>
          <w:color w:val="000000"/>
          <w:sz w:val="32"/>
        </w:rPr>
        <w:t>部门政府采购预算</w:t>
      </w:r>
      <w:bookmarkEnd w:id="18"/>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24"/>
              <w:rPr>
                <w:lang w:eastAsia="zh-CN"/>
              </w:rPr>
            </w:pPr>
            <w:r>
              <w:t>360</w:t>
            </w:r>
            <w:r>
              <w:rPr>
                <w:rFonts w:hint="eastAsia"/>
                <w:lang w:eastAsia="zh-CN"/>
              </w:rPr>
              <w:t>0</w:t>
            </w:r>
            <w:r>
              <w:rPr>
                <w:lang w:eastAsia="zh-CN"/>
              </w:rPr>
              <w:t>15</w:t>
            </w:r>
            <w:r>
              <w:rPr>
                <w:rFonts w:hint="eastAsia"/>
                <w:lang w:eastAsia="zh-CN"/>
              </w:rPr>
              <w:t>保定市徐水区安肃镇中心学校</w:t>
            </w:r>
          </w:p>
        </w:tc>
        <w:tc>
          <w:tcPr>
            <w:tcW w:w="8674" w:type="dxa"/>
            <w:gridSpan w:val="9"/>
            <w:tcBorders>
              <w:top w:val="single" w:color="FFFFFF" w:sz="6" w:space="0"/>
              <w:left w:val="single" w:color="FFFFFF" w:sz="6" w:space="0"/>
              <w:right w:val="single" w:color="FFFFFF" w:sz="6" w:space="0"/>
            </w:tcBorders>
            <w:vAlign w:val="center"/>
          </w:tcPr>
          <w:p>
            <w:pPr>
              <w:pStyle w:val="23"/>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8"/>
            </w:pPr>
            <w:r>
              <w:t>政府采购项目来源</w:t>
            </w:r>
          </w:p>
        </w:tc>
        <w:tc>
          <w:tcPr>
            <w:tcW w:w="1134" w:type="dxa"/>
            <w:vMerge w:val="restart"/>
            <w:vAlign w:val="center"/>
          </w:tcPr>
          <w:p>
            <w:pPr>
              <w:pStyle w:val="18"/>
            </w:pPr>
            <w:r>
              <w:t>采购物品名称</w:t>
            </w:r>
          </w:p>
        </w:tc>
        <w:tc>
          <w:tcPr>
            <w:tcW w:w="1134" w:type="dxa"/>
            <w:vMerge w:val="restart"/>
            <w:vAlign w:val="center"/>
          </w:tcPr>
          <w:p>
            <w:pPr>
              <w:pStyle w:val="18"/>
            </w:pPr>
            <w:r>
              <w:t>政府采购目录序号</w:t>
            </w:r>
          </w:p>
        </w:tc>
        <w:tc>
          <w:tcPr>
            <w:tcW w:w="709" w:type="dxa"/>
            <w:vMerge w:val="restart"/>
            <w:vAlign w:val="center"/>
          </w:tcPr>
          <w:p>
            <w:pPr>
              <w:pStyle w:val="18"/>
            </w:pPr>
            <w:r>
              <w:t>计量  单位</w:t>
            </w:r>
          </w:p>
        </w:tc>
        <w:tc>
          <w:tcPr>
            <w:tcW w:w="850" w:type="dxa"/>
            <w:vMerge w:val="restart"/>
            <w:vAlign w:val="center"/>
          </w:tcPr>
          <w:p>
            <w:pPr>
              <w:pStyle w:val="18"/>
            </w:pPr>
            <w:r>
              <w:t>数量</w:t>
            </w:r>
          </w:p>
        </w:tc>
        <w:tc>
          <w:tcPr>
            <w:tcW w:w="850" w:type="dxa"/>
            <w:vMerge w:val="restart"/>
            <w:vAlign w:val="center"/>
          </w:tcPr>
          <w:p>
            <w:pPr>
              <w:pStyle w:val="18"/>
            </w:pPr>
            <w:r>
              <w:t>单价</w:t>
            </w:r>
          </w:p>
        </w:tc>
        <w:tc>
          <w:tcPr>
            <w:tcW w:w="7710" w:type="dxa"/>
            <w:gridSpan w:val="8"/>
            <w:vAlign w:val="center"/>
          </w:tcPr>
          <w:p>
            <w:pPr>
              <w:pStyle w:val="18"/>
            </w:pPr>
            <w:r>
              <w:t>政府采购金额（当年部门预算安排资金）</w:t>
            </w:r>
          </w:p>
        </w:tc>
        <w:tc>
          <w:tcPr>
            <w:tcW w:w="964" w:type="dxa"/>
            <w:vMerge w:val="restart"/>
            <w:vAlign w:val="center"/>
          </w:tcPr>
          <w:p>
            <w:pPr>
              <w:pStyle w:val="18"/>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8"/>
            </w:pPr>
            <w:r>
              <w:t>项目名称</w:t>
            </w:r>
          </w:p>
        </w:tc>
        <w:tc>
          <w:tcPr>
            <w:tcW w:w="964" w:type="dxa"/>
            <w:vAlign w:val="center"/>
          </w:tcPr>
          <w:p>
            <w:pPr>
              <w:pStyle w:val="18"/>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8"/>
            </w:pPr>
            <w:r>
              <w:t>合计</w:t>
            </w:r>
          </w:p>
        </w:tc>
        <w:tc>
          <w:tcPr>
            <w:tcW w:w="964" w:type="dxa"/>
            <w:vAlign w:val="center"/>
          </w:tcPr>
          <w:p>
            <w:pPr>
              <w:pStyle w:val="18"/>
            </w:pPr>
            <w:r>
              <w:t>一般公共预算拨款</w:t>
            </w:r>
          </w:p>
        </w:tc>
        <w:tc>
          <w:tcPr>
            <w:tcW w:w="964" w:type="dxa"/>
            <w:vAlign w:val="center"/>
          </w:tcPr>
          <w:p>
            <w:pPr>
              <w:pStyle w:val="18"/>
            </w:pPr>
            <w:r>
              <w:t>基金预算拨款</w:t>
            </w:r>
          </w:p>
        </w:tc>
        <w:tc>
          <w:tcPr>
            <w:tcW w:w="964" w:type="dxa"/>
            <w:vAlign w:val="center"/>
          </w:tcPr>
          <w:p>
            <w:pPr>
              <w:pStyle w:val="18"/>
            </w:pPr>
            <w:r>
              <w:t>国有资本经营预算拨款</w:t>
            </w:r>
          </w:p>
        </w:tc>
        <w:tc>
          <w:tcPr>
            <w:tcW w:w="964" w:type="dxa"/>
            <w:vAlign w:val="center"/>
          </w:tcPr>
          <w:p>
            <w:pPr>
              <w:pStyle w:val="18"/>
            </w:pPr>
            <w:r>
              <w:t>财政专户核拨</w:t>
            </w:r>
          </w:p>
        </w:tc>
        <w:tc>
          <w:tcPr>
            <w:tcW w:w="964" w:type="dxa"/>
            <w:vAlign w:val="center"/>
          </w:tcPr>
          <w:p>
            <w:pPr>
              <w:pStyle w:val="18"/>
            </w:pPr>
            <w:r>
              <w:t>单位    资金</w:t>
            </w:r>
          </w:p>
        </w:tc>
        <w:tc>
          <w:tcPr>
            <w:tcW w:w="964" w:type="dxa"/>
            <w:vAlign w:val="center"/>
          </w:tcPr>
          <w:p>
            <w:pPr>
              <w:pStyle w:val="18"/>
            </w:pPr>
            <w:r>
              <w:t>财政拨    款结转</w:t>
            </w:r>
          </w:p>
        </w:tc>
        <w:tc>
          <w:tcPr>
            <w:tcW w:w="964" w:type="dxa"/>
            <w:vAlign w:val="center"/>
          </w:tcPr>
          <w:p>
            <w:pPr>
              <w:pStyle w:val="18"/>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5"/>
            </w:pPr>
            <w:r>
              <w:t>合  计</w:t>
            </w:r>
          </w:p>
        </w:tc>
        <w:tc>
          <w:tcPr>
            <w:tcW w:w="964" w:type="dxa"/>
            <w:vAlign w:val="center"/>
          </w:tcPr>
          <w:p>
            <w:pPr>
              <w:pStyle w:val="26"/>
            </w:pPr>
          </w:p>
        </w:tc>
        <w:tc>
          <w:tcPr>
            <w:tcW w:w="1134" w:type="dxa"/>
            <w:vAlign w:val="center"/>
          </w:tcPr>
          <w:p>
            <w:pPr>
              <w:pStyle w:val="22"/>
            </w:pPr>
          </w:p>
        </w:tc>
        <w:tc>
          <w:tcPr>
            <w:tcW w:w="1134" w:type="dxa"/>
            <w:vAlign w:val="center"/>
          </w:tcPr>
          <w:p>
            <w:pPr>
              <w:pStyle w:val="22"/>
            </w:pPr>
          </w:p>
        </w:tc>
        <w:tc>
          <w:tcPr>
            <w:tcW w:w="709" w:type="dxa"/>
            <w:vAlign w:val="center"/>
          </w:tcPr>
          <w:p>
            <w:pPr>
              <w:pStyle w:val="25"/>
            </w:pPr>
          </w:p>
        </w:tc>
        <w:tc>
          <w:tcPr>
            <w:tcW w:w="850" w:type="dxa"/>
            <w:vAlign w:val="center"/>
          </w:tcPr>
          <w:p>
            <w:pPr>
              <w:pStyle w:val="26"/>
            </w:pPr>
          </w:p>
        </w:tc>
        <w:tc>
          <w:tcPr>
            <w:tcW w:w="850"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5"/>
            </w:pPr>
            <w:r>
              <w:t>保定市徐水区安肃镇中心学校（事业）小计</w:t>
            </w:r>
          </w:p>
        </w:tc>
        <w:tc>
          <w:tcPr>
            <w:tcW w:w="964" w:type="dxa"/>
            <w:vAlign w:val="center"/>
          </w:tcPr>
          <w:p>
            <w:pPr>
              <w:pStyle w:val="26"/>
            </w:pPr>
          </w:p>
        </w:tc>
        <w:tc>
          <w:tcPr>
            <w:tcW w:w="1134" w:type="dxa"/>
            <w:vAlign w:val="center"/>
          </w:tcPr>
          <w:p>
            <w:pPr>
              <w:pStyle w:val="22"/>
            </w:pPr>
          </w:p>
        </w:tc>
        <w:tc>
          <w:tcPr>
            <w:tcW w:w="1134" w:type="dxa"/>
            <w:vAlign w:val="center"/>
          </w:tcPr>
          <w:p>
            <w:pPr>
              <w:pStyle w:val="22"/>
            </w:pPr>
          </w:p>
        </w:tc>
        <w:tc>
          <w:tcPr>
            <w:tcW w:w="709" w:type="dxa"/>
            <w:vAlign w:val="center"/>
          </w:tcPr>
          <w:p>
            <w:pPr>
              <w:pStyle w:val="25"/>
            </w:pPr>
          </w:p>
        </w:tc>
        <w:tc>
          <w:tcPr>
            <w:tcW w:w="850" w:type="dxa"/>
            <w:vAlign w:val="center"/>
          </w:tcPr>
          <w:p>
            <w:pPr>
              <w:pStyle w:val="26"/>
            </w:pPr>
          </w:p>
        </w:tc>
        <w:tc>
          <w:tcPr>
            <w:tcW w:w="850" w:type="dxa"/>
            <w:vAlign w:val="center"/>
          </w:tcPr>
          <w:p>
            <w:pPr>
              <w:pStyle w:val="26"/>
            </w:pPr>
          </w:p>
        </w:tc>
        <w:tc>
          <w:tcPr>
            <w:tcW w:w="964" w:type="dxa"/>
            <w:vAlign w:val="center"/>
          </w:tcPr>
          <w:p>
            <w:pPr>
              <w:pStyle w:val="26"/>
              <w:rPr>
                <w:lang w:eastAsia="zh-CN"/>
              </w:rPr>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c>
          <w:tcPr>
            <w:tcW w:w="964" w:type="dxa"/>
            <w:vAlign w:val="center"/>
          </w:tcPr>
          <w:p>
            <w:pPr>
              <w:pStyle w:val="26"/>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0"/>
              <w:rPr>
                <w:lang w:eastAsia="zh-CN"/>
              </w:rPr>
            </w:pPr>
          </w:p>
        </w:tc>
        <w:tc>
          <w:tcPr>
            <w:tcW w:w="964" w:type="dxa"/>
            <w:vAlign w:val="center"/>
          </w:tcPr>
          <w:p>
            <w:pPr>
              <w:pStyle w:val="19"/>
            </w:pPr>
          </w:p>
        </w:tc>
        <w:tc>
          <w:tcPr>
            <w:tcW w:w="1134" w:type="dxa"/>
            <w:vAlign w:val="center"/>
          </w:tcPr>
          <w:p>
            <w:pPr>
              <w:pStyle w:val="20"/>
            </w:pPr>
          </w:p>
        </w:tc>
        <w:tc>
          <w:tcPr>
            <w:tcW w:w="1134" w:type="dxa"/>
            <w:vAlign w:val="center"/>
          </w:tcPr>
          <w:p>
            <w:pPr>
              <w:pStyle w:val="20"/>
              <w:rPr>
                <w:lang w:eastAsia="zh-CN"/>
              </w:rPr>
            </w:pPr>
          </w:p>
        </w:tc>
        <w:tc>
          <w:tcPr>
            <w:tcW w:w="709" w:type="dxa"/>
            <w:vAlign w:val="center"/>
          </w:tcPr>
          <w:p>
            <w:pPr>
              <w:pStyle w:val="21"/>
              <w:rPr>
                <w:lang w:eastAsia="zh-CN"/>
              </w:rPr>
            </w:pPr>
          </w:p>
        </w:tc>
        <w:tc>
          <w:tcPr>
            <w:tcW w:w="850" w:type="dxa"/>
            <w:vAlign w:val="center"/>
          </w:tcPr>
          <w:p>
            <w:pPr>
              <w:pStyle w:val="19"/>
              <w:rPr>
                <w:lang w:eastAsia="zh-CN"/>
              </w:rPr>
            </w:pPr>
          </w:p>
        </w:tc>
        <w:tc>
          <w:tcPr>
            <w:tcW w:w="850" w:type="dxa"/>
            <w:vAlign w:val="center"/>
          </w:tcPr>
          <w:p>
            <w:pPr>
              <w:pStyle w:val="19"/>
            </w:pPr>
          </w:p>
        </w:tc>
        <w:tc>
          <w:tcPr>
            <w:tcW w:w="964" w:type="dxa"/>
            <w:vAlign w:val="center"/>
          </w:tcPr>
          <w:p>
            <w:pPr>
              <w:pStyle w:val="19"/>
            </w:pPr>
          </w:p>
        </w:tc>
        <w:tc>
          <w:tcPr>
            <w:tcW w:w="964" w:type="dxa"/>
            <w:vAlign w:val="center"/>
          </w:tcPr>
          <w:p>
            <w:pPr>
              <w:pStyle w:val="19"/>
            </w:pPr>
          </w:p>
        </w:tc>
        <w:tc>
          <w:tcPr>
            <w:tcW w:w="964" w:type="dxa"/>
            <w:vAlign w:val="center"/>
          </w:tcPr>
          <w:p>
            <w:pPr>
              <w:pStyle w:val="19"/>
            </w:pPr>
          </w:p>
        </w:tc>
        <w:tc>
          <w:tcPr>
            <w:tcW w:w="964" w:type="dxa"/>
            <w:vAlign w:val="center"/>
          </w:tcPr>
          <w:p>
            <w:pPr>
              <w:pStyle w:val="19"/>
            </w:pPr>
          </w:p>
        </w:tc>
        <w:tc>
          <w:tcPr>
            <w:tcW w:w="964" w:type="dxa"/>
            <w:vAlign w:val="center"/>
          </w:tcPr>
          <w:p>
            <w:pPr>
              <w:pStyle w:val="19"/>
            </w:pPr>
          </w:p>
        </w:tc>
        <w:tc>
          <w:tcPr>
            <w:tcW w:w="964" w:type="dxa"/>
            <w:vAlign w:val="center"/>
          </w:tcPr>
          <w:p>
            <w:pPr>
              <w:pStyle w:val="19"/>
            </w:pPr>
          </w:p>
        </w:tc>
        <w:tc>
          <w:tcPr>
            <w:tcW w:w="964" w:type="dxa"/>
            <w:vAlign w:val="center"/>
          </w:tcPr>
          <w:p>
            <w:pPr>
              <w:pStyle w:val="19"/>
            </w:pPr>
          </w:p>
        </w:tc>
        <w:tc>
          <w:tcPr>
            <w:tcW w:w="964" w:type="dxa"/>
            <w:vAlign w:val="center"/>
          </w:tcPr>
          <w:p>
            <w:pPr>
              <w:pStyle w:val="19"/>
            </w:pPr>
          </w:p>
        </w:tc>
        <w:tc>
          <w:tcPr>
            <w:tcW w:w="964" w:type="dxa"/>
            <w:vAlign w:val="center"/>
          </w:tcPr>
          <w:p>
            <w:pPr>
              <w:pStyle w:val="19"/>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上年末我单位固定资产总金额为3146.99万元（详见下表）。我单位本年度无国有资产购置计划，拟购置金额为</w:t>
      </w:r>
      <w:r>
        <w:rPr>
          <w:rFonts w:ascii="仿宋" w:hAnsi="仿宋" w:eastAsia="仿宋"/>
          <w:sz w:val="32"/>
          <w:szCs w:val="32"/>
        </w:rPr>
        <w:t>0。</w:t>
      </w:r>
    </w:p>
    <w:p>
      <w:pPr>
        <w:spacing w:line="360" w:lineRule="auto"/>
        <w:ind w:firstLine="640" w:firstLineChars="200"/>
        <w:rPr>
          <w:rFonts w:ascii="仿宋" w:hAnsi="仿宋" w:eastAsia="仿宋"/>
          <w:sz w:val="32"/>
          <w:szCs w:val="32"/>
        </w:rPr>
      </w:pPr>
      <w:r>
        <w:rPr>
          <w:rFonts w:ascii="仿宋" w:hAnsi="仿宋" w:eastAsia="仿宋"/>
          <w:sz w:val="32"/>
          <w:szCs w:val="32"/>
        </w:rPr>
        <w:t>详见政府采购预算表。</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2021</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3146.99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136813</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1307.49</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112453</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1839.5</w:t>
            </w:r>
          </w:p>
        </w:tc>
      </w:tr>
    </w:tbl>
    <w:p>
      <w:pP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微软雅黑"/>
    <w:panose1 w:val="00000000000000000000"/>
    <w:charset w:val="86"/>
    <w:family w:val="roman"/>
    <w:pitch w:val="default"/>
    <w:sig w:usb0="00000000" w:usb1="00000000" w:usb2="00000000" w:usb3="00000000" w:csb0="00000000" w:csb1="00000000"/>
  </w:font>
  <w:font w:name="方正小标宋_GBK">
    <w:altName w:val="微软雅黑"/>
    <w:panose1 w:val="00000000000000000000"/>
    <w:charset w:val="86"/>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24</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451FD0"/>
    <w:multiLevelType w:val="multilevel"/>
    <w:tmpl w:val="20451FD0"/>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1F"/>
    <w:rsid w:val="00013B8A"/>
    <w:rsid w:val="00044FBC"/>
    <w:rsid w:val="00055F1F"/>
    <w:rsid w:val="0005687C"/>
    <w:rsid w:val="000577EF"/>
    <w:rsid w:val="00057F18"/>
    <w:rsid w:val="000617F6"/>
    <w:rsid w:val="000931A4"/>
    <w:rsid w:val="000A445D"/>
    <w:rsid w:val="000B49CC"/>
    <w:rsid w:val="000C178B"/>
    <w:rsid w:val="00124CC7"/>
    <w:rsid w:val="00131DEC"/>
    <w:rsid w:val="00136AB3"/>
    <w:rsid w:val="001462BD"/>
    <w:rsid w:val="00152380"/>
    <w:rsid w:val="001638BE"/>
    <w:rsid w:val="00164810"/>
    <w:rsid w:val="00172C7A"/>
    <w:rsid w:val="00181777"/>
    <w:rsid w:val="00187B18"/>
    <w:rsid w:val="00191A78"/>
    <w:rsid w:val="001B0D35"/>
    <w:rsid w:val="001B4688"/>
    <w:rsid w:val="001B6235"/>
    <w:rsid w:val="001E1E58"/>
    <w:rsid w:val="001F4875"/>
    <w:rsid w:val="00203FB3"/>
    <w:rsid w:val="00212335"/>
    <w:rsid w:val="002918C6"/>
    <w:rsid w:val="00291EF3"/>
    <w:rsid w:val="00296524"/>
    <w:rsid w:val="002A2D08"/>
    <w:rsid w:val="002A5F0C"/>
    <w:rsid w:val="002B0B1B"/>
    <w:rsid w:val="002E01F6"/>
    <w:rsid w:val="002F1ACB"/>
    <w:rsid w:val="002F530F"/>
    <w:rsid w:val="00305E97"/>
    <w:rsid w:val="00310532"/>
    <w:rsid w:val="0032782B"/>
    <w:rsid w:val="00340B3D"/>
    <w:rsid w:val="0034253A"/>
    <w:rsid w:val="003669CF"/>
    <w:rsid w:val="00367A30"/>
    <w:rsid w:val="00385A59"/>
    <w:rsid w:val="003A06D2"/>
    <w:rsid w:val="003A4557"/>
    <w:rsid w:val="003A6366"/>
    <w:rsid w:val="003C2317"/>
    <w:rsid w:val="003C442E"/>
    <w:rsid w:val="003C586A"/>
    <w:rsid w:val="003D1092"/>
    <w:rsid w:val="003D37CD"/>
    <w:rsid w:val="003E5531"/>
    <w:rsid w:val="003E555C"/>
    <w:rsid w:val="003E6AF3"/>
    <w:rsid w:val="0040243C"/>
    <w:rsid w:val="00406BD1"/>
    <w:rsid w:val="004078FB"/>
    <w:rsid w:val="00426C19"/>
    <w:rsid w:val="004412CC"/>
    <w:rsid w:val="00450FD9"/>
    <w:rsid w:val="00453CE0"/>
    <w:rsid w:val="0046663C"/>
    <w:rsid w:val="00470736"/>
    <w:rsid w:val="004709F8"/>
    <w:rsid w:val="00470BBB"/>
    <w:rsid w:val="0048611E"/>
    <w:rsid w:val="004967A4"/>
    <w:rsid w:val="004B6929"/>
    <w:rsid w:val="004C088B"/>
    <w:rsid w:val="004E2F43"/>
    <w:rsid w:val="004E3572"/>
    <w:rsid w:val="004E4018"/>
    <w:rsid w:val="004F3C52"/>
    <w:rsid w:val="00510A1E"/>
    <w:rsid w:val="005158E2"/>
    <w:rsid w:val="00524204"/>
    <w:rsid w:val="0054659E"/>
    <w:rsid w:val="00550049"/>
    <w:rsid w:val="00553F7E"/>
    <w:rsid w:val="00570142"/>
    <w:rsid w:val="00586C35"/>
    <w:rsid w:val="005A4B7B"/>
    <w:rsid w:val="005B1B6F"/>
    <w:rsid w:val="005B6CCB"/>
    <w:rsid w:val="005C54AA"/>
    <w:rsid w:val="005C7B89"/>
    <w:rsid w:val="0062788A"/>
    <w:rsid w:val="00641F8A"/>
    <w:rsid w:val="0064683C"/>
    <w:rsid w:val="0066383B"/>
    <w:rsid w:val="00670C7F"/>
    <w:rsid w:val="006A6FA2"/>
    <w:rsid w:val="006B5117"/>
    <w:rsid w:val="006C62DF"/>
    <w:rsid w:val="006F5104"/>
    <w:rsid w:val="006F6549"/>
    <w:rsid w:val="00735B02"/>
    <w:rsid w:val="0074675E"/>
    <w:rsid w:val="007657C8"/>
    <w:rsid w:val="00767A77"/>
    <w:rsid w:val="00771E49"/>
    <w:rsid w:val="00782208"/>
    <w:rsid w:val="00791938"/>
    <w:rsid w:val="007A5999"/>
    <w:rsid w:val="007C7FD7"/>
    <w:rsid w:val="007F3746"/>
    <w:rsid w:val="00833132"/>
    <w:rsid w:val="00845C67"/>
    <w:rsid w:val="0086454E"/>
    <w:rsid w:val="008672EA"/>
    <w:rsid w:val="0087577B"/>
    <w:rsid w:val="00891680"/>
    <w:rsid w:val="008A0099"/>
    <w:rsid w:val="008A0B5F"/>
    <w:rsid w:val="008B5402"/>
    <w:rsid w:val="008B7AA0"/>
    <w:rsid w:val="008C2322"/>
    <w:rsid w:val="008D11BC"/>
    <w:rsid w:val="009003B6"/>
    <w:rsid w:val="00904F44"/>
    <w:rsid w:val="0090527E"/>
    <w:rsid w:val="00905BB7"/>
    <w:rsid w:val="0090620C"/>
    <w:rsid w:val="00912DA4"/>
    <w:rsid w:val="009302B8"/>
    <w:rsid w:val="009305C6"/>
    <w:rsid w:val="009752AE"/>
    <w:rsid w:val="00982F3D"/>
    <w:rsid w:val="00983232"/>
    <w:rsid w:val="009A278A"/>
    <w:rsid w:val="009B6368"/>
    <w:rsid w:val="009D1B80"/>
    <w:rsid w:val="009E48C0"/>
    <w:rsid w:val="009F63C4"/>
    <w:rsid w:val="00A16957"/>
    <w:rsid w:val="00A47C5F"/>
    <w:rsid w:val="00A60C4F"/>
    <w:rsid w:val="00A6155C"/>
    <w:rsid w:val="00A8079E"/>
    <w:rsid w:val="00A90328"/>
    <w:rsid w:val="00A92D66"/>
    <w:rsid w:val="00AA4262"/>
    <w:rsid w:val="00AB5A90"/>
    <w:rsid w:val="00AB7449"/>
    <w:rsid w:val="00AC76C6"/>
    <w:rsid w:val="00AE4AA5"/>
    <w:rsid w:val="00AE7FA9"/>
    <w:rsid w:val="00B147EB"/>
    <w:rsid w:val="00B22155"/>
    <w:rsid w:val="00B364AD"/>
    <w:rsid w:val="00B76AA9"/>
    <w:rsid w:val="00B80FAB"/>
    <w:rsid w:val="00B81C88"/>
    <w:rsid w:val="00BA1B89"/>
    <w:rsid w:val="00BA34E6"/>
    <w:rsid w:val="00BA54B4"/>
    <w:rsid w:val="00BA5C83"/>
    <w:rsid w:val="00BC4F7A"/>
    <w:rsid w:val="00BC6A7D"/>
    <w:rsid w:val="00BD4829"/>
    <w:rsid w:val="00BD6002"/>
    <w:rsid w:val="00BD719F"/>
    <w:rsid w:val="00BF5442"/>
    <w:rsid w:val="00C16141"/>
    <w:rsid w:val="00C177A5"/>
    <w:rsid w:val="00C35FEE"/>
    <w:rsid w:val="00C50535"/>
    <w:rsid w:val="00C6153C"/>
    <w:rsid w:val="00C906EF"/>
    <w:rsid w:val="00CB37AE"/>
    <w:rsid w:val="00CC7D74"/>
    <w:rsid w:val="00D02F97"/>
    <w:rsid w:val="00D432EC"/>
    <w:rsid w:val="00D45530"/>
    <w:rsid w:val="00D45A0E"/>
    <w:rsid w:val="00D45D23"/>
    <w:rsid w:val="00D723D1"/>
    <w:rsid w:val="00D80C60"/>
    <w:rsid w:val="00D8525F"/>
    <w:rsid w:val="00D91618"/>
    <w:rsid w:val="00DA0C4D"/>
    <w:rsid w:val="00DA5DA7"/>
    <w:rsid w:val="00DB64E5"/>
    <w:rsid w:val="00DB7122"/>
    <w:rsid w:val="00DC7094"/>
    <w:rsid w:val="00DE3935"/>
    <w:rsid w:val="00DE6B32"/>
    <w:rsid w:val="00DF26B8"/>
    <w:rsid w:val="00E12C68"/>
    <w:rsid w:val="00E2325B"/>
    <w:rsid w:val="00E24075"/>
    <w:rsid w:val="00E270C9"/>
    <w:rsid w:val="00E35F38"/>
    <w:rsid w:val="00E46F27"/>
    <w:rsid w:val="00E509CC"/>
    <w:rsid w:val="00E51627"/>
    <w:rsid w:val="00E56DC0"/>
    <w:rsid w:val="00E71A04"/>
    <w:rsid w:val="00E90DA6"/>
    <w:rsid w:val="00E96342"/>
    <w:rsid w:val="00EA2FEA"/>
    <w:rsid w:val="00EA56CB"/>
    <w:rsid w:val="00EA7853"/>
    <w:rsid w:val="00EB5E72"/>
    <w:rsid w:val="00F000B1"/>
    <w:rsid w:val="00F012D3"/>
    <w:rsid w:val="00F044C3"/>
    <w:rsid w:val="00F10D04"/>
    <w:rsid w:val="00F169E3"/>
    <w:rsid w:val="00F35D4B"/>
    <w:rsid w:val="00F3746B"/>
    <w:rsid w:val="00F55FC5"/>
    <w:rsid w:val="00F572CB"/>
    <w:rsid w:val="00F621AF"/>
    <w:rsid w:val="00F7015E"/>
    <w:rsid w:val="00F8024E"/>
    <w:rsid w:val="00F82447"/>
    <w:rsid w:val="00F868E5"/>
    <w:rsid w:val="00FA7781"/>
    <w:rsid w:val="00FB2F32"/>
    <w:rsid w:val="00FC3191"/>
    <w:rsid w:val="00FE0F1F"/>
    <w:rsid w:val="00FF61F3"/>
    <w:rsid w:val="0A214432"/>
    <w:rsid w:val="27733670"/>
    <w:rsid w:val="614C556C"/>
    <w:rsid w:val="6C7616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next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next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qFormat/>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1">
    <w:name w:val="页眉 字符"/>
    <w:basedOn w:val="10"/>
    <w:link w:val="4"/>
    <w:qFormat/>
    <w:uiPriority w:val="99"/>
    <w:rPr>
      <w:sz w:val="18"/>
      <w:szCs w:val="18"/>
    </w:rPr>
  </w:style>
  <w:style w:type="character" w:customStyle="1" w:styleId="12">
    <w:name w:val="页脚 字符"/>
    <w:basedOn w:val="10"/>
    <w:link w:val="3"/>
    <w:qFormat/>
    <w:uiPriority w:val="99"/>
    <w:rPr>
      <w:sz w:val="18"/>
      <w:szCs w:val="18"/>
    </w:rPr>
  </w:style>
  <w:style w:type="character" w:customStyle="1" w:styleId="13">
    <w:name w:val="批注框文本 字符"/>
    <w:basedOn w:val="10"/>
    <w:link w:val="2"/>
    <w:semiHidden/>
    <w:qFormat/>
    <w:uiPriority w:val="99"/>
    <w:rPr>
      <w:sz w:val="18"/>
      <w:szCs w:val="18"/>
    </w:rPr>
  </w:style>
  <w:style w:type="paragraph" w:styleId="14">
    <w:name w:val="List Paragraph"/>
    <w:basedOn w:val="1"/>
    <w:unhideWhenUsed/>
    <w:qFormat/>
    <w:uiPriority w:val="99"/>
    <w:pPr>
      <w:ind w:firstLine="420" w:firstLineChars="200"/>
    </w:pPr>
  </w:style>
  <w:style w:type="paragraph" w:customStyle="1" w:styleId="15">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6">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7">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8">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9">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2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1">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2">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5">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6">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7">
    <w:name w:val="插入文本样式-插入部门职责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D6768-CB52-4AD3-A1B9-B403CCB0219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Pages>
  <Words>2119</Words>
  <Characters>12080</Characters>
  <Lines>100</Lines>
  <Paragraphs>28</Paragraphs>
  <TotalTime>249</TotalTime>
  <ScaleCrop>false</ScaleCrop>
  <LinksUpToDate>false</LinksUpToDate>
  <CharactersWithSpaces>14171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2022-08-29T02:50:00Z</dcterms:created>
  <dc:creator>Windows 用户</dc:creator>
  <cp:lastModifiedBy>user</cp:lastModifiedBy>
  <cp:lastPrinted>2021-04-14T02:06:00Z</cp:lastPrinted>
  <dcterms:modified xsi:type="dcterms:W3CDTF">2025-05-19T02:32:24Z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76EAFEA3433E47EF9BBEB116C4FC5C2C</vt:lpwstr>
  </property>
</Properties>
</file>