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78" w:lineRule="exact"/>
        <w:jc w:val="left"/>
        <w:rPr>
          <w:rFonts w:ascii="仿宋_GB2312" w:hAnsi="宋体" w:cs="宋体"/>
          <w:color w:val="000000"/>
          <w:sz w:val="32"/>
          <w:szCs w:val="32"/>
        </w:rPr>
      </w:pPr>
      <w:r>
        <w:rPr>
          <w:rFonts w:hint="eastAsia" w:ascii="仿宋_GB2312" w:hAnsi="宋体" w:cs="宋体"/>
          <w:color w:val="000000"/>
          <w:sz w:val="32"/>
          <w:szCs w:val="32"/>
        </w:rPr>
        <w:t>附件1</w:t>
      </w:r>
    </w:p>
    <w:p>
      <w:pPr>
        <w:spacing w:line="360" w:lineRule="auto"/>
        <w:jc w:val="center"/>
        <w:rPr>
          <w:rFonts w:ascii="宋体" w:hAnsi="宋体" w:eastAsia="宋体"/>
          <w:b/>
          <w:sz w:val="44"/>
          <w:szCs w:val="44"/>
        </w:rPr>
      </w:pPr>
      <w:r>
        <w:rPr>
          <w:rFonts w:hint="eastAsia" w:ascii="宋体" w:hAnsi="宋体" w:eastAsia="宋体"/>
          <w:b/>
          <w:sz w:val="44"/>
          <w:szCs w:val="44"/>
        </w:rPr>
        <w:t>保定市徐水区东史端镇中心学校</w:t>
      </w:r>
    </w:p>
    <w:p>
      <w:pPr>
        <w:spacing w:line="360" w:lineRule="auto"/>
        <w:jc w:val="center"/>
        <w:rPr>
          <w:rFonts w:ascii="宋体" w:hAnsi="宋体" w:eastAsia="宋体"/>
          <w:b/>
          <w:sz w:val="44"/>
          <w:szCs w:val="44"/>
        </w:rPr>
      </w:pPr>
      <w:r>
        <w:rPr>
          <w:rFonts w:ascii="宋体" w:hAnsi="宋体" w:eastAsia="宋体"/>
          <w:b/>
          <w:sz w:val="44"/>
          <w:szCs w:val="44"/>
        </w:rPr>
        <w:t>2021年单位预算公开说明</w:t>
      </w:r>
    </w:p>
    <w:p>
      <w:pPr>
        <w:tabs>
          <w:tab w:val="left" w:pos="5274"/>
        </w:tabs>
        <w:spacing w:line="360" w:lineRule="auto"/>
        <w:ind w:firstLine="640" w:firstLineChars="200"/>
        <w:rPr>
          <w:rFonts w:ascii="仿宋" w:hAnsi="仿宋" w:eastAsia="仿宋"/>
          <w:sz w:val="32"/>
          <w:szCs w:val="32"/>
        </w:rPr>
      </w:pPr>
      <w:r>
        <w:rPr>
          <w:rFonts w:ascii="仿宋" w:hAnsi="仿宋" w:eastAsia="仿宋"/>
          <w:sz w:val="32"/>
          <w:szCs w:val="32"/>
        </w:rPr>
        <w:tab/>
      </w:r>
    </w:p>
    <w:p>
      <w:pPr>
        <w:spacing w:line="360" w:lineRule="auto"/>
        <w:ind w:firstLine="640" w:firstLineChars="200"/>
        <w:rPr>
          <w:rFonts w:ascii="仿宋" w:hAnsi="仿宋" w:eastAsia="仿宋"/>
          <w:sz w:val="32"/>
          <w:szCs w:val="32"/>
        </w:rPr>
      </w:pPr>
      <w:r>
        <w:rPr>
          <w:rFonts w:hint="eastAsia" w:ascii="仿宋" w:hAnsi="仿宋" w:eastAsia="仿宋"/>
          <w:sz w:val="32"/>
          <w:szCs w:val="32"/>
        </w:rPr>
        <w:t>按照《</w:t>
      </w:r>
      <w:r>
        <w:rPr>
          <w:rFonts w:hint="eastAsia" w:ascii="仿宋" w:hAnsi="仿宋" w:eastAsia="仿宋"/>
          <w:sz w:val="32"/>
          <w:szCs w:val="32"/>
          <w:lang w:eastAsia="zh-CN"/>
        </w:rPr>
        <w:t>中华人民共和国</w:t>
      </w:r>
      <w:r>
        <w:rPr>
          <w:rFonts w:hint="eastAsia" w:ascii="仿宋" w:hAnsi="仿宋" w:eastAsia="仿宋"/>
          <w:sz w:val="32"/>
          <w:szCs w:val="32"/>
        </w:rPr>
        <w:t>预算法》、《地方预决算公开操作规程》等文件规定，现将我单位预算信息公开如下：</w:t>
      </w:r>
    </w:p>
    <w:p>
      <w:pPr>
        <w:jc w:val="center"/>
        <w:outlineLvl w:val="0"/>
        <w:rPr>
          <w:rFonts w:ascii="方正小标宋_GBK" w:eastAsia="方正小标宋_GBK"/>
          <w:sz w:val="44"/>
        </w:rPr>
      </w:pPr>
      <w:r>
        <w:rPr>
          <w:rFonts w:hint="eastAsia" w:ascii="方正小标宋_GBK" w:eastAsia="方正小标宋_GBK"/>
          <w:sz w:val="44"/>
        </w:rPr>
        <w:t>第一部分</w:t>
      </w:r>
      <w:r>
        <w:rPr>
          <w:rFonts w:ascii="方正小标宋_GBK" w:eastAsia="方正小标宋_GBK"/>
          <w:sz w:val="44"/>
        </w:rPr>
        <w:t>:</w:t>
      </w:r>
      <w:r>
        <w:rPr>
          <w:rFonts w:hint="eastAsia" w:ascii="方正小标宋_GBK" w:eastAsia="方正小标宋_GBK"/>
          <w:sz w:val="44"/>
        </w:rPr>
        <w:t>单位</w:t>
      </w:r>
      <w:r>
        <w:rPr>
          <w:rFonts w:ascii="方正小标宋_GBK" w:eastAsia="方正小标宋_GBK"/>
          <w:sz w:val="44"/>
        </w:rPr>
        <w:t>职责及机构设置情况</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一、单位职责</w:t>
      </w:r>
    </w:p>
    <w:p>
      <w:pPr>
        <w:spacing w:line="360" w:lineRule="auto"/>
        <w:ind w:firstLine="640" w:firstLineChars="200"/>
        <w:rPr>
          <w:rFonts w:ascii="仿宋" w:hAnsi="仿宋" w:eastAsia="仿宋"/>
          <w:sz w:val="32"/>
          <w:szCs w:val="32"/>
        </w:rPr>
      </w:pPr>
      <w:r>
        <w:rPr>
          <w:rFonts w:ascii="仿宋" w:hAnsi="仿宋" w:eastAsia="仿宋"/>
          <w:sz w:val="32"/>
          <w:szCs w:val="32"/>
        </w:rPr>
        <w:t>根据《保定市徐水区教育和体育局职能配置、内设机构和人员编制规定》，保定市徐水区</w:t>
      </w:r>
      <w:r>
        <w:rPr>
          <w:rFonts w:hint="eastAsia" w:ascii="仿宋" w:hAnsi="仿宋" w:eastAsia="仿宋"/>
          <w:sz w:val="32"/>
          <w:szCs w:val="32"/>
        </w:rPr>
        <w:t>东史</w:t>
      </w:r>
      <w:r>
        <w:rPr>
          <w:rFonts w:ascii="仿宋" w:hAnsi="仿宋" w:eastAsia="仿宋"/>
          <w:sz w:val="32"/>
          <w:szCs w:val="32"/>
        </w:rPr>
        <w:t>端</w:t>
      </w:r>
      <w:r>
        <w:rPr>
          <w:rFonts w:hint="eastAsia" w:ascii="仿宋" w:hAnsi="仿宋" w:eastAsia="仿宋"/>
          <w:sz w:val="32"/>
          <w:szCs w:val="32"/>
        </w:rPr>
        <w:t>镇中心学校</w:t>
      </w:r>
      <w:r>
        <w:rPr>
          <w:rFonts w:ascii="仿宋" w:hAnsi="仿宋" w:eastAsia="仿宋"/>
          <w:sz w:val="32"/>
          <w:szCs w:val="32"/>
        </w:rPr>
        <w:t>的主要职责是：</w:t>
      </w:r>
    </w:p>
    <w:p>
      <w:pPr>
        <w:spacing w:line="360" w:lineRule="auto"/>
        <w:ind w:firstLine="640" w:firstLineChars="200"/>
        <w:rPr>
          <w:rFonts w:ascii="仿宋" w:hAnsi="仿宋" w:eastAsia="仿宋"/>
          <w:sz w:val="32"/>
          <w:szCs w:val="32"/>
        </w:rPr>
      </w:pPr>
      <w:r>
        <w:rPr>
          <w:rFonts w:ascii="仿宋" w:hAnsi="仿宋" w:eastAsia="仿宋"/>
          <w:sz w:val="32"/>
          <w:szCs w:val="32"/>
        </w:rPr>
        <w:t>（一）贯彻落实教育和体育工作方针、政策、法律、法规，负责教育体制、办学体制、学校管理体制及城乡教育综合改革的统筹规划和协调指导；落实教育优先发展的战略地位，推动</w:t>
      </w:r>
      <w:r>
        <w:rPr>
          <w:rFonts w:hint="eastAsia" w:ascii="仿宋" w:hAnsi="仿宋" w:eastAsia="仿宋"/>
          <w:sz w:val="32"/>
          <w:szCs w:val="32"/>
        </w:rPr>
        <w:t>东史端镇</w:t>
      </w:r>
      <w:r>
        <w:rPr>
          <w:rFonts w:ascii="仿宋" w:hAnsi="仿宋" w:eastAsia="仿宋"/>
          <w:sz w:val="32"/>
          <w:szCs w:val="32"/>
        </w:rPr>
        <w:t>教育和体育事业改革发展。</w:t>
      </w:r>
    </w:p>
    <w:p>
      <w:pPr>
        <w:spacing w:line="360" w:lineRule="auto"/>
        <w:ind w:firstLine="640" w:firstLineChars="200"/>
        <w:rPr>
          <w:rFonts w:ascii="仿宋" w:hAnsi="仿宋" w:eastAsia="仿宋"/>
          <w:sz w:val="32"/>
          <w:szCs w:val="32"/>
        </w:rPr>
      </w:pPr>
      <w:r>
        <w:rPr>
          <w:rFonts w:ascii="仿宋" w:hAnsi="仿宋" w:eastAsia="仿宋"/>
          <w:sz w:val="32"/>
          <w:szCs w:val="32"/>
        </w:rPr>
        <w:t>（</w:t>
      </w:r>
      <w:r>
        <w:rPr>
          <w:rFonts w:hint="eastAsia" w:ascii="仿宋" w:hAnsi="仿宋" w:eastAsia="仿宋"/>
          <w:sz w:val="32"/>
          <w:szCs w:val="32"/>
        </w:rPr>
        <w:t>二</w:t>
      </w:r>
      <w:r>
        <w:rPr>
          <w:rFonts w:ascii="仿宋" w:hAnsi="仿宋" w:eastAsia="仿宋"/>
          <w:sz w:val="32"/>
          <w:szCs w:val="32"/>
        </w:rPr>
        <w:t>）全面实施素质教育，指导推动教育教学和教育科研工作；负责</w:t>
      </w:r>
      <w:r>
        <w:rPr>
          <w:rFonts w:hint="eastAsia" w:ascii="仿宋" w:hAnsi="仿宋" w:eastAsia="仿宋"/>
          <w:sz w:val="32"/>
          <w:szCs w:val="32"/>
        </w:rPr>
        <w:t>全镇</w:t>
      </w:r>
      <w:r>
        <w:rPr>
          <w:rFonts w:ascii="仿宋" w:hAnsi="仿宋" w:eastAsia="仿宋"/>
          <w:sz w:val="32"/>
          <w:szCs w:val="32"/>
        </w:rPr>
        <w:t>义务教育、学前教育</w:t>
      </w:r>
      <w:r>
        <w:rPr>
          <w:rFonts w:hint="eastAsia" w:ascii="仿宋" w:hAnsi="仿宋" w:eastAsia="仿宋"/>
          <w:sz w:val="32"/>
          <w:szCs w:val="32"/>
        </w:rPr>
        <w:t>、</w:t>
      </w:r>
      <w:r>
        <w:rPr>
          <w:rFonts w:ascii="仿宋" w:hAnsi="仿宋" w:eastAsia="仿宋"/>
          <w:sz w:val="32"/>
          <w:szCs w:val="32"/>
        </w:rPr>
        <w:t>成人教育的宏观指导、综合管理与服务，对全</w:t>
      </w:r>
      <w:r>
        <w:rPr>
          <w:rFonts w:hint="eastAsia" w:ascii="仿宋" w:hAnsi="仿宋" w:eastAsia="仿宋"/>
          <w:sz w:val="32"/>
          <w:szCs w:val="32"/>
        </w:rPr>
        <w:t>镇</w:t>
      </w:r>
      <w:r>
        <w:rPr>
          <w:rFonts w:ascii="仿宋" w:hAnsi="仿宋" w:eastAsia="仿宋"/>
          <w:sz w:val="32"/>
          <w:szCs w:val="32"/>
        </w:rPr>
        <w:t>教育工作状况及办学水平进行监督、检查、评估、验收。</w:t>
      </w:r>
    </w:p>
    <w:p>
      <w:pPr>
        <w:spacing w:line="360" w:lineRule="auto"/>
        <w:ind w:firstLine="640" w:firstLineChars="200"/>
        <w:rPr>
          <w:rFonts w:ascii="仿宋" w:hAnsi="仿宋" w:eastAsia="仿宋"/>
          <w:sz w:val="32"/>
          <w:szCs w:val="32"/>
        </w:rPr>
      </w:pPr>
      <w:r>
        <w:rPr>
          <w:rFonts w:ascii="仿宋" w:hAnsi="仿宋" w:eastAsia="仿宋"/>
          <w:sz w:val="32"/>
          <w:szCs w:val="32"/>
        </w:rPr>
        <w:t>（</w:t>
      </w:r>
      <w:r>
        <w:rPr>
          <w:rFonts w:hint="eastAsia" w:ascii="仿宋" w:hAnsi="仿宋" w:eastAsia="仿宋"/>
          <w:sz w:val="32"/>
          <w:szCs w:val="32"/>
        </w:rPr>
        <w:t>三</w:t>
      </w:r>
      <w:r>
        <w:rPr>
          <w:rFonts w:ascii="仿宋" w:hAnsi="仿宋" w:eastAsia="仿宋"/>
          <w:sz w:val="32"/>
          <w:szCs w:val="32"/>
        </w:rPr>
        <w:t>）负责教育和体育经费统筹管理；</w:t>
      </w:r>
      <w:r>
        <w:rPr>
          <w:rFonts w:hint="eastAsia" w:ascii="仿宋" w:hAnsi="仿宋" w:eastAsia="仿宋"/>
          <w:sz w:val="32"/>
          <w:szCs w:val="32"/>
        </w:rPr>
        <w:t>负责</w:t>
      </w:r>
      <w:r>
        <w:rPr>
          <w:rFonts w:ascii="仿宋" w:hAnsi="仿宋" w:eastAsia="仿宋"/>
          <w:sz w:val="32"/>
          <w:szCs w:val="32"/>
        </w:rPr>
        <w:t>全</w:t>
      </w:r>
      <w:r>
        <w:rPr>
          <w:rFonts w:hint="eastAsia" w:ascii="仿宋" w:hAnsi="仿宋" w:eastAsia="仿宋"/>
          <w:sz w:val="32"/>
          <w:szCs w:val="32"/>
        </w:rPr>
        <w:t>镇</w:t>
      </w:r>
      <w:r>
        <w:rPr>
          <w:rFonts w:ascii="仿宋" w:hAnsi="仿宋" w:eastAsia="仿宋"/>
          <w:sz w:val="32"/>
          <w:szCs w:val="32"/>
        </w:rPr>
        <w:t>年度教育和体育经费的预决算工作；做好计划统计工作；负责</w:t>
      </w:r>
      <w:r>
        <w:rPr>
          <w:rFonts w:hint="eastAsia" w:ascii="仿宋" w:hAnsi="仿宋" w:eastAsia="仿宋"/>
          <w:sz w:val="32"/>
          <w:szCs w:val="32"/>
        </w:rPr>
        <w:t>本</w:t>
      </w:r>
      <w:r>
        <w:rPr>
          <w:rFonts w:ascii="仿宋" w:hAnsi="仿宋" w:eastAsia="仿宋"/>
          <w:sz w:val="32"/>
          <w:szCs w:val="32"/>
        </w:rPr>
        <w:t>级助学政策和经费的落实。</w:t>
      </w:r>
    </w:p>
    <w:p>
      <w:pPr>
        <w:spacing w:line="360" w:lineRule="auto"/>
        <w:ind w:firstLine="640" w:firstLineChars="200"/>
        <w:rPr>
          <w:rFonts w:ascii="仿宋" w:hAnsi="仿宋" w:eastAsia="仿宋"/>
          <w:sz w:val="32"/>
          <w:szCs w:val="32"/>
        </w:rPr>
      </w:pPr>
      <w:r>
        <w:rPr>
          <w:rFonts w:ascii="仿宋" w:hAnsi="仿宋" w:eastAsia="仿宋"/>
          <w:sz w:val="32"/>
          <w:szCs w:val="32"/>
        </w:rPr>
        <w:t>（</w:t>
      </w:r>
      <w:r>
        <w:rPr>
          <w:rFonts w:hint="eastAsia" w:ascii="仿宋" w:hAnsi="仿宋" w:eastAsia="仿宋"/>
          <w:sz w:val="32"/>
          <w:szCs w:val="32"/>
        </w:rPr>
        <w:t>四</w:t>
      </w:r>
      <w:r>
        <w:rPr>
          <w:rFonts w:ascii="仿宋" w:hAnsi="仿宋" w:eastAsia="仿宋"/>
          <w:sz w:val="32"/>
          <w:szCs w:val="32"/>
        </w:rPr>
        <w:t>）指导全</w:t>
      </w:r>
      <w:r>
        <w:rPr>
          <w:rFonts w:hint="eastAsia" w:ascii="仿宋" w:hAnsi="仿宋" w:eastAsia="仿宋"/>
          <w:sz w:val="32"/>
          <w:szCs w:val="32"/>
        </w:rPr>
        <w:t>镇</w:t>
      </w:r>
      <w:r>
        <w:rPr>
          <w:rFonts w:ascii="仿宋" w:hAnsi="仿宋" w:eastAsia="仿宋"/>
          <w:sz w:val="32"/>
          <w:szCs w:val="32"/>
        </w:rPr>
        <w:t>学校的德育、智育、体育、美育、劳动、国防和安全教育工作；负责教育和体育系统党的建设工作；负责教育和体育系统的安全稳定及综合治理工作。</w:t>
      </w:r>
    </w:p>
    <w:p>
      <w:pPr>
        <w:spacing w:line="360" w:lineRule="auto"/>
        <w:ind w:firstLine="640" w:firstLineChars="200"/>
        <w:rPr>
          <w:rFonts w:ascii="仿宋" w:hAnsi="仿宋" w:eastAsia="仿宋"/>
          <w:sz w:val="32"/>
          <w:szCs w:val="32"/>
        </w:rPr>
      </w:pPr>
      <w:r>
        <w:rPr>
          <w:rFonts w:ascii="仿宋" w:hAnsi="仿宋" w:eastAsia="仿宋"/>
          <w:sz w:val="32"/>
          <w:szCs w:val="32"/>
        </w:rPr>
        <w:t>（</w:t>
      </w:r>
      <w:r>
        <w:rPr>
          <w:rFonts w:hint="eastAsia" w:ascii="仿宋" w:hAnsi="仿宋" w:eastAsia="仿宋"/>
          <w:sz w:val="32"/>
          <w:szCs w:val="32"/>
        </w:rPr>
        <w:t>五</w:t>
      </w:r>
      <w:r>
        <w:rPr>
          <w:rFonts w:ascii="仿宋" w:hAnsi="仿宋" w:eastAsia="仿宋"/>
          <w:sz w:val="32"/>
          <w:szCs w:val="32"/>
        </w:rPr>
        <w:t>）负责全</w:t>
      </w:r>
      <w:r>
        <w:rPr>
          <w:rFonts w:hint="eastAsia" w:ascii="仿宋" w:hAnsi="仿宋" w:eastAsia="仿宋"/>
          <w:sz w:val="32"/>
          <w:szCs w:val="32"/>
        </w:rPr>
        <w:t>镇</w:t>
      </w:r>
      <w:r>
        <w:rPr>
          <w:rFonts w:ascii="仿宋" w:hAnsi="仿宋" w:eastAsia="仿宋"/>
          <w:sz w:val="32"/>
          <w:szCs w:val="32"/>
        </w:rPr>
        <w:t>体育竞赛、竞技运动项目的设置和布局；统筹规划全</w:t>
      </w:r>
      <w:r>
        <w:rPr>
          <w:rFonts w:hint="eastAsia" w:ascii="仿宋" w:hAnsi="仿宋" w:eastAsia="仿宋"/>
          <w:sz w:val="32"/>
          <w:szCs w:val="32"/>
        </w:rPr>
        <w:t>镇</w:t>
      </w:r>
      <w:r>
        <w:rPr>
          <w:rFonts w:ascii="仿宋" w:hAnsi="仿宋" w:eastAsia="仿宋"/>
          <w:sz w:val="32"/>
          <w:szCs w:val="32"/>
        </w:rPr>
        <w:t>青少年体育发展，指导和推进青少年体育工作；指导体育管理人员、教练员、运动员队伍建设；负责组织开展反兴奋剂工作；</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二、机构设置</w:t>
      </w:r>
    </w:p>
    <w:tbl>
      <w:tblPr>
        <w:tblStyle w:val="5"/>
        <w:tblW w:w="10063"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992"/>
        <w:gridCol w:w="2692"/>
        <w:gridCol w:w="1701"/>
        <w:gridCol w:w="1660"/>
        <w:gridCol w:w="3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454" w:hRule="atLeast"/>
          <w:tblHeader/>
          <w:jc w:val="center"/>
        </w:trPr>
        <w:tc>
          <w:tcPr>
            <w:tcW w:w="992" w:type="dxa"/>
            <w:tcBorders>
              <w:top w:val="single" w:color="auto" w:sz="4" w:space="0"/>
              <w:left w:val="single" w:color="auto" w:sz="4" w:space="0"/>
              <w:bottom w:val="single" w:color="auto" w:sz="4" w:space="0"/>
            </w:tcBorders>
            <w:shd w:val="clear" w:color="auto" w:fill="auto"/>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序号</w:t>
            </w:r>
          </w:p>
        </w:tc>
        <w:tc>
          <w:tcPr>
            <w:tcW w:w="2692"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单位名称</w:t>
            </w:r>
          </w:p>
        </w:tc>
        <w:tc>
          <w:tcPr>
            <w:tcW w:w="1701"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单位性质</w:t>
            </w:r>
          </w:p>
        </w:tc>
        <w:tc>
          <w:tcPr>
            <w:tcW w:w="1660"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单位规格</w:t>
            </w:r>
          </w:p>
        </w:tc>
        <w:tc>
          <w:tcPr>
            <w:tcW w:w="3018"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经费保障形式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1</w:t>
            </w:r>
          </w:p>
        </w:tc>
        <w:tc>
          <w:tcPr>
            <w:tcW w:w="2692" w:type="dxa"/>
            <w:tcBorders>
              <w:bottom w:val="single" w:color="auto" w:sz="4" w:space="0"/>
            </w:tcBorders>
            <w:vAlign w:val="center"/>
          </w:tcPr>
          <w:p>
            <w:pPr>
              <w:jc w:val="center"/>
              <w:rPr>
                <w:rFonts w:ascii="仿宋_GB2312" w:hAnsi="仿宋" w:eastAsia="仿宋_GB2312"/>
                <w:bCs/>
                <w:sz w:val="24"/>
                <w:szCs w:val="24"/>
              </w:rPr>
            </w:pPr>
            <w:r>
              <w:rPr>
                <w:rFonts w:hint="eastAsia" w:ascii="仿宋_GB2312" w:hAnsi="仿宋" w:eastAsia="仿宋_GB2312"/>
                <w:bCs/>
                <w:sz w:val="24"/>
                <w:szCs w:val="24"/>
              </w:rPr>
              <w:t>东史</w:t>
            </w:r>
            <w:r>
              <w:rPr>
                <w:rFonts w:ascii="仿宋_GB2312" w:hAnsi="仿宋" w:eastAsia="仿宋_GB2312"/>
                <w:bCs/>
                <w:sz w:val="24"/>
                <w:szCs w:val="24"/>
              </w:rPr>
              <w:t>端</w:t>
            </w:r>
            <w:r>
              <w:rPr>
                <w:rFonts w:hint="eastAsia" w:ascii="仿宋_GB2312" w:hAnsi="仿宋" w:eastAsia="仿宋_GB2312"/>
                <w:bCs/>
                <w:sz w:val="24"/>
                <w:szCs w:val="24"/>
              </w:rPr>
              <w:t>镇中心学校</w:t>
            </w:r>
          </w:p>
        </w:tc>
        <w:tc>
          <w:tcPr>
            <w:tcW w:w="1701"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全</w:t>
            </w:r>
            <w:r>
              <w:rPr>
                <w:rFonts w:ascii="仿宋_GB2312" w:hAnsi="仿宋" w:eastAsia="仿宋_GB2312"/>
                <w:bCs/>
                <w:sz w:val="24"/>
                <w:szCs w:val="24"/>
              </w:rPr>
              <w:t>额</w:t>
            </w:r>
            <w:r>
              <w:rPr>
                <w:rFonts w:hint="eastAsia" w:ascii="仿宋_GB2312" w:hAnsi="仿宋" w:eastAsia="仿宋_GB2312"/>
                <w:bCs/>
                <w:sz w:val="24"/>
                <w:szCs w:val="24"/>
              </w:rPr>
              <w:t>事业</w:t>
            </w:r>
          </w:p>
        </w:tc>
        <w:tc>
          <w:tcPr>
            <w:tcW w:w="1660"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未</w:t>
            </w:r>
            <w:r>
              <w:rPr>
                <w:rFonts w:ascii="仿宋_GB2312" w:hAnsi="仿宋" w:eastAsia="仿宋_GB2312"/>
                <w:bCs/>
                <w:sz w:val="24"/>
                <w:szCs w:val="24"/>
              </w:rPr>
              <w:t>定行政级别</w:t>
            </w:r>
          </w:p>
        </w:tc>
        <w:tc>
          <w:tcPr>
            <w:tcW w:w="3018"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财政性资金基本保证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2</w:t>
            </w:r>
          </w:p>
        </w:tc>
        <w:tc>
          <w:tcPr>
            <w:tcW w:w="2692" w:type="dxa"/>
            <w:tcBorders>
              <w:top w:val="single" w:color="auto" w:sz="4" w:space="0"/>
              <w:bottom w:val="single" w:color="auto" w:sz="4" w:space="0"/>
            </w:tcBorders>
            <w:vAlign w:val="center"/>
          </w:tcPr>
          <w:p>
            <w:pPr>
              <w:jc w:val="center"/>
              <w:rPr>
                <w:rFonts w:ascii="仿宋_GB2312" w:hAnsi="仿宋" w:eastAsia="仿宋_GB2312"/>
                <w:bCs/>
                <w:sz w:val="24"/>
                <w:szCs w:val="24"/>
              </w:rPr>
            </w:pPr>
          </w:p>
        </w:tc>
        <w:tc>
          <w:tcPr>
            <w:tcW w:w="1701" w:type="dxa"/>
            <w:vAlign w:val="center"/>
          </w:tcPr>
          <w:p>
            <w:pPr>
              <w:jc w:val="center"/>
              <w:rPr>
                <w:rFonts w:ascii="仿宋_GB2312" w:hAnsi="仿宋" w:eastAsia="仿宋_GB2312"/>
                <w:bCs/>
                <w:sz w:val="24"/>
                <w:szCs w:val="24"/>
              </w:rPr>
            </w:pPr>
          </w:p>
        </w:tc>
        <w:tc>
          <w:tcPr>
            <w:tcW w:w="1660" w:type="dxa"/>
            <w:vAlign w:val="center"/>
          </w:tcPr>
          <w:p>
            <w:pPr>
              <w:jc w:val="center"/>
              <w:rPr>
                <w:rFonts w:ascii="仿宋_GB2312" w:hAnsi="仿宋" w:eastAsia="仿宋_GB2312"/>
                <w:bCs/>
                <w:sz w:val="24"/>
                <w:szCs w:val="24"/>
              </w:rPr>
            </w:pPr>
          </w:p>
        </w:tc>
        <w:tc>
          <w:tcPr>
            <w:tcW w:w="3018" w:type="dxa"/>
            <w:vAlign w:val="center"/>
          </w:tcPr>
          <w:p>
            <w:pPr>
              <w:jc w:val="center"/>
              <w:rPr>
                <w:rFonts w:ascii="仿宋_GB2312" w:hAnsi="仿宋" w:eastAsia="仿宋_GB2312"/>
                <w:bCs/>
                <w:sz w:val="24"/>
                <w:szCs w:val="24"/>
              </w:rPr>
            </w:pPr>
          </w:p>
        </w:tc>
      </w:tr>
    </w:tbl>
    <w:p>
      <w:pPr>
        <w:spacing w:line="360" w:lineRule="auto"/>
        <w:rPr>
          <w:rFonts w:ascii="仿宋" w:hAnsi="仿宋" w:eastAsia="仿宋"/>
          <w:b/>
          <w:sz w:val="32"/>
          <w:szCs w:val="32"/>
        </w:rPr>
      </w:pPr>
    </w:p>
    <w:p>
      <w:pPr>
        <w:jc w:val="center"/>
        <w:outlineLvl w:val="0"/>
        <w:rPr>
          <w:rFonts w:ascii="方正小标宋_GBK" w:eastAsia="方正小标宋_GBK"/>
          <w:sz w:val="44"/>
        </w:rPr>
      </w:pPr>
      <w:r>
        <w:rPr>
          <w:rFonts w:hint="eastAsia" w:ascii="方正小标宋_GBK" w:eastAsia="方正小标宋_GBK"/>
          <w:sz w:val="44"/>
        </w:rPr>
        <w:t>第二部分：单位预算安排的总体情况</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按照预算管理有关规定，目前我区单位预算的编制实行综合预算制度，即全部收入和支出都反映</w:t>
      </w:r>
      <w:r>
        <w:rPr>
          <w:rFonts w:ascii="仿宋" w:hAnsi="仿宋" w:eastAsia="仿宋"/>
          <w:sz w:val="32"/>
          <w:szCs w:val="32"/>
        </w:rPr>
        <w:t>在</w:t>
      </w:r>
      <w:r>
        <w:rPr>
          <w:rFonts w:hint="eastAsia" w:ascii="仿宋" w:hAnsi="仿宋" w:eastAsia="仿宋"/>
          <w:sz w:val="32"/>
          <w:szCs w:val="32"/>
        </w:rPr>
        <w:t>预算中。我单位及所属事业单位的收支包含在单位预算中。</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一、收入说明</w:t>
      </w:r>
    </w:p>
    <w:p>
      <w:pPr>
        <w:spacing w:line="360" w:lineRule="auto"/>
        <w:ind w:firstLine="640" w:firstLineChars="200"/>
        <w:rPr>
          <w:rFonts w:ascii="仿宋" w:hAnsi="仿宋" w:eastAsia="仿宋"/>
          <w:sz w:val="32"/>
          <w:szCs w:val="32"/>
        </w:rPr>
      </w:pPr>
      <w:r>
        <w:rPr>
          <w:rFonts w:ascii="仿宋" w:hAnsi="仿宋" w:eastAsia="仿宋"/>
          <w:sz w:val="32"/>
          <w:szCs w:val="32"/>
        </w:rPr>
        <w:t>2021年预算收入为</w:t>
      </w:r>
      <w:r>
        <w:rPr>
          <w:rFonts w:hint="eastAsia" w:ascii="仿宋" w:hAnsi="仿宋" w:eastAsia="仿宋"/>
          <w:sz w:val="32"/>
          <w:szCs w:val="32"/>
        </w:rPr>
        <w:t>3561.39</w:t>
      </w:r>
      <w:r>
        <w:rPr>
          <w:rFonts w:ascii="仿宋" w:hAnsi="仿宋" w:eastAsia="仿宋"/>
          <w:sz w:val="32"/>
          <w:szCs w:val="32"/>
        </w:rPr>
        <w:t>万元,其中：一般公共预算收入</w:t>
      </w:r>
      <w:r>
        <w:rPr>
          <w:rFonts w:hint="eastAsia" w:ascii="仿宋" w:hAnsi="仿宋" w:eastAsia="仿宋"/>
          <w:sz w:val="32"/>
          <w:szCs w:val="32"/>
        </w:rPr>
        <w:t>3561.39</w:t>
      </w:r>
      <w:r>
        <w:rPr>
          <w:rFonts w:ascii="仿宋" w:hAnsi="仿宋" w:eastAsia="仿宋"/>
          <w:sz w:val="32"/>
          <w:szCs w:val="32"/>
        </w:rPr>
        <w:t>万元，基金预算收入</w:t>
      </w:r>
      <w:r>
        <w:rPr>
          <w:rFonts w:hint="eastAsia" w:ascii="仿宋" w:hAnsi="仿宋" w:eastAsia="仿宋"/>
          <w:sz w:val="32"/>
          <w:szCs w:val="32"/>
        </w:rPr>
        <w:t>0</w:t>
      </w:r>
      <w:r>
        <w:rPr>
          <w:rFonts w:ascii="仿宋" w:hAnsi="仿宋" w:eastAsia="仿宋"/>
          <w:sz w:val="32"/>
          <w:szCs w:val="32"/>
        </w:rPr>
        <w:t>万元，财政专户收入</w:t>
      </w:r>
      <w:r>
        <w:rPr>
          <w:rFonts w:hint="eastAsia" w:ascii="仿宋" w:hAnsi="仿宋" w:eastAsia="仿宋"/>
          <w:sz w:val="32"/>
          <w:szCs w:val="32"/>
        </w:rPr>
        <w:t>0</w:t>
      </w:r>
      <w:r>
        <w:rPr>
          <w:rFonts w:ascii="仿宋" w:hAnsi="仿宋" w:eastAsia="仿宋"/>
          <w:sz w:val="32"/>
          <w:szCs w:val="32"/>
        </w:rPr>
        <w:t>万元，其他来源收入</w:t>
      </w:r>
      <w:r>
        <w:rPr>
          <w:rFonts w:hint="eastAsia" w:ascii="仿宋" w:hAnsi="仿宋" w:eastAsia="仿宋"/>
          <w:sz w:val="32"/>
          <w:szCs w:val="32"/>
        </w:rPr>
        <w:t>0</w:t>
      </w:r>
      <w:r>
        <w:rPr>
          <w:rFonts w:ascii="仿宋" w:hAnsi="仿宋" w:eastAsia="仿宋"/>
          <w:sz w:val="32"/>
          <w:szCs w:val="32"/>
        </w:rPr>
        <w:t>万元。</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二、支出说明</w:t>
      </w:r>
    </w:p>
    <w:p>
      <w:pPr>
        <w:spacing w:line="360" w:lineRule="auto"/>
        <w:ind w:firstLine="640" w:firstLineChars="200"/>
        <w:rPr>
          <w:rFonts w:ascii="仿宋" w:hAnsi="仿宋" w:eastAsia="仿宋"/>
          <w:sz w:val="32"/>
          <w:szCs w:val="32"/>
        </w:rPr>
      </w:pPr>
      <w:r>
        <w:rPr>
          <w:rFonts w:ascii="仿宋" w:hAnsi="仿宋" w:eastAsia="仿宋"/>
          <w:sz w:val="32"/>
          <w:szCs w:val="32"/>
        </w:rPr>
        <w:t>2021年单位支出预算：</w:t>
      </w:r>
      <w:r>
        <w:rPr>
          <w:rFonts w:hint="eastAsia" w:ascii="仿宋" w:hAnsi="仿宋" w:eastAsia="仿宋"/>
          <w:sz w:val="32"/>
          <w:szCs w:val="32"/>
        </w:rPr>
        <w:t>3561.39</w:t>
      </w:r>
      <w:r>
        <w:rPr>
          <w:rFonts w:ascii="仿宋" w:hAnsi="仿宋" w:eastAsia="仿宋"/>
          <w:sz w:val="32"/>
          <w:szCs w:val="32"/>
        </w:rPr>
        <w:t>万元</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基本支出2894.54万元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其中：人员经费</w:t>
      </w:r>
      <w:r>
        <w:rPr>
          <w:rFonts w:hint="eastAsia" w:ascii="仿宋" w:hAnsi="仿宋" w:eastAsia="仿宋"/>
          <w:sz w:val="32"/>
          <w:szCs w:val="32"/>
        </w:rPr>
        <w:t>2832.25</w:t>
      </w:r>
      <w:r>
        <w:rPr>
          <w:rFonts w:ascii="仿宋" w:hAnsi="仿宋" w:eastAsia="仿宋"/>
          <w:sz w:val="32"/>
          <w:szCs w:val="32"/>
        </w:rPr>
        <w:t>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日常公用经费</w:t>
      </w:r>
      <w:r>
        <w:rPr>
          <w:rFonts w:hint="eastAsia" w:ascii="仿宋" w:hAnsi="仿宋" w:eastAsia="仿宋"/>
          <w:sz w:val="32"/>
          <w:szCs w:val="32"/>
        </w:rPr>
        <w:t>62.29</w:t>
      </w:r>
      <w:r>
        <w:rPr>
          <w:rFonts w:ascii="仿宋" w:hAnsi="仿宋" w:eastAsia="仿宋"/>
          <w:sz w:val="32"/>
          <w:szCs w:val="32"/>
        </w:rPr>
        <w:t>万元</w:t>
      </w:r>
    </w:p>
    <w:p>
      <w:pPr>
        <w:spacing w:line="360" w:lineRule="auto"/>
        <w:ind w:firstLine="640" w:firstLineChars="200"/>
        <w:rPr>
          <w:rFonts w:ascii="仿宋" w:hAnsi="仿宋" w:eastAsia="仿宋"/>
          <w:sz w:val="32"/>
          <w:szCs w:val="32"/>
        </w:rPr>
      </w:pPr>
      <w:r>
        <w:rPr>
          <w:rFonts w:hint="eastAsia" w:ascii="仿宋" w:hAnsi="仿宋" w:eastAsia="仿宋"/>
          <w:sz w:val="32"/>
          <w:szCs w:val="32"/>
        </w:rPr>
        <w:t>项目支出</w:t>
      </w:r>
      <w:r>
        <w:rPr>
          <w:rFonts w:ascii="仿宋" w:hAnsi="仿宋" w:eastAsia="仿宋"/>
          <w:sz w:val="32"/>
          <w:szCs w:val="32"/>
        </w:rPr>
        <w:t xml:space="preserve"> </w:t>
      </w:r>
      <w:r>
        <w:rPr>
          <w:rFonts w:hint="eastAsia" w:ascii="仿宋" w:hAnsi="仿宋" w:eastAsia="仿宋"/>
          <w:sz w:val="32"/>
          <w:szCs w:val="32"/>
        </w:rPr>
        <w:t>666.85</w:t>
      </w:r>
      <w:r>
        <w:rPr>
          <w:rFonts w:ascii="仿宋" w:hAnsi="仿宋" w:eastAsia="仿宋"/>
          <w:sz w:val="32"/>
          <w:szCs w:val="32"/>
        </w:rPr>
        <w:t>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其中：本级支出323.79万元</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三、比上年增减情况</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本年度预算收支安排3561.39万元，较上年增加71.2</w:t>
      </w:r>
      <w:r>
        <w:rPr>
          <w:rFonts w:ascii="仿宋" w:hAnsi="仿宋" w:eastAsia="仿宋"/>
          <w:sz w:val="32"/>
          <w:szCs w:val="32"/>
        </w:rPr>
        <w:t>万元。其中:基本支出减少</w:t>
      </w:r>
      <w:r>
        <w:rPr>
          <w:rFonts w:hint="eastAsia" w:ascii="仿宋" w:hAnsi="仿宋" w:eastAsia="仿宋"/>
          <w:sz w:val="32"/>
          <w:szCs w:val="32"/>
        </w:rPr>
        <w:t>114.6</w:t>
      </w:r>
      <w:r>
        <w:rPr>
          <w:rFonts w:ascii="仿宋" w:hAnsi="仿宋" w:eastAsia="仿宋"/>
          <w:sz w:val="32"/>
          <w:szCs w:val="32"/>
        </w:rPr>
        <w:t>万元，主要原因是</w:t>
      </w:r>
      <w:r>
        <w:rPr>
          <w:rFonts w:hint="eastAsia" w:ascii="仿宋" w:hAnsi="仿宋" w:eastAsia="仿宋"/>
          <w:sz w:val="32"/>
          <w:szCs w:val="32"/>
        </w:rPr>
        <w:t>教师调出，人员减少</w:t>
      </w:r>
      <w:r>
        <w:rPr>
          <w:rFonts w:ascii="仿宋" w:hAnsi="仿宋" w:eastAsia="仿宋"/>
          <w:sz w:val="32"/>
          <w:szCs w:val="32"/>
        </w:rPr>
        <w:t>；项目支出增加</w:t>
      </w:r>
      <w:r>
        <w:rPr>
          <w:rFonts w:hint="eastAsia" w:ascii="仿宋" w:hAnsi="仿宋" w:eastAsia="仿宋"/>
          <w:sz w:val="32"/>
          <w:szCs w:val="32"/>
        </w:rPr>
        <w:t>185.8</w:t>
      </w:r>
      <w:r>
        <w:rPr>
          <w:rFonts w:ascii="仿宋" w:hAnsi="仿宋" w:eastAsia="仿宋"/>
          <w:sz w:val="32"/>
          <w:szCs w:val="32"/>
        </w:rPr>
        <w:t>万元，主要原因是</w:t>
      </w:r>
      <w:r>
        <w:rPr>
          <w:rFonts w:hint="eastAsia" w:ascii="仿宋" w:hAnsi="仿宋" w:eastAsia="仿宋"/>
          <w:sz w:val="32"/>
          <w:szCs w:val="32"/>
        </w:rPr>
        <w:t>年</w:t>
      </w:r>
      <w:r>
        <w:rPr>
          <w:rFonts w:ascii="仿宋" w:hAnsi="仿宋" w:eastAsia="仿宋"/>
          <w:sz w:val="32"/>
          <w:szCs w:val="32"/>
        </w:rPr>
        <w:t>初预算校舍建设资金</w:t>
      </w:r>
      <w:r>
        <w:rPr>
          <w:rFonts w:hint="eastAsia" w:ascii="仿宋" w:hAnsi="仿宋" w:eastAsia="仿宋"/>
          <w:sz w:val="32"/>
          <w:szCs w:val="32"/>
        </w:rPr>
        <w:t>较</w:t>
      </w:r>
      <w:r>
        <w:rPr>
          <w:rFonts w:ascii="仿宋" w:hAnsi="仿宋" w:eastAsia="仿宋"/>
          <w:sz w:val="32"/>
          <w:szCs w:val="32"/>
        </w:rPr>
        <w:t>上年</w:t>
      </w:r>
      <w:r>
        <w:rPr>
          <w:rFonts w:hint="eastAsia" w:ascii="仿宋" w:hAnsi="仿宋" w:eastAsia="仿宋"/>
          <w:sz w:val="32"/>
          <w:szCs w:val="32"/>
        </w:rPr>
        <w:t>增加</w:t>
      </w:r>
      <w:r>
        <w:rPr>
          <w:rFonts w:ascii="仿宋" w:hAnsi="仿宋" w:eastAsia="仿宋"/>
          <w:sz w:val="32"/>
          <w:szCs w:val="32"/>
        </w:rPr>
        <w:t>。</w:t>
      </w:r>
    </w:p>
    <w:p>
      <w:pPr>
        <w:spacing w:line="360" w:lineRule="auto"/>
        <w:ind w:firstLine="640" w:firstLineChars="200"/>
        <w:rPr>
          <w:rFonts w:ascii="仿宋" w:hAnsi="仿宋" w:eastAsia="仿宋"/>
          <w:sz w:val="32"/>
          <w:szCs w:val="32"/>
        </w:rPr>
      </w:pPr>
    </w:p>
    <w:p>
      <w:pPr>
        <w:jc w:val="center"/>
        <w:outlineLvl w:val="0"/>
        <w:rPr>
          <w:rFonts w:ascii="方正小标宋_GBK" w:eastAsia="方正小标宋_GBK"/>
          <w:sz w:val="44"/>
        </w:rPr>
      </w:pPr>
      <w:r>
        <w:rPr>
          <w:rFonts w:hint="eastAsia" w:ascii="方正小标宋_GBK" w:eastAsia="方正小标宋_GBK"/>
          <w:sz w:val="44"/>
        </w:rPr>
        <w:t>第三部分：机关运行经费安排情况</w:t>
      </w:r>
    </w:p>
    <w:p>
      <w:pPr>
        <w:spacing w:line="360" w:lineRule="auto"/>
        <w:ind w:firstLine="640" w:firstLineChars="200"/>
        <w:rPr>
          <w:rFonts w:ascii="仿宋" w:hAnsi="仿宋" w:eastAsia="仿宋"/>
          <w:sz w:val="32"/>
          <w:szCs w:val="32"/>
        </w:rPr>
      </w:pPr>
      <w:r>
        <w:rPr>
          <w:rFonts w:ascii="仿宋" w:hAnsi="仿宋" w:eastAsia="仿宋"/>
          <w:sz w:val="32"/>
          <w:szCs w:val="32"/>
        </w:rPr>
        <w:t>2021年我</w:t>
      </w:r>
      <w:r>
        <w:rPr>
          <w:rFonts w:hint="eastAsia" w:ascii="仿宋" w:hAnsi="仿宋" w:eastAsia="仿宋"/>
          <w:sz w:val="32"/>
          <w:szCs w:val="32"/>
        </w:rPr>
        <w:t>单位</w:t>
      </w:r>
      <w:r>
        <w:rPr>
          <w:rFonts w:ascii="仿宋" w:hAnsi="仿宋" w:eastAsia="仿宋"/>
          <w:sz w:val="32"/>
          <w:szCs w:val="32"/>
        </w:rPr>
        <w:t>机关运行经费安排</w:t>
      </w:r>
      <w:r>
        <w:rPr>
          <w:rFonts w:hint="eastAsia" w:ascii="仿宋" w:hAnsi="仿宋" w:eastAsia="仿宋"/>
          <w:sz w:val="32"/>
          <w:szCs w:val="32"/>
        </w:rPr>
        <w:t>62.29</w:t>
      </w:r>
      <w:r>
        <w:rPr>
          <w:rFonts w:ascii="仿宋" w:hAnsi="仿宋" w:eastAsia="仿宋"/>
          <w:sz w:val="32"/>
          <w:szCs w:val="32"/>
        </w:rPr>
        <w:t>万元，其中办公费</w:t>
      </w:r>
      <w:r>
        <w:rPr>
          <w:rFonts w:hint="eastAsia" w:ascii="仿宋" w:hAnsi="仿宋" w:eastAsia="仿宋"/>
          <w:sz w:val="32"/>
          <w:szCs w:val="32"/>
        </w:rPr>
        <w:t>4.32</w:t>
      </w:r>
      <w:r>
        <w:rPr>
          <w:rFonts w:ascii="仿宋" w:hAnsi="仿宋" w:eastAsia="仿宋"/>
          <w:sz w:val="32"/>
          <w:szCs w:val="32"/>
        </w:rPr>
        <w:t>万元，</w:t>
      </w:r>
      <w:r>
        <w:rPr>
          <w:rFonts w:hint="eastAsia" w:ascii="仿宋" w:hAnsi="仿宋" w:eastAsia="仿宋"/>
          <w:sz w:val="32"/>
          <w:szCs w:val="32"/>
        </w:rPr>
        <w:t>离退休干部经费10.87</w:t>
      </w:r>
      <w:r>
        <w:rPr>
          <w:rFonts w:ascii="仿宋" w:hAnsi="仿宋" w:eastAsia="仿宋"/>
          <w:sz w:val="32"/>
          <w:szCs w:val="32"/>
        </w:rPr>
        <w:t>万元，工会经费</w:t>
      </w:r>
      <w:r>
        <w:rPr>
          <w:rFonts w:hint="eastAsia" w:ascii="仿宋" w:hAnsi="仿宋" w:eastAsia="仿宋"/>
          <w:sz w:val="32"/>
          <w:szCs w:val="32"/>
        </w:rPr>
        <w:t>27.72万元</w:t>
      </w:r>
      <w:r>
        <w:rPr>
          <w:rFonts w:ascii="仿宋" w:hAnsi="仿宋" w:eastAsia="仿宋"/>
          <w:sz w:val="32"/>
          <w:szCs w:val="32"/>
        </w:rPr>
        <w:t>、福利费19.38万元，公务用车运行维护费</w:t>
      </w:r>
      <w:r>
        <w:rPr>
          <w:rFonts w:hint="eastAsia" w:ascii="仿宋" w:hAnsi="仿宋" w:eastAsia="仿宋"/>
          <w:sz w:val="32"/>
          <w:szCs w:val="32"/>
        </w:rPr>
        <w:t>0</w:t>
      </w:r>
      <w:r>
        <w:rPr>
          <w:rFonts w:ascii="仿宋" w:hAnsi="仿宋" w:eastAsia="仿宋"/>
          <w:sz w:val="32"/>
          <w:szCs w:val="32"/>
        </w:rPr>
        <w:t>万元</w:t>
      </w:r>
      <w:r>
        <w:rPr>
          <w:rFonts w:hint="eastAsia" w:ascii="仿宋" w:hAnsi="仿宋" w:eastAsia="仿宋"/>
          <w:sz w:val="32"/>
          <w:szCs w:val="32"/>
        </w:rPr>
        <w:t>，</w:t>
      </w:r>
      <w:r>
        <w:rPr>
          <w:rFonts w:ascii="仿宋" w:hAnsi="仿宋" w:eastAsia="仿宋"/>
          <w:sz w:val="32"/>
          <w:szCs w:val="32"/>
        </w:rPr>
        <w:t>其他支出0万元。</w:t>
      </w:r>
    </w:p>
    <w:p>
      <w:pPr>
        <w:spacing w:line="360" w:lineRule="auto"/>
        <w:jc w:val="center"/>
        <w:rPr>
          <w:rFonts w:ascii="黑体" w:hAnsi="黑体" w:eastAsia="黑体" w:cs="Times New Roman"/>
          <w:sz w:val="32"/>
          <w:szCs w:val="32"/>
        </w:rPr>
      </w:pPr>
    </w:p>
    <w:p>
      <w:pPr>
        <w:spacing w:line="360" w:lineRule="auto"/>
        <w:jc w:val="center"/>
        <w:rPr>
          <w:rFonts w:ascii="黑体" w:hAnsi="黑体" w:eastAsia="黑体" w:cs="Times New Roman"/>
          <w:sz w:val="32"/>
          <w:szCs w:val="32"/>
        </w:rPr>
      </w:pPr>
    </w:p>
    <w:p>
      <w:pPr>
        <w:jc w:val="center"/>
        <w:outlineLvl w:val="0"/>
        <w:rPr>
          <w:rFonts w:ascii="方正小标宋_GBK" w:eastAsia="方正小标宋_GBK"/>
          <w:sz w:val="44"/>
        </w:rPr>
      </w:pPr>
    </w:p>
    <w:p>
      <w:pPr>
        <w:jc w:val="center"/>
        <w:outlineLvl w:val="0"/>
        <w:rPr>
          <w:rFonts w:ascii="方正小标宋_GBK" w:eastAsia="方正小标宋_GBK"/>
          <w:sz w:val="44"/>
        </w:rPr>
      </w:pPr>
      <w:r>
        <w:rPr>
          <w:rFonts w:hint="eastAsia" w:ascii="方正小标宋_GBK" w:eastAsia="方正小标宋_GBK"/>
          <w:sz w:val="44"/>
        </w:rPr>
        <w:t>第四部分：财政拨款“三公”经费预算情况及增减变化原因</w:t>
      </w:r>
    </w:p>
    <w:tbl>
      <w:tblPr>
        <w:tblStyle w:val="5"/>
        <w:tblW w:w="5000" w:type="pct"/>
        <w:tblInd w:w="0" w:type="dxa"/>
        <w:tblLayout w:type="autofit"/>
        <w:tblCellMar>
          <w:top w:w="0" w:type="dxa"/>
          <w:left w:w="108" w:type="dxa"/>
          <w:bottom w:w="0" w:type="dxa"/>
          <w:right w:w="108" w:type="dxa"/>
        </w:tblCellMar>
      </w:tblPr>
      <w:tblGrid>
        <w:gridCol w:w="9515"/>
      </w:tblGrid>
      <w:tr>
        <w:trPr>
          <w:trHeight w:val="405" w:hRule="atLeast"/>
        </w:trPr>
        <w:tc>
          <w:tcPr>
            <w:tcW w:w="5000" w:type="pct"/>
            <w:tcBorders>
              <w:top w:val="nil"/>
              <w:left w:val="nil"/>
              <w:bottom w:val="nil"/>
              <w:right w:val="nil"/>
            </w:tcBorders>
            <w:shd w:val="clear" w:color="auto" w:fill="auto"/>
            <w:noWrap/>
            <w:vAlign w:val="center"/>
          </w:tcPr>
          <w:tbl>
            <w:tblPr>
              <w:tblStyle w:val="5"/>
              <w:tblW w:w="0" w:type="auto"/>
              <w:jc w:val="center"/>
              <w:tblLayout w:type="autofit"/>
              <w:tblCellMar>
                <w:top w:w="0" w:type="dxa"/>
                <w:left w:w="108" w:type="dxa"/>
                <w:bottom w:w="0" w:type="dxa"/>
                <w:right w:w="108" w:type="dxa"/>
              </w:tblCellMar>
            </w:tblPr>
            <w:tblGrid>
              <w:gridCol w:w="2163"/>
              <w:gridCol w:w="1276"/>
              <w:gridCol w:w="1418"/>
              <w:gridCol w:w="836"/>
              <w:gridCol w:w="2397"/>
            </w:tblGrid>
            <w:tr>
              <w:tblPrEx>
                <w:tblCellMar>
                  <w:top w:w="0" w:type="dxa"/>
                  <w:left w:w="108" w:type="dxa"/>
                  <w:bottom w:w="0" w:type="dxa"/>
                  <w:right w:w="108" w:type="dxa"/>
                </w:tblCellMar>
              </w:tblPrEx>
              <w:trPr>
                <w:trHeight w:val="405" w:hRule="atLeast"/>
                <w:jc w:val="center"/>
              </w:trPr>
              <w:tc>
                <w:tcPr>
                  <w:tcW w:w="8090" w:type="dxa"/>
                  <w:gridSpan w:val="5"/>
                  <w:tcBorders>
                    <w:top w:val="nil"/>
                    <w:left w:val="nil"/>
                    <w:bottom w:val="nil"/>
                    <w:right w:val="nil"/>
                  </w:tcBorders>
                  <w:vAlign w:val="center"/>
                </w:tcPr>
                <w:p>
                  <w:pPr>
                    <w:spacing w:line="360" w:lineRule="auto"/>
                    <w:rPr>
                      <w:rFonts w:ascii="黑体" w:hAnsi="黑体" w:eastAsia="黑体" w:cs="宋体"/>
                      <w:kern w:val="0"/>
                      <w:sz w:val="32"/>
                      <w:szCs w:val="32"/>
                    </w:rPr>
                  </w:pPr>
                  <w:r>
                    <w:rPr>
                      <w:rFonts w:hint="eastAsia" w:ascii="仿宋" w:hAnsi="仿宋" w:eastAsia="仿宋" w:cs="仿宋"/>
                      <w:b/>
                      <w:bCs/>
                      <w:sz w:val="32"/>
                      <w:szCs w:val="32"/>
                    </w:rPr>
                    <w:t>2021年，我单位无三公经费，空表列示。</w:t>
                  </w:r>
                </w:p>
              </w:tc>
            </w:tr>
            <w:tr>
              <w:tblPrEx>
                <w:tblCellMar>
                  <w:top w:w="0" w:type="dxa"/>
                  <w:left w:w="108" w:type="dxa"/>
                  <w:bottom w:w="0" w:type="dxa"/>
                  <w:right w:w="108" w:type="dxa"/>
                </w:tblCellMar>
              </w:tblPrEx>
              <w:trPr>
                <w:trHeight w:val="221" w:hRule="atLeast"/>
                <w:jc w:val="center"/>
              </w:trPr>
              <w:tc>
                <w:tcPr>
                  <w:tcW w:w="2163" w:type="dxa"/>
                  <w:tcBorders>
                    <w:top w:val="nil"/>
                    <w:left w:val="nil"/>
                    <w:bottom w:val="nil"/>
                    <w:right w:val="nil"/>
                  </w:tcBorders>
                  <w:vAlign w:val="center"/>
                </w:tcPr>
                <w:p>
                  <w:pPr>
                    <w:widowControl/>
                    <w:jc w:val="left"/>
                    <w:rPr>
                      <w:rFonts w:ascii="宋体" w:hAnsi="宋体" w:cs="宋体"/>
                      <w:kern w:val="0"/>
                      <w:sz w:val="24"/>
                      <w:szCs w:val="24"/>
                    </w:rPr>
                  </w:pPr>
                </w:p>
              </w:tc>
              <w:tc>
                <w:tcPr>
                  <w:tcW w:w="1276" w:type="dxa"/>
                  <w:tcBorders>
                    <w:top w:val="nil"/>
                    <w:left w:val="nil"/>
                    <w:bottom w:val="nil"/>
                    <w:right w:val="nil"/>
                  </w:tcBorders>
                  <w:vAlign w:val="center"/>
                </w:tcPr>
                <w:p>
                  <w:pPr>
                    <w:widowControl/>
                    <w:jc w:val="left"/>
                    <w:rPr>
                      <w:rFonts w:ascii="宋体" w:hAnsi="宋体" w:cs="宋体"/>
                      <w:kern w:val="0"/>
                      <w:sz w:val="24"/>
                      <w:szCs w:val="24"/>
                    </w:rPr>
                  </w:pPr>
                </w:p>
              </w:tc>
              <w:tc>
                <w:tcPr>
                  <w:tcW w:w="1418" w:type="dxa"/>
                  <w:tcBorders>
                    <w:top w:val="nil"/>
                    <w:left w:val="nil"/>
                    <w:bottom w:val="nil"/>
                    <w:right w:val="nil"/>
                  </w:tcBorders>
                  <w:vAlign w:val="center"/>
                </w:tcPr>
                <w:p>
                  <w:pPr>
                    <w:widowControl/>
                    <w:jc w:val="left"/>
                    <w:rPr>
                      <w:rFonts w:ascii="宋体" w:hAnsi="宋体" w:cs="宋体"/>
                      <w:kern w:val="0"/>
                      <w:sz w:val="24"/>
                      <w:szCs w:val="24"/>
                    </w:rPr>
                  </w:pPr>
                </w:p>
              </w:tc>
              <w:tc>
                <w:tcPr>
                  <w:tcW w:w="836" w:type="dxa"/>
                  <w:tcBorders>
                    <w:top w:val="nil"/>
                    <w:left w:val="nil"/>
                    <w:bottom w:val="nil"/>
                    <w:right w:val="nil"/>
                  </w:tcBorders>
                  <w:vAlign w:val="center"/>
                </w:tcPr>
                <w:p>
                  <w:pPr>
                    <w:widowControl/>
                    <w:jc w:val="left"/>
                    <w:rPr>
                      <w:rFonts w:ascii="宋体" w:hAnsi="宋体" w:cs="宋体"/>
                      <w:kern w:val="0"/>
                      <w:sz w:val="24"/>
                      <w:szCs w:val="24"/>
                    </w:rPr>
                  </w:pPr>
                </w:p>
              </w:tc>
              <w:tc>
                <w:tcPr>
                  <w:tcW w:w="2397" w:type="dxa"/>
                  <w:tcBorders>
                    <w:top w:val="nil"/>
                    <w:left w:val="nil"/>
                    <w:bottom w:val="nil"/>
                    <w:right w:val="nil"/>
                  </w:tcBorders>
                  <w:vAlign w:val="center"/>
                </w:tcPr>
                <w:p>
                  <w:pPr>
                    <w:widowControl/>
                    <w:jc w:val="right"/>
                    <w:rPr>
                      <w:rFonts w:ascii="宋体" w:hAnsi="宋体" w:cs="宋体"/>
                      <w:kern w:val="0"/>
                      <w:sz w:val="24"/>
                      <w:szCs w:val="24"/>
                    </w:rPr>
                  </w:pPr>
                  <w:r>
                    <w:rPr>
                      <w:rFonts w:hint="eastAsia" w:ascii="宋体" w:hAnsi="宋体" w:cs="宋体"/>
                      <w:kern w:val="0"/>
                      <w:sz w:val="24"/>
                      <w:szCs w:val="24"/>
                    </w:rPr>
                    <w:t>单位：万元</w:t>
                  </w:r>
                </w:p>
              </w:tc>
            </w:tr>
            <w:tr>
              <w:tblPrEx>
                <w:tblCellMar>
                  <w:top w:w="0" w:type="dxa"/>
                  <w:left w:w="108" w:type="dxa"/>
                  <w:bottom w:w="0" w:type="dxa"/>
                  <w:right w:w="108" w:type="dxa"/>
                </w:tblCellMar>
              </w:tblPrEx>
              <w:trPr>
                <w:trHeight w:val="285" w:hRule="atLeast"/>
                <w:jc w:val="center"/>
              </w:trPr>
              <w:tc>
                <w:tcPr>
                  <w:tcW w:w="21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项目名称</w:t>
                  </w:r>
                </w:p>
              </w:tc>
              <w:tc>
                <w:tcPr>
                  <w:tcW w:w="1276"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ascii="仿宋_GB2312" w:hAnsi="宋体" w:eastAsia="仿宋_GB2312" w:cs="宋体"/>
                      <w:b/>
                      <w:kern w:val="0"/>
                      <w:sz w:val="24"/>
                      <w:szCs w:val="24"/>
                    </w:rPr>
                    <w:t>2020</w:t>
                  </w:r>
                  <w:r>
                    <w:rPr>
                      <w:rFonts w:hint="eastAsia" w:ascii="仿宋_GB2312" w:hAnsi="宋体" w:eastAsia="仿宋_GB2312" w:cs="宋体"/>
                      <w:b/>
                      <w:kern w:val="0"/>
                      <w:sz w:val="24"/>
                      <w:szCs w:val="24"/>
                    </w:rPr>
                    <w:t>年度预算</w:t>
                  </w:r>
                </w:p>
              </w:tc>
              <w:tc>
                <w:tcPr>
                  <w:tcW w:w="1418"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ascii="仿宋_GB2312" w:hAnsi="宋体" w:eastAsia="仿宋_GB2312" w:cs="宋体"/>
                      <w:b/>
                      <w:kern w:val="0"/>
                      <w:sz w:val="24"/>
                      <w:szCs w:val="24"/>
                    </w:rPr>
                    <w:t>2021</w:t>
                  </w:r>
                  <w:r>
                    <w:rPr>
                      <w:rFonts w:hint="eastAsia" w:ascii="仿宋_GB2312" w:hAnsi="宋体" w:eastAsia="仿宋_GB2312" w:cs="宋体"/>
                      <w:b/>
                      <w:kern w:val="0"/>
                      <w:sz w:val="24"/>
                      <w:szCs w:val="24"/>
                    </w:rPr>
                    <w:t>年度预算</w:t>
                  </w:r>
                </w:p>
              </w:tc>
              <w:tc>
                <w:tcPr>
                  <w:tcW w:w="836"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增减金额</w:t>
                  </w:r>
                </w:p>
              </w:tc>
              <w:tc>
                <w:tcPr>
                  <w:tcW w:w="2397"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变化原因</w:t>
                  </w:r>
                </w:p>
              </w:tc>
            </w:tr>
            <w:tr>
              <w:tblPrEx>
                <w:tblCellMar>
                  <w:top w:w="0" w:type="dxa"/>
                  <w:left w:w="108" w:type="dxa"/>
                  <w:bottom w:w="0" w:type="dxa"/>
                  <w:right w:w="108" w:type="dxa"/>
                </w:tblCellMar>
              </w:tblPrEx>
              <w:trPr>
                <w:trHeight w:val="285"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因公出国经费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公务用车购置经费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570"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公务用车运行经费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855"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公务接待费支出</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1140"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合计</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jc w:val="center"/>
              </w:trPr>
              <w:tc>
                <w:tcPr>
                  <w:tcW w:w="2163" w:type="dxa"/>
                  <w:tcBorders>
                    <w:top w:val="nil"/>
                    <w:left w:val="nil"/>
                    <w:bottom w:val="nil"/>
                    <w:right w:val="nil"/>
                  </w:tcBorders>
                  <w:vAlign w:val="center"/>
                </w:tcPr>
                <w:p>
                  <w:pPr>
                    <w:widowControl/>
                    <w:jc w:val="left"/>
                    <w:rPr>
                      <w:rFonts w:ascii="宋体" w:hAnsi="宋体" w:cs="宋体"/>
                      <w:kern w:val="0"/>
                      <w:sz w:val="24"/>
                      <w:szCs w:val="24"/>
                    </w:rPr>
                  </w:pPr>
                </w:p>
              </w:tc>
              <w:tc>
                <w:tcPr>
                  <w:tcW w:w="1276" w:type="dxa"/>
                  <w:tcBorders>
                    <w:top w:val="nil"/>
                    <w:left w:val="nil"/>
                    <w:bottom w:val="nil"/>
                    <w:right w:val="nil"/>
                  </w:tcBorders>
                  <w:vAlign w:val="center"/>
                </w:tcPr>
                <w:p>
                  <w:pPr>
                    <w:widowControl/>
                    <w:jc w:val="left"/>
                    <w:rPr>
                      <w:rFonts w:ascii="宋体" w:hAnsi="宋体" w:cs="宋体"/>
                      <w:kern w:val="0"/>
                      <w:sz w:val="24"/>
                      <w:szCs w:val="24"/>
                    </w:rPr>
                  </w:pPr>
                </w:p>
              </w:tc>
              <w:tc>
                <w:tcPr>
                  <w:tcW w:w="1418" w:type="dxa"/>
                  <w:tcBorders>
                    <w:top w:val="nil"/>
                    <w:left w:val="nil"/>
                    <w:bottom w:val="nil"/>
                    <w:right w:val="nil"/>
                  </w:tcBorders>
                  <w:vAlign w:val="center"/>
                </w:tcPr>
                <w:p>
                  <w:pPr>
                    <w:widowControl/>
                    <w:jc w:val="left"/>
                    <w:rPr>
                      <w:rFonts w:ascii="宋体" w:hAnsi="宋体" w:cs="宋体"/>
                      <w:kern w:val="0"/>
                      <w:sz w:val="24"/>
                      <w:szCs w:val="24"/>
                    </w:rPr>
                  </w:pPr>
                </w:p>
              </w:tc>
              <w:tc>
                <w:tcPr>
                  <w:tcW w:w="836" w:type="dxa"/>
                  <w:tcBorders>
                    <w:top w:val="nil"/>
                    <w:left w:val="nil"/>
                    <w:bottom w:val="nil"/>
                    <w:right w:val="nil"/>
                  </w:tcBorders>
                  <w:vAlign w:val="center"/>
                </w:tcPr>
                <w:p>
                  <w:pPr>
                    <w:widowControl/>
                    <w:jc w:val="left"/>
                    <w:rPr>
                      <w:rFonts w:ascii="宋体" w:hAnsi="宋体" w:cs="宋体"/>
                      <w:kern w:val="0"/>
                      <w:sz w:val="24"/>
                      <w:szCs w:val="24"/>
                    </w:rPr>
                  </w:pPr>
                </w:p>
              </w:tc>
              <w:tc>
                <w:tcPr>
                  <w:tcW w:w="2397" w:type="dxa"/>
                  <w:tcBorders>
                    <w:top w:val="nil"/>
                    <w:left w:val="nil"/>
                    <w:bottom w:val="nil"/>
                    <w:right w:val="nil"/>
                  </w:tcBorders>
                  <w:vAlign w:val="center"/>
                </w:tcPr>
                <w:p>
                  <w:pPr>
                    <w:widowControl/>
                    <w:jc w:val="left"/>
                    <w:rPr>
                      <w:rFonts w:ascii="宋体" w:hAnsi="宋体" w:cs="宋体"/>
                      <w:kern w:val="0"/>
                      <w:sz w:val="24"/>
                      <w:szCs w:val="24"/>
                    </w:rPr>
                  </w:pPr>
                </w:p>
              </w:tc>
            </w:tr>
          </w:tbl>
          <w:p>
            <w:pPr>
              <w:widowControl/>
              <w:spacing w:line="520" w:lineRule="exact"/>
              <w:ind w:right="480"/>
              <w:rPr>
                <w:rFonts w:ascii="仿宋" w:hAnsi="仿宋" w:eastAsia="仿宋" w:cs="宋体"/>
                <w:kern w:val="0"/>
                <w:sz w:val="24"/>
                <w:szCs w:val="24"/>
              </w:rPr>
            </w:pPr>
          </w:p>
        </w:tc>
      </w:tr>
    </w:tbl>
    <w:p>
      <w:pPr>
        <w:spacing w:line="360" w:lineRule="auto"/>
        <w:rPr>
          <w:rFonts w:ascii="黑体" w:hAnsi="黑体" w:eastAsia="黑体" w:cs="Times New Roman"/>
          <w:sz w:val="32"/>
          <w:szCs w:val="32"/>
        </w:rPr>
      </w:pPr>
    </w:p>
    <w:p>
      <w:pPr>
        <w:spacing w:line="360" w:lineRule="auto"/>
        <w:rPr>
          <w:rFonts w:ascii="黑体" w:hAnsi="黑体" w:eastAsia="黑体" w:cs="Times New Roman"/>
          <w:sz w:val="32"/>
          <w:szCs w:val="32"/>
        </w:rPr>
      </w:pPr>
    </w:p>
    <w:p>
      <w:pPr>
        <w:jc w:val="center"/>
        <w:outlineLvl w:val="0"/>
        <w:rPr>
          <w:rFonts w:ascii="方正小标宋_GBK" w:eastAsia="方正小标宋_GBK"/>
          <w:sz w:val="44"/>
        </w:rPr>
      </w:pPr>
      <w:r>
        <w:rPr>
          <w:rFonts w:hint="eastAsia" w:ascii="方正小标宋_GBK" w:eastAsia="方正小标宋_GBK"/>
          <w:sz w:val="44"/>
        </w:rPr>
        <w:t>第五部分：预算绩效信息</w:t>
      </w:r>
    </w:p>
    <w:p>
      <w:pPr>
        <w:spacing w:line="360" w:lineRule="auto"/>
        <w:jc w:val="center"/>
        <w:rPr>
          <w:rFonts w:ascii="黑体" w:hAnsi="黑体" w:eastAsia="黑体" w:cs="Times New Roman"/>
          <w:sz w:val="32"/>
          <w:szCs w:val="32"/>
        </w:rPr>
      </w:pPr>
    </w:p>
    <w:p>
      <w:pPr>
        <w:jc w:val="center"/>
        <w:outlineLvl w:val="0"/>
        <w:rPr>
          <w:rFonts w:ascii="方正小标宋_GBK" w:eastAsia="方正小标宋_GBK"/>
          <w:sz w:val="44"/>
        </w:rPr>
      </w:pPr>
      <w:r>
        <w:rPr>
          <w:rFonts w:hint="eastAsia" w:ascii="方正小标宋_GBK" w:eastAsia="方正小标宋_GBK"/>
          <w:sz w:val="44"/>
        </w:rPr>
        <w:t>单位整体</w:t>
      </w:r>
      <w:r>
        <w:rPr>
          <w:rFonts w:ascii="方正小标宋_GBK" w:eastAsia="方正小标宋_GBK"/>
          <w:sz w:val="44"/>
        </w:rPr>
        <w:t>绩效目标</w:t>
      </w:r>
    </w:p>
    <w:p>
      <w:pPr>
        <w:spacing w:before="10" w:after="10"/>
        <w:ind w:firstLine="560"/>
        <w:outlineLvl w:val="1"/>
      </w:pPr>
      <w:bookmarkStart w:id="0" w:name="_Toc_2_2_0000000001"/>
      <w:r>
        <w:rPr>
          <w:rFonts w:ascii="方正黑体_GBK" w:hAnsi="方正黑体_GBK" w:eastAsia="方正黑体_GBK" w:cs="方正黑体_GBK"/>
          <w:color w:val="000000"/>
          <w:sz w:val="28"/>
        </w:rPr>
        <w:t>一、总体绩效目标</w:t>
      </w:r>
      <w:bookmarkEnd w:id="0"/>
    </w:p>
    <w:p>
      <w:pPr>
        <w:pStyle w:val="10"/>
        <w:rPr>
          <w:lang w:eastAsia="zh-CN"/>
        </w:rPr>
      </w:pPr>
      <w:r>
        <w:t>202</w:t>
      </w:r>
      <w:r>
        <w:rPr>
          <w:rFonts w:hint="eastAsia"/>
          <w:lang w:eastAsia="zh-CN"/>
        </w:rPr>
        <w:t>1</w:t>
      </w:r>
      <w:r>
        <w:t>年</w:t>
      </w:r>
      <w:r>
        <w:rPr>
          <w:rFonts w:hint="eastAsia"/>
          <w:lang w:eastAsia="zh-CN"/>
        </w:rPr>
        <w:t>东史端镇</w:t>
      </w:r>
      <w:r>
        <w:t>教育工作的总体目标是：高标准通过</w:t>
      </w:r>
      <w:r>
        <w:rPr>
          <w:rFonts w:hint="eastAsia"/>
          <w:lang w:eastAsia="zh-CN"/>
        </w:rPr>
        <w:t>徐水区</w:t>
      </w:r>
      <w:r>
        <w:t>对</w:t>
      </w:r>
      <w:r>
        <w:rPr>
          <w:rFonts w:hint="eastAsia"/>
          <w:lang w:eastAsia="zh-CN"/>
        </w:rPr>
        <w:t>镇</w:t>
      </w:r>
      <w:r>
        <w:t>级人民政府教育履职评价；推进义务教育优质均衡发展、学前教育普及普惠发展，强化民办义务教育规范管理，压减民办义务教育在校生规模占比；全力打造师德高尚的专业化教师队伍，持续推进教育基础设施建设，努力实现现代信息技术与教育教学深度融合，持之以恒地创建平安校园，强化教育高质量发展支撑保障；推动育人课堂创建，办好人民满意教育</w:t>
      </w:r>
      <w:r>
        <w:rPr>
          <w:rFonts w:hint="eastAsia"/>
          <w:lang w:eastAsia="zh-CN"/>
        </w:rPr>
        <w:t>。</w:t>
      </w:r>
    </w:p>
    <w:p>
      <w:pPr>
        <w:spacing w:before="10" w:after="10"/>
        <w:ind w:firstLine="560"/>
        <w:outlineLvl w:val="1"/>
      </w:pPr>
      <w:bookmarkStart w:id="1" w:name="_Toc_2_2_0000000002"/>
      <w:r>
        <w:rPr>
          <w:rFonts w:ascii="方正黑体_GBK" w:hAnsi="方正黑体_GBK" w:eastAsia="方正黑体_GBK" w:cs="方正黑体_GBK"/>
          <w:color w:val="000000"/>
          <w:sz w:val="28"/>
        </w:rPr>
        <w:t>二、分项绩效目标</w:t>
      </w:r>
      <w:bookmarkEnd w:id="1"/>
    </w:p>
    <w:p>
      <w:pPr>
        <w:pStyle w:val="11"/>
      </w:pPr>
      <w:r>
        <w:rPr>
          <w:rFonts w:hint="eastAsia"/>
          <w:lang w:eastAsia="zh-CN"/>
        </w:rPr>
        <w:t>（</w:t>
      </w:r>
      <w:r>
        <w:t>一</w:t>
      </w:r>
      <w:r>
        <w:rPr>
          <w:rFonts w:hint="eastAsia"/>
          <w:lang w:eastAsia="zh-CN"/>
        </w:rPr>
        <w:t>）</w:t>
      </w:r>
      <w:r>
        <w:t>全面加强思想政治建设。</w:t>
      </w:r>
    </w:p>
    <w:p>
      <w:pPr>
        <w:pStyle w:val="11"/>
      </w:pPr>
      <w:r>
        <w:t>绩效目标：把学习宣传贯彻习近平新时代中国特色社会主义思想作为首要政治任务，深入学习贯彻习近平总书记关于教育的重要论述。把习近平新时代中国特色社会主义思想和党的十九大、十九届历次全会和二十大精神纳入</w:t>
      </w:r>
      <w:r>
        <w:rPr>
          <w:rFonts w:hint="eastAsia"/>
          <w:lang w:eastAsia="zh-CN"/>
        </w:rPr>
        <w:t>理论学习中心组</w:t>
      </w:r>
      <w:bookmarkStart w:id="13" w:name="_GoBack"/>
      <w:bookmarkEnd w:id="13"/>
      <w:r>
        <w:t>必学材料，全力做好迎接党的二十大胜利召开和学习宣传贯彻。开展师生迎接、学习、宣传党的二十大专项行动，汇聚成教体系统广大干部师生喜迎党的二十大浓厚氛围。健全完善常态化政治理论学习制度，抓实抓紧教职工政治理论学习，用党的创新理论武装头脑、指导实践、推动工作。加强思想政治工作，推动思想政治理论课改革创新，实现全员育人、全程育人、全方位育人，不断提高工作能力和思想政治工作水平。</w:t>
      </w:r>
    </w:p>
    <w:p>
      <w:pPr>
        <w:pStyle w:val="11"/>
      </w:pPr>
      <w:r>
        <w:t>（二）推动学前教育普及普惠发展。</w:t>
      </w:r>
    </w:p>
    <w:p>
      <w:pPr>
        <w:pStyle w:val="11"/>
      </w:pPr>
      <w:r>
        <w:t>绩效目标：建立乡镇学前教育研训机构，充实学前教育研训队伍，提高幼儿园教科研水平，加强园本教研、区域教研，及时解决幼儿园教师在教育实践过程中的困惑和问题，促进我</w:t>
      </w:r>
      <w:r>
        <w:rPr>
          <w:rFonts w:hint="eastAsia"/>
          <w:lang w:eastAsia="zh-CN"/>
        </w:rPr>
        <w:t>镇</w:t>
      </w:r>
      <w:r>
        <w:t>学前教育高质量发展。</w:t>
      </w:r>
    </w:p>
    <w:p>
      <w:pPr>
        <w:pStyle w:val="11"/>
      </w:pPr>
      <w:r>
        <w:t>绩效指标：学前三年毛入园率达到90%，应享受学前教育资助政策的幼儿全部得到资助，受益幼儿园、家长满意度达到85%以上。</w:t>
      </w:r>
    </w:p>
    <w:p>
      <w:pPr>
        <w:pStyle w:val="11"/>
      </w:pPr>
      <w:r>
        <w:t>（三）推动义务教育优质均衡发展。</w:t>
      </w:r>
    </w:p>
    <w:p>
      <w:pPr>
        <w:pStyle w:val="11"/>
      </w:pPr>
      <w:r>
        <w:t>绩效目标：持续打好“双减”攻坚战。坚持校外治理与校内提质协同发力，完善校外培训机构管理制度，要压减作业总量，优化作业设计，提升作业质量。全面提升课后服务水平。不断加强课后服务力量，丰富课后服务内容，落实义务教育学校课后服务“全覆盖”，保证课后服务时间，提高课后服务质量，满足学生多样化需求。</w:t>
      </w:r>
    </w:p>
    <w:p>
      <w:pPr>
        <w:pStyle w:val="11"/>
      </w:pPr>
      <w:r>
        <w:t>绩效指标：统一城乡义务教育年生均公用经费标准：小学735元。为农村义务教育学生免费提供教科书。教师、学生对保障机制的综合满意度≥90%。</w:t>
      </w:r>
    </w:p>
    <w:p>
      <w:pPr>
        <w:pStyle w:val="11"/>
      </w:pPr>
      <w:r>
        <w:t>（四）推进学校体育深入开展。</w:t>
      </w:r>
    </w:p>
    <w:p>
      <w:pPr>
        <w:pStyle w:val="11"/>
      </w:pPr>
      <w:r>
        <w:t>绩效目标：开足开齐体育课程，认真落实学生每天一小时体育活动时间。大力普及足球、篮球等集体项目，积极推进田径、轮滑等基础项目，广泛开展乒乓球、武术等优势项目，让每位学生掌握1至2项运动技能。</w:t>
      </w:r>
    </w:p>
    <w:p>
      <w:pPr>
        <w:pStyle w:val="11"/>
      </w:pPr>
      <w:r>
        <w:t>绩效指标：落实学生“体育家庭作业”制度，确保参与体质健康测试率95%以上，学校学生体检健康测试上报率100%。</w:t>
      </w:r>
    </w:p>
    <w:p>
      <w:pPr>
        <w:spacing w:before="10" w:after="10"/>
        <w:ind w:firstLine="560"/>
        <w:outlineLvl w:val="1"/>
      </w:pPr>
      <w:bookmarkStart w:id="2" w:name="_Toc_2_2_0000000003"/>
      <w:r>
        <w:rPr>
          <w:rFonts w:ascii="方正黑体_GBK" w:hAnsi="方正黑体_GBK" w:eastAsia="方正黑体_GBK" w:cs="方正黑体_GBK"/>
          <w:color w:val="000000"/>
          <w:sz w:val="28"/>
        </w:rPr>
        <w:t>三、工作保障措施</w:t>
      </w:r>
      <w:bookmarkEnd w:id="2"/>
    </w:p>
    <w:p>
      <w:pPr>
        <w:pStyle w:val="12"/>
      </w:pPr>
      <w:r>
        <w:t>（一）加强组织领导。建立健全教育领域预算绩效管理制度体系。围绕年度总体绩效目标和分项绩效目标，明确责任主体，细化落实措施，确保绩效目标年内全部完成。</w:t>
      </w:r>
    </w:p>
    <w:p>
      <w:pPr>
        <w:pStyle w:val="12"/>
      </w:pPr>
      <w:r>
        <w:t>（二）完善制度建设。继续完善财政资金绩效综合评价办法。开展专项资金和重点项目绩效自评工作，加强预算绩效评价结果应用，将绩效目标和绩效结果与预算安排有机衔接，作为安排下年度项目预算资金数额的一项重要依据，切实提高财政资金使用效益。</w:t>
      </w:r>
    </w:p>
    <w:p>
      <w:pPr>
        <w:pStyle w:val="12"/>
      </w:pPr>
      <w:r>
        <w:t>（三）加强支出管理。加快项目执行进度，加快资金支出。</w:t>
      </w:r>
    </w:p>
    <w:p>
      <w:pPr>
        <w:pStyle w:val="12"/>
      </w:pPr>
      <w:r>
        <w:t>（四）做好绩效自评。认真开展各项目的项目绩效自评工作，加强预算绩效评价结果应用，将绩效目标和绩效结果与预算安排有机衔接。</w:t>
      </w:r>
    </w:p>
    <w:p>
      <w:pPr>
        <w:pStyle w:val="12"/>
      </w:pPr>
      <w:r>
        <w:t>（</w:t>
      </w:r>
      <w:r>
        <w:rPr>
          <w:rFonts w:hint="eastAsia"/>
          <w:lang w:eastAsia="zh-CN"/>
        </w:rPr>
        <w:t>五</w:t>
      </w:r>
      <w:r>
        <w:t>）规范财务资产管理。进一步完善财务管理制度，加强固定资产登记、使用及报废处置管理，做到支出合理，物尽其用。</w:t>
      </w:r>
    </w:p>
    <w:p>
      <w:pPr>
        <w:spacing w:line="360" w:lineRule="auto"/>
        <w:ind w:firstLine="640" w:firstLineChars="200"/>
        <w:rPr>
          <w:rFonts w:ascii="仿宋" w:hAnsi="仿宋" w:eastAsia="仿宋"/>
          <w:sz w:val="32"/>
          <w:szCs w:val="32"/>
        </w:rPr>
      </w:pPr>
    </w:p>
    <w:p>
      <w:pPr>
        <w:jc w:val="center"/>
        <w:outlineLvl w:val="0"/>
        <w:rPr>
          <w:rFonts w:ascii="方正书宋_GBK" w:eastAsia="方正书宋_GBK"/>
        </w:rPr>
      </w:pPr>
      <w:r>
        <w:rPr>
          <w:rFonts w:hint="eastAsia" w:ascii="方正小标宋_GBK" w:eastAsia="方正小标宋_GBK"/>
          <w:sz w:val="44"/>
        </w:rPr>
        <w:t>预算项目绩效目标</w:t>
      </w:r>
    </w:p>
    <w:p>
      <w:pPr>
        <w:ind w:firstLine="562" w:firstLineChars="200"/>
        <w:jc w:val="left"/>
        <w:outlineLvl w:val="3"/>
        <w:rPr>
          <w:rFonts w:ascii="Times New Roman" w:hAnsi="宋体" w:eastAsia="宋体"/>
          <w:b/>
          <w:sz w:val="28"/>
        </w:rPr>
      </w:pPr>
      <w:bookmarkStart w:id="3" w:name="_Toc71388479"/>
      <w:r>
        <w:rPr>
          <w:rFonts w:ascii="方正仿宋_GBK" w:eastAsia="方正仿宋_GBK"/>
          <w:b/>
          <w:sz w:val="28"/>
        </w:rPr>
        <w:t>176.提前下达2021年城乡义务教育保障机制改革市级资金-困难学生生活补助绩效目标表</w:t>
      </w:r>
      <w:bookmarkEnd w:id="3"/>
      <w:r>
        <w:rPr>
          <w:rFonts w:ascii="方正仿宋_GBK" w:eastAsia="方正仿宋_GBK"/>
          <w:b/>
          <w:sz w:val="28"/>
        </w:rPr>
        <w:fldChar w:fldCharType="begin"/>
      </w:r>
      <w:r>
        <w:rPr>
          <w:rFonts w:ascii="方正仿宋_GBK" w:eastAsia="方正仿宋_GBK"/>
          <w:b/>
          <w:sz w:val="28"/>
        </w:rPr>
        <w:instrText xml:space="preserve"> TC 176、提前下达2021年城乡义务教育保障机制改革市级资金-困难学生生活补助绩效目标表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360025东史端镇中心学校（小学）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1306252109NWAGTHFPYXP</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提前下达2021年城乡义务教育保障机制改革市级资金-困难学生生活补助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10000.00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为推进义务教育健康持续发展，切实解决家庭经济困难学生就学，确保国家资助政策落实到位。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25.00%</w:t>
            </w: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1.响应国家号召，实现精准服贫。</w:t>
            </w:r>
          </w:p>
          <w:p>
            <w:pPr>
              <w:spacing w:line="300" w:lineRule="exact"/>
              <w:jc w:val="left"/>
              <w:rPr>
                <w:rFonts w:ascii="方正书宋_GBK" w:eastAsia="方正书宋_GBK"/>
              </w:rPr>
            </w:pPr>
            <w:r>
              <w:rPr>
                <w:rFonts w:ascii="方正书宋_GBK" w:eastAsia="方正书宋_GBK"/>
              </w:rPr>
              <w:t>2.对家庭经济困难学生进行生活补助。</w:t>
            </w:r>
          </w:p>
          <w:p>
            <w:pPr>
              <w:spacing w:line="300" w:lineRule="exact"/>
              <w:jc w:val="left"/>
              <w:rPr>
                <w:rFonts w:ascii="方正书宋_GBK" w:eastAsia="方正书宋_GBK"/>
              </w:rPr>
            </w:pPr>
            <w:r>
              <w:rPr>
                <w:rFonts w:ascii="方正书宋_GBK" w:eastAsia="方正书宋_GBK"/>
              </w:rPr>
              <w:t>3.切实解决家庭困难学生就学</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绩效评价次数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按学年评价资金使用程度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保财教[2020]77号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家庭经济困难寄宿生补助率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对困难学生实施补助</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保财教[2020]77号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完成率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按照要求和计划完成研究任务的项目在所有立项项目中的比例（百分比）</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保财教[2020]77号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资金发放率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资金能足额发放</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保财教[2020]77号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社会满意度</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社会整体满意度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≥98%</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保财教[2020]77号</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4" w:name="_Toc71388480"/>
      <w:r>
        <w:rPr>
          <w:rFonts w:ascii="方正仿宋_GBK" w:eastAsia="方正仿宋_GBK"/>
          <w:b/>
          <w:sz w:val="28"/>
        </w:rPr>
        <w:t>177.关于提前下达2021年城乡义务教育中央补助经费预算（直达资金）-公用经费绩效目标表</w:t>
      </w:r>
      <w:bookmarkEnd w:id="4"/>
      <w:r>
        <w:rPr>
          <w:rFonts w:ascii="方正仿宋_GBK" w:eastAsia="方正仿宋_GBK"/>
          <w:b/>
          <w:sz w:val="28"/>
        </w:rPr>
        <w:fldChar w:fldCharType="begin"/>
      </w:r>
      <w:r>
        <w:rPr>
          <w:rFonts w:ascii="方正仿宋_GBK" w:eastAsia="方正仿宋_GBK"/>
          <w:b/>
          <w:sz w:val="28"/>
        </w:rPr>
        <w:instrText xml:space="preserve"> TC 177、关于提前下达2021年城乡义务教育中央补助经费预算（直达资金）-公用经费绩效目标表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360025东史端镇中心学校（小学）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130625210HQT2NM8GO6UP</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关于提前下达2021年城乡义务教育中央补助经费预算（直达资金）-公用经费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1167327.00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1167327.00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1、规范全县中小学财务管理，能更好地促进我县教育事业又好又快发展。2、能加强财务监管，提高资金使用效益。3、能极大地减轻家长的经济负担。</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60.00%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1.保障义务教育阶段学校能够正常运转</w:t>
            </w:r>
            <w:r>
              <w:rPr>
                <w:rFonts w:ascii="方正书宋_GBK" w:eastAsia="方正书宋_GBK"/>
              </w:rPr>
              <w:tab/>
            </w:r>
            <w:r>
              <w:rPr>
                <w:rFonts w:ascii="方正书宋_GBK" w:eastAsia="方正书宋_GBK"/>
              </w:rPr>
              <w:tab/>
            </w:r>
            <w:r>
              <w:rPr>
                <w:rFonts w:ascii="方正书宋_GBK" w:eastAsia="方正书宋_GBK"/>
              </w:rPr>
              <w:tab/>
            </w:r>
            <w:r>
              <w:rPr>
                <w:rFonts w:ascii="方正书宋_GBK" w:eastAsia="方正书宋_GBK"/>
              </w:rPr>
              <w:tab/>
            </w:r>
            <w:r>
              <w:rPr>
                <w:rFonts w:ascii="方正书宋_GBK" w:eastAsia="方正书宋_GBK"/>
              </w:rPr>
              <w:tab/>
            </w:r>
            <w:r>
              <w:rPr>
                <w:rFonts w:ascii="方正书宋_GBK" w:eastAsia="方正书宋_GBK"/>
              </w:rPr>
              <w:tab/>
            </w:r>
            <w:r>
              <w:rPr>
                <w:rFonts w:ascii="方正书宋_GBK" w:eastAsia="方正书宋_GBK"/>
              </w:rPr>
              <w:tab/>
            </w:r>
          </w:p>
          <w:p>
            <w:pPr>
              <w:spacing w:line="300" w:lineRule="exact"/>
              <w:jc w:val="left"/>
              <w:rPr>
                <w:rFonts w:ascii="方正书宋_GBK" w:eastAsia="方正书宋_GBK"/>
              </w:rPr>
            </w:pPr>
            <w:r>
              <w:rPr>
                <w:rFonts w:ascii="方正书宋_GBK" w:eastAsia="方正书宋_GBK"/>
              </w:rPr>
              <w:t>2.保证所有义务教育学校均能享受义务教育公用经费</w:t>
            </w:r>
          </w:p>
          <w:p>
            <w:pPr>
              <w:spacing w:line="300" w:lineRule="exact"/>
              <w:jc w:val="left"/>
              <w:rPr>
                <w:rFonts w:ascii="方正书宋_GBK" w:eastAsia="方正书宋_GBK"/>
              </w:rPr>
            </w:pPr>
            <w:r>
              <w:rPr>
                <w:rFonts w:ascii="方正书宋_GBK" w:eastAsia="方正书宋_GBK"/>
              </w:rPr>
              <w:t>3.能加强财务监督，提高资金使用效益。</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义务教育学校覆盖率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保证所有义务教育阶段学校全部享受公用经费保障</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保障效果</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义务教育阶段学校能够正常运转</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降低学生家长压力</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义务教育公用经费的保障，减轻了家长的经济负担</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义务教育办学成本</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保障义务教育阶段学校正常运转</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提高办学水平</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保障了学校的运转，提高了办学水平</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依据计划标准</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5" w:name="_Toc71388481"/>
      <w:r>
        <w:rPr>
          <w:rFonts w:ascii="方正仿宋_GBK" w:eastAsia="方正仿宋_GBK"/>
          <w:b/>
          <w:sz w:val="28"/>
        </w:rPr>
        <w:t>178.校园安保经费绩效目标表</w:t>
      </w:r>
      <w:bookmarkEnd w:id="5"/>
      <w:r>
        <w:rPr>
          <w:rFonts w:ascii="方正仿宋_GBK" w:eastAsia="方正仿宋_GBK"/>
          <w:b/>
          <w:sz w:val="28"/>
        </w:rPr>
        <w:fldChar w:fldCharType="begin"/>
      </w:r>
      <w:r>
        <w:rPr>
          <w:rFonts w:ascii="方正仿宋_GBK" w:eastAsia="方正仿宋_GBK"/>
          <w:b/>
          <w:sz w:val="28"/>
        </w:rPr>
        <w:instrText xml:space="preserve"> TC 178、校园安保经费绩效目标表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360025东史端镇中心学校（小学）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13062521G1T3OGG6GSLQA</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校园安保经费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433200.00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433200.00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为加强中小学（幼儿园）安全保卫工作，维持正常教育教学秩序，切实保障了师生生命、财产安全。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25.00%</w:t>
            </w: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1.加强中小学幼儿园安全保卫工作</w:t>
            </w:r>
          </w:p>
          <w:p>
            <w:pPr>
              <w:spacing w:line="300" w:lineRule="exact"/>
              <w:jc w:val="left"/>
              <w:rPr>
                <w:rFonts w:ascii="方正书宋_GBK" w:eastAsia="方正书宋_GBK"/>
              </w:rPr>
            </w:pPr>
            <w:r>
              <w:rPr>
                <w:rFonts w:ascii="方正书宋_GBK" w:eastAsia="方正书宋_GBK"/>
              </w:rPr>
              <w:t>2.加强学校安全工作，保障师生安全，财产安全</w:t>
            </w:r>
          </w:p>
          <w:p>
            <w:pPr>
              <w:spacing w:line="300" w:lineRule="exact"/>
              <w:jc w:val="left"/>
              <w:rPr>
                <w:rFonts w:ascii="方正书宋_GBK" w:eastAsia="方正书宋_GBK"/>
              </w:rPr>
            </w:pPr>
            <w:r>
              <w:rPr>
                <w:rFonts w:ascii="方正书宋_GBK" w:eastAsia="方正书宋_GBK"/>
              </w:rPr>
              <w:t>3.维持正常教育教学秩序</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安保工作覆盖率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全校安全保障工作</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≥98%</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安保工作完成情况</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较好完成校园安保工作</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≥95&amp;</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安保工作认真负责</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保证师生安全</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长期使用性</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能够长期较好地进行校园安保工作</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保障校园安全</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维持正常教学秩序</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6" w:name="_Toc71388482"/>
      <w:r>
        <w:rPr>
          <w:rFonts w:ascii="方正仿宋_GBK" w:eastAsia="方正仿宋_GBK"/>
          <w:b/>
          <w:sz w:val="28"/>
        </w:rPr>
        <w:t>179.提前下达2021年城乡义务教育省级补助资金-公用经费绩效目标表</w:t>
      </w:r>
      <w:bookmarkEnd w:id="6"/>
      <w:r>
        <w:rPr>
          <w:rFonts w:ascii="方正仿宋_GBK" w:eastAsia="方正仿宋_GBK"/>
          <w:b/>
          <w:sz w:val="28"/>
        </w:rPr>
        <w:fldChar w:fldCharType="begin"/>
      </w:r>
      <w:r>
        <w:rPr>
          <w:rFonts w:ascii="方正仿宋_GBK" w:eastAsia="方正仿宋_GBK"/>
          <w:b/>
          <w:sz w:val="28"/>
        </w:rPr>
        <w:instrText xml:space="preserve"> TC 179、提前下达2021年城乡义务教育省级补助资金-公用经费绩效目标表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360025东史端镇中心学校（小学）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13062521GBEXYTILDY6T2</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提前下达2021年城乡义务教育省级补助资金-公用经费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778218.00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778218.00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1、规范全县中小学财务管理，能更好地促进我县教育事业又好又快发展。2、能加强财务监管，提高资金使用效益。3、能极大地减轻家长的经济负担。4、教育政策性投入要求地方政府足额配套保障。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60.00%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90.00%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1.保障义务教育阶段学校能够正常运转</w:t>
            </w:r>
          </w:p>
          <w:p>
            <w:pPr>
              <w:spacing w:line="300" w:lineRule="exact"/>
              <w:jc w:val="left"/>
              <w:rPr>
                <w:rFonts w:ascii="方正书宋_GBK" w:eastAsia="方正书宋_GBK"/>
              </w:rPr>
            </w:pPr>
            <w:r>
              <w:rPr>
                <w:rFonts w:ascii="方正书宋_GBK" w:eastAsia="方正书宋_GBK"/>
              </w:rPr>
              <w:t>2.保证所有义务教育学校均能享受义务教育公用经费</w:t>
            </w:r>
          </w:p>
          <w:p>
            <w:pPr>
              <w:spacing w:line="300" w:lineRule="exact"/>
              <w:jc w:val="left"/>
              <w:rPr>
                <w:rFonts w:ascii="方正书宋_GBK" w:eastAsia="方正书宋_GBK"/>
              </w:rPr>
            </w:pPr>
            <w:r>
              <w:rPr>
                <w:rFonts w:ascii="方正书宋_GBK" w:eastAsia="方正书宋_GBK"/>
              </w:rPr>
              <w:t>3.能加强财务监管，提高资金使用效益。</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义务教育学校覆盖率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保证所有义务教育阶段学校全部享受公用经费保障</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保障效果</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义务教育阶段学校能够正常运转</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降低学生家长压力</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义务教育公用经费的保障，减轻了家长的经济负担</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义务教育办学成本</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保障义务教育阶段学校正常运转</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依据计划标准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提高办学水平</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保障了学校的运转，提高了办学水平</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依据计划标准</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7" w:name="_Toc71388483"/>
      <w:r>
        <w:rPr>
          <w:rFonts w:ascii="方正仿宋_GBK" w:eastAsia="方正仿宋_GBK"/>
          <w:b/>
          <w:sz w:val="28"/>
        </w:rPr>
        <w:t>180.提前下达2021年城乡义务教育省级补助资金-校舍安全保障（徐水区东史端镇南胡渠小学操场改造）绩效目标表</w:t>
      </w:r>
      <w:bookmarkEnd w:id="7"/>
      <w:r>
        <w:rPr>
          <w:rFonts w:ascii="方正仿宋_GBK" w:eastAsia="方正仿宋_GBK"/>
          <w:b/>
          <w:sz w:val="28"/>
        </w:rPr>
        <w:fldChar w:fldCharType="begin"/>
      </w:r>
      <w:r>
        <w:rPr>
          <w:rFonts w:ascii="方正仿宋_GBK" w:eastAsia="方正仿宋_GBK"/>
          <w:b/>
          <w:sz w:val="28"/>
        </w:rPr>
        <w:instrText xml:space="preserve"> TC 180、提前下达2021年城乡义务教育省级补助资金-校舍安全保障（徐水区东史端镇南胡渠小学操场改造）绩效目标表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360025东史端镇中心学校（小学）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13062521GRC8Y7SO15NQ5</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提前下达2021年城乡义务教育省级补助资金-校舍安全保障（徐水区东史端镇南胡渠小学操场改造）</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1460000.00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1460000.00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改善办学条件，美化校园环境，提高社会及师生对学校的满意度，对学校操场进行改造。</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1.改善办学条件</w:t>
            </w:r>
          </w:p>
          <w:p>
            <w:pPr>
              <w:spacing w:line="300" w:lineRule="exact"/>
              <w:jc w:val="left"/>
              <w:rPr>
                <w:rFonts w:ascii="方正书宋_GBK" w:eastAsia="方正书宋_GBK"/>
              </w:rPr>
            </w:pPr>
            <w:r>
              <w:rPr>
                <w:rFonts w:ascii="方正书宋_GBK" w:eastAsia="方正书宋_GBK"/>
              </w:rPr>
              <w:t>2.美化校园环境</w:t>
            </w:r>
          </w:p>
          <w:p>
            <w:pPr>
              <w:spacing w:line="300" w:lineRule="exact"/>
              <w:jc w:val="left"/>
              <w:rPr>
                <w:rFonts w:ascii="方正书宋_GBK" w:eastAsia="方正书宋_GBK"/>
              </w:rPr>
            </w:pPr>
            <w:r>
              <w:rPr>
                <w:rFonts w:ascii="方正书宋_GBK" w:eastAsia="方正书宋_GBK"/>
              </w:rPr>
              <w:t>3.解决学校安全隐患</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维修项目数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预算安排维修改造项目数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保定市财政局，保定市教育局《关于提前下达2021年城乡义务教育省级补助资金预算的通知》保财教【2020】103号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保证安全</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解决安全隐患</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保定市财政局，保定市教育局《关于提前下达2021年城乡义务教育省级补助资金预算的通知》保财教【2020】103号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提高办学条件</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改善办学条件</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保定市财政局，保定市教育局《关于提前下达2021年城乡义务教育省级补助资金预算的通知》保财教【2020】103号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节约资金</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节约资金，保障资金利用率最大化</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保定市财政局，保定市教育局《关于提前下达2021年城乡义务教育省级补助资金预算的通知》保财教【2020】103号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提高社会满意度</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解决安全隐患，保障师生安全</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保定市财政局，保定市教育局《关于提前下达2021年城乡义务教育省级补助资金预算的通知》保财教【2020】103号</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8" w:name="_Toc71388484"/>
      <w:r>
        <w:rPr>
          <w:rFonts w:ascii="方正仿宋_GBK" w:eastAsia="方正仿宋_GBK"/>
          <w:b/>
          <w:sz w:val="28"/>
        </w:rPr>
        <w:t>181.关于提前下达2021年城乡义务教育中央补助经费预算（直达资金）-困难学生生活补助绩效目标表</w:t>
      </w:r>
      <w:bookmarkEnd w:id="8"/>
      <w:r>
        <w:rPr>
          <w:rFonts w:ascii="方正仿宋_GBK" w:eastAsia="方正仿宋_GBK"/>
          <w:b/>
          <w:sz w:val="28"/>
        </w:rPr>
        <w:fldChar w:fldCharType="begin"/>
      </w:r>
      <w:r>
        <w:rPr>
          <w:rFonts w:ascii="方正仿宋_GBK" w:eastAsia="方正仿宋_GBK"/>
          <w:b/>
          <w:sz w:val="28"/>
        </w:rPr>
        <w:instrText xml:space="preserve"> TC 181、关于提前下达2021年城乡义务教育中央补助经费预算（直达资金）-困难学生生活补助绩效目标表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360025东史端镇中心学校（小学）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13062521SI302W2XDZ75X</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关于提前下达2021年城乡义务教育中央补助经费预算（直达资金）-困难学生生活补助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15000.00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15000.00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促进城乡义务教育均衡发展，对家庭经济困难学生进行生活补助。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25.00%</w:t>
            </w: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1.响应国家号召，实现精准服贫。</w:t>
            </w:r>
          </w:p>
          <w:p>
            <w:pPr>
              <w:spacing w:line="300" w:lineRule="exact"/>
              <w:jc w:val="left"/>
              <w:rPr>
                <w:rFonts w:ascii="方正书宋_GBK" w:eastAsia="方正书宋_GBK"/>
              </w:rPr>
            </w:pPr>
            <w:r>
              <w:rPr>
                <w:rFonts w:ascii="方正书宋_GBK" w:eastAsia="方正书宋_GBK"/>
              </w:rPr>
              <w:t>2.对家庭经济困难学生进行生活补助。</w:t>
            </w:r>
          </w:p>
          <w:p>
            <w:pPr>
              <w:spacing w:line="300" w:lineRule="exact"/>
              <w:jc w:val="left"/>
              <w:rPr>
                <w:rFonts w:ascii="方正书宋_GBK" w:eastAsia="方正书宋_GBK"/>
              </w:rPr>
            </w:pPr>
            <w:r>
              <w:rPr>
                <w:rFonts w:ascii="方正书宋_GBK" w:eastAsia="方正书宋_GBK"/>
              </w:rPr>
              <w:t>3.切实解决家庭困难学生就学</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绩效评价次数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按学年评价资金使用程度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保财教【2020】82号文件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家庭经济困难寄宿生补助率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对困难学生实施补助</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保财教【2020】82号文件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完成率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按照要求和计划完成研究任务的项目在所有立项项目中的比例（百分比）</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保财教【2020】82号文件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资金发放率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资金能足额发放</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保财教【2020】82号文件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社会满意度</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社会整体满意度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≥98%</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保财教【2020】82号文件</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9" w:name="_Toc71388485"/>
      <w:r>
        <w:rPr>
          <w:rFonts w:ascii="方正仿宋_GBK" w:eastAsia="方正仿宋_GBK"/>
          <w:b/>
          <w:sz w:val="28"/>
        </w:rPr>
        <w:t>182.义务教育阶段小学生营养改善计划地方试点区级资金绩效目标表</w:t>
      </w:r>
      <w:bookmarkEnd w:id="9"/>
      <w:r>
        <w:rPr>
          <w:rFonts w:ascii="方正仿宋_GBK" w:eastAsia="方正仿宋_GBK"/>
          <w:b/>
          <w:sz w:val="28"/>
        </w:rPr>
        <w:fldChar w:fldCharType="begin"/>
      </w:r>
      <w:r>
        <w:rPr>
          <w:rFonts w:ascii="方正仿宋_GBK" w:eastAsia="方正仿宋_GBK"/>
          <w:b/>
          <w:sz w:val="28"/>
        </w:rPr>
        <w:instrText xml:space="preserve"> TC 182、义务教育阶段小学生营养改善计划地方试点区级资金绩效目标表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360025东史端镇中心学校（小学）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13062521T0C4H4QASDIIQ</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义务教育阶段小学生营养改善计划地方试点区级资金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649750.00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649750.00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为创造学生良好的膳食条件，提高学生营养健康水平，增强学生身体素质，培养学生的集体感和服务精神，纠正偏食、挑食的毛病，养成良好的饮食习惯，促进学生的全面发展，我镇五所小学实施学生营养改善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25.00%</w:t>
            </w: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1.创造学生良好的膳食条件，提高学生营养健康水平，生身体素质。</w:t>
            </w:r>
          </w:p>
          <w:p>
            <w:pPr>
              <w:spacing w:line="300" w:lineRule="exact"/>
              <w:jc w:val="left"/>
              <w:rPr>
                <w:rFonts w:ascii="方正书宋_GBK" w:eastAsia="方正书宋_GBK"/>
              </w:rPr>
            </w:pPr>
            <w:r>
              <w:rPr>
                <w:rFonts w:ascii="方正书宋_GBK" w:eastAsia="方正书宋_GBK"/>
              </w:rPr>
              <w:t>2.纠正偏食、挑食的毛病，养成良好的饮食习惯，促进学生的全面发展。</w:t>
            </w:r>
          </w:p>
          <w:p>
            <w:pPr>
              <w:spacing w:line="300" w:lineRule="exact"/>
              <w:jc w:val="left"/>
              <w:rPr>
                <w:rFonts w:ascii="方正书宋_GBK" w:eastAsia="方正书宋_GBK"/>
              </w:rPr>
            </w:pPr>
            <w:r>
              <w:rPr>
                <w:rFonts w:ascii="方正书宋_GBK" w:eastAsia="方正书宋_GBK"/>
              </w:rPr>
              <w:t>3.培养学生的集体感和服务精神。</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营养改善计划地方试点补助学生数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提高学生营养健康水平，增强学生身体素质</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营养改善计划食品安全达标率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营养餐改善计划食品、用品达标率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长期实施性</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能够长期较好的完成计划，长期满足学生的需求</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育学生营养膳食生均补助标准</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学生每天一枚熟鸡蛋，一盒学生奶</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带动社会资金投资比</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带动社会资金投入与扶持奖励资金的比例。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10" w:name="_Toc71388486"/>
      <w:r>
        <w:rPr>
          <w:rFonts w:ascii="方正仿宋_GBK" w:eastAsia="方正仿宋_GBK"/>
          <w:b/>
          <w:sz w:val="28"/>
        </w:rPr>
        <w:t>183.普惠性民办幼儿园生均公用经费绩效目标表</w:t>
      </w:r>
      <w:bookmarkEnd w:id="10"/>
      <w:r>
        <w:rPr>
          <w:rFonts w:ascii="方正仿宋_GBK" w:eastAsia="方正仿宋_GBK"/>
          <w:b/>
          <w:sz w:val="28"/>
        </w:rPr>
        <w:fldChar w:fldCharType="begin"/>
      </w:r>
      <w:r>
        <w:rPr>
          <w:rFonts w:ascii="方正仿宋_GBK" w:eastAsia="方正仿宋_GBK"/>
          <w:b/>
          <w:sz w:val="28"/>
        </w:rPr>
        <w:instrText xml:space="preserve"> TC 183、普惠性民办幼儿园生均公用经费绩效目标表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360026东史端镇中心学校（幼儿园）</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130625219I5GLUIXF7YXU</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普惠性民办幼儿园生均公用经费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198400.00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198400.00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为学龄前儿童提供保育教育教学服务，创造好的生活和学习环境，维持各幼儿园的正常运转，为提高我镇学前教育教学质量，不断开展各项业务活动。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60.00%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90.00%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1.保障适龄儿童接受公益普惠</w:t>
            </w:r>
          </w:p>
          <w:p>
            <w:pPr>
              <w:spacing w:line="300" w:lineRule="exact"/>
              <w:jc w:val="left"/>
              <w:rPr>
                <w:rFonts w:ascii="方正书宋_GBK" w:eastAsia="方正书宋_GBK"/>
              </w:rPr>
            </w:pPr>
            <w:r>
              <w:rPr>
                <w:rFonts w:ascii="方正书宋_GBK" w:eastAsia="方正书宋_GBK"/>
              </w:rPr>
              <w:t>2.保障质量良好的学前教育</w:t>
            </w:r>
          </w:p>
          <w:p>
            <w:pPr>
              <w:spacing w:line="300" w:lineRule="exact"/>
              <w:jc w:val="left"/>
              <w:rPr>
                <w:rFonts w:ascii="方正书宋_GBK" w:eastAsia="方正书宋_GBK"/>
              </w:rPr>
            </w:pPr>
            <w:r>
              <w:rPr>
                <w:rFonts w:ascii="方正书宋_GBK" w:eastAsia="方正书宋_GBK"/>
              </w:rPr>
              <w:t>3.为学龄前儿童提供保育教育教学服务</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幼儿园足额落实</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幼儿园足额落实每生400元。</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幼儿园足额保障率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幼儿园足额保障</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完成率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按照要求和计划完成研究任务的项目在所有立项项目中的比例（百分比）</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幼儿入学率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学生的入学率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受益人数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全校学生和教职工受益情况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496人</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11" w:name="_Toc71388487"/>
      <w:r>
        <w:rPr>
          <w:rFonts w:ascii="方正仿宋_GBK" w:eastAsia="方正仿宋_GBK"/>
          <w:b/>
          <w:sz w:val="28"/>
        </w:rPr>
        <w:t>184.东史端镇幼儿园教育教学活动经费绩效目标表</w:t>
      </w:r>
      <w:bookmarkEnd w:id="11"/>
      <w:r>
        <w:rPr>
          <w:rFonts w:ascii="方正仿宋_GBK" w:eastAsia="方正仿宋_GBK"/>
          <w:b/>
          <w:sz w:val="28"/>
        </w:rPr>
        <w:fldChar w:fldCharType="begin"/>
      </w:r>
      <w:r>
        <w:rPr>
          <w:rFonts w:ascii="方正仿宋_GBK" w:eastAsia="方正仿宋_GBK"/>
          <w:b/>
          <w:sz w:val="28"/>
        </w:rPr>
        <w:instrText xml:space="preserve"> TC 184、东史端镇幼儿园教育教学活动经费绩效目标表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360026东史端镇中心学校（幼儿园）</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13062521GEHE5B5ZA2KX3</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东史端镇幼儿园教育教学活动经费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1598200.00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1598200.00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为学龄前儿童提供保育教育教学服务，创造好的生活和学习环境，维持各幼儿园的正常运转，为提高我镇学前教育教学质量，不断开展各项业务活动。如：教育教学，教师培训，场地维修，设备购置等各项活动等。</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60.00%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90.00%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1.按进度完成各项活动经费及各幼儿园的业务费</w:t>
            </w:r>
          </w:p>
          <w:p>
            <w:pPr>
              <w:spacing w:line="300" w:lineRule="exact"/>
              <w:jc w:val="left"/>
              <w:rPr>
                <w:rFonts w:ascii="方正书宋_GBK" w:eastAsia="方正书宋_GBK"/>
              </w:rPr>
            </w:pPr>
            <w:r>
              <w:rPr>
                <w:rFonts w:ascii="方正书宋_GBK" w:eastAsia="方正书宋_GBK"/>
              </w:rPr>
              <w:t>2.为提高我镇学前教育教学质量，不断开展各项业务活动</w:t>
            </w:r>
          </w:p>
          <w:p>
            <w:pPr>
              <w:spacing w:line="300" w:lineRule="exact"/>
              <w:jc w:val="left"/>
              <w:rPr>
                <w:rFonts w:ascii="方正书宋_GBK" w:eastAsia="方正书宋_GBK"/>
              </w:rPr>
            </w:pPr>
            <w:r>
              <w:rPr>
                <w:rFonts w:ascii="方正书宋_GBK" w:eastAsia="方正书宋_GBK"/>
              </w:rPr>
              <w:t>3.维持各幼儿园的正常运转</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农村幼儿园收费标准</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根据幼儿园等级,按照本园等级按标准收费</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指标完成率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优秀率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通过开展教育教学活动,提高幼儿素质,提高幼儿优秀率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指标完成率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完成率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按照要求和计划完成的项目在本项目中的比例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指标完成率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幼儿健康快乐成长</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幼儿园通过教育教学活动的开展，提高幼儿的动手动脑能力</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指标完成率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教育水平的贡献率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对学前教育阶段的教育水平贡献率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指标完成率</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12" w:name="_Toc71388488"/>
      <w:r>
        <w:rPr>
          <w:rFonts w:ascii="方正仿宋_GBK" w:eastAsia="方正仿宋_GBK"/>
          <w:b/>
          <w:sz w:val="28"/>
        </w:rPr>
        <w:t>185.幼儿园生均公用经费绩效目标表</w:t>
      </w:r>
      <w:bookmarkEnd w:id="12"/>
      <w:r>
        <w:rPr>
          <w:rFonts w:ascii="方正仿宋_GBK" w:eastAsia="方正仿宋_GBK"/>
          <w:b/>
          <w:sz w:val="28"/>
        </w:rPr>
        <w:fldChar w:fldCharType="begin"/>
      </w:r>
      <w:r>
        <w:rPr>
          <w:rFonts w:ascii="方正仿宋_GBK" w:eastAsia="方正仿宋_GBK"/>
          <w:b/>
          <w:sz w:val="28"/>
        </w:rPr>
        <w:instrText xml:space="preserve"> TC 185、幼儿园生均公用经费绩效目标表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360026东史端镇中心学校（幼儿园）</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13062521OSS9KAWH4K9ZT</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幼儿园生均公用经费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358400.00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358400.00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保障幼儿健康发展，用于幼儿园日常运转经费。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60.00%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90.00%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1.促进学前教育健康快速发展。</w:t>
            </w:r>
          </w:p>
          <w:p>
            <w:pPr>
              <w:spacing w:line="300" w:lineRule="exact"/>
              <w:jc w:val="left"/>
              <w:rPr>
                <w:rFonts w:ascii="方正书宋_GBK" w:eastAsia="方正书宋_GBK"/>
              </w:rPr>
            </w:pPr>
            <w:r>
              <w:rPr>
                <w:rFonts w:ascii="方正书宋_GBK" w:eastAsia="方正书宋_GBK"/>
              </w:rPr>
              <w:t>2.提高教育水平，提升教育质量。</w:t>
            </w:r>
          </w:p>
          <w:p>
            <w:pPr>
              <w:spacing w:line="300" w:lineRule="exact"/>
              <w:jc w:val="left"/>
              <w:rPr>
                <w:rFonts w:ascii="方正书宋_GBK" w:eastAsia="方正书宋_GBK"/>
              </w:rPr>
            </w:pPr>
            <w:r>
              <w:rPr>
                <w:rFonts w:ascii="方正书宋_GBK" w:eastAsia="方正书宋_GBK"/>
              </w:rPr>
              <w:t>3.提高幼儿园经费保障水平。</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幼儿园足额落实</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全区幼儿园足额落实每生400元。</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幼儿园足额保障率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全区幼儿园足额保障</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完成率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按照要求和计划完成研究任务的项目在所有立项项目中的比例（百分比）</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幼儿入学率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学生的入学率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受益人数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全校学生和教职工受益情况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896人</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测算标准</w:t>
            </w:r>
          </w:p>
        </w:tc>
      </w:tr>
    </w:tbl>
    <w:p>
      <w:pPr>
        <w:spacing w:line="300" w:lineRule="exact"/>
        <w:jc w:val="left"/>
        <w:sectPr>
          <w:pgSz w:w="11907" w:h="16839"/>
          <w:pgMar w:top="1984" w:right="1304" w:bottom="1134" w:left="1304" w:header="851" w:footer="992" w:gutter="0"/>
          <w:cols w:space="425" w:num="1"/>
          <w:docGrid w:type="lines" w:linePitch="312" w:charSpace="0"/>
        </w:sectPr>
      </w:pPr>
    </w:p>
    <w:p/>
    <w:p>
      <w:pPr>
        <w:jc w:val="center"/>
        <w:outlineLvl w:val="0"/>
        <w:rPr>
          <w:rFonts w:ascii="方正小标宋_GBK" w:eastAsia="方正小标宋_GBK"/>
          <w:sz w:val="44"/>
        </w:rPr>
      </w:pPr>
      <w:r>
        <w:rPr>
          <w:rFonts w:hint="eastAsia" w:ascii="方正小标宋_GBK" w:eastAsia="方正小标宋_GBK"/>
          <w:sz w:val="44"/>
        </w:rPr>
        <w:t>第六部分：政府采购预算情况</w:t>
      </w:r>
    </w:p>
    <w:p>
      <w:pPr>
        <w:spacing w:line="360" w:lineRule="auto"/>
        <w:ind w:firstLine="640" w:firstLineChars="200"/>
        <w:rPr>
          <w:rFonts w:ascii="仿宋" w:hAnsi="仿宋" w:eastAsia="仿宋"/>
          <w:sz w:val="32"/>
          <w:szCs w:val="32"/>
        </w:rPr>
      </w:pPr>
      <w:r>
        <w:rPr>
          <w:rFonts w:ascii="仿宋" w:hAnsi="仿宋" w:eastAsia="仿宋"/>
          <w:sz w:val="32"/>
          <w:szCs w:val="32"/>
        </w:rPr>
        <w:t>2021年，我单位无政府采购预算，空表列示。</w:t>
      </w:r>
    </w:p>
    <w:p>
      <w:pPr>
        <w:spacing w:line="360" w:lineRule="auto"/>
        <w:ind w:firstLine="640" w:firstLineChars="200"/>
        <w:rPr>
          <w:rFonts w:ascii="仿宋" w:hAnsi="仿宋" w:eastAsia="仿宋"/>
          <w:sz w:val="32"/>
          <w:szCs w:val="32"/>
        </w:rPr>
      </w:pPr>
      <w:r>
        <w:rPr>
          <w:rFonts w:hint="eastAsia" w:ascii="仿宋" w:hAnsi="仿宋" w:eastAsia="仿宋"/>
          <w:sz w:val="32"/>
          <w:szCs w:val="32"/>
        </w:rPr>
        <w:t>附单位政府采购预算表空表。</w:t>
      </w:r>
    </w:p>
    <w:tbl>
      <w:tblPr>
        <w:tblStyle w:val="5"/>
        <w:tblW w:w="16018"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701"/>
        <w:gridCol w:w="964"/>
        <w:gridCol w:w="917"/>
        <w:gridCol w:w="1134"/>
        <w:gridCol w:w="926"/>
        <w:gridCol w:w="850"/>
        <w:gridCol w:w="850"/>
        <w:gridCol w:w="964"/>
        <w:gridCol w:w="964"/>
        <w:gridCol w:w="964"/>
        <w:gridCol w:w="964"/>
        <w:gridCol w:w="964"/>
        <w:gridCol w:w="964"/>
        <w:gridCol w:w="964"/>
        <w:gridCol w:w="964"/>
        <w:gridCol w:w="96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7342" w:type="dxa"/>
            <w:gridSpan w:val="7"/>
            <w:tcBorders>
              <w:top w:val="single" w:color="FFFFFF" w:sz="6" w:space="0"/>
              <w:left w:val="single" w:color="FFFFFF" w:sz="6" w:space="0"/>
              <w:right w:val="single" w:color="FFFFFF" w:sz="6" w:space="0"/>
            </w:tcBorders>
            <w:vAlign w:val="center"/>
          </w:tcPr>
          <w:p>
            <w:pPr>
              <w:pStyle w:val="14"/>
              <w:rPr>
                <w:lang w:eastAsia="zh-CN"/>
              </w:rPr>
            </w:pPr>
            <w:r>
              <w:t>360</w:t>
            </w:r>
            <w:r>
              <w:rPr>
                <w:rFonts w:hint="eastAsia"/>
                <w:lang w:eastAsia="zh-CN"/>
              </w:rPr>
              <w:t>025</w:t>
            </w:r>
            <w:r>
              <w:t>保定市徐水区</w:t>
            </w:r>
            <w:r>
              <w:rPr>
                <w:rFonts w:hint="eastAsia"/>
                <w:lang w:eastAsia="zh-CN"/>
              </w:rPr>
              <w:t>东史端镇中心学校</w:t>
            </w:r>
          </w:p>
        </w:tc>
        <w:tc>
          <w:tcPr>
            <w:tcW w:w="8676" w:type="dxa"/>
            <w:gridSpan w:val="9"/>
            <w:tcBorders>
              <w:top w:val="single" w:color="FFFFFF" w:sz="6" w:space="0"/>
              <w:left w:val="single" w:color="FFFFFF" w:sz="6" w:space="0"/>
              <w:right w:val="single" w:color="FFFFFF" w:sz="6" w:space="0"/>
            </w:tcBorders>
            <w:vAlign w:val="center"/>
          </w:tcPr>
          <w:p>
            <w:pPr>
              <w:pStyle w:val="13"/>
            </w:pPr>
            <w: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2665" w:type="dxa"/>
            <w:gridSpan w:val="2"/>
            <w:vAlign w:val="center"/>
          </w:tcPr>
          <w:p>
            <w:pPr>
              <w:pStyle w:val="15"/>
            </w:pPr>
            <w:r>
              <w:t>政府采购项目来源</w:t>
            </w:r>
          </w:p>
        </w:tc>
        <w:tc>
          <w:tcPr>
            <w:tcW w:w="917" w:type="dxa"/>
            <w:vMerge w:val="restart"/>
            <w:vAlign w:val="center"/>
          </w:tcPr>
          <w:p>
            <w:pPr>
              <w:pStyle w:val="15"/>
            </w:pPr>
            <w:r>
              <w:t>采购物品名称</w:t>
            </w:r>
          </w:p>
        </w:tc>
        <w:tc>
          <w:tcPr>
            <w:tcW w:w="1134" w:type="dxa"/>
            <w:vMerge w:val="restart"/>
            <w:vAlign w:val="center"/>
          </w:tcPr>
          <w:p>
            <w:pPr>
              <w:pStyle w:val="15"/>
            </w:pPr>
            <w:r>
              <w:t>政府采购目录序号</w:t>
            </w:r>
          </w:p>
        </w:tc>
        <w:tc>
          <w:tcPr>
            <w:tcW w:w="926" w:type="dxa"/>
            <w:vMerge w:val="restart"/>
            <w:vAlign w:val="center"/>
          </w:tcPr>
          <w:p>
            <w:pPr>
              <w:pStyle w:val="15"/>
            </w:pPr>
            <w:r>
              <w:t>计量  单位</w:t>
            </w:r>
          </w:p>
        </w:tc>
        <w:tc>
          <w:tcPr>
            <w:tcW w:w="850" w:type="dxa"/>
            <w:vMerge w:val="restart"/>
            <w:vAlign w:val="center"/>
          </w:tcPr>
          <w:p>
            <w:pPr>
              <w:pStyle w:val="15"/>
            </w:pPr>
            <w:r>
              <w:t>数量</w:t>
            </w:r>
          </w:p>
        </w:tc>
        <w:tc>
          <w:tcPr>
            <w:tcW w:w="850" w:type="dxa"/>
            <w:vMerge w:val="restart"/>
            <w:vAlign w:val="center"/>
          </w:tcPr>
          <w:p>
            <w:pPr>
              <w:pStyle w:val="15"/>
            </w:pPr>
            <w:r>
              <w:t>单价</w:t>
            </w:r>
          </w:p>
        </w:tc>
        <w:tc>
          <w:tcPr>
            <w:tcW w:w="7712" w:type="dxa"/>
            <w:gridSpan w:val="8"/>
            <w:vAlign w:val="center"/>
          </w:tcPr>
          <w:p>
            <w:pPr>
              <w:pStyle w:val="15"/>
            </w:pPr>
            <w:r>
              <w:t>政府采购金额（当年单位预算安排资金）</w:t>
            </w:r>
          </w:p>
        </w:tc>
        <w:tc>
          <w:tcPr>
            <w:tcW w:w="964" w:type="dxa"/>
            <w:vMerge w:val="restart"/>
            <w:vAlign w:val="center"/>
          </w:tcPr>
          <w:p>
            <w:pPr>
              <w:pStyle w:val="15"/>
            </w:pPr>
            <w:r>
              <w:t>2022年  预留中  小微企  业份额</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864" w:hRule="atLeast"/>
          <w:tblHeader/>
          <w:jc w:val="center"/>
        </w:trPr>
        <w:tc>
          <w:tcPr>
            <w:tcW w:w="1701" w:type="dxa"/>
            <w:vAlign w:val="center"/>
          </w:tcPr>
          <w:p>
            <w:pPr>
              <w:pStyle w:val="15"/>
            </w:pPr>
            <w:r>
              <w:t>项目名称</w:t>
            </w:r>
          </w:p>
        </w:tc>
        <w:tc>
          <w:tcPr>
            <w:tcW w:w="964" w:type="dxa"/>
            <w:vAlign w:val="center"/>
          </w:tcPr>
          <w:p>
            <w:pPr>
              <w:pStyle w:val="15"/>
            </w:pPr>
            <w:r>
              <w:t>预算    资金</w:t>
            </w:r>
          </w:p>
        </w:tc>
        <w:tc>
          <w:tcPr>
            <w:tcW w:w="917" w:type="dxa"/>
            <w:vMerge w:val="continue"/>
          </w:tcPr>
          <w:p/>
        </w:tc>
        <w:tc>
          <w:tcPr>
            <w:tcW w:w="1134" w:type="dxa"/>
            <w:vMerge w:val="continue"/>
          </w:tcPr>
          <w:p/>
        </w:tc>
        <w:tc>
          <w:tcPr>
            <w:tcW w:w="926" w:type="dxa"/>
            <w:vMerge w:val="continue"/>
          </w:tcPr>
          <w:p/>
        </w:tc>
        <w:tc>
          <w:tcPr>
            <w:tcW w:w="850" w:type="dxa"/>
            <w:vMerge w:val="continue"/>
          </w:tcPr>
          <w:p/>
        </w:tc>
        <w:tc>
          <w:tcPr>
            <w:tcW w:w="850" w:type="dxa"/>
            <w:vMerge w:val="continue"/>
          </w:tcPr>
          <w:p/>
        </w:tc>
        <w:tc>
          <w:tcPr>
            <w:tcW w:w="964" w:type="dxa"/>
            <w:vAlign w:val="center"/>
          </w:tcPr>
          <w:p>
            <w:pPr>
              <w:pStyle w:val="15"/>
            </w:pPr>
            <w:r>
              <w:t>合计</w:t>
            </w:r>
          </w:p>
        </w:tc>
        <w:tc>
          <w:tcPr>
            <w:tcW w:w="964" w:type="dxa"/>
            <w:vAlign w:val="center"/>
          </w:tcPr>
          <w:p>
            <w:pPr>
              <w:pStyle w:val="15"/>
            </w:pPr>
            <w:r>
              <w:t>一般公共预算拨款</w:t>
            </w:r>
          </w:p>
        </w:tc>
        <w:tc>
          <w:tcPr>
            <w:tcW w:w="964" w:type="dxa"/>
            <w:vAlign w:val="center"/>
          </w:tcPr>
          <w:p>
            <w:pPr>
              <w:pStyle w:val="15"/>
            </w:pPr>
            <w:r>
              <w:t>基金预算拨款</w:t>
            </w:r>
          </w:p>
        </w:tc>
        <w:tc>
          <w:tcPr>
            <w:tcW w:w="964" w:type="dxa"/>
            <w:vAlign w:val="center"/>
          </w:tcPr>
          <w:p>
            <w:pPr>
              <w:pStyle w:val="15"/>
            </w:pPr>
            <w:r>
              <w:t>国有资本经营预算拨款</w:t>
            </w:r>
          </w:p>
        </w:tc>
        <w:tc>
          <w:tcPr>
            <w:tcW w:w="964" w:type="dxa"/>
            <w:vAlign w:val="center"/>
          </w:tcPr>
          <w:p>
            <w:pPr>
              <w:pStyle w:val="15"/>
            </w:pPr>
            <w:r>
              <w:t>财政专户核拨</w:t>
            </w:r>
          </w:p>
        </w:tc>
        <w:tc>
          <w:tcPr>
            <w:tcW w:w="964" w:type="dxa"/>
            <w:vAlign w:val="center"/>
          </w:tcPr>
          <w:p>
            <w:pPr>
              <w:pStyle w:val="15"/>
            </w:pPr>
            <w:r>
              <w:t>单位    资金</w:t>
            </w:r>
          </w:p>
        </w:tc>
        <w:tc>
          <w:tcPr>
            <w:tcW w:w="964" w:type="dxa"/>
            <w:vAlign w:val="center"/>
          </w:tcPr>
          <w:p>
            <w:pPr>
              <w:pStyle w:val="15"/>
            </w:pPr>
            <w:r>
              <w:t>财政拨    款结转</w:t>
            </w:r>
          </w:p>
        </w:tc>
        <w:tc>
          <w:tcPr>
            <w:tcW w:w="964" w:type="dxa"/>
            <w:vAlign w:val="center"/>
          </w:tcPr>
          <w:p>
            <w:pPr>
              <w:pStyle w:val="15"/>
            </w:pPr>
            <w:r>
              <w:t>非财政    拨款结    转结余</w:t>
            </w:r>
          </w:p>
        </w:tc>
        <w:tc>
          <w:tcPr>
            <w:tcW w:w="964" w:type="dxa"/>
            <w:vMerge w:val="continue"/>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701" w:type="dxa"/>
            <w:vAlign w:val="center"/>
          </w:tcPr>
          <w:p>
            <w:pPr>
              <w:pStyle w:val="19"/>
            </w:pPr>
            <w:r>
              <w:t>合  计</w:t>
            </w:r>
          </w:p>
        </w:tc>
        <w:tc>
          <w:tcPr>
            <w:tcW w:w="964" w:type="dxa"/>
            <w:vAlign w:val="center"/>
          </w:tcPr>
          <w:p>
            <w:pPr>
              <w:pStyle w:val="20"/>
            </w:pPr>
          </w:p>
        </w:tc>
        <w:tc>
          <w:tcPr>
            <w:tcW w:w="917" w:type="dxa"/>
            <w:vAlign w:val="center"/>
          </w:tcPr>
          <w:p>
            <w:pPr>
              <w:pStyle w:val="21"/>
            </w:pPr>
          </w:p>
        </w:tc>
        <w:tc>
          <w:tcPr>
            <w:tcW w:w="1134" w:type="dxa"/>
            <w:vAlign w:val="center"/>
          </w:tcPr>
          <w:p>
            <w:pPr>
              <w:pStyle w:val="21"/>
            </w:pPr>
          </w:p>
        </w:tc>
        <w:tc>
          <w:tcPr>
            <w:tcW w:w="926" w:type="dxa"/>
            <w:vAlign w:val="center"/>
          </w:tcPr>
          <w:p>
            <w:pPr>
              <w:pStyle w:val="19"/>
            </w:pPr>
          </w:p>
        </w:tc>
        <w:tc>
          <w:tcPr>
            <w:tcW w:w="850" w:type="dxa"/>
            <w:vAlign w:val="center"/>
          </w:tcPr>
          <w:p>
            <w:pPr>
              <w:pStyle w:val="20"/>
            </w:pPr>
          </w:p>
        </w:tc>
        <w:tc>
          <w:tcPr>
            <w:tcW w:w="850" w:type="dxa"/>
            <w:vAlign w:val="center"/>
          </w:tcPr>
          <w:p>
            <w:pPr>
              <w:pStyle w:val="20"/>
            </w:pPr>
          </w:p>
        </w:tc>
        <w:tc>
          <w:tcPr>
            <w:tcW w:w="964" w:type="dxa"/>
            <w:vAlign w:val="center"/>
          </w:tcPr>
          <w:p>
            <w:pPr>
              <w:pStyle w:val="20"/>
            </w:pPr>
          </w:p>
        </w:tc>
        <w:tc>
          <w:tcPr>
            <w:tcW w:w="964" w:type="dxa"/>
            <w:vAlign w:val="center"/>
          </w:tcPr>
          <w:p>
            <w:pPr>
              <w:pStyle w:val="20"/>
            </w:pPr>
          </w:p>
        </w:tc>
        <w:tc>
          <w:tcPr>
            <w:tcW w:w="964" w:type="dxa"/>
            <w:vAlign w:val="center"/>
          </w:tcPr>
          <w:p>
            <w:pPr>
              <w:pStyle w:val="20"/>
            </w:pPr>
          </w:p>
        </w:tc>
        <w:tc>
          <w:tcPr>
            <w:tcW w:w="964" w:type="dxa"/>
            <w:vAlign w:val="center"/>
          </w:tcPr>
          <w:p>
            <w:pPr>
              <w:pStyle w:val="20"/>
            </w:pPr>
          </w:p>
        </w:tc>
        <w:tc>
          <w:tcPr>
            <w:tcW w:w="964" w:type="dxa"/>
            <w:vAlign w:val="center"/>
          </w:tcPr>
          <w:p>
            <w:pPr>
              <w:pStyle w:val="20"/>
            </w:pPr>
          </w:p>
        </w:tc>
        <w:tc>
          <w:tcPr>
            <w:tcW w:w="964" w:type="dxa"/>
            <w:vAlign w:val="center"/>
          </w:tcPr>
          <w:p>
            <w:pPr>
              <w:pStyle w:val="20"/>
            </w:pPr>
          </w:p>
        </w:tc>
        <w:tc>
          <w:tcPr>
            <w:tcW w:w="964" w:type="dxa"/>
            <w:vAlign w:val="center"/>
          </w:tcPr>
          <w:p>
            <w:pPr>
              <w:pStyle w:val="20"/>
            </w:pPr>
          </w:p>
        </w:tc>
        <w:tc>
          <w:tcPr>
            <w:tcW w:w="964" w:type="dxa"/>
            <w:vAlign w:val="center"/>
          </w:tcPr>
          <w:p>
            <w:pPr>
              <w:pStyle w:val="20"/>
            </w:pPr>
          </w:p>
        </w:tc>
        <w:tc>
          <w:tcPr>
            <w:tcW w:w="964" w:type="dxa"/>
            <w:vAlign w:val="center"/>
          </w:tcPr>
          <w:p>
            <w:pPr>
              <w:pStyle w:val="20"/>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701" w:type="dxa"/>
            <w:vAlign w:val="center"/>
          </w:tcPr>
          <w:p>
            <w:pPr>
              <w:pStyle w:val="19"/>
            </w:pPr>
            <w:r>
              <w:t>保定市徐水区</w:t>
            </w:r>
            <w:r>
              <w:rPr>
                <w:rFonts w:hint="eastAsia"/>
                <w:lang w:eastAsia="zh-CN"/>
              </w:rPr>
              <w:t>东史端镇中心学校</w:t>
            </w:r>
            <w:r>
              <w:t>（事业）小计</w:t>
            </w:r>
          </w:p>
        </w:tc>
        <w:tc>
          <w:tcPr>
            <w:tcW w:w="964" w:type="dxa"/>
            <w:vAlign w:val="center"/>
          </w:tcPr>
          <w:p>
            <w:pPr>
              <w:pStyle w:val="20"/>
            </w:pPr>
          </w:p>
        </w:tc>
        <w:tc>
          <w:tcPr>
            <w:tcW w:w="917" w:type="dxa"/>
            <w:vAlign w:val="center"/>
          </w:tcPr>
          <w:p>
            <w:pPr>
              <w:pStyle w:val="21"/>
            </w:pPr>
          </w:p>
        </w:tc>
        <w:tc>
          <w:tcPr>
            <w:tcW w:w="1134" w:type="dxa"/>
            <w:vAlign w:val="center"/>
          </w:tcPr>
          <w:p>
            <w:pPr>
              <w:pStyle w:val="21"/>
            </w:pPr>
          </w:p>
        </w:tc>
        <w:tc>
          <w:tcPr>
            <w:tcW w:w="926" w:type="dxa"/>
            <w:vAlign w:val="center"/>
          </w:tcPr>
          <w:p>
            <w:pPr>
              <w:pStyle w:val="19"/>
            </w:pPr>
          </w:p>
        </w:tc>
        <w:tc>
          <w:tcPr>
            <w:tcW w:w="850" w:type="dxa"/>
            <w:vAlign w:val="center"/>
          </w:tcPr>
          <w:p>
            <w:pPr>
              <w:pStyle w:val="20"/>
            </w:pPr>
          </w:p>
        </w:tc>
        <w:tc>
          <w:tcPr>
            <w:tcW w:w="850" w:type="dxa"/>
            <w:vAlign w:val="center"/>
          </w:tcPr>
          <w:p>
            <w:pPr>
              <w:pStyle w:val="20"/>
            </w:pPr>
          </w:p>
        </w:tc>
        <w:tc>
          <w:tcPr>
            <w:tcW w:w="964" w:type="dxa"/>
            <w:vAlign w:val="center"/>
          </w:tcPr>
          <w:p>
            <w:pPr>
              <w:pStyle w:val="20"/>
            </w:pPr>
          </w:p>
        </w:tc>
        <w:tc>
          <w:tcPr>
            <w:tcW w:w="964" w:type="dxa"/>
            <w:vAlign w:val="center"/>
          </w:tcPr>
          <w:p>
            <w:pPr>
              <w:pStyle w:val="20"/>
            </w:pPr>
          </w:p>
        </w:tc>
        <w:tc>
          <w:tcPr>
            <w:tcW w:w="964" w:type="dxa"/>
            <w:vAlign w:val="center"/>
          </w:tcPr>
          <w:p>
            <w:pPr>
              <w:pStyle w:val="20"/>
            </w:pPr>
          </w:p>
        </w:tc>
        <w:tc>
          <w:tcPr>
            <w:tcW w:w="964" w:type="dxa"/>
            <w:vAlign w:val="center"/>
          </w:tcPr>
          <w:p>
            <w:pPr>
              <w:pStyle w:val="20"/>
            </w:pPr>
          </w:p>
        </w:tc>
        <w:tc>
          <w:tcPr>
            <w:tcW w:w="964" w:type="dxa"/>
            <w:vAlign w:val="center"/>
          </w:tcPr>
          <w:p>
            <w:pPr>
              <w:pStyle w:val="20"/>
            </w:pPr>
          </w:p>
        </w:tc>
        <w:tc>
          <w:tcPr>
            <w:tcW w:w="964" w:type="dxa"/>
            <w:vAlign w:val="center"/>
          </w:tcPr>
          <w:p>
            <w:pPr>
              <w:pStyle w:val="20"/>
            </w:pPr>
          </w:p>
        </w:tc>
        <w:tc>
          <w:tcPr>
            <w:tcW w:w="964" w:type="dxa"/>
            <w:vAlign w:val="center"/>
          </w:tcPr>
          <w:p>
            <w:pPr>
              <w:pStyle w:val="20"/>
            </w:pPr>
          </w:p>
        </w:tc>
        <w:tc>
          <w:tcPr>
            <w:tcW w:w="964" w:type="dxa"/>
            <w:vAlign w:val="center"/>
          </w:tcPr>
          <w:p>
            <w:pPr>
              <w:pStyle w:val="20"/>
            </w:pPr>
          </w:p>
        </w:tc>
        <w:tc>
          <w:tcPr>
            <w:tcW w:w="964" w:type="dxa"/>
            <w:vAlign w:val="center"/>
          </w:tcPr>
          <w:p>
            <w:pPr>
              <w:pStyle w:val="20"/>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701" w:type="dxa"/>
            <w:vAlign w:val="center"/>
          </w:tcPr>
          <w:p>
            <w:pPr>
              <w:pStyle w:val="17"/>
            </w:pPr>
          </w:p>
        </w:tc>
        <w:tc>
          <w:tcPr>
            <w:tcW w:w="964" w:type="dxa"/>
            <w:vAlign w:val="center"/>
          </w:tcPr>
          <w:p>
            <w:pPr>
              <w:pStyle w:val="16"/>
            </w:pPr>
          </w:p>
        </w:tc>
        <w:tc>
          <w:tcPr>
            <w:tcW w:w="917" w:type="dxa"/>
            <w:vAlign w:val="center"/>
          </w:tcPr>
          <w:p>
            <w:pPr>
              <w:pStyle w:val="17"/>
            </w:pPr>
          </w:p>
        </w:tc>
        <w:tc>
          <w:tcPr>
            <w:tcW w:w="1134" w:type="dxa"/>
            <w:vAlign w:val="center"/>
          </w:tcPr>
          <w:p>
            <w:pPr>
              <w:pStyle w:val="17"/>
            </w:pPr>
          </w:p>
        </w:tc>
        <w:tc>
          <w:tcPr>
            <w:tcW w:w="926" w:type="dxa"/>
            <w:vAlign w:val="center"/>
          </w:tcPr>
          <w:p>
            <w:pPr>
              <w:pStyle w:val="18"/>
            </w:pPr>
          </w:p>
        </w:tc>
        <w:tc>
          <w:tcPr>
            <w:tcW w:w="850" w:type="dxa"/>
            <w:vAlign w:val="center"/>
          </w:tcPr>
          <w:p>
            <w:pPr>
              <w:pStyle w:val="16"/>
            </w:pPr>
          </w:p>
        </w:tc>
        <w:tc>
          <w:tcPr>
            <w:tcW w:w="850" w:type="dxa"/>
            <w:vAlign w:val="center"/>
          </w:tcPr>
          <w:p>
            <w:pPr>
              <w:pStyle w:val="16"/>
            </w:pPr>
          </w:p>
        </w:tc>
        <w:tc>
          <w:tcPr>
            <w:tcW w:w="964" w:type="dxa"/>
            <w:vAlign w:val="center"/>
          </w:tcPr>
          <w:p>
            <w:pPr>
              <w:pStyle w:val="16"/>
            </w:pPr>
          </w:p>
        </w:tc>
        <w:tc>
          <w:tcPr>
            <w:tcW w:w="964" w:type="dxa"/>
            <w:vAlign w:val="center"/>
          </w:tcPr>
          <w:p>
            <w:pPr>
              <w:pStyle w:val="16"/>
              <w:ind w:right="105"/>
            </w:pPr>
          </w:p>
        </w:tc>
        <w:tc>
          <w:tcPr>
            <w:tcW w:w="964" w:type="dxa"/>
            <w:vAlign w:val="center"/>
          </w:tcPr>
          <w:p>
            <w:pPr>
              <w:pStyle w:val="16"/>
            </w:pPr>
          </w:p>
        </w:tc>
        <w:tc>
          <w:tcPr>
            <w:tcW w:w="964" w:type="dxa"/>
            <w:vAlign w:val="center"/>
          </w:tcPr>
          <w:p>
            <w:pPr>
              <w:pStyle w:val="16"/>
            </w:pPr>
          </w:p>
        </w:tc>
        <w:tc>
          <w:tcPr>
            <w:tcW w:w="964" w:type="dxa"/>
            <w:vAlign w:val="center"/>
          </w:tcPr>
          <w:p>
            <w:pPr>
              <w:pStyle w:val="16"/>
            </w:pPr>
          </w:p>
        </w:tc>
        <w:tc>
          <w:tcPr>
            <w:tcW w:w="964" w:type="dxa"/>
            <w:vAlign w:val="center"/>
          </w:tcPr>
          <w:p>
            <w:pPr>
              <w:pStyle w:val="16"/>
            </w:pPr>
          </w:p>
        </w:tc>
        <w:tc>
          <w:tcPr>
            <w:tcW w:w="964" w:type="dxa"/>
            <w:vAlign w:val="center"/>
          </w:tcPr>
          <w:p>
            <w:pPr>
              <w:pStyle w:val="16"/>
            </w:pPr>
          </w:p>
        </w:tc>
        <w:tc>
          <w:tcPr>
            <w:tcW w:w="964" w:type="dxa"/>
            <w:vAlign w:val="center"/>
          </w:tcPr>
          <w:p>
            <w:pPr>
              <w:pStyle w:val="16"/>
            </w:pPr>
          </w:p>
        </w:tc>
        <w:tc>
          <w:tcPr>
            <w:tcW w:w="964" w:type="dxa"/>
            <w:vAlign w:val="center"/>
          </w:tcPr>
          <w:p>
            <w:pPr>
              <w:pStyle w:val="16"/>
            </w:pPr>
          </w:p>
        </w:tc>
      </w:tr>
    </w:tbl>
    <w:p>
      <w:pPr>
        <w:spacing w:line="360" w:lineRule="auto"/>
        <w:rPr>
          <w:rFonts w:ascii="仿宋" w:hAnsi="仿宋" w:eastAsia="仿宋"/>
          <w:sz w:val="32"/>
          <w:szCs w:val="32"/>
        </w:rPr>
      </w:pPr>
    </w:p>
    <w:p>
      <w:pPr>
        <w:spacing w:line="360" w:lineRule="auto"/>
        <w:rPr>
          <w:rFonts w:ascii="仿宋" w:hAnsi="仿宋" w:eastAsia="仿宋"/>
          <w:sz w:val="32"/>
          <w:szCs w:val="32"/>
        </w:rPr>
        <w:sectPr>
          <w:footerReference r:id="rId3" w:type="default"/>
          <w:pgSz w:w="16838" w:h="11906" w:orient="landscape"/>
          <w:pgMar w:top="1797" w:right="1440" w:bottom="1797" w:left="1440" w:header="851" w:footer="992" w:gutter="0"/>
          <w:cols w:space="425" w:num="1"/>
          <w:docGrid w:type="linesAndChars" w:linePitch="312" w:charSpace="0"/>
        </w:sectPr>
      </w:pPr>
    </w:p>
    <w:p>
      <w:pPr>
        <w:spacing w:line="360" w:lineRule="auto"/>
        <w:rPr>
          <w:rFonts w:ascii="仿宋" w:hAnsi="仿宋" w:eastAsia="仿宋"/>
          <w:sz w:val="32"/>
          <w:szCs w:val="32"/>
        </w:rPr>
      </w:pPr>
    </w:p>
    <w:p>
      <w:pPr>
        <w:jc w:val="center"/>
        <w:outlineLvl w:val="0"/>
        <w:rPr>
          <w:rFonts w:ascii="方正小标宋_GBK" w:eastAsia="方正小标宋_GBK"/>
          <w:sz w:val="44"/>
        </w:rPr>
      </w:pPr>
      <w:r>
        <w:rPr>
          <w:rFonts w:hint="eastAsia" w:ascii="方正小标宋_GBK" w:eastAsia="方正小标宋_GBK"/>
          <w:sz w:val="44"/>
        </w:rPr>
        <w:t>第七部分：国有资产信息</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上年末我单位固定资产总金额为2123.69万元（详见下表）。</w:t>
      </w:r>
      <w:r>
        <w:rPr>
          <w:rFonts w:ascii="仿宋" w:hAnsi="仿宋" w:eastAsia="仿宋"/>
          <w:sz w:val="32"/>
          <w:szCs w:val="32"/>
        </w:rPr>
        <w:t xml:space="preserve"> </w:t>
      </w:r>
      <w:r>
        <w:rPr>
          <w:rFonts w:hint="eastAsia" w:ascii="仿宋" w:hAnsi="仿宋" w:eastAsia="仿宋"/>
          <w:sz w:val="32"/>
          <w:szCs w:val="32"/>
        </w:rPr>
        <w:t>本年度无拟购置固定资产的写：我单位本年度无国有资产购置计划，拟购置金额为</w:t>
      </w:r>
      <w:r>
        <w:rPr>
          <w:rFonts w:ascii="仿宋" w:hAnsi="仿宋" w:eastAsia="仿宋"/>
          <w:sz w:val="32"/>
          <w:szCs w:val="32"/>
        </w:rPr>
        <w:t>0。</w:t>
      </w:r>
    </w:p>
    <w:tbl>
      <w:tblPr>
        <w:tblStyle w:val="5"/>
        <w:tblW w:w="10084" w:type="dxa"/>
        <w:jc w:val="center"/>
        <w:tblLayout w:type="autofit"/>
        <w:tblCellMar>
          <w:top w:w="0" w:type="dxa"/>
          <w:left w:w="108" w:type="dxa"/>
          <w:bottom w:w="0" w:type="dxa"/>
          <w:right w:w="108" w:type="dxa"/>
        </w:tblCellMar>
      </w:tblPr>
      <w:tblGrid>
        <w:gridCol w:w="4788"/>
        <w:gridCol w:w="1035"/>
        <w:gridCol w:w="4261"/>
      </w:tblGrid>
      <w:tr>
        <w:tblPrEx>
          <w:tblCellMar>
            <w:top w:w="0" w:type="dxa"/>
            <w:left w:w="108" w:type="dxa"/>
            <w:bottom w:w="0" w:type="dxa"/>
            <w:right w:w="108" w:type="dxa"/>
          </w:tblCellMar>
        </w:tblPrEx>
        <w:trPr>
          <w:trHeight w:val="510" w:hRule="atLeast"/>
          <w:jc w:val="center"/>
        </w:trPr>
        <w:tc>
          <w:tcPr>
            <w:tcW w:w="10084" w:type="dxa"/>
            <w:gridSpan w:val="3"/>
            <w:tcBorders>
              <w:top w:val="nil"/>
              <w:left w:val="nil"/>
              <w:bottom w:val="nil"/>
              <w:right w:val="nil"/>
            </w:tcBorders>
            <w:shd w:val="clear" w:color="auto" w:fill="auto"/>
            <w:noWrap/>
            <w:vAlign w:val="center"/>
          </w:tcPr>
          <w:p>
            <w:pPr>
              <w:widowControl/>
              <w:jc w:val="center"/>
              <w:rPr>
                <w:rFonts w:ascii="宋体" w:hAnsi="宋体" w:cs="宋体"/>
                <w:kern w:val="0"/>
                <w:sz w:val="28"/>
                <w:szCs w:val="28"/>
              </w:rPr>
            </w:pPr>
            <w:r>
              <w:rPr>
                <w:rFonts w:hint="eastAsia" w:ascii="宋体" w:hAnsi="宋体"/>
                <w:sz w:val="32"/>
                <w:szCs w:val="32"/>
              </w:rPr>
              <w:t>固定资产占用情况表</w:t>
            </w:r>
          </w:p>
        </w:tc>
      </w:tr>
      <w:tr>
        <w:tblPrEx>
          <w:tblCellMar>
            <w:top w:w="0" w:type="dxa"/>
            <w:left w:w="108" w:type="dxa"/>
            <w:bottom w:w="0" w:type="dxa"/>
            <w:right w:w="108" w:type="dxa"/>
          </w:tblCellMar>
        </w:tblPrEx>
        <w:trPr>
          <w:trHeight w:val="510" w:hRule="atLeast"/>
          <w:jc w:val="center"/>
        </w:trPr>
        <w:tc>
          <w:tcPr>
            <w:tcW w:w="10084" w:type="dxa"/>
            <w:gridSpan w:val="3"/>
            <w:tcBorders>
              <w:top w:val="nil"/>
              <w:left w:val="nil"/>
              <w:bottom w:val="single" w:color="auto" w:sz="4" w:space="0"/>
              <w:right w:val="nil"/>
            </w:tcBorders>
            <w:shd w:val="clear" w:color="auto" w:fill="auto"/>
            <w:noWrap/>
            <w:vAlign w:val="center"/>
          </w:tcPr>
          <w:p>
            <w:pPr>
              <w:widowControl/>
              <w:jc w:val="center"/>
              <w:rPr>
                <w:rFonts w:ascii="仿宋_GB2312" w:hAnsi="仿宋" w:eastAsia="仿宋_GB2312" w:cs="宋体"/>
                <w:kern w:val="0"/>
                <w:sz w:val="28"/>
                <w:szCs w:val="28"/>
              </w:rPr>
            </w:pPr>
            <w:r>
              <w:rPr>
                <w:rFonts w:hint="eastAsia" w:ascii="仿宋_GB2312" w:hAnsi="仿宋" w:eastAsia="仿宋_GB2312" w:cs="宋体"/>
                <w:bCs/>
                <w:kern w:val="0"/>
                <w:sz w:val="28"/>
                <w:szCs w:val="28"/>
              </w:rPr>
              <w:t>截止时间：</w:t>
            </w:r>
            <w:r>
              <w:rPr>
                <w:rFonts w:ascii="仿宋_GB2312" w:hAnsi="仿宋" w:eastAsia="仿宋_GB2312" w:cs="宋体"/>
                <w:bCs/>
                <w:color w:val="FF0000"/>
                <w:kern w:val="0"/>
                <w:sz w:val="28"/>
                <w:szCs w:val="28"/>
              </w:rPr>
              <w:t>2020</w:t>
            </w:r>
            <w:r>
              <w:rPr>
                <w:rFonts w:hint="eastAsia" w:ascii="仿宋_GB2312" w:hAnsi="仿宋" w:eastAsia="仿宋_GB2312" w:cs="宋体"/>
                <w:bCs/>
                <w:color w:val="FF0000"/>
                <w:kern w:val="0"/>
                <w:sz w:val="28"/>
                <w:szCs w:val="28"/>
              </w:rPr>
              <w:t>年12月31日</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项　　目</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数量</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价值（单位：万元）</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固定资产总额</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kern w:val="0"/>
                <w:sz w:val="24"/>
                <w:szCs w:val="24"/>
              </w:rPr>
            </w:pPr>
            <w:r>
              <w:rPr>
                <w:rFonts w:hint="eastAsia" w:ascii="仿宋_GB2312" w:hAnsi="仿宋" w:eastAsia="仿宋_GB2312" w:cs="宋体"/>
                <w:b/>
                <w:kern w:val="0"/>
                <w:sz w:val="24"/>
                <w:szCs w:val="24"/>
              </w:rPr>
              <w:t>--</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kern w:val="0"/>
                <w:sz w:val="24"/>
                <w:szCs w:val="24"/>
              </w:rPr>
            </w:pPr>
            <w:r>
              <w:rPr>
                <w:rFonts w:hint="eastAsia" w:ascii="仿宋_GB2312" w:hAnsi="仿宋" w:eastAsia="仿宋_GB2312" w:cs="宋体"/>
                <w:b/>
                <w:kern w:val="0"/>
                <w:sz w:val="24"/>
                <w:szCs w:val="24"/>
              </w:rPr>
              <w:t>2123.69</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1、房屋（平方米）</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2556</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其中：办公用房（平方米）</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p>
        </w:tc>
        <w:tc>
          <w:tcPr>
            <w:tcW w:w="4261"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43.6</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2、车辆（台、辆）</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3、单价在50万元以上的设备(台、套)</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其中：单价50万元（含）以上的通用设备</w:t>
            </w:r>
          </w:p>
        </w:tc>
        <w:tc>
          <w:tcPr>
            <w:tcW w:w="103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c>
          <w:tcPr>
            <w:tcW w:w="426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单价100万元（含）以上的专用设备</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c>
          <w:tcPr>
            <w:tcW w:w="4261"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0</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4、其他固定资产</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p>
        </w:tc>
        <w:tc>
          <w:tcPr>
            <w:tcW w:w="4261"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771.56</w:t>
            </w:r>
          </w:p>
        </w:tc>
      </w:tr>
    </w:tbl>
    <w:p>
      <w:pPr>
        <w:spacing w:line="360" w:lineRule="auto"/>
        <w:rPr>
          <w:rFonts w:ascii="黑体" w:hAnsi="黑体" w:eastAsia="黑体" w:cs="Times New Roman"/>
          <w:sz w:val="32"/>
          <w:szCs w:val="32"/>
        </w:rPr>
      </w:pPr>
    </w:p>
    <w:p>
      <w:pPr>
        <w:jc w:val="center"/>
        <w:outlineLvl w:val="0"/>
        <w:rPr>
          <w:rFonts w:ascii="方正小标宋_GBK" w:eastAsia="方正小标宋_GBK"/>
          <w:sz w:val="44"/>
        </w:rPr>
      </w:pPr>
    </w:p>
    <w:p>
      <w:pPr>
        <w:jc w:val="center"/>
        <w:outlineLvl w:val="0"/>
        <w:rPr>
          <w:rFonts w:ascii="方正小标宋_GBK" w:eastAsia="方正小标宋_GBK"/>
          <w:sz w:val="44"/>
        </w:rPr>
      </w:pPr>
    </w:p>
    <w:p>
      <w:pPr>
        <w:jc w:val="center"/>
        <w:outlineLvl w:val="0"/>
        <w:rPr>
          <w:rFonts w:ascii="方正小标宋_GBK" w:eastAsia="方正小标宋_GBK"/>
          <w:sz w:val="44"/>
        </w:rPr>
      </w:pPr>
      <w:r>
        <w:rPr>
          <w:rFonts w:hint="eastAsia" w:ascii="方正小标宋_GBK" w:eastAsia="方正小标宋_GBK"/>
          <w:sz w:val="44"/>
        </w:rPr>
        <w:t>第八部分：名词解释</w:t>
      </w:r>
    </w:p>
    <w:p>
      <w:pPr>
        <w:spacing w:line="360" w:lineRule="auto"/>
        <w:ind w:firstLine="640" w:firstLineChars="200"/>
        <w:rPr>
          <w:rFonts w:ascii="仿宋" w:hAnsi="仿宋" w:eastAsia="仿宋"/>
          <w:sz w:val="32"/>
          <w:szCs w:val="32"/>
        </w:rPr>
      </w:pPr>
      <w:r>
        <w:rPr>
          <w:rFonts w:ascii="仿宋" w:hAnsi="仿宋" w:eastAsia="仿宋"/>
          <w:sz w:val="32"/>
          <w:szCs w:val="32"/>
        </w:rPr>
        <w:t>1、一般公共预算财政拨款收入：指区级财政当年拨付的资金。</w:t>
      </w:r>
    </w:p>
    <w:p>
      <w:pPr>
        <w:spacing w:line="360" w:lineRule="auto"/>
        <w:ind w:firstLine="640" w:firstLineChars="200"/>
        <w:rPr>
          <w:rFonts w:ascii="仿宋" w:hAnsi="仿宋" w:eastAsia="仿宋"/>
          <w:sz w:val="32"/>
          <w:szCs w:val="32"/>
        </w:rPr>
      </w:pPr>
      <w:r>
        <w:rPr>
          <w:rFonts w:ascii="仿宋" w:hAnsi="仿宋" w:eastAsia="仿宋"/>
          <w:sz w:val="32"/>
          <w:szCs w:val="32"/>
        </w:rPr>
        <w:t>2、其他收入：指除上述“财政拨款收入”、“事业收入”等以外的收入。</w:t>
      </w:r>
    </w:p>
    <w:p>
      <w:pPr>
        <w:spacing w:line="360" w:lineRule="auto"/>
        <w:ind w:firstLine="640" w:firstLineChars="200"/>
        <w:rPr>
          <w:rFonts w:ascii="仿宋" w:hAnsi="仿宋" w:eastAsia="仿宋"/>
          <w:sz w:val="32"/>
          <w:szCs w:val="32"/>
        </w:rPr>
      </w:pPr>
      <w:r>
        <w:rPr>
          <w:rFonts w:ascii="仿宋" w:hAnsi="仿宋" w:eastAsia="仿宋"/>
          <w:sz w:val="32"/>
          <w:szCs w:val="32"/>
        </w:rPr>
        <w:t>3、基本支出：指为保障机构正常运转、完成日常工作任务而发生的人员支出和公用支出。</w:t>
      </w:r>
    </w:p>
    <w:p>
      <w:pPr>
        <w:spacing w:line="360" w:lineRule="auto"/>
        <w:ind w:firstLine="640" w:firstLineChars="200"/>
        <w:rPr>
          <w:rFonts w:ascii="仿宋" w:hAnsi="仿宋" w:eastAsia="仿宋"/>
          <w:sz w:val="32"/>
          <w:szCs w:val="32"/>
        </w:rPr>
      </w:pPr>
      <w:r>
        <w:rPr>
          <w:rFonts w:ascii="仿宋" w:hAnsi="仿宋" w:eastAsia="仿宋"/>
          <w:sz w:val="32"/>
          <w:szCs w:val="32"/>
        </w:rPr>
        <w:t>4、项目支出：指在基本支出之外为完成特定行政任务和事业发展目标所发生的支出。</w:t>
      </w:r>
    </w:p>
    <w:p>
      <w:pPr>
        <w:spacing w:line="360" w:lineRule="auto"/>
        <w:ind w:firstLine="640" w:firstLineChars="200"/>
        <w:rPr>
          <w:rFonts w:ascii="仿宋" w:hAnsi="仿宋" w:eastAsia="仿宋"/>
          <w:sz w:val="32"/>
          <w:szCs w:val="32"/>
        </w:rPr>
      </w:pPr>
      <w:r>
        <w:rPr>
          <w:rFonts w:ascii="仿宋" w:hAnsi="仿宋" w:eastAsia="仿宋"/>
          <w:sz w:val="32"/>
          <w:szCs w:val="32"/>
        </w:rPr>
        <w:t>5、“三公”经费：纳入区级财政预算管理的“三公”经费，是指区级单位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360" w:lineRule="auto"/>
        <w:ind w:firstLine="640" w:firstLineChars="200"/>
        <w:rPr>
          <w:rFonts w:ascii="仿宋" w:hAnsi="仿宋" w:eastAsia="仿宋"/>
          <w:sz w:val="32"/>
          <w:szCs w:val="32"/>
        </w:rPr>
      </w:pPr>
      <w:r>
        <w:rPr>
          <w:rFonts w:ascii="仿宋" w:hAnsi="仿宋" w:eastAsia="仿宋"/>
          <w:sz w:val="32"/>
          <w:szCs w:val="32"/>
        </w:rPr>
        <w:t>6、机关运行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360" w:lineRule="auto"/>
        <w:jc w:val="center"/>
        <w:rPr>
          <w:rFonts w:ascii="黑体" w:hAnsi="黑体" w:eastAsia="黑体" w:cs="Times New Roman"/>
          <w:sz w:val="32"/>
          <w:szCs w:val="32"/>
        </w:rPr>
      </w:pPr>
    </w:p>
    <w:p>
      <w:pPr>
        <w:jc w:val="center"/>
        <w:outlineLvl w:val="0"/>
        <w:rPr>
          <w:rFonts w:ascii="方正小标宋_GBK" w:eastAsia="方正小标宋_GBK"/>
          <w:sz w:val="44"/>
        </w:rPr>
      </w:pPr>
      <w:r>
        <w:rPr>
          <w:rFonts w:hint="eastAsia" w:ascii="方正小标宋_GBK" w:eastAsia="方正小标宋_GBK"/>
          <w:sz w:val="44"/>
        </w:rPr>
        <w:t>第九部分：其他需说明的事项</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我单位无其他需说明的事项。</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仿宋_GBK">
    <w:altName w:val="宋体"/>
    <w:panose1 w:val="00000000000000000000"/>
    <w:charset w:val="86"/>
    <w:family w:val="roman"/>
    <w:pitch w:val="default"/>
    <w:sig w:usb0="00000000" w:usb1="00000000" w:usb2="00000000" w:usb3="00000000" w:csb0="00000000" w:csb1="00000000"/>
  </w:font>
  <w:font w:name="方正书宋_GBK">
    <w:altName w:val="宋体"/>
    <w:panose1 w:val="00000000000000000000"/>
    <w:charset w:val="86"/>
    <w:family w:val="script"/>
    <w:pitch w:val="default"/>
    <w:sig w:usb0="00000000" w:usb1="00000000" w:usb2="00000010" w:usb3="00000000" w:csb0="00040000" w:csb1="00000000"/>
  </w:font>
  <w:font w:name="方正小标宋_GBK">
    <w:altName w:val="宋体"/>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黑体_GBK">
    <w:altName w:val="宋体"/>
    <w:panose1 w:val="00000000000000000000"/>
    <w:charset w:val="86"/>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30172596"/>
      <w:docPartObj>
        <w:docPartGallery w:val="autotext"/>
      </w:docPartObj>
    </w:sdtPr>
    <w:sdtContent>
      <w:p>
        <w:pPr>
          <w:pStyle w:val="3"/>
          <w:jc w:val="center"/>
        </w:pPr>
        <w:r>
          <w:fldChar w:fldCharType="begin"/>
        </w:r>
        <w:r>
          <w:instrText xml:space="preserve">PAGE   \* MERGEFORMAT</w:instrText>
        </w:r>
        <w:r>
          <w:fldChar w:fldCharType="separate"/>
        </w:r>
        <w:r>
          <w:rPr>
            <w:lang w:val="zh-CN"/>
          </w:rPr>
          <w:t>20</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A2ZjAwNGFiZmEwYThlYzk0OThhZjMzM2U2MjIzMTcifQ=="/>
  </w:docVars>
  <w:rsids>
    <w:rsidRoot w:val="00055F1F"/>
    <w:rsid w:val="00013B8A"/>
    <w:rsid w:val="00014BCA"/>
    <w:rsid w:val="00044FBC"/>
    <w:rsid w:val="00055F1F"/>
    <w:rsid w:val="000577EF"/>
    <w:rsid w:val="00057F18"/>
    <w:rsid w:val="000A445D"/>
    <w:rsid w:val="000C178B"/>
    <w:rsid w:val="00131DEC"/>
    <w:rsid w:val="00136AB3"/>
    <w:rsid w:val="001462BD"/>
    <w:rsid w:val="00152380"/>
    <w:rsid w:val="00157F0F"/>
    <w:rsid w:val="001638BE"/>
    <w:rsid w:val="00164810"/>
    <w:rsid w:val="00172C7A"/>
    <w:rsid w:val="00181777"/>
    <w:rsid w:val="001B4688"/>
    <w:rsid w:val="001B47FD"/>
    <w:rsid w:val="001B4D7E"/>
    <w:rsid w:val="001B6235"/>
    <w:rsid w:val="001F4875"/>
    <w:rsid w:val="00212335"/>
    <w:rsid w:val="002918C6"/>
    <w:rsid w:val="00291EF3"/>
    <w:rsid w:val="00296524"/>
    <w:rsid w:val="002E01F6"/>
    <w:rsid w:val="002F1ACB"/>
    <w:rsid w:val="002F530F"/>
    <w:rsid w:val="00305E97"/>
    <w:rsid w:val="00310532"/>
    <w:rsid w:val="00325DFB"/>
    <w:rsid w:val="0032782B"/>
    <w:rsid w:val="00340B3D"/>
    <w:rsid w:val="0034253A"/>
    <w:rsid w:val="003669CF"/>
    <w:rsid w:val="00367A30"/>
    <w:rsid w:val="003A06D2"/>
    <w:rsid w:val="003A4557"/>
    <w:rsid w:val="003A6366"/>
    <w:rsid w:val="003C2317"/>
    <w:rsid w:val="003C442E"/>
    <w:rsid w:val="003D1092"/>
    <w:rsid w:val="003D37CD"/>
    <w:rsid w:val="003E5531"/>
    <w:rsid w:val="003E555C"/>
    <w:rsid w:val="003E6AF3"/>
    <w:rsid w:val="0040243C"/>
    <w:rsid w:val="00406BD1"/>
    <w:rsid w:val="00426C19"/>
    <w:rsid w:val="00450FD9"/>
    <w:rsid w:val="00453CE0"/>
    <w:rsid w:val="00470736"/>
    <w:rsid w:val="00470BBB"/>
    <w:rsid w:val="0048611E"/>
    <w:rsid w:val="004B6929"/>
    <w:rsid w:val="004E2F43"/>
    <w:rsid w:val="004E3572"/>
    <w:rsid w:val="004F3C52"/>
    <w:rsid w:val="00510A1E"/>
    <w:rsid w:val="005158E2"/>
    <w:rsid w:val="00524204"/>
    <w:rsid w:val="00550049"/>
    <w:rsid w:val="00553F7E"/>
    <w:rsid w:val="00570142"/>
    <w:rsid w:val="00586C35"/>
    <w:rsid w:val="00591D1E"/>
    <w:rsid w:val="005B1B6F"/>
    <w:rsid w:val="005B6CCB"/>
    <w:rsid w:val="005C54AA"/>
    <w:rsid w:val="005C7B89"/>
    <w:rsid w:val="0062788A"/>
    <w:rsid w:val="00641F8A"/>
    <w:rsid w:val="00642909"/>
    <w:rsid w:val="0066383B"/>
    <w:rsid w:val="00675987"/>
    <w:rsid w:val="006A6CAF"/>
    <w:rsid w:val="006A6FA2"/>
    <w:rsid w:val="006B5117"/>
    <w:rsid w:val="006C62DF"/>
    <w:rsid w:val="006F5104"/>
    <w:rsid w:val="006F6549"/>
    <w:rsid w:val="00735B02"/>
    <w:rsid w:val="007657C8"/>
    <w:rsid w:val="00767A77"/>
    <w:rsid w:val="00771E49"/>
    <w:rsid w:val="00782208"/>
    <w:rsid w:val="00791938"/>
    <w:rsid w:val="007A5999"/>
    <w:rsid w:val="007C7FD7"/>
    <w:rsid w:val="007F3746"/>
    <w:rsid w:val="00833132"/>
    <w:rsid w:val="00845C67"/>
    <w:rsid w:val="0086454E"/>
    <w:rsid w:val="008672EA"/>
    <w:rsid w:val="00891680"/>
    <w:rsid w:val="008A0099"/>
    <w:rsid w:val="008A0B5F"/>
    <w:rsid w:val="008B5402"/>
    <w:rsid w:val="008D11BC"/>
    <w:rsid w:val="0090527E"/>
    <w:rsid w:val="00905BB7"/>
    <w:rsid w:val="0090620C"/>
    <w:rsid w:val="00912DA4"/>
    <w:rsid w:val="009302B8"/>
    <w:rsid w:val="009305C6"/>
    <w:rsid w:val="009752AE"/>
    <w:rsid w:val="00982F3D"/>
    <w:rsid w:val="00983232"/>
    <w:rsid w:val="009A278A"/>
    <w:rsid w:val="009B6368"/>
    <w:rsid w:val="009F63C4"/>
    <w:rsid w:val="00A015FE"/>
    <w:rsid w:val="00A16957"/>
    <w:rsid w:val="00A540EB"/>
    <w:rsid w:val="00A6155C"/>
    <w:rsid w:val="00A8079E"/>
    <w:rsid w:val="00A90328"/>
    <w:rsid w:val="00A92D66"/>
    <w:rsid w:val="00AA4262"/>
    <w:rsid w:val="00AB5A90"/>
    <w:rsid w:val="00AB7449"/>
    <w:rsid w:val="00AE4AA5"/>
    <w:rsid w:val="00AE7FA9"/>
    <w:rsid w:val="00AF4749"/>
    <w:rsid w:val="00B147EB"/>
    <w:rsid w:val="00B22155"/>
    <w:rsid w:val="00B76AA9"/>
    <w:rsid w:val="00B80FAB"/>
    <w:rsid w:val="00B81C88"/>
    <w:rsid w:val="00BA3563"/>
    <w:rsid w:val="00BA5C83"/>
    <w:rsid w:val="00BC6A7D"/>
    <w:rsid w:val="00BD4829"/>
    <w:rsid w:val="00BD6002"/>
    <w:rsid w:val="00BD719F"/>
    <w:rsid w:val="00BF5442"/>
    <w:rsid w:val="00C177A5"/>
    <w:rsid w:val="00C35FEE"/>
    <w:rsid w:val="00C50535"/>
    <w:rsid w:val="00C6153C"/>
    <w:rsid w:val="00C906EF"/>
    <w:rsid w:val="00CC7D74"/>
    <w:rsid w:val="00D02F97"/>
    <w:rsid w:val="00D26FBC"/>
    <w:rsid w:val="00D45530"/>
    <w:rsid w:val="00D45A0E"/>
    <w:rsid w:val="00D45D23"/>
    <w:rsid w:val="00D723D1"/>
    <w:rsid w:val="00D80C60"/>
    <w:rsid w:val="00D8525F"/>
    <w:rsid w:val="00DA0C4D"/>
    <w:rsid w:val="00DA5DA7"/>
    <w:rsid w:val="00DB02B4"/>
    <w:rsid w:val="00DC360E"/>
    <w:rsid w:val="00DE3935"/>
    <w:rsid w:val="00DE6B32"/>
    <w:rsid w:val="00DF26B8"/>
    <w:rsid w:val="00E12C68"/>
    <w:rsid w:val="00E2325B"/>
    <w:rsid w:val="00E24075"/>
    <w:rsid w:val="00E270C9"/>
    <w:rsid w:val="00E35F38"/>
    <w:rsid w:val="00E46F27"/>
    <w:rsid w:val="00E509CC"/>
    <w:rsid w:val="00E56DC0"/>
    <w:rsid w:val="00E71A04"/>
    <w:rsid w:val="00E90DA6"/>
    <w:rsid w:val="00E96342"/>
    <w:rsid w:val="00EA2FEA"/>
    <w:rsid w:val="00EA56CB"/>
    <w:rsid w:val="00EA7853"/>
    <w:rsid w:val="00F000B1"/>
    <w:rsid w:val="00F012D3"/>
    <w:rsid w:val="00F044C3"/>
    <w:rsid w:val="00F10D04"/>
    <w:rsid w:val="00F169E3"/>
    <w:rsid w:val="00F170D6"/>
    <w:rsid w:val="00F35D4B"/>
    <w:rsid w:val="00F3746B"/>
    <w:rsid w:val="00F572CB"/>
    <w:rsid w:val="00F621AF"/>
    <w:rsid w:val="00F8024E"/>
    <w:rsid w:val="00F82447"/>
    <w:rsid w:val="00F868E5"/>
    <w:rsid w:val="00FA4BA0"/>
    <w:rsid w:val="00FB2F32"/>
    <w:rsid w:val="00FC3191"/>
    <w:rsid w:val="00FE0F1F"/>
    <w:rsid w:val="00FF61F3"/>
    <w:rsid w:val="12D979D6"/>
    <w:rsid w:val="353449A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semiHidden/>
    <w:unhideWhenUsed/>
    <w:uiPriority w:val="99"/>
    <w:rPr>
      <w:sz w:val="18"/>
      <w:szCs w:val="18"/>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uiPriority w:val="99"/>
    <w:rPr>
      <w:sz w:val="18"/>
      <w:szCs w:val="18"/>
    </w:rPr>
  </w:style>
  <w:style w:type="character" w:customStyle="1" w:styleId="8">
    <w:name w:val="页脚 字符"/>
    <w:basedOn w:val="6"/>
    <w:link w:val="3"/>
    <w:uiPriority w:val="99"/>
    <w:rPr>
      <w:sz w:val="18"/>
      <w:szCs w:val="18"/>
    </w:rPr>
  </w:style>
  <w:style w:type="character" w:customStyle="1" w:styleId="9">
    <w:name w:val="批注框文本 字符"/>
    <w:basedOn w:val="6"/>
    <w:link w:val="2"/>
    <w:semiHidden/>
    <w:uiPriority w:val="99"/>
    <w:rPr>
      <w:sz w:val="18"/>
      <w:szCs w:val="18"/>
    </w:rPr>
  </w:style>
  <w:style w:type="paragraph" w:customStyle="1" w:styleId="10">
    <w:name w:val="插入文本样式-插入总体目标文件"/>
    <w:basedOn w:val="1"/>
    <w:qFormat/>
    <w:uiPriority w:val="0"/>
    <w:pPr>
      <w:widowControl/>
      <w:spacing w:line="500" w:lineRule="exact"/>
      <w:ind w:firstLine="560"/>
      <w:jc w:val="left"/>
    </w:pPr>
    <w:rPr>
      <w:rFonts w:ascii="Times New Roman" w:hAnsi="Times New Roman" w:eastAsia="方正仿宋_GBK" w:cs="Times New Roman"/>
      <w:kern w:val="0"/>
      <w:sz w:val="28"/>
      <w:szCs w:val="24"/>
      <w:lang w:eastAsia="uk-UA"/>
    </w:rPr>
  </w:style>
  <w:style w:type="paragraph" w:customStyle="1" w:styleId="11">
    <w:name w:val="插入文本样式-插入职责分类绩效目标文件"/>
    <w:basedOn w:val="1"/>
    <w:qFormat/>
    <w:uiPriority w:val="0"/>
    <w:pPr>
      <w:widowControl/>
      <w:spacing w:line="500" w:lineRule="exact"/>
      <w:ind w:firstLine="560"/>
      <w:jc w:val="left"/>
    </w:pPr>
    <w:rPr>
      <w:rFonts w:ascii="Times New Roman" w:hAnsi="Times New Roman" w:eastAsia="方正仿宋_GBK" w:cs="Times New Roman"/>
      <w:kern w:val="0"/>
      <w:sz w:val="28"/>
      <w:szCs w:val="24"/>
      <w:lang w:eastAsia="uk-UA"/>
    </w:rPr>
  </w:style>
  <w:style w:type="paragraph" w:customStyle="1" w:styleId="12">
    <w:name w:val="插入文本样式-插入实现年度发展规划目标的保障措施文件"/>
    <w:basedOn w:val="1"/>
    <w:qFormat/>
    <w:uiPriority w:val="0"/>
    <w:pPr>
      <w:widowControl/>
      <w:spacing w:line="500" w:lineRule="exact"/>
      <w:ind w:firstLine="560"/>
      <w:jc w:val="left"/>
    </w:pPr>
    <w:rPr>
      <w:rFonts w:ascii="Times New Roman" w:hAnsi="Times New Roman" w:eastAsia="方正仿宋_GBK" w:cs="Times New Roman"/>
      <w:kern w:val="0"/>
      <w:sz w:val="28"/>
      <w:szCs w:val="24"/>
      <w:lang w:eastAsia="uk-UA"/>
    </w:rPr>
  </w:style>
  <w:style w:type="paragraph" w:customStyle="1" w:styleId="13">
    <w:name w:val="单元格样式23"/>
    <w:basedOn w:val="1"/>
    <w:qFormat/>
    <w:uiPriority w:val="0"/>
    <w:pPr>
      <w:widowControl/>
      <w:jc w:val="right"/>
    </w:pPr>
    <w:rPr>
      <w:rFonts w:ascii="方正书宋_GBK" w:hAnsi="方正书宋_GBK" w:eastAsia="方正书宋_GBK" w:cs="方正书宋_GBK"/>
      <w:kern w:val="0"/>
      <w:sz w:val="24"/>
      <w:szCs w:val="24"/>
      <w:lang w:eastAsia="uk-UA"/>
    </w:rPr>
  </w:style>
  <w:style w:type="paragraph" w:customStyle="1" w:styleId="14">
    <w:name w:val="单元格样式20"/>
    <w:basedOn w:val="1"/>
    <w:qFormat/>
    <w:uiPriority w:val="0"/>
    <w:pPr>
      <w:widowControl/>
      <w:jc w:val="left"/>
    </w:pPr>
    <w:rPr>
      <w:rFonts w:ascii="方正小标宋_GBK" w:hAnsi="方正小标宋_GBK" w:eastAsia="方正小标宋_GBK" w:cs="方正小标宋_GBK"/>
      <w:kern w:val="0"/>
      <w:sz w:val="24"/>
      <w:szCs w:val="24"/>
      <w:lang w:eastAsia="uk-UA"/>
    </w:rPr>
  </w:style>
  <w:style w:type="paragraph" w:customStyle="1" w:styleId="15">
    <w:name w:val="单元格样式1"/>
    <w:basedOn w:val="1"/>
    <w:qFormat/>
    <w:uiPriority w:val="0"/>
    <w:pPr>
      <w:widowControl/>
      <w:jc w:val="center"/>
    </w:pPr>
    <w:rPr>
      <w:rFonts w:ascii="方正书宋_GBK" w:hAnsi="方正书宋_GBK" w:eastAsia="方正书宋_GBK" w:cs="方正书宋_GBK"/>
      <w:b/>
      <w:kern w:val="0"/>
      <w:szCs w:val="24"/>
      <w:lang w:eastAsia="uk-UA"/>
    </w:rPr>
  </w:style>
  <w:style w:type="paragraph" w:customStyle="1" w:styleId="16">
    <w:name w:val="单元格样式4"/>
    <w:basedOn w:val="1"/>
    <w:qFormat/>
    <w:uiPriority w:val="0"/>
    <w:pPr>
      <w:widowControl/>
      <w:jc w:val="right"/>
    </w:pPr>
    <w:rPr>
      <w:rFonts w:ascii="方正书宋_GBK" w:hAnsi="方正书宋_GBK" w:eastAsia="方正书宋_GBK" w:cs="方正书宋_GBK"/>
      <w:kern w:val="0"/>
      <w:szCs w:val="24"/>
      <w:lang w:eastAsia="uk-UA"/>
    </w:rPr>
  </w:style>
  <w:style w:type="paragraph" w:customStyle="1" w:styleId="17">
    <w:name w:val="单元格样式2"/>
    <w:basedOn w:val="1"/>
    <w:qFormat/>
    <w:uiPriority w:val="0"/>
    <w:pPr>
      <w:widowControl/>
      <w:jc w:val="left"/>
    </w:pPr>
    <w:rPr>
      <w:rFonts w:ascii="方正书宋_GBK" w:hAnsi="方正书宋_GBK" w:eastAsia="方正书宋_GBK" w:cs="方正书宋_GBK"/>
      <w:kern w:val="0"/>
      <w:szCs w:val="24"/>
      <w:lang w:eastAsia="uk-UA"/>
    </w:rPr>
  </w:style>
  <w:style w:type="paragraph" w:customStyle="1" w:styleId="18">
    <w:name w:val="单元格样式3"/>
    <w:basedOn w:val="1"/>
    <w:qFormat/>
    <w:uiPriority w:val="0"/>
    <w:pPr>
      <w:widowControl/>
      <w:jc w:val="center"/>
    </w:pPr>
    <w:rPr>
      <w:rFonts w:ascii="方正书宋_GBK" w:hAnsi="方正书宋_GBK" w:eastAsia="方正书宋_GBK" w:cs="方正书宋_GBK"/>
      <w:kern w:val="0"/>
      <w:szCs w:val="24"/>
      <w:lang w:eastAsia="uk-UA"/>
    </w:rPr>
  </w:style>
  <w:style w:type="paragraph" w:customStyle="1" w:styleId="19">
    <w:name w:val="单元格样式6"/>
    <w:basedOn w:val="1"/>
    <w:qFormat/>
    <w:uiPriority w:val="0"/>
    <w:pPr>
      <w:widowControl/>
      <w:jc w:val="center"/>
    </w:pPr>
    <w:rPr>
      <w:rFonts w:ascii="方正书宋_GBK" w:hAnsi="方正书宋_GBK" w:eastAsia="方正书宋_GBK" w:cs="方正书宋_GBK"/>
      <w:b/>
      <w:kern w:val="0"/>
      <w:szCs w:val="24"/>
      <w:lang w:eastAsia="uk-UA"/>
    </w:rPr>
  </w:style>
  <w:style w:type="paragraph" w:customStyle="1" w:styleId="20">
    <w:name w:val="单元格样式7"/>
    <w:basedOn w:val="1"/>
    <w:qFormat/>
    <w:uiPriority w:val="0"/>
    <w:pPr>
      <w:widowControl/>
      <w:jc w:val="right"/>
    </w:pPr>
    <w:rPr>
      <w:rFonts w:ascii="方正书宋_GBK" w:hAnsi="方正书宋_GBK" w:eastAsia="方正书宋_GBK" w:cs="方正书宋_GBK"/>
      <w:b/>
      <w:kern w:val="0"/>
      <w:szCs w:val="24"/>
      <w:lang w:eastAsia="uk-UA"/>
    </w:rPr>
  </w:style>
  <w:style w:type="paragraph" w:customStyle="1" w:styleId="21">
    <w:name w:val="单元格样式5"/>
    <w:basedOn w:val="1"/>
    <w:qFormat/>
    <w:uiPriority w:val="0"/>
    <w:pPr>
      <w:widowControl/>
      <w:jc w:val="left"/>
    </w:pPr>
    <w:rPr>
      <w:rFonts w:ascii="方正书宋_GBK" w:hAnsi="方正书宋_GBK" w:eastAsia="方正书宋_GBK" w:cs="方正书宋_GBK"/>
      <w:b/>
      <w:kern w:val="0"/>
      <w:szCs w:val="24"/>
      <w:lang w:eastAsia="uk-U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C61E551-920E-406B-B453-D99F82B535A6}">
  <ds:schemaRefs/>
</ds:datastoreItem>
</file>

<file path=docProps/app.xml><?xml version="1.0" encoding="utf-8"?>
<Properties xmlns="http://schemas.openxmlformats.org/officeDocument/2006/extended-properties" xmlns:vt="http://schemas.openxmlformats.org/officeDocument/2006/docPropsVTypes">
  <Template>Normal</Template>
  <Pages>20</Pages>
  <Words>1617</Words>
  <Characters>9220</Characters>
  <Lines>76</Lines>
  <Paragraphs>21</Paragraphs>
  <TotalTime>733</TotalTime>
  <ScaleCrop>false</ScaleCrop>
  <LinksUpToDate>false</LinksUpToDate>
  <CharactersWithSpaces>10816</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2019-02-15T06:58:00Z</dcterms:created>
  <dc:creator>Windows 用户</dc:creator>
  <cp:lastModifiedBy>lenovo</cp:lastModifiedBy>
  <cp:lastPrinted>2021-04-14T02:06:00Z</cp:lastPrinted>
  <dcterms:modified xsi:type="dcterms:W3CDTF">2023-11-16T01:48:27Z</dcterms:modified>
  <cp:revision>178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00D23E79CD754931B72F09C2838DBDE9</vt:lpwstr>
  </property>
</Properties>
</file>