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保定市徐水区第二中学</w:t>
      </w:r>
    </w:p>
    <w:p>
      <w:pPr>
        <w:spacing w:line="360" w:lineRule="auto"/>
        <w:jc w:val="center"/>
        <w:rPr>
          <w:rFonts w:ascii="宋体" w:hAnsi="宋体" w:eastAsia="宋体"/>
          <w:b/>
          <w:sz w:val="44"/>
          <w:szCs w:val="44"/>
        </w:rPr>
      </w:pPr>
      <w:r>
        <w:rPr>
          <w:rFonts w:ascii="宋体" w:hAnsi="宋体" w:eastAsia="宋体"/>
          <w:b/>
          <w:sz w:val="44"/>
          <w:szCs w:val="44"/>
        </w:rPr>
        <w:t>202</w:t>
      </w:r>
      <w:r>
        <w:rPr>
          <w:rFonts w:hint="eastAsia" w:ascii="宋体" w:hAnsi="宋体" w:eastAsia="宋体"/>
          <w:b/>
          <w:sz w:val="44"/>
          <w:szCs w:val="44"/>
        </w:rPr>
        <w:t>2</w:t>
      </w:r>
      <w:r>
        <w:rPr>
          <w:rFonts w:ascii="宋体" w:hAnsi="宋体" w:eastAsia="宋体"/>
          <w:b/>
          <w:sz w:val="44"/>
          <w:szCs w:val="44"/>
        </w:rPr>
        <w:t>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预算法》、《地方预决算公开操作规程》等文件规定，现将我部门预算信息公开如下：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一、职责</w:t>
      </w:r>
    </w:p>
    <w:p>
      <w:pPr>
        <w:spacing w:line="360" w:lineRule="auto"/>
        <w:ind w:firstLine="640" w:firstLineChars="200"/>
        <w:rPr>
          <w:rFonts w:ascii="仿宋" w:hAnsi="仿宋" w:eastAsia="仿宋"/>
          <w:sz w:val="32"/>
          <w:szCs w:val="32"/>
        </w:rPr>
      </w:pPr>
      <w:r>
        <w:rPr>
          <w:rFonts w:ascii="仿宋" w:hAnsi="仿宋" w:eastAsia="仿宋"/>
          <w:sz w:val="32"/>
          <w:szCs w:val="32"/>
        </w:rPr>
        <w:t>（一）贯彻落实教育和体育工作方针、政策、法律、法规，负责教育体制、办学体制、学校管理体制；落实教育优先发展的战略地位，推动教育和体育事业改革发展。</w:t>
      </w:r>
    </w:p>
    <w:p>
      <w:pPr>
        <w:spacing w:line="360" w:lineRule="auto"/>
        <w:ind w:firstLine="640" w:firstLineChars="200"/>
        <w:rPr>
          <w:rFonts w:ascii="仿宋" w:hAnsi="仿宋" w:eastAsia="仿宋"/>
          <w:sz w:val="32"/>
          <w:szCs w:val="32"/>
        </w:rPr>
      </w:pPr>
      <w:r>
        <w:rPr>
          <w:rFonts w:ascii="仿宋" w:hAnsi="仿宋" w:eastAsia="仿宋"/>
          <w:sz w:val="32"/>
          <w:szCs w:val="32"/>
        </w:rPr>
        <w:t>（二）全面实施素质教育</w:t>
      </w:r>
      <w:bookmarkStart w:id="5" w:name="_GoBack"/>
      <w:bookmarkEnd w:id="5"/>
      <w:r>
        <w:rPr>
          <w:rFonts w:ascii="仿宋" w:hAnsi="仿宋" w:eastAsia="仿宋"/>
          <w:sz w:val="32"/>
          <w:szCs w:val="32"/>
        </w:rPr>
        <w:t>，推动教育教学和教育科研工作；负责义务教育综合管理与服务。</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三</w:t>
      </w:r>
      <w:r>
        <w:rPr>
          <w:rFonts w:ascii="仿宋" w:hAnsi="仿宋" w:eastAsia="仿宋"/>
          <w:sz w:val="32"/>
          <w:szCs w:val="32"/>
        </w:rPr>
        <w:t>）指导</w:t>
      </w:r>
      <w:r>
        <w:rPr>
          <w:rFonts w:hint="eastAsia" w:ascii="仿宋" w:hAnsi="仿宋" w:eastAsia="仿宋"/>
          <w:sz w:val="32"/>
          <w:szCs w:val="32"/>
        </w:rPr>
        <w:t>学生</w:t>
      </w:r>
      <w:r>
        <w:rPr>
          <w:rFonts w:ascii="仿宋" w:hAnsi="仿宋" w:eastAsia="仿宋"/>
          <w:sz w:val="32"/>
          <w:szCs w:val="32"/>
        </w:rPr>
        <w:t>德育、智育、体育、美育、劳动、国防和安全教育工作；负责</w:t>
      </w:r>
      <w:r>
        <w:rPr>
          <w:rFonts w:hint="eastAsia" w:ascii="仿宋" w:hAnsi="仿宋" w:eastAsia="仿宋"/>
          <w:sz w:val="32"/>
          <w:szCs w:val="32"/>
        </w:rPr>
        <w:t>学校基层</w:t>
      </w:r>
      <w:r>
        <w:rPr>
          <w:rFonts w:ascii="仿宋" w:hAnsi="仿宋" w:eastAsia="仿宋"/>
          <w:sz w:val="32"/>
          <w:szCs w:val="32"/>
        </w:rPr>
        <w:t>党的建设工作，指导工会、共青团、妇女工作；负责</w:t>
      </w:r>
      <w:r>
        <w:rPr>
          <w:rFonts w:hint="eastAsia" w:ascii="仿宋" w:hAnsi="仿宋" w:eastAsia="仿宋"/>
          <w:sz w:val="32"/>
          <w:szCs w:val="32"/>
        </w:rPr>
        <w:t>校园</w:t>
      </w:r>
      <w:r>
        <w:rPr>
          <w:rFonts w:ascii="仿宋" w:hAnsi="仿宋" w:eastAsia="仿宋"/>
          <w:sz w:val="32"/>
          <w:szCs w:val="32"/>
        </w:rPr>
        <w:t>安全稳定及综合治理工作。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四</w:t>
      </w:r>
      <w:r>
        <w:rPr>
          <w:rFonts w:ascii="仿宋" w:hAnsi="仿宋" w:eastAsia="仿宋"/>
          <w:sz w:val="32"/>
          <w:szCs w:val="32"/>
        </w:rPr>
        <w:t>）承办上级教育行政部门交办的其他事</w:t>
      </w:r>
      <w:r>
        <w:rPr>
          <w:rFonts w:hint="eastAsia" w:ascii="仿宋" w:hAnsi="仿宋" w:eastAsia="仿宋"/>
          <w:sz w:val="32"/>
          <w:szCs w:val="32"/>
        </w:rPr>
        <w:t>宜。</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保定市徐水区第二中学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418"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预算中。我单位及所属事业单位的收支包含在部门预算中。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3823.96</w:t>
      </w:r>
      <w:r>
        <w:rPr>
          <w:rFonts w:ascii="仿宋" w:hAnsi="仿宋" w:eastAsia="仿宋"/>
          <w:sz w:val="32"/>
          <w:szCs w:val="32"/>
        </w:rPr>
        <w:t>万元,其中：一般公共预算收入</w:t>
      </w:r>
      <w:r>
        <w:rPr>
          <w:rFonts w:hint="eastAsia" w:ascii="仿宋" w:hAnsi="仿宋" w:eastAsia="仿宋"/>
          <w:sz w:val="32"/>
          <w:szCs w:val="32"/>
        </w:rPr>
        <w:t>3823.96</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2021年支出预算：</w:t>
      </w:r>
      <w:r>
        <w:rPr>
          <w:rFonts w:hint="eastAsia" w:ascii="仿宋" w:hAnsi="仿宋" w:eastAsia="仿宋"/>
          <w:sz w:val="32"/>
          <w:szCs w:val="32"/>
        </w:rPr>
        <w:t>3823.96</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基本支出3519.98万元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3450.48</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69.50</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项目支出303.98</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13.68</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本年度预算收支安排3823.96万元，较上年增加51.55</w:t>
      </w:r>
      <w:r>
        <w:rPr>
          <w:rFonts w:ascii="仿宋" w:hAnsi="仿宋" w:eastAsia="仿宋"/>
          <w:sz w:val="32"/>
          <w:szCs w:val="32"/>
        </w:rPr>
        <w:t>万元。其中:基本支出减少</w:t>
      </w:r>
      <w:r>
        <w:rPr>
          <w:rFonts w:hint="eastAsia" w:ascii="仿宋" w:hAnsi="仿宋" w:eastAsia="仿宋"/>
          <w:sz w:val="32"/>
          <w:szCs w:val="32"/>
        </w:rPr>
        <w:t>3.08</w:t>
      </w:r>
      <w:r>
        <w:rPr>
          <w:rFonts w:ascii="仿宋" w:hAnsi="仿宋" w:eastAsia="仿宋"/>
          <w:sz w:val="32"/>
          <w:szCs w:val="32"/>
        </w:rPr>
        <w:t>万元，主要原因是</w:t>
      </w:r>
      <w:r>
        <w:rPr>
          <w:rFonts w:hint="eastAsia" w:ascii="仿宋" w:hAnsi="仿宋" w:eastAsia="仿宋"/>
          <w:sz w:val="32"/>
          <w:szCs w:val="32"/>
        </w:rPr>
        <w:t>工资福利支出数减少</w:t>
      </w:r>
      <w:r>
        <w:rPr>
          <w:rFonts w:ascii="仿宋" w:hAnsi="仿宋" w:eastAsia="仿宋"/>
          <w:sz w:val="32"/>
          <w:szCs w:val="32"/>
        </w:rPr>
        <w:t>；项目支出增加</w:t>
      </w:r>
      <w:r>
        <w:rPr>
          <w:rFonts w:hint="eastAsia" w:ascii="仿宋" w:hAnsi="仿宋" w:eastAsia="仿宋"/>
          <w:sz w:val="32"/>
          <w:szCs w:val="32"/>
        </w:rPr>
        <w:t>54.63</w:t>
      </w:r>
      <w:r>
        <w:rPr>
          <w:rFonts w:ascii="仿宋" w:hAnsi="仿宋" w:eastAsia="仿宋"/>
          <w:sz w:val="32"/>
          <w:szCs w:val="32"/>
        </w:rPr>
        <w:t>万元，主要原因是</w:t>
      </w:r>
      <w:r>
        <w:rPr>
          <w:rFonts w:hint="eastAsia" w:ascii="仿宋" w:hAnsi="仿宋" w:eastAsia="仿宋"/>
          <w:sz w:val="32"/>
          <w:szCs w:val="32"/>
        </w:rPr>
        <w:t>招生量扩大义务教育经费增加</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2021年我部门机关运行经费安排</w:t>
      </w:r>
      <w:r>
        <w:rPr>
          <w:rFonts w:hint="eastAsia" w:ascii="仿宋" w:hAnsi="仿宋" w:eastAsia="仿宋"/>
          <w:sz w:val="32"/>
          <w:szCs w:val="32"/>
        </w:rPr>
        <w:t>69.50</w:t>
      </w:r>
      <w:r>
        <w:rPr>
          <w:rFonts w:ascii="仿宋" w:hAnsi="仿宋" w:eastAsia="仿宋"/>
          <w:sz w:val="32"/>
          <w:szCs w:val="32"/>
        </w:rPr>
        <w:t>万元，其中办公费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离退休干部经费47.9</w:t>
      </w:r>
      <w:r>
        <w:rPr>
          <w:rFonts w:ascii="仿宋" w:hAnsi="仿宋" w:eastAsia="仿宋"/>
          <w:sz w:val="32"/>
          <w:szCs w:val="32"/>
        </w:rPr>
        <w:t>万元，工会经费、福利费</w:t>
      </w:r>
      <w:r>
        <w:rPr>
          <w:rFonts w:hint="eastAsia" w:ascii="仿宋" w:hAnsi="仿宋" w:eastAsia="仿宋"/>
          <w:sz w:val="32"/>
          <w:szCs w:val="32"/>
        </w:rPr>
        <w:t>69.50</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p>
      <w:pPr>
        <w:jc w:val="left"/>
        <w:outlineLvl w:val="0"/>
        <w:rPr>
          <w:rFonts w:ascii="仿宋" w:hAnsi="仿宋" w:eastAsia="仿宋" w:cs="仿宋"/>
          <w:sz w:val="32"/>
          <w:szCs w:val="32"/>
        </w:rPr>
      </w:pPr>
      <w:r>
        <w:rPr>
          <w:rFonts w:hint="eastAsia" w:ascii="仿宋" w:hAnsi="仿宋" w:eastAsia="仿宋" w:cs="仿宋"/>
          <w:sz w:val="32"/>
          <w:szCs w:val="32"/>
        </w:rPr>
        <w:t>我单位无三公经费预算，空表列示</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整体</w:t>
      </w:r>
      <w:r>
        <w:rPr>
          <w:rFonts w:ascii="方正小标宋_GBK" w:eastAsia="方正小标宋_GBK"/>
          <w:sz w:val="44"/>
        </w:rPr>
        <w:t>绩效目标</w:t>
      </w:r>
    </w:p>
    <w:p>
      <w:pPr>
        <w:pStyle w:val="16"/>
      </w:pPr>
      <w:r>
        <w:t>(一）全面加强思想政治建设。</w:t>
      </w:r>
    </w:p>
    <w:p>
      <w:pPr>
        <w:pStyle w:val="16"/>
      </w:pPr>
      <w:r>
        <w:t>绩效目标：把学习宣传贯彻习近平新时代中国特色社会主义思想作为首要政治任务，深入学习贯彻习近平总书记关于教育的重要论述。全力做好迎接党的二十大胜利召开和学习宣传贯彻，切实把思想和行动统一到党中央、省委、市委、区委决策部署上来。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6"/>
      </w:pPr>
      <w:r>
        <w:t>（二）推动义务教育优质均衡发展。</w:t>
      </w:r>
    </w:p>
    <w:p>
      <w:pPr>
        <w:pStyle w:val="16"/>
      </w:pPr>
      <w: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ind w:firstLine="420" w:firstLineChars="200"/>
        <w:jc w:val="left"/>
        <w:outlineLvl w:val="3"/>
        <w:rPr>
          <w:rFonts w:ascii="Times New Roman" w:hAnsi="宋体" w:eastAsia="宋体"/>
          <w:b/>
          <w:sz w:val="28"/>
        </w:rPr>
      </w:pPr>
      <w:r>
        <w:rPr>
          <w:rFonts w:hint="eastAsia" w:ascii="方正书宋_GBK" w:eastAsia="方正书宋_GBK"/>
        </w:rPr>
        <w:t>1、</w:t>
      </w:r>
      <w:bookmarkStart w:id="0" w:name="_Toc71388390"/>
      <w:r>
        <w:rPr>
          <w:rFonts w:ascii="方正仿宋_GBK" w:eastAsia="方正仿宋_GBK"/>
          <w:b/>
          <w:sz w:val="28"/>
        </w:rPr>
        <w:t>提前下达2021年城乡义务教育保障机制改革市级资金-困难学生生活补助绩效目标表</w:t>
      </w:r>
      <w:bookmarkEnd w:id="0"/>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360009第二中学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1306252109NWAGTHFPYXP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4525.00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4525.00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用于资助义务教育阶段经济困难学生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1.保障困难学生正常学习</w:t>
            </w:r>
          </w:p>
          <w:p>
            <w:pPr>
              <w:spacing w:line="300" w:lineRule="exact"/>
              <w:jc w:val="left"/>
              <w:rPr>
                <w:rFonts w:ascii="方正书宋_GBK" w:eastAsia="方正书宋_GBK"/>
              </w:rPr>
            </w:pPr>
            <w:r>
              <w:rPr>
                <w:rFonts w:ascii="方正书宋_GBK" w:eastAsia="方正书宋_GBK"/>
              </w:rPr>
              <w:t>2.为经济困难学生提供经济保障</w:t>
            </w:r>
          </w:p>
          <w:p>
            <w:pPr>
              <w:spacing w:line="300" w:lineRule="exact"/>
              <w:jc w:val="left"/>
              <w:rPr>
                <w:rFonts w:ascii="方正书宋_GBK" w:eastAsia="方正书宋_GBK"/>
              </w:rPr>
            </w:pPr>
            <w:r>
              <w:rPr>
                <w:rFonts w:ascii="方正书宋_GBK" w:eastAsia="方正书宋_GBK"/>
              </w:rPr>
              <w:t>3.确保困难学生顺利完成学业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保证学习正常进行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能够保障人员日常学习效率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 w:name="_Toc71388391"/>
      <w:r>
        <w:rPr>
          <w:rFonts w:hint="eastAsia" w:ascii="方正仿宋_GBK" w:eastAsia="方正仿宋_GBK"/>
          <w:b/>
          <w:sz w:val="28"/>
        </w:rPr>
        <w:t>2、</w:t>
      </w:r>
      <w:r>
        <w:rPr>
          <w:rFonts w:ascii="方正仿宋_GBK" w:eastAsia="方正仿宋_GBK"/>
          <w:b/>
          <w:sz w:val="28"/>
        </w:rPr>
        <w:t>关于提前下达2021年城乡义务教育中央补助经费预算（直达资金）-公用经费绩效目标表</w:t>
      </w:r>
      <w:bookmarkEnd w:id="1"/>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360009第二中学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1737978.00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1737978.00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1.确保我单位日常教学管理方面工作的运行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有效的改善职工作环境，有利于提高学生学习效率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2" w:name="_Toc71388392"/>
      <w:r>
        <w:rPr>
          <w:rFonts w:hint="eastAsia" w:ascii="方正仿宋_GBK" w:eastAsia="方正仿宋_GBK"/>
          <w:b/>
          <w:sz w:val="28"/>
        </w:rPr>
        <w:t>3、</w:t>
      </w:r>
      <w:r>
        <w:rPr>
          <w:rFonts w:ascii="方正仿宋_GBK" w:eastAsia="方正仿宋_GBK"/>
          <w:b/>
          <w:sz w:val="28"/>
        </w:rPr>
        <w:t>提前下达2021年城乡义务教育保障机制改革市级资金-公用经费绩效目标表</w:t>
      </w:r>
      <w:bookmarkEnd w:id="2"/>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360009第二中学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130625215RE1T5A1HBF16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833824.00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833824.00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为完成本单位日常教学管理方面的费用开支，以及用于设备设施等维持性费用支出，和直接用于公务活动支出。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1.确保我单位日常教学管理方面工作的运行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ind w:firstLine="562" w:firstLineChars="200"/>
        <w:jc w:val="left"/>
        <w:outlineLvl w:val="3"/>
        <w:rPr>
          <w:rFonts w:ascii="Times New Roman" w:hAnsi="宋体" w:eastAsia="宋体"/>
          <w:b/>
          <w:sz w:val="28"/>
        </w:rPr>
      </w:pPr>
      <w:bookmarkStart w:id="3" w:name="_Toc71388394"/>
      <w:r>
        <w:rPr>
          <w:rFonts w:hint="eastAsia" w:ascii="方正仿宋_GBK" w:eastAsia="方正仿宋_GBK"/>
          <w:b/>
          <w:sz w:val="28"/>
        </w:rPr>
        <w:t>4</w:t>
      </w:r>
      <w:r>
        <w:rPr>
          <w:rFonts w:ascii="方正仿宋_GBK" w:eastAsia="方正仿宋_GBK"/>
          <w:b/>
          <w:sz w:val="28"/>
        </w:rPr>
        <w:t>.提前下达2021年城乡义务教育省级补助资金-公用经费绩效目标表</w:t>
      </w:r>
      <w:bookmarkEnd w:id="3"/>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360009第二中学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324828.00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324828.00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1.确保我单位日常行政管理方面工作的运行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有效的改善学习环境，有利于提高学习效率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395"/>
      <w:r>
        <w:rPr>
          <w:rFonts w:hint="eastAsia" w:ascii="方正仿宋_GBK" w:eastAsia="方正仿宋_GBK"/>
          <w:b/>
          <w:sz w:val="28"/>
        </w:rPr>
        <w:t>5</w:t>
      </w:r>
      <w:r>
        <w:rPr>
          <w:rFonts w:ascii="方正仿宋_GBK" w:eastAsia="方正仿宋_GBK"/>
          <w:b/>
          <w:sz w:val="28"/>
        </w:rPr>
        <w:t>.关于提前下达2021年城乡义务教育中央补助经费预算（直达资金）-困难学生生活补助绩效目标表</w:t>
      </w:r>
      <w:bookmarkEnd w:id="4"/>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360009第二中学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1875.00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1875.00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用于资助义务教育阶段经济困难学生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1.保障困难学生正常学习</w:t>
            </w:r>
          </w:p>
          <w:p>
            <w:pPr>
              <w:spacing w:line="300" w:lineRule="exact"/>
              <w:jc w:val="left"/>
              <w:rPr>
                <w:rFonts w:ascii="方正书宋_GBK" w:eastAsia="方正书宋_GBK"/>
              </w:rPr>
            </w:pPr>
            <w:r>
              <w:rPr>
                <w:rFonts w:ascii="方正书宋_GBK" w:eastAsia="方正书宋_GBK"/>
              </w:rPr>
              <w:t>2.为经济困难学生提供经济保障</w:t>
            </w:r>
          </w:p>
          <w:p>
            <w:pPr>
              <w:spacing w:line="300" w:lineRule="exact"/>
              <w:jc w:val="left"/>
              <w:rPr>
                <w:rFonts w:ascii="方正书宋_GBK" w:eastAsia="方正书宋_GBK"/>
              </w:rPr>
            </w:pPr>
            <w:r>
              <w:rPr>
                <w:rFonts w:ascii="方正书宋_GBK" w:eastAsia="方正书宋_GBK"/>
              </w:rPr>
              <w:t>3.确保困难学生顺利完成学业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保证学习正常进行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能够保障人员日常学习效率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bl>
    <w:p>
      <w:pPr>
        <w:spacing w:line="300" w:lineRule="exact"/>
        <w:jc w:val="left"/>
        <w:sectPr>
          <w:pgSz w:w="11907" w:h="16839"/>
          <w:pgMar w:top="1984" w:right="1304" w:bottom="1134" w:left="1304" w:header="851" w:footer="992" w:gutter="0"/>
          <w:cols w:space="425" w:num="1"/>
          <w:docGrid w:type="lines" w:linePitch="312" w:charSpace="0"/>
        </w:sectPr>
      </w:pPr>
    </w:p>
    <w:p>
      <w:pPr>
        <w:ind w:firstLine="420" w:firstLineChars="200"/>
        <w:jc w:val="left"/>
        <w:outlineLvl w:val="3"/>
        <w:rPr>
          <w:rFonts w:ascii="Times New Roman" w:hAnsi="宋体" w:eastAsia="宋体"/>
          <w:b/>
          <w:sz w:val="28"/>
        </w:rPr>
      </w:pPr>
      <w:r>
        <w:rPr>
          <w:rFonts w:hint="eastAsia" w:ascii="方正书宋_GBK" w:eastAsia="方正书宋_GBK"/>
        </w:rPr>
        <w:t>6、</w:t>
      </w:r>
      <w:r>
        <w:rPr>
          <w:rFonts w:ascii="方正仿宋_GBK" w:eastAsia="方正仿宋_GBK"/>
          <w:b/>
          <w:sz w:val="28"/>
        </w:rPr>
        <w:t>校园安保经费绩效目标表</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360009第二中学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136800.00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136800.00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用于支付校园安保人员的工资。第四季度完成支付。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1.确保本单位安保工作正常运转</w:t>
            </w:r>
          </w:p>
          <w:p>
            <w:pPr>
              <w:spacing w:line="300" w:lineRule="exact"/>
              <w:jc w:val="left"/>
              <w:rPr>
                <w:rFonts w:ascii="方正书宋_GBK" w:eastAsia="方正书宋_GBK"/>
              </w:rPr>
            </w:pPr>
            <w:r>
              <w:rPr>
                <w:rFonts w:ascii="方正书宋_GBK" w:eastAsia="方正书宋_GBK"/>
              </w:rPr>
              <w:t>2.保障校园安全工作顺利开展</w:t>
            </w:r>
          </w:p>
          <w:p>
            <w:pPr>
              <w:spacing w:line="300" w:lineRule="exact"/>
              <w:jc w:val="left"/>
              <w:rPr>
                <w:rFonts w:ascii="方正书宋_GBK" w:eastAsia="方正书宋_GBK"/>
              </w:rPr>
            </w:pPr>
            <w:r>
              <w:rPr>
                <w:rFonts w:ascii="方正书宋_GBK" w:eastAsia="方正书宋_GBK"/>
              </w:rPr>
              <w:t>3.保障义务教育学校的校园安全</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bl>
    <w:p>
      <w:pPr>
        <w:outlineLvl w:val="0"/>
        <w:rPr>
          <w:rFonts w:ascii="方正书宋_GBK" w:eastAsia="方正书宋_GBK"/>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无政府采购预算，空表列示。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附政府采购预算表空表。</w:t>
      </w:r>
    </w:p>
    <w:tbl>
      <w:tblPr>
        <w:tblStyle w:val="5"/>
        <w:tblW w:w="1503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19"/>
        <w:gridCol w:w="964"/>
        <w:gridCol w:w="893"/>
        <w:gridCol w:w="900"/>
        <w:gridCol w:w="1184"/>
        <w:gridCol w:w="850"/>
        <w:gridCol w:w="696"/>
        <w:gridCol w:w="1118"/>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6206" w:type="dxa"/>
            <w:gridSpan w:val="7"/>
            <w:tcBorders>
              <w:top w:val="single" w:color="FFFFFF" w:sz="6" w:space="0"/>
              <w:left w:val="single" w:color="FFFFFF" w:sz="6" w:space="0"/>
              <w:right w:val="single" w:color="FFFFFF" w:sz="6" w:space="0"/>
            </w:tcBorders>
            <w:vAlign w:val="center"/>
          </w:tcPr>
          <w:p>
            <w:pPr>
              <w:pStyle w:val="10"/>
              <w:rPr>
                <w:lang w:eastAsia="zh-CN"/>
              </w:rPr>
            </w:pPr>
            <w:r>
              <w:t>360</w:t>
            </w:r>
            <w:r>
              <w:rPr>
                <w:rFonts w:hint="eastAsia"/>
                <w:lang w:eastAsia="zh-CN"/>
              </w:rPr>
              <w:t>009</w:t>
            </w:r>
            <w:r>
              <w:t>保定市徐水区</w:t>
            </w:r>
            <w:r>
              <w:rPr>
                <w:rFonts w:hint="eastAsia"/>
                <w:lang w:eastAsia="zh-CN"/>
              </w:rPr>
              <w:t>第二中学</w:t>
            </w:r>
          </w:p>
        </w:tc>
        <w:tc>
          <w:tcPr>
            <w:tcW w:w="8830" w:type="dxa"/>
            <w:gridSpan w:val="9"/>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683" w:type="dxa"/>
            <w:gridSpan w:val="2"/>
            <w:vAlign w:val="center"/>
          </w:tcPr>
          <w:p>
            <w:pPr>
              <w:pStyle w:val="12"/>
            </w:pPr>
            <w:r>
              <w:t>政府采购项目来源</w:t>
            </w:r>
          </w:p>
        </w:tc>
        <w:tc>
          <w:tcPr>
            <w:tcW w:w="893" w:type="dxa"/>
            <w:vMerge w:val="restart"/>
            <w:vAlign w:val="center"/>
          </w:tcPr>
          <w:p>
            <w:pPr>
              <w:pStyle w:val="12"/>
            </w:pPr>
            <w:r>
              <w:t>采购物品名称</w:t>
            </w:r>
          </w:p>
        </w:tc>
        <w:tc>
          <w:tcPr>
            <w:tcW w:w="900" w:type="dxa"/>
            <w:vMerge w:val="restart"/>
            <w:vAlign w:val="center"/>
          </w:tcPr>
          <w:p>
            <w:pPr>
              <w:pStyle w:val="12"/>
            </w:pPr>
            <w:r>
              <w:t>政府采购目录序号</w:t>
            </w:r>
          </w:p>
        </w:tc>
        <w:tc>
          <w:tcPr>
            <w:tcW w:w="1184" w:type="dxa"/>
            <w:vMerge w:val="restart"/>
            <w:vAlign w:val="center"/>
          </w:tcPr>
          <w:p>
            <w:pPr>
              <w:pStyle w:val="12"/>
            </w:pPr>
            <w:r>
              <w:t>计量  单位</w:t>
            </w:r>
          </w:p>
        </w:tc>
        <w:tc>
          <w:tcPr>
            <w:tcW w:w="850" w:type="dxa"/>
            <w:vMerge w:val="restart"/>
            <w:vAlign w:val="center"/>
          </w:tcPr>
          <w:p>
            <w:pPr>
              <w:pStyle w:val="12"/>
            </w:pPr>
            <w:r>
              <w:t>数量</w:t>
            </w:r>
          </w:p>
        </w:tc>
        <w:tc>
          <w:tcPr>
            <w:tcW w:w="696" w:type="dxa"/>
            <w:vMerge w:val="restart"/>
            <w:vAlign w:val="center"/>
          </w:tcPr>
          <w:p>
            <w:pPr>
              <w:pStyle w:val="12"/>
            </w:pPr>
            <w:r>
              <w:t>单价</w:t>
            </w:r>
          </w:p>
        </w:tc>
        <w:tc>
          <w:tcPr>
            <w:tcW w:w="7866" w:type="dxa"/>
            <w:gridSpan w:val="8"/>
            <w:vAlign w:val="center"/>
          </w:tcPr>
          <w:p>
            <w:pPr>
              <w:pStyle w:val="12"/>
            </w:pPr>
            <w:r>
              <w:t>政府采购金额（当年部门预算安排资金）</w:t>
            </w:r>
          </w:p>
        </w:tc>
        <w:tc>
          <w:tcPr>
            <w:tcW w:w="964" w:type="dxa"/>
            <w:vMerge w:val="restart"/>
            <w:vAlign w:val="center"/>
          </w:tcPr>
          <w:p>
            <w:pPr>
              <w:pStyle w:val="12"/>
            </w:pPr>
            <w:r>
              <w:t>202</w:t>
            </w:r>
            <w:r>
              <w:rPr>
                <w:rFonts w:hint="eastAsia"/>
                <w:lang w:eastAsia="zh-CN"/>
              </w:rPr>
              <w:t>1</w:t>
            </w:r>
            <w:r>
              <w:t>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19" w:type="dxa"/>
            <w:vAlign w:val="center"/>
          </w:tcPr>
          <w:p>
            <w:pPr>
              <w:pStyle w:val="12"/>
            </w:pPr>
            <w:r>
              <w:t>项目名称</w:t>
            </w:r>
          </w:p>
        </w:tc>
        <w:tc>
          <w:tcPr>
            <w:tcW w:w="964" w:type="dxa"/>
            <w:vAlign w:val="center"/>
          </w:tcPr>
          <w:p>
            <w:pPr>
              <w:pStyle w:val="12"/>
            </w:pPr>
            <w:r>
              <w:t>预算    资金</w:t>
            </w:r>
          </w:p>
        </w:tc>
        <w:tc>
          <w:tcPr>
            <w:tcW w:w="893" w:type="dxa"/>
            <w:vMerge w:val="continue"/>
          </w:tcPr>
          <w:p/>
        </w:tc>
        <w:tc>
          <w:tcPr>
            <w:tcW w:w="900" w:type="dxa"/>
            <w:vMerge w:val="continue"/>
          </w:tcPr>
          <w:p/>
        </w:tc>
        <w:tc>
          <w:tcPr>
            <w:tcW w:w="1184" w:type="dxa"/>
            <w:vMerge w:val="continue"/>
          </w:tcPr>
          <w:p/>
        </w:tc>
        <w:tc>
          <w:tcPr>
            <w:tcW w:w="850" w:type="dxa"/>
            <w:vMerge w:val="continue"/>
          </w:tcPr>
          <w:p/>
        </w:tc>
        <w:tc>
          <w:tcPr>
            <w:tcW w:w="696" w:type="dxa"/>
            <w:vMerge w:val="continue"/>
          </w:tcPr>
          <w:p/>
        </w:tc>
        <w:tc>
          <w:tcPr>
            <w:tcW w:w="1118" w:type="dxa"/>
            <w:vAlign w:val="center"/>
          </w:tcPr>
          <w:p>
            <w:pPr>
              <w:pStyle w:val="12"/>
            </w:pPr>
            <w:r>
              <w:t>合计</w:t>
            </w:r>
          </w:p>
        </w:tc>
        <w:tc>
          <w:tcPr>
            <w:tcW w:w="964" w:type="dxa"/>
            <w:vAlign w:val="center"/>
          </w:tcPr>
          <w:p>
            <w:pPr>
              <w:pStyle w:val="12"/>
            </w:pPr>
            <w:r>
              <w:t>一般公共预算拨款</w:t>
            </w:r>
          </w:p>
        </w:tc>
        <w:tc>
          <w:tcPr>
            <w:tcW w:w="964" w:type="dxa"/>
            <w:vAlign w:val="center"/>
          </w:tcPr>
          <w:p>
            <w:pPr>
              <w:pStyle w:val="12"/>
            </w:pPr>
            <w:r>
              <w:t>基金预算拨款</w:t>
            </w:r>
          </w:p>
        </w:tc>
        <w:tc>
          <w:tcPr>
            <w:tcW w:w="964" w:type="dxa"/>
            <w:vAlign w:val="center"/>
          </w:tcPr>
          <w:p>
            <w:pPr>
              <w:pStyle w:val="12"/>
            </w:pPr>
            <w:r>
              <w:t>国有资本经营预算拨款</w:t>
            </w:r>
          </w:p>
        </w:tc>
        <w:tc>
          <w:tcPr>
            <w:tcW w:w="964" w:type="dxa"/>
            <w:vAlign w:val="center"/>
          </w:tcPr>
          <w:p>
            <w:pPr>
              <w:pStyle w:val="12"/>
            </w:pPr>
            <w:r>
              <w:t>财政专户核拨</w:t>
            </w:r>
          </w:p>
        </w:tc>
        <w:tc>
          <w:tcPr>
            <w:tcW w:w="964" w:type="dxa"/>
            <w:vAlign w:val="center"/>
          </w:tcPr>
          <w:p>
            <w:pPr>
              <w:pStyle w:val="12"/>
            </w:pPr>
            <w:r>
              <w:t>单位    资金</w:t>
            </w:r>
          </w:p>
        </w:tc>
        <w:tc>
          <w:tcPr>
            <w:tcW w:w="964" w:type="dxa"/>
            <w:vAlign w:val="center"/>
          </w:tcPr>
          <w:p>
            <w:pPr>
              <w:pStyle w:val="12"/>
            </w:pPr>
            <w:r>
              <w:t>财政拨    款结转</w:t>
            </w:r>
          </w:p>
        </w:tc>
        <w:tc>
          <w:tcPr>
            <w:tcW w:w="964" w:type="dxa"/>
            <w:vAlign w:val="center"/>
          </w:tcPr>
          <w:p>
            <w:pPr>
              <w:pStyle w:val="12"/>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19" w:type="dxa"/>
            <w:vAlign w:val="center"/>
          </w:tcPr>
          <w:p>
            <w:pPr>
              <w:pStyle w:val="13"/>
            </w:pPr>
          </w:p>
        </w:tc>
        <w:tc>
          <w:tcPr>
            <w:tcW w:w="964" w:type="dxa"/>
            <w:vAlign w:val="center"/>
          </w:tcPr>
          <w:p>
            <w:pPr>
              <w:pStyle w:val="14"/>
            </w:pPr>
          </w:p>
        </w:tc>
        <w:tc>
          <w:tcPr>
            <w:tcW w:w="893" w:type="dxa"/>
            <w:vAlign w:val="center"/>
          </w:tcPr>
          <w:p>
            <w:pPr>
              <w:pStyle w:val="15"/>
            </w:pPr>
          </w:p>
        </w:tc>
        <w:tc>
          <w:tcPr>
            <w:tcW w:w="900" w:type="dxa"/>
            <w:vAlign w:val="center"/>
          </w:tcPr>
          <w:p>
            <w:pPr>
              <w:pStyle w:val="15"/>
            </w:pPr>
          </w:p>
        </w:tc>
        <w:tc>
          <w:tcPr>
            <w:tcW w:w="1184" w:type="dxa"/>
            <w:vAlign w:val="center"/>
          </w:tcPr>
          <w:p>
            <w:pPr>
              <w:pStyle w:val="13"/>
            </w:pPr>
          </w:p>
        </w:tc>
        <w:tc>
          <w:tcPr>
            <w:tcW w:w="850" w:type="dxa"/>
            <w:vAlign w:val="center"/>
          </w:tcPr>
          <w:p>
            <w:pPr>
              <w:pStyle w:val="14"/>
            </w:pPr>
          </w:p>
        </w:tc>
        <w:tc>
          <w:tcPr>
            <w:tcW w:w="696" w:type="dxa"/>
            <w:vAlign w:val="center"/>
          </w:tcPr>
          <w:p>
            <w:pPr>
              <w:pStyle w:val="14"/>
            </w:pPr>
          </w:p>
        </w:tc>
        <w:tc>
          <w:tcPr>
            <w:tcW w:w="1118"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r>
    </w:tbl>
    <w:p>
      <w:pPr>
        <w:spacing w:line="360" w:lineRule="auto"/>
        <w:rPr>
          <w:rFonts w:ascii="仿宋" w:hAnsi="仿宋" w:eastAsia="仿宋"/>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上年末我部门固定资产总金额为5590.16万元（详见下表）。我单位本年度无国有资产购置计划，拟购置金额为</w:t>
      </w:r>
      <w:r>
        <w:rPr>
          <w:rFonts w:ascii="仿宋" w:hAnsi="仿宋" w:eastAsia="仿宋"/>
          <w:sz w:val="32"/>
          <w:szCs w:val="32"/>
        </w:rPr>
        <w:t>0。</w:t>
      </w:r>
    </w:p>
    <w:p>
      <w:pPr>
        <w:spacing w:line="360" w:lineRule="auto"/>
        <w:ind w:firstLine="640" w:firstLineChars="200"/>
        <w:rPr>
          <w:rFonts w:ascii="仿宋" w:hAnsi="仿宋" w:eastAsia="仿宋"/>
          <w:sz w:val="32"/>
          <w:szCs w:val="32"/>
        </w:rPr>
      </w:pP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w:t>
            </w:r>
            <w:r>
              <w:rPr>
                <w:rFonts w:hint="eastAsia" w:ascii="仿宋_GB2312" w:hAnsi="仿宋" w:eastAsia="仿宋_GB2312" w:cs="宋体"/>
                <w:bCs/>
                <w:color w:val="FF0000"/>
                <w:kern w:val="0"/>
                <w:sz w:val="28"/>
                <w:szCs w:val="28"/>
              </w:rPr>
              <w:t>0年12月31日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5590.16</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4523.33</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4523.33</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5590.16</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宋体"/>
    <w:panose1 w:val="00000000000000000000"/>
    <w:charset w:val="86"/>
    <w:family w:val="script"/>
    <w:pitch w:val="default"/>
    <w:sig w:usb0="00000000" w:usb1="00000000" w:usb2="00000010" w:usb3="00000000" w:csb0="00040000" w:csb1="00000000"/>
  </w:font>
  <w:font w:name="方正书宋_GBK">
    <w:altName w:val="宋体"/>
    <w:panose1 w:val="00000000000000000000"/>
    <w:charset w:val="86"/>
    <w:family w:val="script"/>
    <w:pitch w:val="default"/>
    <w:sig w:usb0="00000000" w:usb1="00000000" w:usb2="00000010" w:usb3="00000000" w:csb0="00040000" w:csb1="00000000"/>
  </w:font>
  <w:font w:name="方正仿宋_GBK">
    <w:altName w:val="宋体"/>
    <w:panose1 w:val="00000000000000000000"/>
    <w:charset w:val="86"/>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11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M0MTg3ODcyYWM2NGU4ZmRlNjQ5N2M3N2JkYjM1YWEifQ=="/>
  </w:docVars>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D1462"/>
    <w:rsid w:val="001F4875"/>
    <w:rsid w:val="00212335"/>
    <w:rsid w:val="002918C6"/>
    <w:rsid w:val="00291EF3"/>
    <w:rsid w:val="00296524"/>
    <w:rsid w:val="002E01F6"/>
    <w:rsid w:val="002F1ACB"/>
    <w:rsid w:val="002F530F"/>
    <w:rsid w:val="00305E97"/>
    <w:rsid w:val="00310532"/>
    <w:rsid w:val="0032782B"/>
    <w:rsid w:val="00340B3D"/>
    <w:rsid w:val="0034253A"/>
    <w:rsid w:val="003669CF"/>
    <w:rsid w:val="00367A30"/>
    <w:rsid w:val="00397DE8"/>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6ADC"/>
    <w:rsid w:val="005C7B89"/>
    <w:rsid w:val="0062788A"/>
    <w:rsid w:val="00641F8A"/>
    <w:rsid w:val="0066383B"/>
    <w:rsid w:val="006A6FA2"/>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906EF"/>
    <w:rsid w:val="00CC7D74"/>
    <w:rsid w:val="00D02F97"/>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14BA"/>
    <w:rsid w:val="00F35D4B"/>
    <w:rsid w:val="00F3746B"/>
    <w:rsid w:val="00F572CB"/>
    <w:rsid w:val="00F621AF"/>
    <w:rsid w:val="00F8024E"/>
    <w:rsid w:val="00F82447"/>
    <w:rsid w:val="00F868E5"/>
    <w:rsid w:val="00FB2F32"/>
    <w:rsid w:val="00FC3191"/>
    <w:rsid w:val="00FE0F1F"/>
    <w:rsid w:val="00FF61F3"/>
    <w:rsid w:val="04CD2114"/>
    <w:rsid w:val="202110DB"/>
    <w:rsid w:val="21B91C7B"/>
    <w:rsid w:val="22711019"/>
    <w:rsid w:val="26447838"/>
    <w:rsid w:val="26E10430"/>
    <w:rsid w:val="2A781EB5"/>
    <w:rsid w:val="31B33A44"/>
    <w:rsid w:val="34554457"/>
    <w:rsid w:val="37133676"/>
    <w:rsid w:val="38077679"/>
    <w:rsid w:val="5C1C74EB"/>
    <w:rsid w:val="5C2108DE"/>
    <w:rsid w:val="6A7C5E11"/>
    <w:rsid w:val="6C134FBF"/>
    <w:rsid w:val="6FEB6A08"/>
    <w:rsid w:val="70E430D5"/>
    <w:rsid w:val="734A271D"/>
    <w:rsid w:val="77AE2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 w:type="paragraph" w:customStyle="1" w:styleId="10">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1">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2">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3">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4">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5">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6">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6550D4-38C3-42A6-9F81-9B1639FEDCE4}">
  <ds:schemaRefs/>
</ds:datastoreItem>
</file>

<file path=docProps/app.xml><?xml version="1.0" encoding="utf-8"?>
<Properties xmlns="http://schemas.openxmlformats.org/officeDocument/2006/extended-properties" xmlns:vt="http://schemas.openxmlformats.org/officeDocument/2006/docPropsVTypes">
  <Template>Normal</Template>
  <Pages>14</Pages>
  <Words>902</Words>
  <Characters>5146</Characters>
  <Lines>42</Lines>
  <Paragraphs>12</Paragraphs>
  <TotalTime>7</TotalTime>
  <ScaleCrop>false</ScaleCrop>
  <LinksUpToDate>false</LinksUpToDate>
  <CharactersWithSpaces>6036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2023-11-16T02:42:14Z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E3B517BA4AD141399014A4F539E2D8C8</vt:lpwstr>
  </property>
</Properties>
</file>