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78" w:lineRule="exact"/>
        <w:jc w:val="left"/>
        <w:rPr>
          <w:rFonts w:ascii="仿宋_GB2312" w:hAnsi="宋体" w:cs="宋体"/>
          <w:color w:val="000000"/>
          <w:sz w:val="32"/>
          <w:szCs w:val="32"/>
        </w:rPr>
      </w:pPr>
      <w:r>
        <w:rPr>
          <w:rFonts w:hint="eastAsia" w:ascii="仿宋_GB2312" w:hAnsi="宋体" w:cs="宋体"/>
          <w:color w:val="000000"/>
          <w:sz w:val="32"/>
          <w:szCs w:val="32"/>
        </w:rPr>
        <w:t>附件1</w:t>
      </w:r>
    </w:p>
    <w:p>
      <w:pPr>
        <w:spacing w:line="360" w:lineRule="auto"/>
        <w:jc w:val="center"/>
        <w:rPr>
          <w:rFonts w:ascii="宋体" w:hAnsi="宋体" w:eastAsia="宋体"/>
          <w:b/>
          <w:sz w:val="44"/>
          <w:szCs w:val="44"/>
        </w:rPr>
      </w:pPr>
      <w:r>
        <w:rPr>
          <w:rFonts w:hint="eastAsia" w:ascii="宋体" w:hAnsi="宋体" w:eastAsia="宋体"/>
          <w:b/>
          <w:sz w:val="44"/>
          <w:szCs w:val="44"/>
        </w:rPr>
        <w:t>保定市徐水区教师发展中心</w:t>
      </w:r>
    </w:p>
    <w:p>
      <w:pPr>
        <w:spacing w:line="360" w:lineRule="auto"/>
        <w:jc w:val="center"/>
        <w:rPr>
          <w:rFonts w:ascii="宋体" w:hAnsi="宋体" w:eastAsia="宋体"/>
          <w:b/>
          <w:sz w:val="44"/>
          <w:szCs w:val="44"/>
        </w:rPr>
      </w:pPr>
      <w:r>
        <w:rPr>
          <w:rFonts w:ascii="宋体" w:hAnsi="宋体" w:eastAsia="宋体"/>
          <w:b/>
          <w:sz w:val="44"/>
          <w:szCs w:val="44"/>
        </w:rPr>
        <w:t>2021年部门预算公开说明</w:t>
      </w:r>
    </w:p>
    <w:p>
      <w:pPr>
        <w:tabs>
          <w:tab w:val="left" w:pos="5274"/>
        </w:tabs>
        <w:spacing w:line="360" w:lineRule="auto"/>
        <w:ind w:firstLine="640" w:firstLineChars="200"/>
        <w:rPr>
          <w:rFonts w:ascii="仿宋" w:hAnsi="仿宋" w:eastAsia="仿宋"/>
          <w:sz w:val="32"/>
          <w:szCs w:val="32"/>
        </w:rPr>
      </w:pPr>
      <w:r>
        <w:rPr>
          <w:rFonts w:ascii="仿宋" w:hAnsi="仿宋" w:eastAsia="仿宋"/>
          <w:sz w:val="32"/>
          <w:szCs w:val="32"/>
        </w:rPr>
        <w:tab/>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w:t>
      </w:r>
      <w:r>
        <w:rPr>
          <w:rFonts w:hint="eastAsia" w:ascii="仿宋" w:hAnsi="仿宋" w:eastAsia="仿宋"/>
          <w:sz w:val="32"/>
          <w:szCs w:val="32"/>
          <w:lang w:eastAsia="zh-CN"/>
        </w:rPr>
        <w:t>中华人民共和国</w:t>
      </w:r>
      <w:r>
        <w:rPr>
          <w:rFonts w:hint="eastAsia" w:ascii="仿宋" w:hAnsi="仿宋" w:eastAsia="仿宋"/>
          <w:sz w:val="32"/>
          <w:szCs w:val="32"/>
        </w:rPr>
        <w:t>预算法》、《地方预决算公开操作规程》等文件规定，现将我部门预算信息公开如下：</w:t>
      </w:r>
    </w:p>
    <w:p>
      <w:pPr>
        <w:jc w:val="center"/>
        <w:outlineLvl w:val="0"/>
        <w:rPr>
          <w:rFonts w:ascii="方正小标宋_GBK" w:eastAsia="方正小标宋_GBK"/>
          <w:sz w:val="44"/>
        </w:rPr>
      </w:pPr>
      <w:r>
        <w:rPr>
          <w:rFonts w:hint="eastAsia" w:ascii="方正小标宋_GBK" w:eastAsia="方正小标宋_GBK"/>
          <w:sz w:val="44"/>
        </w:rPr>
        <w:t>第一部分</w:t>
      </w:r>
      <w:r>
        <w:rPr>
          <w:rFonts w:ascii="方正小标宋_GBK" w:eastAsia="方正小标宋_GBK"/>
          <w:sz w:val="44"/>
        </w:rPr>
        <w:t>:部门职责及机构设置情况</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一、部门职责</w:t>
      </w:r>
    </w:p>
    <w:p>
      <w:pPr>
        <w:spacing w:line="360" w:lineRule="auto"/>
        <w:ind w:firstLine="640" w:firstLineChars="200"/>
        <w:rPr>
          <w:rFonts w:ascii="仿宋" w:hAnsi="仿宋" w:eastAsia="仿宋"/>
          <w:sz w:val="32"/>
          <w:szCs w:val="32"/>
        </w:rPr>
      </w:pPr>
      <w:r>
        <w:rPr>
          <w:rFonts w:ascii="仿宋" w:hAnsi="仿宋" w:eastAsia="仿宋"/>
          <w:sz w:val="32"/>
          <w:szCs w:val="32"/>
        </w:rPr>
        <w:t>根据《保定市徐水区</w:t>
      </w:r>
      <w:r>
        <w:rPr>
          <w:rFonts w:hint="eastAsia" w:ascii="仿宋" w:hAnsi="仿宋" w:eastAsia="仿宋"/>
          <w:sz w:val="32"/>
          <w:szCs w:val="32"/>
        </w:rPr>
        <w:t>机构</w:t>
      </w:r>
      <w:r>
        <w:rPr>
          <w:rFonts w:ascii="仿宋" w:hAnsi="仿宋" w:eastAsia="仿宋"/>
          <w:sz w:val="32"/>
          <w:szCs w:val="32"/>
        </w:rPr>
        <w:t>编制委员会办公室关于设立保定市徐水区</w:t>
      </w:r>
      <w:r>
        <w:rPr>
          <w:rFonts w:hint="eastAsia" w:ascii="仿宋" w:hAnsi="仿宋" w:eastAsia="仿宋"/>
          <w:sz w:val="32"/>
          <w:szCs w:val="32"/>
        </w:rPr>
        <w:t>教师发展中心的通知</w:t>
      </w:r>
      <w:r>
        <w:rPr>
          <w:rFonts w:ascii="仿宋" w:hAnsi="仿宋" w:eastAsia="仿宋"/>
          <w:sz w:val="32"/>
          <w:szCs w:val="32"/>
        </w:rPr>
        <w:t>》</w:t>
      </w:r>
      <w:r>
        <w:rPr>
          <w:rFonts w:hint="eastAsia" w:ascii="仿宋" w:hAnsi="仿宋" w:eastAsia="仿宋"/>
          <w:sz w:val="32"/>
          <w:szCs w:val="32"/>
        </w:rPr>
        <w:t>（徐</w:t>
      </w:r>
      <w:r>
        <w:rPr>
          <w:rFonts w:ascii="仿宋" w:hAnsi="仿宋" w:eastAsia="仿宋"/>
          <w:sz w:val="32"/>
          <w:szCs w:val="32"/>
        </w:rPr>
        <w:t>编办字【</w:t>
      </w:r>
      <w:r>
        <w:rPr>
          <w:rFonts w:hint="eastAsia" w:ascii="仿宋" w:hAnsi="仿宋" w:eastAsia="仿宋"/>
          <w:sz w:val="32"/>
          <w:szCs w:val="32"/>
        </w:rPr>
        <w:t>2015</w:t>
      </w:r>
      <w:r>
        <w:rPr>
          <w:rFonts w:ascii="仿宋" w:hAnsi="仿宋" w:eastAsia="仿宋"/>
          <w:sz w:val="32"/>
          <w:szCs w:val="32"/>
        </w:rPr>
        <w:t>】</w:t>
      </w:r>
      <w:r>
        <w:rPr>
          <w:rFonts w:hint="eastAsia" w:ascii="仿宋" w:hAnsi="仿宋" w:eastAsia="仿宋"/>
          <w:sz w:val="32"/>
          <w:szCs w:val="32"/>
        </w:rPr>
        <w:t>13号），</w:t>
      </w:r>
      <w:r>
        <w:rPr>
          <w:rFonts w:ascii="仿宋" w:hAnsi="仿宋" w:eastAsia="仿宋"/>
          <w:sz w:val="32"/>
          <w:szCs w:val="32"/>
        </w:rPr>
        <w:t>保定市徐水区</w:t>
      </w:r>
      <w:r>
        <w:rPr>
          <w:rFonts w:hint="eastAsia" w:ascii="仿宋" w:hAnsi="仿宋" w:eastAsia="仿宋"/>
          <w:sz w:val="32"/>
          <w:szCs w:val="32"/>
        </w:rPr>
        <w:t>教师发展中心</w:t>
      </w:r>
      <w:r>
        <w:rPr>
          <w:rFonts w:ascii="仿宋" w:hAnsi="仿宋" w:eastAsia="仿宋"/>
          <w:sz w:val="32"/>
          <w:szCs w:val="32"/>
        </w:rPr>
        <w:t>的主要职责是：</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一)在职教师培训。组织实施全区中小学、幼儿园校(园)长和教师的继续教育;完成各级教育行政部门安排的校(园)长和教师培训;为中小学、幼儿园开展校本研训提供指导和服务。负责对中小学、幼儿园教师年度培训考核的组织管理。</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(二)教师资格定期注册。做好中小学、幼儿园教师资格注册的组织、协调和服务</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(三)开展教育教学研究。开展教育科研、教学方法研究和教改实验。</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四)促进教师专业发展。在教育局的领导下，做好对教师专业发展的业务管理、统筹和指导。承担教师专业发展学校建的组织、管理、协调、指导和服务工作，为广大教师构建终身教育体系提供必要的场所、设施、设备和资源，充分发挥教师发展中心作为区级教师专业发展学校总校的作用。</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(五)促进教师教育信息化建设。承担教师远程教育的规划</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实施和管理，指导中小学、幼儿园教师开展现代信息技术在教学中的应用，引导中小学、幼儿园教师充分利用各种信息资源开展自主学习与自我发展。</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(六)为教育发展出谋划策。开展教育改革与发展重大课题研究和教师队伍建设研究，为教育局制定政策提供服务。</w:t>
      </w:r>
    </w:p>
    <w:p>
      <w:pPr>
        <w:spacing w:line="360" w:lineRule="auto"/>
        <w:ind w:firstLine="640" w:firstLineChars="200"/>
        <w:rPr>
          <w:rFonts w:ascii="仿宋" w:hAnsi="仿宋" w:eastAsia="仿宋"/>
          <w:sz w:val="32"/>
          <w:szCs w:val="32"/>
        </w:rPr>
      </w:pP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二、机构设置</w:t>
      </w:r>
    </w:p>
    <w:tbl>
      <w:tblPr>
        <w:tblStyle w:val="5"/>
        <w:tblW w:w="10063"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992"/>
        <w:gridCol w:w="2692"/>
        <w:gridCol w:w="1701"/>
        <w:gridCol w:w="1418"/>
        <w:gridCol w:w="326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序号</w:t>
            </w:r>
          </w:p>
        </w:tc>
        <w:tc>
          <w:tcPr>
            <w:tcW w:w="2692"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单位名称</w:t>
            </w:r>
          </w:p>
        </w:tc>
        <w:tc>
          <w:tcPr>
            <w:tcW w:w="1701"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单位性质</w:t>
            </w:r>
          </w:p>
        </w:tc>
        <w:tc>
          <w:tcPr>
            <w:tcW w:w="1418"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单位规格</w:t>
            </w:r>
          </w:p>
        </w:tc>
        <w:tc>
          <w:tcPr>
            <w:tcW w:w="3260"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1</w:t>
            </w:r>
          </w:p>
        </w:tc>
        <w:tc>
          <w:tcPr>
            <w:tcW w:w="2692" w:type="dxa"/>
            <w:tcBorders>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教师发展中心</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w:t>
            </w:r>
            <w:r>
              <w:rPr>
                <w:rFonts w:ascii="仿宋_GB2312" w:hAnsi="仿宋" w:eastAsia="仿宋_GB2312"/>
                <w:bCs/>
                <w:sz w:val="24"/>
                <w:szCs w:val="24"/>
              </w:rPr>
              <w:t>额</w:t>
            </w:r>
            <w:r>
              <w:rPr>
                <w:rFonts w:hint="eastAsia" w:ascii="仿宋_GB2312" w:hAnsi="仿宋" w:eastAsia="仿宋_GB2312"/>
                <w:bCs/>
                <w:sz w:val="24"/>
                <w:szCs w:val="24"/>
              </w:rPr>
              <w:t>事业</w:t>
            </w:r>
          </w:p>
        </w:tc>
        <w:tc>
          <w:tcPr>
            <w:tcW w:w="1418" w:type="dxa"/>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3260" w:type="dxa"/>
            <w:vAlign w:val="center"/>
          </w:tcPr>
          <w:p>
            <w:pPr>
              <w:widowControl/>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bl>
    <w:p>
      <w:pPr>
        <w:spacing w:line="360" w:lineRule="auto"/>
        <w:rPr>
          <w:rFonts w:ascii="仿宋" w:hAnsi="仿宋" w:eastAsia="仿宋"/>
          <w:b/>
          <w:sz w:val="32"/>
          <w:szCs w:val="32"/>
        </w:rPr>
      </w:pPr>
    </w:p>
    <w:p>
      <w:pPr>
        <w:jc w:val="center"/>
        <w:outlineLvl w:val="0"/>
        <w:rPr>
          <w:rFonts w:ascii="方正小标宋_GBK" w:eastAsia="方正小标宋_GBK"/>
          <w:sz w:val="44"/>
        </w:rPr>
      </w:pPr>
      <w:r>
        <w:rPr>
          <w:rFonts w:hint="eastAsia" w:ascii="方正小标宋_GBK" w:eastAsia="方正小标宋_GBK"/>
          <w:sz w:val="44"/>
        </w:rPr>
        <w:t>第二部分：部门预算安排的总体情况</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按照预算管理有关规定，目前我区部门预算的编制实行综合预算制度，即全部收入和支出都反映</w:t>
      </w:r>
      <w:r>
        <w:rPr>
          <w:rFonts w:ascii="仿宋" w:hAnsi="仿宋" w:eastAsia="仿宋"/>
          <w:sz w:val="32"/>
          <w:szCs w:val="32"/>
        </w:rPr>
        <w:t>在</w:t>
      </w:r>
      <w:r>
        <w:rPr>
          <w:rFonts w:hint="eastAsia" w:ascii="仿宋" w:hAnsi="仿宋" w:eastAsia="仿宋"/>
          <w:sz w:val="32"/>
          <w:szCs w:val="32"/>
        </w:rPr>
        <w:t>预算中。我部门及所属事业单位的收支包含在部门预算中。</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一、收入说明</w:t>
      </w:r>
    </w:p>
    <w:p>
      <w:pPr>
        <w:spacing w:line="360" w:lineRule="auto"/>
        <w:ind w:firstLine="640" w:firstLineChars="200"/>
        <w:rPr>
          <w:rFonts w:ascii="仿宋" w:hAnsi="仿宋" w:eastAsia="仿宋"/>
          <w:sz w:val="32"/>
          <w:szCs w:val="32"/>
        </w:rPr>
      </w:pPr>
      <w:r>
        <w:rPr>
          <w:rFonts w:ascii="仿宋" w:hAnsi="仿宋" w:eastAsia="仿宋"/>
          <w:sz w:val="32"/>
          <w:szCs w:val="32"/>
        </w:rPr>
        <w:t>2021年预算收入为</w:t>
      </w:r>
      <w:r>
        <w:rPr>
          <w:rFonts w:hint="eastAsia" w:ascii="仿宋" w:hAnsi="仿宋" w:eastAsia="仿宋"/>
          <w:sz w:val="32"/>
          <w:szCs w:val="32"/>
        </w:rPr>
        <w:t>1999.03</w:t>
      </w:r>
      <w:r>
        <w:rPr>
          <w:rFonts w:ascii="仿宋" w:hAnsi="仿宋" w:eastAsia="仿宋"/>
          <w:sz w:val="32"/>
          <w:szCs w:val="32"/>
        </w:rPr>
        <w:t>万元,其中：一般公共预算收入</w:t>
      </w:r>
      <w:r>
        <w:rPr>
          <w:rFonts w:hint="eastAsia" w:ascii="仿宋" w:hAnsi="仿宋" w:eastAsia="仿宋"/>
          <w:sz w:val="32"/>
          <w:szCs w:val="32"/>
        </w:rPr>
        <w:t>1708.07</w:t>
      </w:r>
      <w:r>
        <w:rPr>
          <w:rFonts w:ascii="仿宋" w:hAnsi="仿宋" w:eastAsia="仿宋"/>
          <w:sz w:val="32"/>
          <w:szCs w:val="32"/>
        </w:rPr>
        <w:t>万元，基金预算收入</w:t>
      </w:r>
      <w:r>
        <w:rPr>
          <w:rFonts w:hint="eastAsia" w:ascii="仿宋" w:hAnsi="仿宋" w:eastAsia="仿宋"/>
          <w:sz w:val="32"/>
          <w:szCs w:val="32"/>
        </w:rPr>
        <w:t>0</w:t>
      </w:r>
      <w:r>
        <w:rPr>
          <w:rFonts w:ascii="仿宋" w:hAnsi="仿宋" w:eastAsia="仿宋"/>
          <w:sz w:val="32"/>
          <w:szCs w:val="32"/>
        </w:rPr>
        <w:t>万元，财政专户收入</w:t>
      </w:r>
      <w:r>
        <w:rPr>
          <w:rFonts w:hint="eastAsia" w:ascii="仿宋" w:hAnsi="仿宋" w:eastAsia="仿宋"/>
          <w:sz w:val="32"/>
          <w:szCs w:val="32"/>
        </w:rPr>
        <w:t>290.96</w:t>
      </w:r>
      <w:r>
        <w:rPr>
          <w:rFonts w:ascii="仿宋" w:hAnsi="仿宋" w:eastAsia="仿宋"/>
          <w:sz w:val="32"/>
          <w:szCs w:val="32"/>
        </w:rPr>
        <w:t>万元，其他来源收入</w:t>
      </w:r>
      <w:r>
        <w:rPr>
          <w:rFonts w:hint="eastAsia" w:ascii="仿宋" w:hAnsi="仿宋" w:eastAsia="仿宋"/>
          <w:sz w:val="32"/>
          <w:szCs w:val="32"/>
        </w:rPr>
        <w:t>0</w:t>
      </w:r>
      <w:r>
        <w:rPr>
          <w:rFonts w:ascii="仿宋" w:hAnsi="仿宋" w:eastAsia="仿宋"/>
          <w:sz w:val="32"/>
          <w:szCs w:val="32"/>
        </w:rPr>
        <w:t>万元。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二、支出说明</w:t>
      </w:r>
    </w:p>
    <w:p>
      <w:pPr>
        <w:spacing w:line="360" w:lineRule="auto"/>
        <w:ind w:firstLine="640" w:firstLineChars="200"/>
        <w:rPr>
          <w:rFonts w:ascii="仿宋" w:hAnsi="仿宋" w:eastAsia="仿宋"/>
          <w:sz w:val="32"/>
          <w:szCs w:val="32"/>
        </w:rPr>
      </w:pPr>
      <w:r>
        <w:rPr>
          <w:rFonts w:ascii="仿宋" w:hAnsi="仿宋" w:eastAsia="仿宋"/>
          <w:sz w:val="32"/>
          <w:szCs w:val="32"/>
        </w:rPr>
        <w:t>2021年部门支出预算：</w:t>
      </w:r>
      <w:r>
        <w:rPr>
          <w:rFonts w:hint="eastAsia" w:ascii="仿宋" w:hAnsi="仿宋" w:eastAsia="仿宋"/>
          <w:sz w:val="32"/>
          <w:szCs w:val="32"/>
        </w:rPr>
        <w:t>1999.03</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基本支出1682.07万元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其中：人员经费</w:t>
      </w:r>
      <w:r>
        <w:rPr>
          <w:rFonts w:hint="eastAsia" w:ascii="仿宋" w:hAnsi="仿宋" w:eastAsia="仿宋"/>
          <w:sz w:val="32"/>
          <w:szCs w:val="32"/>
        </w:rPr>
        <w:t>1645.61</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日常公用经费</w:t>
      </w:r>
      <w:r>
        <w:rPr>
          <w:rFonts w:hint="eastAsia" w:ascii="仿宋" w:hAnsi="仿宋" w:eastAsia="仿宋"/>
          <w:sz w:val="32"/>
          <w:szCs w:val="32"/>
        </w:rPr>
        <w:t>36.46</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项目支出</w:t>
      </w:r>
      <w:r>
        <w:rPr>
          <w:rFonts w:ascii="仿宋" w:hAnsi="仿宋" w:eastAsia="仿宋"/>
          <w:sz w:val="32"/>
          <w:szCs w:val="32"/>
        </w:rPr>
        <w:t xml:space="preserve"> </w:t>
      </w:r>
      <w:r>
        <w:rPr>
          <w:rFonts w:hint="eastAsia" w:ascii="仿宋" w:hAnsi="仿宋" w:eastAsia="仿宋"/>
          <w:sz w:val="32"/>
          <w:szCs w:val="32"/>
        </w:rPr>
        <w:t>316.96</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其中：本级支出</w:t>
      </w:r>
      <w:r>
        <w:rPr>
          <w:rFonts w:hint="eastAsia" w:ascii="仿宋" w:hAnsi="仿宋" w:eastAsia="仿宋"/>
          <w:sz w:val="32"/>
          <w:szCs w:val="32"/>
        </w:rPr>
        <w:t>316.96</w:t>
      </w:r>
      <w:r>
        <w:rPr>
          <w:rFonts w:ascii="仿宋" w:hAnsi="仿宋" w:eastAsia="仿宋"/>
          <w:sz w:val="32"/>
          <w:szCs w:val="32"/>
        </w:rPr>
        <w:t>万元</w:t>
      </w:r>
    </w:p>
    <w:p>
      <w:pPr>
        <w:spacing w:line="360" w:lineRule="auto"/>
        <w:ind w:firstLine="640" w:firstLineChars="200"/>
        <w:rPr>
          <w:rFonts w:ascii="仿宋" w:hAnsi="仿宋" w:eastAsia="仿宋"/>
          <w:sz w:val="32"/>
          <w:szCs w:val="32"/>
        </w:rPr>
      </w:pP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三、比上年增减情况</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本年度预算收支安排1999.03万元，较上年增加31.76</w:t>
      </w:r>
      <w:r>
        <w:rPr>
          <w:rFonts w:ascii="仿宋" w:hAnsi="仿宋" w:eastAsia="仿宋"/>
          <w:sz w:val="32"/>
          <w:szCs w:val="32"/>
        </w:rPr>
        <w:t>万元。其中:基本支出增加</w:t>
      </w:r>
      <w:r>
        <w:rPr>
          <w:rFonts w:hint="eastAsia" w:ascii="仿宋" w:hAnsi="仿宋" w:eastAsia="仿宋"/>
          <w:sz w:val="32"/>
          <w:szCs w:val="32"/>
        </w:rPr>
        <w:t>48.99</w:t>
      </w:r>
      <w:r>
        <w:rPr>
          <w:rFonts w:ascii="仿宋" w:hAnsi="仿宋" w:eastAsia="仿宋"/>
          <w:sz w:val="32"/>
          <w:szCs w:val="32"/>
        </w:rPr>
        <w:t>万元，主要原因是</w:t>
      </w:r>
      <w:r>
        <w:rPr>
          <w:rFonts w:hint="eastAsia" w:ascii="仿宋" w:hAnsi="仿宋" w:eastAsia="仿宋"/>
          <w:sz w:val="32"/>
          <w:szCs w:val="32"/>
        </w:rPr>
        <w:t>教师工资福利</w:t>
      </w:r>
      <w:r>
        <w:rPr>
          <w:rFonts w:ascii="仿宋" w:hAnsi="仿宋" w:eastAsia="仿宋"/>
          <w:sz w:val="32"/>
          <w:szCs w:val="32"/>
        </w:rPr>
        <w:t>待遇提高</w:t>
      </w:r>
      <w:r>
        <w:rPr>
          <w:rFonts w:hint="eastAsia" w:ascii="仿宋" w:hAnsi="仿宋" w:eastAsia="仿宋"/>
          <w:sz w:val="32"/>
          <w:szCs w:val="32"/>
        </w:rPr>
        <w:t>，</w:t>
      </w:r>
      <w:r>
        <w:rPr>
          <w:rFonts w:ascii="仿宋" w:hAnsi="仿宋" w:eastAsia="仿宋"/>
          <w:sz w:val="32"/>
          <w:szCs w:val="32"/>
        </w:rPr>
        <w:t>导致人员经费增加；项目支出增加</w:t>
      </w:r>
      <w:r>
        <w:rPr>
          <w:rFonts w:hint="eastAsia" w:ascii="仿宋" w:hAnsi="仿宋" w:eastAsia="仿宋"/>
          <w:sz w:val="32"/>
          <w:szCs w:val="32"/>
        </w:rPr>
        <w:t>18.68</w:t>
      </w:r>
      <w:r>
        <w:rPr>
          <w:rFonts w:ascii="仿宋" w:hAnsi="仿宋" w:eastAsia="仿宋"/>
          <w:sz w:val="32"/>
          <w:szCs w:val="32"/>
        </w:rPr>
        <w:t>万元，主要原因是</w:t>
      </w:r>
      <w:r>
        <w:rPr>
          <w:rFonts w:hint="eastAsia" w:ascii="仿宋" w:hAnsi="仿宋" w:eastAsia="仿宋"/>
          <w:sz w:val="32"/>
          <w:szCs w:val="32"/>
        </w:rPr>
        <w:t>本年度增加了教师培训费和提前下达2021年省级现代职业教育发展专项资金预算（社区教育补助）</w:t>
      </w:r>
      <w:r>
        <w:rPr>
          <w:rFonts w:ascii="仿宋" w:hAnsi="仿宋" w:eastAsia="仿宋"/>
          <w:sz w:val="32"/>
          <w:szCs w:val="32"/>
        </w:rPr>
        <w:t>。</w:t>
      </w:r>
    </w:p>
    <w:p>
      <w:pPr>
        <w:spacing w:line="360" w:lineRule="auto"/>
        <w:ind w:firstLine="640" w:firstLineChars="200"/>
        <w:rPr>
          <w:rFonts w:ascii="仿宋" w:hAnsi="仿宋" w:eastAsia="仿宋"/>
          <w:sz w:val="32"/>
          <w:szCs w:val="32"/>
        </w:rPr>
      </w:pPr>
    </w:p>
    <w:p>
      <w:pPr>
        <w:jc w:val="center"/>
        <w:outlineLvl w:val="0"/>
        <w:rPr>
          <w:rFonts w:ascii="方正小标宋_GBK" w:eastAsia="方正小标宋_GBK"/>
          <w:sz w:val="44"/>
        </w:rPr>
      </w:pPr>
      <w:r>
        <w:rPr>
          <w:rFonts w:hint="eastAsia" w:ascii="方正小标宋_GBK" w:eastAsia="方正小标宋_GBK"/>
          <w:sz w:val="44"/>
        </w:rPr>
        <w:t>第三部分：机关运行经费安排情况</w:t>
      </w:r>
    </w:p>
    <w:p>
      <w:pPr>
        <w:spacing w:line="360" w:lineRule="auto"/>
        <w:ind w:firstLine="640" w:firstLineChars="200"/>
        <w:rPr>
          <w:rFonts w:ascii="仿宋" w:hAnsi="仿宋" w:eastAsia="仿宋"/>
          <w:sz w:val="32"/>
          <w:szCs w:val="32"/>
        </w:rPr>
      </w:pPr>
      <w:r>
        <w:rPr>
          <w:rFonts w:ascii="仿宋" w:hAnsi="仿宋" w:eastAsia="仿宋"/>
          <w:sz w:val="32"/>
          <w:szCs w:val="32"/>
        </w:rPr>
        <w:t>2021年我部门机关运行经费安排</w:t>
      </w:r>
      <w:r>
        <w:rPr>
          <w:rFonts w:hint="eastAsia" w:ascii="仿宋" w:hAnsi="仿宋" w:eastAsia="仿宋"/>
          <w:sz w:val="32"/>
          <w:szCs w:val="32"/>
        </w:rPr>
        <w:t>36.46</w:t>
      </w:r>
      <w:r>
        <w:rPr>
          <w:rFonts w:ascii="仿宋" w:hAnsi="仿宋" w:eastAsia="仿宋"/>
          <w:sz w:val="32"/>
          <w:szCs w:val="32"/>
        </w:rPr>
        <w:t>万元，其中</w:t>
      </w:r>
      <w:r>
        <w:rPr>
          <w:rFonts w:hint="eastAsia" w:ascii="仿宋" w:hAnsi="仿宋" w:eastAsia="仿宋"/>
          <w:sz w:val="32"/>
          <w:szCs w:val="32"/>
        </w:rPr>
        <w:t>离退休干部经费5.84</w:t>
      </w:r>
      <w:r>
        <w:rPr>
          <w:rFonts w:ascii="仿宋" w:hAnsi="仿宋" w:eastAsia="仿宋"/>
          <w:sz w:val="32"/>
          <w:szCs w:val="32"/>
        </w:rPr>
        <w:t>万元，</w:t>
      </w:r>
      <w:r>
        <w:rPr>
          <w:rFonts w:hint="eastAsia" w:ascii="仿宋" w:hAnsi="仿宋" w:eastAsia="仿宋"/>
          <w:sz w:val="32"/>
          <w:szCs w:val="32"/>
        </w:rPr>
        <w:t>工会经费17.39</w:t>
      </w:r>
      <w:r>
        <w:rPr>
          <w:rFonts w:ascii="仿宋" w:hAnsi="仿宋" w:eastAsia="仿宋"/>
          <w:sz w:val="32"/>
          <w:szCs w:val="32"/>
        </w:rPr>
        <w:t>万元，</w:t>
      </w:r>
      <w:r>
        <w:rPr>
          <w:rFonts w:hint="eastAsia" w:ascii="仿宋" w:hAnsi="仿宋" w:eastAsia="仿宋"/>
          <w:sz w:val="32"/>
          <w:szCs w:val="32"/>
        </w:rPr>
        <w:t>福利费13.23万。公务用车运行维护费0万元，其他支出0万元。</w:t>
      </w:r>
    </w:p>
    <w:p>
      <w:pPr>
        <w:spacing w:line="360" w:lineRule="auto"/>
        <w:ind w:firstLine="640" w:firstLineChars="200"/>
        <w:rPr>
          <w:rFonts w:ascii="仿宋" w:hAnsi="仿宋" w:eastAsia="仿宋"/>
          <w:sz w:val="32"/>
          <w:szCs w:val="32"/>
        </w:rPr>
      </w:pPr>
    </w:p>
    <w:p>
      <w:pPr>
        <w:jc w:val="center"/>
        <w:outlineLvl w:val="0"/>
        <w:rPr>
          <w:rFonts w:ascii="方正小标宋_GBK" w:eastAsia="方正小标宋_GBK"/>
          <w:sz w:val="44"/>
        </w:rPr>
      </w:pPr>
      <w:r>
        <w:rPr>
          <w:rFonts w:hint="eastAsia" w:ascii="方正小标宋_GBK" w:eastAsia="方正小标宋_GBK"/>
          <w:sz w:val="44"/>
        </w:rPr>
        <w:t>第四部分：财政拨款“三公”经费预算情况及增减变化原因</w:t>
      </w:r>
    </w:p>
    <w:tbl>
      <w:tblPr>
        <w:tblStyle w:val="5"/>
        <w:tblW w:w="5000" w:type="pct"/>
        <w:tblInd w:w="0" w:type="dxa"/>
        <w:tblLayout w:type="autofit"/>
        <w:tblCellMar>
          <w:top w:w="0" w:type="dxa"/>
          <w:left w:w="108" w:type="dxa"/>
          <w:bottom w:w="0" w:type="dxa"/>
          <w:right w:w="108" w:type="dxa"/>
        </w:tblCellMar>
      </w:tblPr>
      <w:tblGrid>
        <w:gridCol w:w="9515"/>
      </w:tblGrid>
      <w:tr>
        <w:trPr>
          <w:trHeight w:val="405" w:hRule="atLeast"/>
        </w:trPr>
        <w:tc>
          <w:tcPr>
            <w:tcW w:w="5000" w:type="pct"/>
            <w:tcBorders>
              <w:top w:val="nil"/>
              <w:left w:val="nil"/>
              <w:bottom w:val="nil"/>
              <w:right w:val="nil"/>
            </w:tcBorders>
            <w:shd w:val="clear" w:color="auto" w:fill="auto"/>
            <w:noWrap/>
            <w:vAlign w:val="center"/>
          </w:tcPr>
          <w:tbl>
            <w:tblPr>
              <w:tblStyle w:val="5"/>
              <w:tblW w:w="0" w:type="auto"/>
              <w:jc w:val="center"/>
              <w:tblLayout w:type="autofit"/>
              <w:tblCellMar>
                <w:top w:w="0" w:type="dxa"/>
                <w:left w:w="108" w:type="dxa"/>
                <w:bottom w:w="0" w:type="dxa"/>
                <w:right w:w="108" w:type="dxa"/>
              </w:tblCellMar>
            </w:tblPr>
            <w:tblGrid>
              <w:gridCol w:w="2163"/>
              <w:gridCol w:w="1276"/>
              <w:gridCol w:w="1418"/>
              <w:gridCol w:w="836"/>
              <w:gridCol w:w="2397"/>
            </w:tblGrid>
            <w:tr>
              <w:tblPrEx>
                <w:tblCellMar>
                  <w:top w:w="0" w:type="dxa"/>
                  <w:left w:w="108" w:type="dxa"/>
                  <w:bottom w:w="0" w:type="dxa"/>
                  <w:right w:w="108" w:type="dxa"/>
                </w:tblCellMar>
              </w:tblPrEx>
              <w:trPr>
                <w:trHeight w:val="405" w:hRule="atLeast"/>
                <w:jc w:val="center"/>
              </w:trPr>
              <w:tc>
                <w:tcPr>
                  <w:tcW w:w="8090" w:type="dxa"/>
                  <w:gridSpan w:val="5"/>
                  <w:tcBorders>
                    <w:top w:val="nil"/>
                    <w:left w:val="nil"/>
                    <w:bottom w:val="nil"/>
                    <w:right w:val="nil"/>
                  </w:tcBorders>
                  <w:vAlign w:val="center"/>
                </w:tcPr>
                <w:p>
                  <w:pPr>
                    <w:spacing w:line="360" w:lineRule="auto"/>
                    <w:rPr>
                      <w:rFonts w:ascii="黑体" w:hAnsi="黑体" w:eastAsia="黑体" w:cs="宋体"/>
                      <w:kern w:val="0"/>
                      <w:sz w:val="32"/>
                      <w:szCs w:val="32"/>
                    </w:rPr>
                  </w:pPr>
                  <w:r>
                    <w:rPr>
                      <w:rFonts w:hint="eastAsia" w:ascii="仿宋" w:hAnsi="仿宋" w:eastAsia="仿宋" w:cs="仿宋"/>
                      <w:b/>
                      <w:bCs/>
                      <w:sz w:val="32"/>
                      <w:szCs w:val="32"/>
                    </w:rPr>
                    <w:t>2021年，我单位无三公经费，空表列示。</w:t>
                  </w:r>
                </w:p>
              </w:tc>
            </w:tr>
            <w:tr>
              <w:tblPrEx>
                <w:tblCellMar>
                  <w:top w:w="0" w:type="dxa"/>
                  <w:left w:w="108" w:type="dxa"/>
                  <w:bottom w:w="0" w:type="dxa"/>
                  <w:right w:w="108" w:type="dxa"/>
                </w:tblCellMar>
              </w:tblPrEx>
              <w:trPr>
                <w:trHeight w:val="221"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right"/>
                    <w:rPr>
                      <w:rFonts w:ascii="宋体" w:hAnsi="宋体" w:cs="宋体"/>
                      <w:kern w:val="0"/>
                      <w:sz w:val="24"/>
                      <w:szCs w:val="24"/>
                    </w:rPr>
                  </w:pPr>
                  <w:r>
                    <w:rPr>
                      <w:rFonts w:hint="eastAsia" w:ascii="宋体" w:hAnsi="宋体" w:cs="宋体"/>
                      <w:kern w:val="0"/>
                      <w:sz w:val="24"/>
                      <w:szCs w:val="24"/>
                    </w:rPr>
                    <w:t>单位：万元</w:t>
                  </w:r>
                </w:p>
              </w:tc>
            </w:tr>
            <w:tr>
              <w:tblPrEx>
                <w:tblCellMar>
                  <w:top w:w="0" w:type="dxa"/>
                  <w:left w:w="108" w:type="dxa"/>
                  <w:bottom w:w="0" w:type="dxa"/>
                  <w:right w:w="108" w:type="dxa"/>
                </w:tblCellMar>
              </w:tblPrEx>
              <w:trPr>
                <w:trHeight w:val="285" w:hRule="atLeast"/>
                <w:jc w:val="center"/>
              </w:trPr>
              <w:tc>
                <w:tcPr>
                  <w:tcW w:w="21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项目名称</w:t>
                  </w:r>
                </w:p>
              </w:tc>
              <w:tc>
                <w:tcPr>
                  <w:tcW w:w="127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2020</w:t>
                  </w:r>
                  <w:r>
                    <w:rPr>
                      <w:rFonts w:hint="eastAsia" w:ascii="仿宋_GB2312" w:hAnsi="宋体" w:eastAsia="仿宋_GB2312" w:cs="宋体"/>
                      <w:b/>
                      <w:kern w:val="0"/>
                      <w:sz w:val="24"/>
                      <w:szCs w:val="24"/>
                    </w:rPr>
                    <w:t>年度预算</w:t>
                  </w:r>
                </w:p>
              </w:tc>
              <w:tc>
                <w:tcPr>
                  <w:tcW w:w="1418"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2021</w:t>
                  </w:r>
                  <w:r>
                    <w:rPr>
                      <w:rFonts w:hint="eastAsia" w:ascii="仿宋_GB2312" w:hAnsi="宋体" w:eastAsia="仿宋_GB2312" w:cs="宋体"/>
                      <w:b/>
                      <w:kern w:val="0"/>
                      <w:sz w:val="24"/>
                      <w:szCs w:val="24"/>
                    </w:rPr>
                    <w:t>年度预算</w:t>
                  </w:r>
                </w:p>
              </w:tc>
              <w:tc>
                <w:tcPr>
                  <w:tcW w:w="83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增减金额</w:t>
                  </w:r>
                </w:p>
              </w:tc>
              <w:tc>
                <w:tcPr>
                  <w:tcW w:w="2397"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变化原因</w:t>
                  </w: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因公出国经费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无变化</w:t>
                  </w: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公务用车购置经费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无变化</w:t>
                  </w:r>
                </w:p>
              </w:tc>
            </w:tr>
            <w:tr>
              <w:tblPrEx>
                <w:tblCellMar>
                  <w:top w:w="0" w:type="dxa"/>
                  <w:left w:w="108" w:type="dxa"/>
                  <w:bottom w:w="0" w:type="dxa"/>
                  <w:right w:w="108" w:type="dxa"/>
                </w:tblCellMar>
              </w:tblPrEx>
              <w:trPr>
                <w:trHeight w:val="570"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公务用车运行经费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无变化</w:t>
                  </w:r>
                </w:p>
              </w:tc>
            </w:tr>
            <w:tr>
              <w:tblPrEx>
                <w:tblCellMar>
                  <w:top w:w="0" w:type="dxa"/>
                  <w:left w:w="108" w:type="dxa"/>
                  <w:bottom w:w="0" w:type="dxa"/>
                  <w:right w:w="108" w:type="dxa"/>
                </w:tblCellMar>
              </w:tblPrEx>
              <w:trPr>
                <w:trHeight w:val="85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公务接待费支出</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无变化</w:t>
                  </w:r>
                </w:p>
              </w:tc>
            </w:tr>
            <w:tr>
              <w:tblPrEx>
                <w:tblCellMar>
                  <w:top w:w="0" w:type="dxa"/>
                  <w:left w:w="108" w:type="dxa"/>
                  <w:bottom w:w="0" w:type="dxa"/>
                  <w:right w:w="108" w:type="dxa"/>
                </w:tblCellMar>
              </w:tblPrEx>
              <w:trPr>
                <w:trHeight w:val="1140"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合计</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无变化</w:t>
                  </w:r>
                </w:p>
              </w:tc>
            </w:tr>
            <w:tr>
              <w:tblPrEx>
                <w:tblCellMar>
                  <w:top w:w="0" w:type="dxa"/>
                  <w:left w:w="108" w:type="dxa"/>
                  <w:bottom w:w="0" w:type="dxa"/>
                  <w:right w:w="108" w:type="dxa"/>
                </w:tblCellMar>
              </w:tblPrEx>
              <w:trPr>
                <w:trHeight w:val="285"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left"/>
                    <w:rPr>
                      <w:rFonts w:ascii="宋体" w:hAnsi="宋体" w:cs="宋体"/>
                      <w:kern w:val="0"/>
                      <w:sz w:val="24"/>
                      <w:szCs w:val="24"/>
                    </w:rPr>
                  </w:pPr>
                </w:p>
              </w:tc>
            </w:tr>
          </w:tbl>
          <w:p>
            <w:pPr>
              <w:widowControl/>
              <w:spacing w:line="520" w:lineRule="exact"/>
              <w:ind w:right="480"/>
              <w:rPr>
                <w:rFonts w:ascii="仿宋" w:hAnsi="仿宋" w:eastAsia="仿宋" w:cs="宋体"/>
                <w:kern w:val="0"/>
                <w:sz w:val="24"/>
                <w:szCs w:val="24"/>
              </w:rPr>
            </w:pPr>
          </w:p>
        </w:tc>
      </w:tr>
    </w:tbl>
    <w:p>
      <w:pPr>
        <w:spacing w:line="360" w:lineRule="auto"/>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第五部分：预算绩效信息</w:t>
      </w:r>
    </w:p>
    <w:p>
      <w:pPr>
        <w:spacing w:line="360" w:lineRule="auto"/>
        <w:jc w:val="left"/>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部门整体</w:t>
      </w:r>
      <w:r>
        <w:rPr>
          <w:rFonts w:ascii="方正小标宋_GBK" w:eastAsia="方正小标宋_GBK"/>
          <w:sz w:val="44"/>
        </w:rPr>
        <w:t>绩效目标</w:t>
      </w:r>
    </w:p>
    <w:p>
      <w:pPr>
        <w:spacing w:before="10" w:after="10"/>
        <w:ind w:firstLine="560"/>
        <w:outlineLvl w:val="1"/>
      </w:pPr>
      <w:bookmarkStart w:id="0" w:name="_Toc_2_2_0000000001"/>
      <w:r>
        <w:rPr>
          <w:rFonts w:ascii="方正黑体_GBK" w:hAnsi="方正黑体_GBK" w:eastAsia="方正黑体_GBK" w:cs="方正黑体_GBK"/>
          <w:color w:val="000000"/>
          <w:sz w:val="28"/>
        </w:rPr>
        <w:t>一、总体绩效目标</w:t>
      </w:r>
      <w:bookmarkEnd w:id="0"/>
    </w:p>
    <w:p>
      <w:pPr>
        <w:pStyle w:val="10"/>
      </w:pPr>
      <w:r>
        <w:t>202</w:t>
      </w:r>
      <w:r>
        <w:rPr>
          <w:rFonts w:hint="eastAsia"/>
          <w:lang w:eastAsia="zh-CN"/>
        </w:rPr>
        <w:t>1</w:t>
      </w:r>
      <w:r>
        <w:t>年徐水</w:t>
      </w:r>
      <w:r>
        <w:rPr>
          <w:rFonts w:hint="eastAsia"/>
          <w:lang w:eastAsia="zh-CN"/>
        </w:rPr>
        <w:t>教师发展</w:t>
      </w:r>
      <w:r>
        <w:rPr>
          <w:lang w:eastAsia="zh-CN"/>
        </w:rPr>
        <w:t>中心</w:t>
      </w:r>
      <w:r>
        <w:t>工作的总体目标是：全力打造师德高尚的专业化教师队伍</w:t>
      </w:r>
      <w:r>
        <w:rPr>
          <w:rFonts w:hint="eastAsia"/>
          <w:lang w:eastAsia="zh-CN"/>
        </w:rPr>
        <w:t>；</w:t>
      </w:r>
      <w:r>
        <w:t>推进</w:t>
      </w:r>
      <w:r>
        <w:rPr>
          <w:rFonts w:hint="eastAsia"/>
          <w:lang w:eastAsia="zh-CN"/>
        </w:rPr>
        <w:t>电大</w:t>
      </w:r>
      <w:r>
        <w:t>教育</w:t>
      </w:r>
      <w:r>
        <w:rPr>
          <w:rFonts w:hint="eastAsia"/>
          <w:lang w:eastAsia="zh-CN"/>
        </w:rPr>
        <w:t>和社区</w:t>
      </w:r>
      <w:r>
        <w:t>教育</w:t>
      </w:r>
      <w:r>
        <w:rPr>
          <w:rFonts w:hint="eastAsia"/>
          <w:lang w:eastAsia="zh-CN"/>
        </w:rPr>
        <w:t>高品质</w:t>
      </w:r>
      <w:r>
        <w:t>发展，</w:t>
      </w:r>
      <w:r>
        <w:rPr>
          <w:rFonts w:hint="eastAsia"/>
          <w:lang w:eastAsia="zh-CN"/>
        </w:rPr>
        <w:t>推进</w:t>
      </w:r>
      <w:r>
        <w:rPr>
          <w:rFonts w:hint="eastAsia"/>
          <w:u w:val="single"/>
          <w:lang w:eastAsia="zh-CN"/>
        </w:rPr>
        <w:t>语言文字工作稳步</w:t>
      </w:r>
      <w:r>
        <w:t>发展；</w:t>
      </w:r>
      <w:r>
        <w:rPr>
          <w:rFonts w:hint="eastAsia"/>
          <w:lang w:eastAsia="zh-CN"/>
        </w:rPr>
        <w:t>积极推动教学楼</w:t>
      </w:r>
      <w:r>
        <w:rPr>
          <w:lang w:eastAsia="zh-CN"/>
        </w:rPr>
        <w:t>建设</w:t>
      </w:r>
      <w:r>
        <w:rPr>
          <w:rFonts w:hint="eastAsia"/>
          <w:lang w:eastAsia="zh-CN"/>
        </w:rPr>
        <w:t>工程</w:t>
      </w:r>
      <w:r>
        <w:rPr>
          <w:lang w:eastAsia="zh-CN"/>
        </w:rPr>
        <w:t>。</w:t>
      </w:r>
      <w:r>
        <w:t>以一流的工作业绩助推我区</w:t>
      </w:r>
      <w:r>
        <w:rPr>
          <w:rFonts w:hint="eastAsia"/>
          <w:lang w:eastAsia="zh-CN"/>
        </w:rPr>
        <w:t>教师培训</w:t>
      </w:r>
      <w:r>
        <w:t>工作在全市当先锋、做表率、走在前。</w:t>
      </w:r>
    </w:p>
    <w:p>
      <w:pPr>
        <w:spacing w:before="10" w:after="10"/>
        <w:ind w:firstLine="560"/>
        <w:outlineLvl w:val="1"/>
      </w:pPr>
      <w:bookmarkStart w:id="1" w:name="_Toc_2_2_0000000002"/>
      <w:r>
        <w:rPr>
          <w:rFonts w:ascii="方正黑体_GBK" w:hAnsi="方正黑体_GBK" w:eastAsia="方正黑体_GBK" w:cs="方正黑体_GBK"/>
          <w:color w:val="000000"/>
          <w:sz w:val="28"/>
        </w:rPr>
        <w:t>二、分项绩效目标</w:t>
      </w:r>
      <w:bookmarkEnd w:id="1"/>
    </w:p>
    <w:p>
      <w:pPr>
        <w:pStyle w:val="11"/>
      </w:pPr>
      <w:r>
        <w:t>(一）全面加强思想政治建设。</w:t>
      </w:r>
    </w:p>
    <w:p>
      <w:pPr>
        <w:pStyle w:val="11"/>
      </w:pPr>
      <w:r>
        <w:t>绩效目标：把学习宣传贯彻习近平新时代中国特色社会主义思想作为首要政治任务，深入学习贯彻习近平总书记关于教育的重要论述。制定202</w:t>
      </w:r>
      <w:r>
        <w:rPr>
          <w:rFonts w:hint="eastAsia"/>
          <w:lang w:eastAsia="zh-CN"/>
        </w:rPr>
        <w:t>1</w:t>
      </w:r>
      <w:r>
        <w:t>年区委教育工委</w:t>
      </w:r>
      <w:r>
        <w:rPr>
          <w:rFonts w:hint="eastAsia"/>
          <w:lang w:eastAsia="zh-CN"/>
        </w:rPr>
        <w:t>理论学习中心组</w:t>
      </w:r>
      <w:r>
        <w:t>学习方案，把习近平新时代中国特色社会主义思想和党的十九大</w:t>
      </w:r>
      <w:r>
        <w:rPr>
          <w:rFonts w:hint="eastAsia"/>
          <w:lang w:eastAsia="zh-CN"/>
        </w:rPr>
        <w:t>和</w:t>
      </w:r>
      <w:r>
        <w:t>十九届历次全会精神纳入</w:t>
      </w:r>
      <w:r>
        <w:rPr>
          <w:rFonts w:hint="eastAsia"/>
          <w:lang w:eastAsia="zh-CN"/>
        </w:rPr>
        <w:t>理论学习中心组</w:t>
      </w:r>
      <w:bookmarkStart w:id="8" w:name="_GoBack"/>
      <w:bookmarkEnd w:id="8"/>
      <w:r>
        <w:t>必学材料，切实把思想和行动统一到党中央、省委、市委、区委决策部署上来。健全完善常态化政治理论学习制度，抓实抓紧教职工政治理论学习，用党的创新理论武装头脑、指导实践、推动工作。加强思想政治工作，推动思想政治理论课改革创新，实现全员育人、全程育人、全方位育人，不断提高工作能力和思想政治工作水平。</w:t>
      </w:r>
    </w:p>
    <w:p>
      <w:pPr>
        <w:pStyle w:val="11"/>
      </w:pPr>
      <w:r>
        <w:t>（二）全力打造师德高尚的专业化教师队伍。</w:t>
      </w:r>
    </w:p>
    <w:p>
      <w:pPr>
        <w:pStyle w:val="11"/>
      </w:pPr>
      <w:r>
        <w:t>绩效目标：</w:t>
      </w:r>
      <w:r>
        <w:rPr>
          <w:rFonts w:hint="eastAsia"/>
          <w:lang w:eastAsia="zh-CN"/>
        </w:rPr>
        <w:t>继续</w:t>
      </w:r>
      <w:r>
        <w:rPr>
          <w:lang w:eastAsia="zh-CN"/>
        </w:rPr>
        <w:t>推进</w:t>
      </w:r>
      <w:r>
        <w:rPr>
          <w:rFonts w:hint="eastAsia"/>
          <w:lang w:eastAsia="zh-CN"/>
        </w:rPr>
        <w:t>市、</w:t>
      </w:r>
      <w:r>
        <w:t>区级和乡镇</w:t>
      </w:r>
      <w:r>
        <w:rPr>
          <w:rFonts w:hint="eastAsia"/>
          <w:lang w:eastAsia="zh-CN"/>
        </w:rPr>
        <w:t>名师工作室工作</w:t>
      </w:r>
      <w:r>
        <w:t>，充实教育研训队伍，提高</w:t>
      </w:r>
      <w:r>
        <w:rPr>
          <w:rFonts w:hint="eastAsia"/>
          <w:lang w:eastAsia="zh-CN"/>
        </w:rPr>
        <w:t>全区教师</w:t>
      </w:r>
      <w:r>
        <w:t>教科研水平，加强</w:t>
      </w:r>
      <w:r>
        <w:rPr>
          <w:rFonts w:hint="eastAsia"/>
          <w:lang w:eastAsia="zh-CN"/>
        </w:rPr>
        <w:t>校</w:t>
      </w:r>
      <w:r>
        <w:t>本教研、区域教研</w:t>
      </w:r>
      <w:r>
        <w:rPr>
          <w:rFonts w:hint="eastAsia"/>
          <w:lang w:eastAsia="zh-CN"/>
        </w:rPr>
        <w:t>，</w:t>
      </w:r>
      <w:r>
        <w:t>促进我区学前教育高质量发展。</w:t>
      </w:r>
    </w:p>
    <w:p>
      <w:pPr>
        <w:pStyle w:val="11"/>
      </w:pPr>
      <w:r>
        <w:t>绩效指标：</w:t>
      </w:r>
      <w:r>
        <w:rPr>
          <w:rFonts w:hint="eastAsia"/>
          <w:lang w:eastAsia="zh-CN"/>
        </w:rPr>
        <w:t>全区教师培训</w:t>
      </w:r>
      <w:r>
        <w:t>率达到90%</w:t>
      </w:r>
      <w:r>
        <w:rPr>
          <w:rFonts w:hint="eastAsia"/>
          <w:lang w:eastAsia="zh-CN"/>
        </w:rPr>
        <w:t>以上</w:t>
      </w:r>
      <w:r>
        <w:t>，受益</w:t>
      </w:r>
      <w:r>
        <w:rPr>
          <w:rFonts w:hint="eastAsia"/>
          <w:lang w:eastAsia="zh-CN"/>
        </w:rPr>
        <w:t>教师和</w:t>
      </w:r>
      <w:r>
        <w:rPr>
          <w:lang w:eastAsia="zh-CN"/>
        </w:rPr>
        <w:t>学生</w:t>
      </w:r>
      <w:r>
        <w:t>、家长满意度达到85%以上。</w:t>
      </w:r>
    </w:p>
    <w:p>
      <w:pPr>
        <w:pStyle w:val="11"/>
      </w:pPr>
      <w:r>
        <w:t>（三）推进</w:t>
      </w:r>
      <w:r>
        <w:rPr>
          <w:rFonts w:hint="eastAsia"/>
          <w:lang w:eastAsia="zh-CN"/>
        </w:rPr>
        <w:t>电大</w:t>
      </w:r>
      <w:r>
        <w:t>教育</w:t>
      </w:r>
      <w:r>
        <w:rPr>
          <w:rFonts w:hint="eastAsia"/>
          <w:lang w:eastAsia="zh-CN"/>
        </w:rPr>
        <w:t>和社区</w:t>
      </w:r>
      <w:r>
        <w:t>教育</w:t>
      </w:r>
      <w:r>
        <w:rPr>
          <w:rFonts w:hint="eastAsia"/>
          <w:lang w:eastAsia="zh-CN"/>
        </w:rPr>
        <w:t>高品质</w:t>
      </w:r>
      <w:r>
        <w:t>发展，。</w:t>
      </w:r>
    </w:p>
    <w:p>
      <w:pPr>
        <w:pStyle w:val="11"/>
        <w:rPr>
          <w:lang w:eastAsia="zh-CN"/>
        </w:rPr>
      </w:pPr>
      <w:r>
        <w:t>绩效目标：</w:t>
      </w:r>
      <w:r>
        <w:rPr>
          <w:rFonts w:hint="eastAsia"/>
          <w:lang w:eastAsia="zh-CN"/>
        </w:rPr>
        <w:t>加强对</w:t>
      </w:r>
      <w:r>
        <w:rPr>
          <w:lang w:eastAsia="zh-CN"/>
        </w:rPr>
        <w:t>电大学员的管理</w:t>
      </w:r>
      <w:r>
        <w:t>，优化作业设计，提升作业质量。全面提升课后服务水平。不断加强课后服务力量，丰富课后服务内容</w:t>
      </w:r>
      <w:r>
        <w:rPr>
          <w:rFonts w:hint="eastAsia"/>
          <w:lang w:eastAsia="zh-CN"/>
        </w:rPr>
        <w:t>，</w:t>
      </w:r>
      <w:r>
        <w:t>保证课后服务时间，提高课后服务质量，满足学生多样化需求。</w:t>
      </w:r>
      <w:r>
        <w:rPr>
          <w:rFonts w:hint="eastAsia"/>
          <w:lang w:eastAsia="zh-CN"/>
        </w:rPr>
        <w:t>不断</w:t>
      </w:r>
      <w:r>
        <w:rPr>
          <w:lang w:eastAsia="zh-CN"/>
        </w:rPr>
        <w:t>推进社区教育活动，</w:t>
      </w:r>
      <w:r>
        <w:rPr>
          <w:rFonts w:hint="eastAsia"/>
          <w:lang w:eastAsia="zh-CN"/>
        </w:rPr>
        <w:t>丰富</w:t>
      </w:r>
      <w:r>
        <w:rPr>
          <w:lang w:eastAsia="zh-CN"/>
        </w:rPr>
        <w:t>社区人们</w:t>
      </w:r>
      <w:r>
        <w:rPr>
          <w:rFonts w:hint="eastAsia"/>
          <w:lang w:eastAsia="zh-CN"/>
        </w:rPr>
        <w:t>生活</w:t>
      </w:r>
      <w:r>
        <w:rPr>
          <w:lang w:eastAsia="zh-CN"/>
        </w:rPr>
        <w:t>，提高</w:t>
      </w:r>
      <w:r>
        <w:rPr>
          <w:rFonts w:hint="eastAsia"/>
          <w:lang w:eastAsia="zh-CN"/>
        </w:rPr>
        <w:t>幸福感</w:t>
      </w:r>
      <w:r>
        <w:rPr>
          <w:lang w:eastAsia="zh-CN"/>
        </w:rPr>
        <w:t>。</w:t>
      </w:r>
    </w:p>
    <w:p>
      <w:pPr>
        <w:pStyle w:val="11"/>
      </w:pPr>
      <w:r>
        <w:t>绩效指标：</w:t>
      </w:r>
      <w:r>
        <w:rPr>
          <w:rFonts w:hint="eastAsia"/>
          <w:lang w:eastAsia="zh-CN"/>
        </w:rPr>
        <w:t>电大学员和</w:t>
      </w:r>
      <w:r>
        <w:rPr>
          <w:lang w:eastAsia="zh-CN"/>
        </w:rPr>
        <w:t>社区居民</w:t>
      </w:r>
      <w:r>
        <w:t>对保障机制的综合满意度≥90%。</w:t>
      </w:r>
    </w:p>
    <w:p>
      <w:pPr>
        <w:pStyle w:val="11"/>
      </w:pPr>
      <w:r>
        <w:t>（四）</w:t>
      </w:r>
      <w:r>
        <w:rPr>
          <w:rFonts w:hint="eastAsia"/>
          <w:lang w:eastAsia="zh-CN"/>
        </w:rPr>
        <w:t>推进</w:t>
      </w:r>
      <w:r>
        <w:rPr>
          <w:rFonts w:hint="eastAsia"/>
          <w:u w:val="single"/>
          <w:lang w:eastAsia="zh-CN"/>
        </w:rPr>
        <w:t>语言文字工作稳步</w:t>
      </w:r>
      <w:r>
        <w:t>发展</w:t>
      </w:r>
    </w:p>
    <w:p>
      <w:pPr>
        <w:pStyle w:val="11"/>
        <w:rPr>
          <w:lang w:eastAsia="zh-CN"/>
        </w:rPr>
      </w:pPr>
      <w:r>
        <w:t>绩效目标：</w:t>
      </w:r>
      <w:r>
        <w:rPr>
          <w:lang w:eastAsia="zh-CN"/>
        </w:rPr>
        <w:t>通过语言文字活动，提高全社会使用普通话和规范汉字的普及率，保障顺利组织普通话报名工作和测试工作。</w:t>
      </w:r>
    </w:p>
    <w:p>
      <w:pPr>
        <w:pStyle w:val="11"/>
      </w:pPr>
      <w:r>
        <w:t>绩效指标：</w:t>
      </w:r>
      <w:r>
        <w:rPr>
          <w:rFonts w:hint="eastAsia"/>
          <w:lang w:eastAsia="zh-CN"/>
        </w:rPr>
        <w:t>加强普通话</w:t>
      </w:r>
      <w:r>
        <w:rPr>
          <w:lang w:eastAsia="zh-CN"/>
        </w:rPr>
        <w:t>培训工作，组织普通话测试</w:t>
      </w:r>
      <w:r>
        <w:rPr>
          <w:rFonts w:hint="eastAsia"/>
          <w:lang w:eastAsia="zh-CN"/>
        </w:rPr>
        <w:t>，</w:t>
      </w:r>
      <w:r>
        <w:rPr>
          <w:lang w:eastAsia="zh-CN"/>
        </w:rPr>
        <w:t>提高</w:t>
      </w:r>
      <w:r>
        <w:rPr>
          <w:rFonts w:hint="eastAsia"/>
          <w:lang w:eastAsia="zh-CN"/>
        </w:rPr>
        <w:t>考试合格率</w:t>
      </w:r>
      <w:r>
        <w:t>。受益教师、学生综合满意度≥98%。</w:t>
      </w:r>
    </w:p>
    <w:p>
      <w:pPr>
        <w:spacing w:before="10" w:after="10"/>
        <w:ind w:firstLine="560"/>
        <w:outlineLvl w:val="1"/>
      </w:pPr>
      <w:bookmarkStart w:id="2" w:name="_Toc_2_2_0000000003"/>
      <w:r>
        <w:rPr>
          <w:rFonts w:ascii="方正黑体_GBK" w:hAnsi="方正黑体_GBK" w:eastAsia="方正黑体_GBK" w:cs="方正黑体_GBK"/>
          <w:color w:val="000000"/>
          <w:sz w:val="28"/>
        </w:rPr>
        <w:t>三、工作保障措施</w:t>
      </w:r>
      <w:bookmarkEnd w:id="2"/>
    </w:p>
    <w:p>
      <w:pPr>
        <w:pStyle w:val="12"/>
      </w:pPr>
      <w:r>
        <w:t>（一）加强组织领导。建立健全教育领域预算绩效管理制度体系。围绕年度总体绩效目标和分项绩效目标，明确责任主体，细化落实措施，确保绩效目标年内全部完成。</w:t>
      </w:r>
    </w:p>
    <w:p>
      <w:pPr>
        <w:pStyle w:val="12"/>
      </w:pPr>
      <w:r>
        <w:t>（二）完善制度建设。继续完善财政资金绩效综合评价办法。开展专项资金和重点项目绩效自评工作，加强预算绩效评价结果应用，将绩效目标和绩效结果与预算安排有机衔接，作为安排下年度项目预算资金数额的一项重要依据，切实提高财政资金使用效益。</w:t>
      </w:r>
    </w:p>
    <w:p>
      <w:pPr>
        <w:pStyle w:val="12"/>
      </w:pPr>
      <w:r>
        <w:t>（三）加强支出管理。加快项目执行进度，加快资金支出。严格按照年初预算支出计划加快履行政府采购手续，尽快启动项目，进行资金支付。</w:t>
      </w:r>
    </w:p>
    <w:p>
      <w:pPr>
        <w:pStyle w:val="12"/>
      </w:pPr>
      <w:r>
        <w:t>（四）加强绩效运行监控。强化资金监管，建立健全内控组织机构、机制建设和内部管理制度，加强对关键岗位人员管理，保证单位各项经济活动合法合规。</w:t>
      </w:r>
    </w:p>
    <w:p>
      <w:pPr>
        <w:pStyle w:val="12"/>
      </w:pPr>
      <w:r>
        <w:t>（五）做好绩效自评。认真开展各项目的项目绩效自评工作，加强预算绩效评价结果应用，将绩效目标和绩效结果与预算安排有机衔接。建立健全教育经费使用管理全程监管体系，监管过程中发现偏离绩效目标的，及时予以纠正。</w:t>
      </w:r>
    </w:p>
    <w:p>
      <w:pPr>
        <w:pStyle w:val="12"/>
      </w:pPr>
      <w:r>
        <w:t>（六）规范财务资产管理。进一步完善财务管理制度，严格资产采购审批手续，加强固定资产登记、使用及报废处置管理，做到支出合理，物尽其用。</w:t>
      </w:r>
    </w:p>
    <w:p>
      <w:pPr>
        <w:pStyle w:val="12"/>
        <w:rPr>
          <w:lang w:eastAsia="zh-CN"/>
        </w:rPr>
      </w:pPr>
      <w:r>
        <w:t>（七）加强内部监督。加强内部监督制度建设，对绩效运行情况、重大支出决策、资产处置及其他重要经济业务的决算和执行进行督导，</w:t>
      </w:r>
      <w:r>
        <w:rPr>
          <w:rFonts w:hint="eastAsia"/>
          <w:lang w:eastAsia="zh-CN"/>
        </w:rPr>
        <w:t>保管好</w:t>
      </w:r>
      <w:r>
        <w:t>会计资料，并配合做好审计、财政监督等外部监督工作，确保财政资金安全有效。</w:t>
      </w:r>
    </w:p>
    <w:p>
      <w:pPr>
        <w:pStyle w:val="12"/>
        <w:rPr>
          <w:lang w:eastAsia="zh-CN"/>
        </w:rPr>
      </w:pPr>
    </w:p>
    <w:p>
      <w:pPr>
        <w:pStyle w:val="12"/>
        <w:rPr>
          <w:lang w:eastAsia="zh-CN"/>
        </w:rPr>
      </w:pPr>
    </w:p>
    <w:p>
      <w:pPr>
        <w:jc w:val="center"/>
        <w:outlineLvl w:val="0"/>
        <w:rPr>
          <w:rFonts w:ascii="方正书宋_GBK" w:eastAsia="方正书宋_GBK"/>
        </w:rPr>
      </w:pPr>
      <w:r>
        <w:rPr>
          <w:rFonts w:hint="eastAsia" w:ascii="方正小标宋_GBK" w:eastAsia="方正小标宋_GBK"/>
          <w:sz w:val="44"/>
        </w:rPr>
        <w:t>预算项目绩效目标</w:t>
      </w:r>
    </w:p>
    <w:p>
      <w:pPr>
        <w:ind w:firstLine="562" w:firstLineChars="200"/>
        <w:jc w:val="left"/>
        <w:outlineLvl w:val="3"/>
        <w:rPr>
          <w:rFonts w:ascii="Times New Roman" w:hAnsi="宋体" w:eastAsia="宋体"/>
          <w:b/>
          <w:sz w:val="28"/>
        </w:rPr>
      </w:pPr>
      <w:bookmarkStart w:id="3" w:name="_Toc71388419"/>
      <w:r>
        <w:rPr>
          <w:rFonts w:ascii="方正仿宋_GBK" w:eastAsia="方正仿宋_GBK"/>
          <w:b/>
          <w:sz w:val="28"/>
        </w:rPr>
        <w:t>1.教师培训费绩效目标表</w:t>
      </w:r>
      <w:bookmarkEnd w:id="3"/>
      <w:r>
        <w:rPr>
          <w:rFonts w:ascii="方正仿宋_GBK" w:eastAsia="方正仿宋_GBK"/>
          <w:b/>
          <w:sz w:val="28"/>
        </w:rPr>
        <w:fldChar w:fldCharType="begin"/>
      </w:r>
      <w:r>
        <w:rPr>
          <w:rFonts w:ascii="方正仿宋_GBK" w:eastAsia="方正仿宋_GBK"/>
          <w:b/>
          <w:sz w:val="28"/>
        </w:rPr>
        <w:instrText xml:space="preserve"> TC 116、教师培训费绩效目标表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360014教师发展中心</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13062521MO788XTSH86FX</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教师培训费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160000.00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160000.00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开展在职中小学教师培训，提高中小学教师的整体业务水平，提高全区教育教学水平。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90.00%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1.该项目资金于本年度12月支出</w:t>
            </w:r>
          </w:p>
          <w:p>
            <w:pPr>
              <w:spacing w:line="300" w:lineRule="exact"/>
              <w:jc w:val="left"/>
              <w:rPr>
                <w:rFonts w:ascii="方正书宋_GBK" w:eastAsia="方正书宋_GBK"/>
              </w:rPr>
            </w:pPr>
            <w:r>
              <w:rPr>
                <w:rFonts w:ascii="方正书宋_GBK" w:eastAsia="方正书宋_GBK"/>
              </w:rPr>
              <w:t>2.开展在职中小学教师培训，提高中小学教师的整体业务水平</w:t>
            </w:r>
          </w:p>
          <w:p>
            <w:pPr>
              <w:spacing w:line="300" w:lineRule="exact"/>
              <w:jc w:val="left"/>
              <w:rPr>
                <w:rFonts w:ascii="方正书宋_GBK" w:eastAsia="方正书宋_GBK"/>
              </w:rPr>
            </w:pPr>
            <w:r>
              <w:rPr>
                <w:rFonts w:ascii="方正书宋_GBK" w:eastAsia="方正书宋_GBK"/>
              </w:rPr>
              <w:t>3.提高全区教育教学水平</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优良率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完成质量达标率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报告质量</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合格</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按期完成率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按期完成</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按预算资金完成率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按预算资金完成率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培训合规率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培训合规率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4" w:name="_Toc71388420"/>
      <w:r>
        <w:rPr>
          <w:rFonts w:hint="eastAsia" w:ascii="方正仿宋_GBK" w:eastAsia="方正仿宋_GBK"/>
          <w:b/>
          <w:sz w:val="28"/>
        </w:rPr>
        <w:t>2</w:t>
      </w:r>
      <w:r>
        <w:rPr>
          <w:rFonts w:ascii="方正仿宋_GBK" w:eastAsia="方正仿宋_GBK"/>
          <w:b/>
          <w:sz w:val="28"/>
        </w:rPr>
        <w:t>.语言文字活动经费绩效目标表</w:t>
      </w:r>
      <w:bookmarkEnd w:id="4"/>
      <w:r>
        <w:rPr>
          <w:rFonts w:ascii="方正仿宋_GBK" w:eastAsia="方正仿宋_GBK"/>
          <w:b/>
          <w:sz w:val="28"/>
        </w:rPr>
        <w:fldChar w:fldCharType="begin"/>
      </w:r>
      <w:r>
        <w:rPr>
          <w:rFonts w:ascii="方正仿宋_GBK" w:eastAsia="方正仿宋_GBK"/>
          <w:b/>
          <w:sz w:val="28"/>
        </w:rPr>
        <w:instrText xml:space="preserve"> TC 117、语言文字活动经费绩效目标表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360014教师发展中心</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13062521NGC0N37ABIA7M</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语言文字活动经费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50000.00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50000.00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专项资金用于支持开展语言文字相关工作，主要包括国家通用语言文字推广普及、普通话报名和测试、组织语言文字相关活动，加强语言文字示范性学校建设等工作。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90.00%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1.建立全社会说普通话、写规范字的宣传的长效机制。</w:t>
            </w:r>
          </w:p>
          <w:p>
            <w:pPr>
              <w:spacing w:line="300" w:lineRule="exact"/>
              <w:jc w:val="left"/>
              <w:rPr>
                <w:rFonts w:ascii="方正书宋_GBK" w:eastAsia="方正书宋_GBK"/>
              </w:rPr>
            </w:pPr>
            <w:r>
              <w:rPr>
                <w:rFonts w:ascii="方正书宋_GBK" w:eastAsia="方正书宋_GBK"/>
              </w:rPr>
              <w:t>2.普通话测试工作继续采取每季度测试一次的制度。</w:t>
            </w:r>
          </w:p>
          <w:p>
            <w:pPr>
              <w:spacing w:line="300" w:lineRule="exact"/>
              <w:jc w:val="left"/>
              <w:rPr>
                <w:rFonts w:ascii="方正书宋_GBK" w:eastAsia="方正书宋_GBK"/>
              </w:rPr>
            </w:pPr>
            <w:r>
              <w:rPr>
                <w:rFonts w:ascii="方正书宋_GBK" w:eastAsia="方正书宋_GBK"/>
              </w:rPr>
              <w:t>3.加大宣传力度和定期举行丰富多样的相关活动</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举办活动场次</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举办活动场次</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优良率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国家工作人员的普通话持证率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优良率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全社会广泛使用普通话规范汉字</w:t>
            </w:r>
          </w:p>
          <w:p>
            <w:pPr>
              <w:spacing w:line="300" w:lineRule="exact"/>
              <w:jc w:val="left"/>
              <w:rPr>
                <w:rFonts w:ascii="方正书宋_GBK" w:eastAsia="方正书宋_GBK"/>
              </w:rPr>
            </w:pP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当年资金投入完成情况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使用普通话和规范汉字的情况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p>
            <w:pPr>
              <w:spacing w:line="300" w:lineRule="exact"/>
              <w:jc w:val="left"/>
              <w:rPr>
                <w:rFonts w:ascii="方正书宋_GBK" w:eastAsia="方正书宋_GBK"/>
              </w:rPr>
            </w:pP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5" w:name="_Toc71388421"/>
      <w:r>
        <w:rPr>
          <w:rFonts w:hint="eastAsia" w:ascii="方正仿宋_GBK" w:eastAsia="方正仿宋_GBK"/>
          <w:b/>
          <w:sz w:val="28"/>
        </w:rPr>
        <w:t>3</w:t>
      </w:r>
      <w:r>
        <w:rPr>
          <w:rFonts w:ascii="方正仿宋_GBK" w:eastAsia="方正仿宋_GBK"/>
          <w:b/>
          <w:sz w:val="28"/>
        </w:rPr>
        <w:t>.徐水区教师发展中心教育教学活动经费绩效目标表</w:t>
      </w:r>
      <w:bookmarkEnd w:id="5"/>
      <w:r>
        <w:rPr>
          <w:rFonts w:ascii="方正仿宋_GBK" w:eastAsia="方正仿宋_GBK"/>
          <w:b/>
          <w:sz w:val="28"/>
        </w:rPr>
        <w:fldChar w:fldCharType="begin"/>
      </w:r>
      <w:r>
        <w:rPr>
          <w:rFonts w:ascii="方正仿宋_GBK" w:eastAsia="方正仿宋_GBK"/>
          <w:b/>
          <w:sz w:val="28"/>
        </w:rPr>
        <w:instrText xml:space="preserve"> TC 118、徐水区教师发展中心教育教学活动经费绩效目标表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360014教师发展中心</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13062521UGWYEYYU41BVL</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徐水区教师发展中心教育教学活动经费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2909600.00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2909600.00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该资金主要用于学校的业务工作的开展和日常的维护维修。我单位的业务工作主要有：（1）组织全区中小学校(园)长和教师继续教育工作和培训工作，开展教育改革与重大课题的研究；（2）组织电大招生，面向社会对各类人员组织报名和考试等工作；（3）在全社会大力宣传、推行语言文字工作，组织普通话水平测试的报名和考试工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90.00%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1.组织全区中小学校(园)长和教师继续教育工作和培训工作</w:t>
            </w:r>
          </w:p>
          <w:p>
            <w:pPr>
              <w:spacing w:line="300" w:lineRule="exact"/>
              <w:jc w:val="left"/>
              <w:rPr>
                <w:rFonts w:ascii="方正书宋_GBK" w:eastAsia="方正书宋_GBK"/>
              </w:rPr>
            </w:pPr>
            <w:r>
              <w:rPr>
                <w:rFonts w:ascii="方正书宋_GBK" w:eastAsia="方正书宋_GBK"/>
              </w:rPr>
              <w:t>2.全年组织两次电大招生，面向社会对各类人员组织报名和考试等工作</w:t>
            </w:r>
          </w:p>
          <w:p>
            <w:pPr>
              <w:spacing w:line="300" w:lineRule="exact"/>
              <w:jc w:val="left"/>
              <w:rPr>
                <w:rFonts w:ascii="方正书宋_GBK" w:eastAsia="方正书宋_GBK"/>
              </w:rPr>
            </w:pPr>
            <w:r>
              <w:rPr>
                <w:rFonts w:ascii="方正书宋_GBK" w:eastAsia="方正书宋_GBK"/>
              </w:rPr>
              <w:t>3.在全社会大力宣传、推行语言文字工作，组织普通话水平测试的报名和考试工作</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对所有班主任教师覆盖情况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 xml:space="preserve">完成率  </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完成电大报名和考试的指标数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国家工作人员普通话持证率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资金成本</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资金成本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 xml:space="preserve">优良率  </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有效改善学员体质</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6" w:name="_Toc71388422"/>
      <w:r>
        <w:rPr>
          <w:rFonts w:hint="eastAsia" w:ascii="方正仿宋_GBK" w:eastAsia="方正仿宋_GBK"/>
          <w:b/>
          <w:sz w:val="28"/>
        </w:rPr>
        <w:t>4</w:t>
      </w:r>
      <w:r>
        <w:rPr>
          <w:rFonts w:ascii="方正仿宋_GBK" w:eastAsia="方正仿宋_GBK"/>
          <w:b/>
          <w:sz w:val="28"/>
        </w:rPr>
        <w:t>.提前下达2021年省级现代职业教育发展专项资金预算（社区教育补助）绩效目标表</w:t>
      </w:r>
      <w:bookmarkEnd w:id="6"/>
      <w:r>
        <w:rPr>
          <w:rFonts w:ascii="方正仿宋_GBK" w:eastAsia="方正仿宋_GBK"/>
          <w:b/>
          <w:sz w:val="28"/>
        </w:rPr>
        <w:fldChar w:fldCharType="begin"/>
      </w:r>
      <w:r>
        <w:rPr>
          <w:rFonts w:ascii="方正仿宋_GBK" w:eastAsia="方正仿宋_GBK"/>
          <w:b/>
          <w:sz w:val="28"/>
        </w:rPr>
        <w:instrText xml:space="preserve"> TC 119、提前下达2021年省级现代职业教育发展专项资金预算（社区教育补助）绩效目标表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360014教师发展中心</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13062521YG3F3O5WIP1GH</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提前下达2021年省级现代职业教育发展专项资金预算（社区教育补助）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50000.00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50000.00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资金用于社区教育培训活动和各类社区活动支出。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90.00%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1.加大社区教育活动的宣传力度。</w:t>
            </w:r>
          </w:p>
          <w:p>
            <w:pPr>
              <w:spacing w:line="300" w:lineRule="exact"/>
              <w:jc w:val="left"/>
              <w:rPr>
                <w:rFonts w:ascii="方正书宋_GBK" w:eastAsia="方正书宋_GBK"/>
              </w:rPr>
            </w:pPr>
            <w:r>
              <w:rPr>
                <w:rFonts w:ascii="方正书宋_GBK" w:eastAsia="方正书宋_GBK"/>
              </w:rPr>
              <w:t>2.定期开展丰富多样的社会教育活动。</w:t>
            </w:r>
          </w:p>
          <w:p>
            <w:pPr>
              <w:spacing w:line="300" w:lineRule="exact"/>
              <w:jc w:val="left"/>
              <w:rPr>
                <w:rFonts w:ascii="方正书宋_GBK" w:eastAsia="方正书宋_GBK"/>
              </w:rPr>
            </w:pPr>
            <w:r>
              <w:rPr>
                <w:rFonts w:ascii="方正书宋_GBK" w:eastAsia="方正书宋_GBK"/>
              </w:rPr>
              <w:t>3.提高社会的满意度。</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举办活动场次</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设置举办活动场次</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保财教[2020]102号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社区覆盖率100%</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保财教[2020]102号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及时性</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社区活动及时性</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保财教[2020]102号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所需资金严格按预算执行</w:t>
            </w:r>
          </w:p>
          <w:p>
            <w:pPr>
              <w:spacing w:line="300" w:lineRule="exact"/>
              <w:jc w:val="left"/>
              <w:rPr>
                <w:rFonts w:ascii="方正书宋_GBK" w:eastAsia="方正书宋_GBK"/>
              </w:rPr>
            </w:pP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保财教[2020]102号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参观人数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预测参观人数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p>
            <w:pPr>
              <w:spacing w:line="300" w:lineRule="exact"/>
              <w:jc w:val="left"/>
              <w:rPr>
                <w:rFonts w:ascii="方正书宋_GBK" w:eastAsia="方正书宋_GBK"/>
              </w:rPr>
            </w:pP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保财教[2020]102号</w:t>
            </w:r>
          </w:p>
        </w:tc>
      </w:tr>
    </w:tbl>
    <w:p>
      <w:pPr>
        <w:spacing w:line="360" w:lineRule="auto"/>
        <w:rPr>
          <w:rFonts w:ascii="仿宋" w:hAnsi="仿宋" w:eastAsia="仿宋"/>
          <w:sz w:val="32"/>
          <w:szCs w:val="32"/>
        </w:rPr>
        <w:sectPr>
          <w:pgSz w:w="11907" w:h="16839"/>
          <w:pgMar w:top="1984" w:right="1304" w:bottom="1134" w:left="1304" w:header="851" w:footer="992" w:gutter="0"/>
          <w:cols w:space="425" w:num="1"/>
          <w:docGrid w:type="lines" w:linePitch="312" w:charSpace="0"/>
        </w:sectPr>
      </w:pPr>
    </w:p>
    <w:p/>
    <w:p>
      <w:pPr>
        <w:jc w:val="center"/>
        <w:outlineLvl w:val="0"/>
        <w:rPr>
          <w:rFonts w:ascii="方正小标宋_GBK" w:eastAsia="方正小标宋_GBK"/>
          <w:sz w:val="44"/>
        </w:rPr>
      </w:pPr>
      <w:r>
        <w:rPr>
          <w:rFonts w:hint="eastAsia" w:ascii="方正小标宋_GBK" w:eastAsia="方正小标宋_GBK"/>
          <w:sz w:val="44"/>
        </w:rPr>
        <w:t>第六部分：政府采购预算情况</w:t>
      </w:r>
    </w:p>
    <w:p>
      <w:pPr>
        <w:spacing w:line="360" w:lineRule="auto"/>
        <w:ind w:firstLine="640" w:firstLineChars="200"/>
        <w:rPr>
          <w:rFonts w:ascii="仿宋" w:hAnsi="仿宋" w:eastAsia="仿宋"/>
          <w:sz w:val="32"/>
          <w:szCs w:val="32"/>
        </w:rPr>
      </w:pPr>
      <w:r>
        <w:rPr>
          <w:rFonts w:ascii="仿宋" w:hAnsi="仿宋" w:eastAsia="仿宋"/>
          <w:sz w:val="32"/>
          <w:szCs w:val="32"/>
        </w:rPr>
        <w:t>2021年，我</w:t>
      </w:r>
      <w:r>
        <w:rPr>
          <w:rFonts w:hint="eastAsia" w:ascii="仿宋" w:hAnsi="仿宋" w:eastAsia="仿宋"/>
          <w:sz w:val="32"/>
          <w:szCs w:val="32"/>
        </w:rPr>
        <w:t>单位</w:t>
      </w:r>
      <w:r>
        <w:rPr>
          <w:rFonts w:ascii="仿宋" w:hAnsi="仿宋" w:eastAsia="仿宋"/>
          <w:sz w:val="32"/>
          <w:szCs w:val="32"/>
        </w:rPr>
        <w:t>无政府采购预算，空表列示。</w:t>
      </w:r>
    </w:p>
    <w:p>
      <w:pPr>
        <w:jc w:val="center"/>
        <w:outlineLvl w:val="1"/>
      </w:pPr>
      <w:bookmarkStart w:id="7" w:name="_Toc_2_2_0000000007"/>
      <w:r>
        <w:rPr>
          <w:rFonts w:ascii="方正小标宋_GBK" w:hAnsi="方正小标宋_GBK" w:eastAsia="方正小标宋_GBK" w:cs="方正小标宋_GBK"/>
          <w:color w:val="000000"/>
          <w:sz w:val="32"/>
        </w:rPr>
        <w:t>部门政府采购预算</w:t>
      </w:r>
      <w:bookmarkEnd w:id="7"/>
    </w:p>
    <w:tbl>
      <w:tblPr>
        <w:tblStyle w:val="5"/>
        <w:tblW w:w="16018"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701"/>
        <w:gridCol w:w="964"/>
        <w:gridCol w:w="1134"/>
        <w:gridCol w:w="1134"/>
        <w:gridCol w:w="709"/>
        <w:gridCol w:w="850"/>
        <w:gridCol w:w="850"/>
        <w:gridCol w:w="964"/>
        <w:gridCol w:w="964"/>
        <w:gridCol w:w="964"/>
        <w:gridCol w:w="964"/>
        <w:gridCol w:w="964"/>
        <w:gridCol w:w="964"/>
        <w:gridCol w:w="964"/>
        <w:gridCol w:w="964"/>
        <w:gridCol w:w="96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7342" w:type="dxa"/>
            <w:gridSpan w:val="7"/>
            <w:tcBorders>
              <w:top w:val="single" w:color="FFFFFF" w:sz="6" w:space="0"/>
              <w:left w:val="single" w:color="FFFFFF" w:sz="6" w:space="0"/>
              <w:right w:val="single" w:color="FFFFFF" w:sz="6" w:space="0"/>
            </w:tcBorders>
            <w:vAlign w:val="center"/>
          </w:tcPr>
          <w:p>
            <w:pPr>
              <w:pStyle w:val="14"/>
              <w:rPr>
                <w:lang w:eastAsia="zh-CN"/>
              </w:rPr>
            </w:pPr>
            <w:r>
              <w:t>360014保定市徐水区</w:t>
            </w:r>
            <w:r>
              <w:rPr>
                <w:rFonts w:hint="eastAsia"/>
                <w:lang w:eastAsia="zh-CN"/>
              </w:rPr>
              <w:t>教师</w:t>
            </w:r>
            <w:r>
              <w:rPr>
                <w:lang w:eastAsia="zh-CN"/>
              </w:rPr>
              <w:t>发展中心</w:t>
            </w:r>
          </w:p>
        </w:tc>
        <w:tc>
          <w:tcPr>
            <w:tcW w:w="8676" w:type="dxa"/>
            <w:gridSpan w:val="9"/>
            <w:tcBorders>
              <w:top w:val="single" w:color="FFFFFF" w:sz="6" w:space="0"/>
              <w:left w:val="single" w:color="FFFFFF" w:sz="6" w:space="0"/>
              <w:right w:val="single" w:color="FFFFFF" w:sz="6" w:space="0"/>
            </w:tcBorders>
            <w:vAlign w:val="center"/>
          </w:tcPr>
          <w:p>
            <w:pPr>
              <w:pStyle w:val="13"/>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2665" w:type="dxa"/>
            <w:gridSpan w:val="2"/>
            <w:vAlign w:val="center"/>
          </w:tcPr>
          <w:p>
            <w:pPr>
              <w:pStyle w:val="15"/>
            </w:pPr>
            <w:r>
              <w:t>政府采购项目来源</w:t>
            </w:r>
          </w:p>
        </w:tc>
        <w:tc>
          <w:tcPr>
            <w:tcW w:w="1134" w:type="dxa"/>
            <w:vMerge w:val="restart"/>
            <w:vAlign w:val="center"/>
          </w:tcPr>
          <w:p>
            <w:pPr>
              <w:pStyle w:val="15"/>
            </w:pPr>
            <w:r>
              <w:t>采购物品名称</w:t>
            </w:r>
          </w:p>
        </w:tc>
        <w:tc>
          <w:tcPr>
            <w:tcW w:w="1134" w:type="dxa"/>
            <w:vMerge w:val="restart"/>
            <w:vAlign w:val="center"/>
          </w:tcPr>
          <w:p>
            <w:pPr>
              <w:pStyle w:val="15"/>
            </w:pPr>
            <w:r>
              <w:t>政府采购目录序号</w:t>
            </w:r>
          </w:p>
        </w:tc>
        <w:tc>
          <w:tcPr>
            <w:tcW w:w="709" w:type="dxa"/>
            <w:vMerge w:val="restart"/>
            <w:vAlign w:val="center"/>
          </w:tcPr>
          <w:p>
            <w:pPr>
              <w:pStyle w:val="15"/>
            </w:pPr>
            <w:r>
              <w:t>计量  单位</w:t>
            </w:r>
          </w:p>
        </w:tc>
        <w:tc>
          <w:tcPr>
            <w:tcW w:w="850" w:type="dxa"/>
            <w:vMerge w:val="restart"/>
            <w:vAlign w:val="center"/>
          </w:tcPr>
          <w:p>
            <w:pPr>
              <w:pStyle w:val="15"/>
            </w:pPr>
            <w:r>
              <w:t>数量</w:t>
            </w:r>
          </w:p>
        </w:tc>
        <w:tc>
          <w:tcPr>
            <w:tcW w:w="850" w:type="dxa"/>
            <w:vMerge w:val="restart"/>
            <w:vAlign w:val="center"/>
          </w:tcPr>
          <w:p>
            <w:pPr>
              <w:pStyle w:val="15"/>
            </w:pPr>
            <w:r>
              <w:t>单价</w:t>
            </w:r>
          </w:p>
        </w:tc>
        <w:tc>
          <w:tcPr>
            <w:tcW w:w="7712" w:type="dxa"/>
            <w:gridSpan w:val="8"/>
            <w:vAlign w:val="center"/>
          </w:tcPr>
          <w:p>
            <w:pPr>
              <w:pStyle w:val="15"/>
            </w:pPr>
            <w:r>
              <w:t>政府采购金额（当年部门预算安排资金）</w:t>
            </w:r>
          </w:p>
        </w:tc>
        <w:tc>
          <w:tcPr>
            <w:tcW w:w="964" w:type="dxa"/>
            <w:vMerge w:val="restart"/>
            <w:vAlign w:val="center"/>
          </w:tcPr>
          <w:p>
            <w:pPr>
              <w:pStyle w:val="15"/>
            </w:pPr>
            <w:r>
              <w:t>202</w:t>
            </w:r>
            <w:r>
              <w:rPr>
                <w:rFonts w:hint="eastAsia"/>
                <w:lang w:eastAsia="zh-CN"/>
              </w:rPr>
              <w:t>1</w:t>
            </w:r>
            <w:r>
              <w:t>年  预留中  小微企  业份额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1701" w:type="dxa"/>
            <w:vAlign w:val="center"/>
          </w:tcPr>
          <w:p>
            <w:pPr>
              <w:pStyle w:val="15"/>
            </w:pPr>
            <w:r>
              <w:t>项目名称</w:t>
            </w:r>
          </w:p>
        </w:tc>
        <w:tc>
          <w:tcPr>
            <w:tcW w:w="964" w:type="dxa"/>
            <w:vAlign w:val="center"/>
          </w:tcPr>
          <w:p>
            <w:pPr>
              <w:pStyle w:val="15"/>
            </w:pPr>
            <w:r>
              <w:t>预算    资金</w:t>
            </w:r>
          </w:p>
        </w:tc>
        <w:tc>
          <w:tcPr>
            <w:tcW w:w="1134" w:type="dxa"/>
            <w:vMerge w:val="continue"/>
          </w:tcPr>
          <w:p/>
        </w:tc>
        <w:tc>
          <w:tcPr>
            <w:tcW w:w="1134" w:type="dxa"/>
            <w:vMerge w:val="continue"/>
          </w:tcPr>
          <w:p/>
        </w:tc>
        <w:tc>
          <w:tcPr>
            <w:tcW w:w="709" w:type="dxa"/>
            <w:vMerge w:val="continue"/>
          </w:tcPr>
          <w:p/>
        </w:tc>
        <w:tc>
          <w:tcPr>
            <w:tcW w:w="850" w:type="dxa"/>
            <w:vMerge w:val="continue"/>
          </w:tcPr>
          <w:p/>
        </w:tc>
        <w:tc>
          <w:tcPr>
            <w:tcW w:w="850" w:type="dxa"/>
            <w:vMerge w:val="continue"/>
          </w:tcPr>
          <w:p/>
        </w:tc>
        <w:tc>
          <w:tcPr>
            <w:tcW w:w="964" w:type="dxa"/>
            <w:vAlign w:val="center"/>
          </w:tcPr>
          <w:p>
            <w:pPr>
              <w:pStyle w:val="15"/>
            </w:pPr>
            <w:r>
              <w:t>合计</w:t>
            </w:r>
          </w:p>
        </w:tc>
        <w:tc>
          <w:tcPr>
            <w:tcW w:w="964" w:type="dxa"/>
            <w:vAlign w:val="center"/>
          </w:tcPr>
          <w:p>
            <w:pPr>
              <w:pStyle w:val="15"/>
            </w:pPr>
            <w:r>
              <w:t>一般公共预算拨款</w:t>
            </w:r>
          </w:p>
        </w:tc>
        <w:tc>
          <w:tcPr>
            <w:tcW w:w="964" w:type="dxa"/>
            <w:vAlign w:val="center"/>
          </w:tcPr>
          <w:p>
            <w:pPr>
              <w:pStyle w:val="15"/>
            </w:pPr>
            <w:r>
              <w:t>基金预算拨款</w:t>
            </w:r>
          </w:p>
        </w:tc>
        <w:tc>
          <w:tcPr>
            <w:tcW w:w="964" w:type="dxa"/>
            <w:vAlign w:val="center"/>
          </w:tcPr>
          <w:p>
            <w:pPr>
              <w:pStyle w:val="15"/>
            </w:pPr>
            <w:r>
              <w:t>国有资本经营预算拨款</w:t>
            </w:r>
          </w:p>
        </w:tc>
        <w:tc>
          <w:tcPr>
            <w:tcW w:w="964" w:type="dxa"/>
            <w:vAlign w:val="center"/>
          </w:tcPr>
          <w:p>
            <w:pPr>
              <w:pStyle w:val="15"/>
            </w:pPr>
            <w:r>
              <w:t>财政专户核拨</w:t>
            </w:r>
          </w:p>
        </w:tc>
        <w:tc>
          <w:tcPr>
            <w:tcW w:w="964" w:type="dxa"/>
            <w:vAlign w:val="center"/>
          </w:tcPr>
          <w:p>
            <w:pPr>
              <w:pStyle w:val="15"/>
            </w:pPr>
            <w:r>
              <w:t>单位    资金</w:t>
            </w:r>
          </w:p>
        </w:tc>
        <w:tc>
          <w:tcPr>
            <w:tcW w:w="964" w:type="dxa"/>
            <w:vAlign w:val="center"/>
          </w:tcPr>
          <w:p>
            <w:pPr>
              <w:pStyle w:val="15"/>
            </w:pPr>
            <w:r>
              <w:t>财政拨    款结转</w:t>
            </w:r>
          </w:p>
        </w:tc>
        <w:tc>
          <w:tcPr>
            <w:tcW w:w="964" w:type="dxa"/>
            <w:vAlign w:val="center"/>
          </w:tcPr>
          <w:p>
            <w:pPr>
              <w:pStyle w:val="15"/>
            </w:pPr>
            <w:r>
              <w:t>非财政    拨款结    转结余</w:t>
            </w:r>
          </w:p>
        </w:tc>
        <w:tc>
          <w:tcPr>
            <w:tcW w:w="964" w:type="dxa"/>
            <w:vMerge w:val="continue"/>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701" w:type="dxa"/>
            <w:vAlign w:val="center"/>
          </w:tcPr>
          <w:p>
            <w:pPr>
              <w:pStyle w:val="16"/>
            </w:pPr>
            <w:r>
              <w:t>合  计</w:t>
            </w:r>
          </w:p>
        </w:tc>
        <w:tc>
          <w:tcPr>
            <w:tcW w:w="964" w:type="dxa"/>
            <w:vAlign w:val="center"/>
          </w:tcPr>
          <w:p>
            <w:pPr>
              <w:pStyle w:val="17"/>
            </w:pPr>
          </w:p>
        </w:tc>
        <w:tc>
          <w:tcPr>
            <w:tcW w:w="1134" w:type="dxa"/>
            <w:vAlign w:val="center"/>
          </w:tcPr>
          <w:p>
            <w:pPr>
              <w:pStyle w:val="18"/>
            </w:pPr>
          </w:p>
        </w:tc>
        <w:tc>
          <w:tcPr>
            <w:tcW w:w="1134" w:type="dxa"/>
            <w:vAlign w:val="center"/>
          </w:tcPr>
          <w:p>
            <w:pPr>
              <w:pStyle w:val="18"/>
            </w:pPr>
          </w:p>
        </w:tc>
        <w:tc>
          <w:tcPr>
            <w:tcW w:w="709" w:type="dxa"/>
            <w:vAlign w:val="center"/>
          </w:tcPr>
          <w:p>
            <w:pPr>
              <w:pStyle w:val="16"/>
            </w:pPr>
          </w:p>
        </w:tc>
        <w:tc>
          <w:tcPr>
            <w:tcW w:w="850" w:type="dxa"/>
            <w:vAlign w:val="center"/>
          </w:tcPr>
          <w:p>
            <w:pPr>
              <w:pStyle w:val="17"/>
            </w:pPr>
          </w:p>
        </w:tc>
        <w:tc>
          <w:tcPr>
            <w:tcW w:w="850" w:type="dxa"/>
            <w:vAlign w:val="center"/>
          </w:tcPr>
          <w:p>
            <w:pPr>
              <w:pStyle w:val="17"/>
            </w:pPr>
          </w:p>
        </w:tc>
        <w:tc>
          <w:tcPr>
            <w:tcW w:w="964" w:type="dxa"/>
            <w:vAlign w:val="center"/>
          </w:tcPr>
          <w:p>
            <w:pPr>
              <w:pStyle w:val="17"/>
            </w:pPr>
            <w:r>
              <w:t>0</w:t>
            </w:r>
          </w:p>
        </w:tc>
        <w:tc>
          <w:tcPr>
            <w:tcW w:w="964" w:type="dxa"/>
            <w:vAlign w:val="center"/>
          </w:tcPr>
          <w:p>
            <w:pPr>
              <w:pStyle w:val="17"/>
            </w:pPr>
            <w:r>
              <w:t>0</w:t>
            </w:r>
          </w:p>
        </w:tc>
        <w:tc>
          <w:tcPr>
            <w:tcW w:w="964" w:type="dxa"/>
            <w:vAlign w:val="center"/>
          </w:tcPr>
          <w:p>
            <w:pPr>
              <w:pStyle w:val="17"/>
            </w:pPr>
          </w:p>
        </w:tc>
        <w:tc>
          <w:tcPr>
            <w:tcW w:w="964" w:type="dxa"/>
            <w:vAlign w:val="center"/>
          </w:tcPr>
          <w:p>
            <w:pPr>
              <w:pStyle w:val="17"/>
            </w:pPr>
          </w:p>
        </w:tc>
        <w:tc>
          <w:tcPr>
            <w:tcW w:w="964" w:type="dxa"/>
            <w:vAlign w:val="center"/>
          </w:tcPr>
          <w:p>
            <w:pPr>
              <w:pStyle w:val="17"/>
            </w:pPr>
          </w:p>
        </w:tc>
        <w:tc>
          <w:tcPr>
            <w:tcW w:w="964" w:type="dxa"/>
            <w:vAlign w:val="center"/>
          </w:tcPr>
          <w:p>
            <w:pPr>
              <w:pStyle w:val="17"/>
            </w:pPr>
          </w:p>
        </w:tc>
        <w:tc>
          <w:tcPr>
            <w:tcW w:w="964" w:type="dxa"/>
            <w:vAlign w:val="center"/>
          </w:tcPr>
          <w:p>
            <w:pPr>
              <w:pStyle w:val="17"/>
            </w:pPr>
          </w:p>
        </w:tc>
        <w:tc>
          <w:tcPr>
            <w:tcW w:w="964" w:type="dxa"/>
            <w:vAlign w:val="center"/>
          </w:tcPr>
          <w:p>
            <w:pPr>
              <w:pStyle w:val="17"/>
            </w:pPr>
          </w:p>
        </w:tc>
        <w:tc>
          <w:tcPr>
            <w:tcW w:w="964" w:type="dxa"/>
            <w:vAlign w:val="center"/>
          </w:tcPr>
          <w:p>
            <w:pPr>
              <w:pStyle w:val="17"/>
            </w:pPr>
            <w: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701" w:type="dxa"/>
            <w:vAlign w:val="center"/>
          </w:tcPr>
          <w:p>
            <w:pPr>
              <w:pStyle w:val="16"/>
            </w:pPr>
            <w:r>
              <w:t>保定市徐水区</w:t>
            </w:r>
            <w:r>
              <w:rPr>
                <w:rFonts w:hint="eastAsia"/>
                <w:lang w:eastAsia="zh-CN"/>
              </w:rPr>
              <w:t>教师发展中心</w:t>
            </w:r>
          </w:p>
        </w:tc>
        <w:tc>
          <w:tcPr>
            <w:tcW w:w="964" w:type="dxa"/>
            <w:vAlign w:val="center"/>
          </w:tcPr>
          <w:p>
            <w:pPr>
              <w:pStyle w:val="17"/>
            </w:pPr>
          </w:p>
        </w:tc>
        <w:tc>
          <w:tcPr>
            <w:tcW w:w="1134" w:type="dxa"/>
            <w:vAlign w:val="center"/>
          </w:tcPr>
          <w:p>
            <w:pPr>
              <w:pStyle w:val="18"/>
            </w:pPr>
          </w:p>
        </w:tc>
        <w:tc>
          <w:tcPr>
            <w:tcW w:w="1134" w:type="dxa"/>
            <w:vAlign w:val="center"/>
          </w:tcPr>
          <w:p>
            <w:pPr>
              <w:pStyle w:val="18"/>
            </w:pPr>
          </w:p>
        </w:tc>
        <w:tc>
          <w:tcPr>
            <w:tcW w:w="709" w:type="dxa"/>
            <w:vAlign w:val="center"/>
          </w:tcPr>
          <w:p>
            <w:pPr>
              <w:pStyle w:val="16"/>
            </w:pPr>
          </w:p>
        </w:tc>
        <w:tc>
          <w:tcPr>
            <w:tcW w:w="850" w:type="dxa"/>
            <w:vAlign w:val="center"/>
          </w:tcPr>
          <w:p>
            <w:pPr>
              <w:pStyle w:val="17"/>
            </w:pPr>
          </w:p>
        </w:tc>
        <w:tc>
          <w:tcPr>
            <w:tcW w:w="850" w:type="dxa"/>
            <w:vAlign w:val="center"/>
          </w:tcPr>
          <w:p>
            <w:pPr>
              <w:pStyle w:val="17"/>
            </w:pPr>
          </w:p>
        </w:tc>
        <w:tc>
          <w:tcPr>
            <w:tcW w:w="964" w:type="dxa"/>
            <w:vAlign w:val="center"/>
          </w:tcPr>
          <w:p>
            <w:pPr>
              <w:pStyle w:val="17"/>
            </w:pPr>
            <w:r>
              <w:t>0</w:t>
            </w:r>
          </w:p>
        </w:tc>
        <w:tc>
          <w:tcPr>
            <w:tcW w:w="964" w:type="dxa"/>
            <w:vAlign w:val="center"/>
          </w:tcPr>
          <w:p>
            <w:pPr>
              <w:pStyle w:val="17"/>
            </w:pPr>
            <w:r>
              <w:t>0</w:t>
            </w:r>
          </w:p>
        </w:tc>
        <w:tc>
          <w:tcPr>
            <w:tcW w:w="964" w:type="dxa"/>
            <w:vAlign w:val="center"/>
          </w:tcPr>
          <w:p>
            <w:pPr>
              <w:pStyle w:val="17"/>
            </w:pPr>
          </w:p>
        </w:tc>
        <w:tc>
          <w:tcPr>
            <w:tcW w:w="964" w:type="dxa"/>
            <w:vAlign w:val="center"/>
          </w:tcPr>
          <w:p>
            <w:pPr>
              <w:pStyle w:val="17"/>
            </w:pPr>
          </w:p>
        </w:tc>
        <w:tc>
          <w:tcPr>
            <w:tcW w:w="964" w:type="dxa"/>
            <w:vAlign w:val="center"/>
          </w:tcPr>
          <w:p>
            <w:pPr>
              <w:pStyle w:val="17"/>
            </w:pPr>
          </w:p>
        </w:tc>
        <w:tc>
          <w:tcPr>
            <w:tcW w:w="964" w:type="dxa"/>
            <w:vAlign w:val="center"/>
          </w:tcPr>
          <w:p>
            <w:pPr>
              <w:pStyle w:val="17"/>
            </w:pPr>
          </w:p>
        </w:tc>
        <w:tc>
          <w:tcPr>
            <w:tcW w:w="964" w:type="dxa"/>
            <w:vAlign w:val="center"/>
          </w:tcPr>
          <w:p>
            <w:pPr>
              <w:pStyle w:val="17"/>
            </w:pPr>
          </w:p>
        </w:tc>
        <w:tc>
          <w:tcPr>
            <w:tcW w:w="964" w:type="dxa"/>
            <w:vAlign w:val="center"/>
          </w:tcPr>
          <w:p>
            <w:pPr>
              <w:pStyle w:val="17"/>
            </w:pPr>
          </w:p>
        </w:tc>
        <w:tc>
          <w:tcPr>
            <w:tcW w:w="964" w:type="dxa"/>
            <w:vAlign w:val="center"/>
          </w:tcPr>
          <w:p>
            <w:pPr>
              <w:pStyle w:val="17"/>
            </w:pPr>
            <w:r>
              <w:t>0</w:t>
            </w:r>
          </w:p>
        </w:tc>
      </w:tr>
    </w:tbl>
    <w:p>
      <w:pPr>
        <w:spacing w:line="360" w:lineRule="auto"/>
        <w:rPr>
          <w:rFonts w:ascii="仿宋" w:hAnsi="仿宋" w:eastAsia="仿宋"/>
          <w:sz w:val="32"/>
          <w:szCs w:val="32"/>
        </w:rPr>
        <w:sectPr>
          <w:footerReference r:id="rId3" w:type="default"/>
          <w:pgSz w:w="16838" w:h="11906" w:orient="landscape"/>
          <w:pgMar w:top="1797" w:right="1440" w:bottom="1797" w:left="1440" w:header="851" w:footer="992" w:gutter="0"/>
          <w:cols w:space="425" w:num="1"/>
          <w:docGrid w:type="linesAndChars" w:linePitch="312" w:charSpace="0"/>
        </w:sectPr>
      </w:pPr>
    </w:p>
    <w:p>
      <w:pPr>
        <w:spacing w:line="360" w:lineRule="auto"/>
        <w:rPr>
          <w:rFonts w:ascii="仿宋" w:hAnsi="仿宋" w:eastAsia="仿宋"/>
          <w:sz w:val="32"/>
          <w:szCs w:val="32"/>
        </w:rPr>
      </w:pPr>
    </w:p>
    <w:p>
      <w:pPr>
        <w:jc w:val="center"/>
        <w:outlineLvl w:val="0"/>
        <w:rPr>
          <w:rFonts w:ascii="方正小标宋_GBK" w:eastAsia="方正小标宋_GBK"/>
          <w:sz w:val="44"/>
        </w:rPr>
      </w:pPr>
      <w:r>
        <w:rPr>
          <w:rFonts w:hint="eastAsia" w:ascii="方正小标宋_GBK" w:eastAsia="方正小标宋_GBK"/>
          <w:sz w:val="44"/>
        </w:rPr>
        <w:t>第七部分：国有资产信息</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上年末我部门固定资产总金额为622.991914万元（详见下表）。</w:t>
      </w:r>
      <w:r>
        <w:rPr>
          <w:rFonts w:ascii="仿宋" w:hAnsi="仿宋" w:eastAsia="仿宋"/>
          <w:sz w:val="32"/>
          <w:szCs w:val="32"/>
        </w:rPr>
        <w:t xml:space="preserve"> 本年度拟购置固定资产总额为</w:t>
      </w:r>
      <w:r>
        <w:rPr>
          <w:rFonts w:hint="eastAsia" w:ascii="仿宋" w:hAnsi="仿宋" w:eastAsia="仿宋"/>
          <w:sz w:val="32"/>
          <w:szCs w:val="32"/>
        </w:rPr>
        <w:t>0</w:t>
      </w:r>
      <w:r>
        <w:rPr>
          <w:rFonts w:ascii="仿宋" w:hAnsi="仿宋" w:eastAsia="仿宋"/>
          <w:sz w:val="32"/>
          <w:szCs w:val="32"/>
        </w:rPr>
        <w:t>万元，已列入政府采购预算，详见政府采购预算表。</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本年度无拟购置固定资产的写：我部门本年度无国有资产购置计划，拟购置金额为</w:t>
      </w:r>
      <w:r>
        <w:rPr>
          <w:rFonts w:ascii="仿宋" w:hAnsi="仿宋" w:eastAsia="仿宋"/>
          <w:sz w:val="32"/>
          <w:szCs w:val="32"/>
        </w:rPr>
        <w:t>0。</w:t>
      </w:r>
    </w:p>
    <w:tbl>
      <w:tblPr>
        <w:tblStyle w:val="5"/>
        <w:tblW w:w="10084" w:type="dxa"/>
        <w:jc w:val="center"/>
        <w:tblLayout w:type="autofit"/>
        <w:tblCellMar>
          <w:top w:w="0" w:type="dxa"/>
          <w:left w:w="108" w:type="dxa"/>
          <w:bottom w:w="0" w:type="dxa"/>
          <w:right w:w="108" w:type="dxa"/>
        </w:tblCellMar>
      </w:tblPr>
      <w:tblGrid>
        <w:gridCol w:w="4788"/>
        <w:gridCol w:w="1035"/>
        <w:gridCol w:w="4261"/>
      </w:tblGrid>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nil"/>
              <w:right w:val="nil"/>
            </w:tcBorders>
            <w:shd w:val="clear" w:color="auto" w:fill="auto"/>
            <w:noWrap/>
            <w:vAlign w:val="center"/>
          </w:tcPr>
          <w:p>
            <w:pPr>
              <w:widowControl/>
              <w:jc w:val="center"/>
              <w:rPr>
                <w:rFonts w:ascii="宋体" w:hAnsi="宋体" w:cs="宋体"/>
                <w:kern w:val="0"/>
                <w:sz w:val="28"/>
                <w:szCs w:val="28"/>
              </w:rPr>
            </w:pPr>
            <w:r>
              <w:rPr>
                <w:rFonts w:hint="eastAsia" w:ascii="宋体" w:hAnsi="宋体"/>
                <w:sz w:val="32"/>
                <w:szCs w:val="32"/>
              </w:rPr>
              <w:t>固定资产占用情况表</w:t>
            </w:r>
          </w:p>
        </w:tc>
      </w:tr>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single" w:color="auto" w:sz="4" w:space="0"/>
              <w:right w:val="nil"/>
            </w:tcBorders>
            <w:shd w:val="clear" w:color="auto" w:fill="auto"/>
            <w:noWrap/>
            <w:vAlign w:val="center"/>
          </w:tcPr>
          <w:p>
            <w:pPr>
              <w:widowControl/>
              <w:jc w:val="center"/>
              <w:rPr>
                <w:rFonts w:ascii="仿宋_GB2312" w:hAnsi="仿宋" w:eastAsia="仿宋_GB2312" w:cs="宋体"/>
                <w:kern w:val="0"/>
                <w:sz w:val="28"/>
                <w:szCs w:val="28"/>
              </w:rPr>
            </w:pPr>
            <w:r>
              <w:rPr>
                <w:rFonts w:hint="eastAsia" w:ascii="仿宋_GB2312" w:hAnsi="仿宋" w:eastAsia="仿宋_GB2312" w:cs="宋体"/>
                <w:bCs/>
                <w:kern w:val="0"/>
                <w:sz w:val="28"/>
                <w:szCs w:val="28"/>
              </w:rPr>
              <w:t>截止时间：</w:t>
            </w:r>
            <w:r>
              <w:rPr>
                <w:rFonts w:ascii="仿宋_GB2312" w:hAnsi="仿宋" w:eastAsia="仿宋_GB2312" w:cs="宋体"/>
                <w:bCs/>
                <w:color w:val="FF0000"/>
                <w:kern w:val="0"/>
                <w:sz w:val="28"/>
                <w:szCs w:val="28"/>
              </w:rPr>
              <w:t>2020</w:t>
            </w:r>
            <w:r>
              <w:rPr>
                <w:rFonts w:hint="eastAsia" w:ascii="仿宋_GB2312" w:hAnsi="仿宋" w:eastAsia="仿宋_GB2312" w:cs="宋体"/>
                <w:bCs/>
                <w:color w:val="FF0000"/>
                <w:kern w:val="0"/>
                <w:sz w:val="28"/>
                <w:szCs w:val="28"/>
              </w:rPr>
              <w:t>年12月31日</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项　　目</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数量</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价值（单位：万元）</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固定资产总额</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622.991914</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1、房屋（平方米）</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5</w:t>
            </w:r>
            <w:r>
              <w:rPr>
                <w:rFonts w:ascii="仿宋_GB2312" w:hAnsi="仿宋" w:eastAsia="仿宋_GB2312" w:cs="宋体"/>
                <w:kern w:val="0"/>
                <w:sz w:val="24"/>
                <w:szCs w:val="24"/>
              </w:rPr>
              <w:t>451</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309.1954</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其中：办公用房（平方米）</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5451</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309.1954</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2、车辆（台、辆）</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2</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18.864</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3、单价在50万元以上的设备(台、套)</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1</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60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其中：单价50万元（含）以上的通用设备</w:t>
            </w:r>
          </w:p>
        </w:tc>
        <w:tc>
          <w:tcPr>
            <w:tcW w:w="103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ascii="仿宋_GB2312" w:hAnsi="仿宋" w:eastAsia="仿宋_GB2312" w:cs="宋体"/>
                <w:kern w:val="0"/>
                <w:sz w:val="24"/>
                <w:szCs w:val="24"/>
              </w:rPr>
              <w:t>1</w:t>
            </w:r>
          </w:p>
        </w:tc>
        <w:tc>
          <w:tcPr>
            <w:tcW w:w="426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60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单价100万元（含）以上的专用设备</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ascii="仿宋_GB2312" w:hAnsi="仿宋" w:eastAsia="仿宋_GB2312" w:cs="宋体"/>
                <w:kern w:val="0"/>
                <w:sz w:val="24"/>
                <w:szCs w:val="24"/>
              </w:rPr>
              <w:t>0</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4、其他固定资产</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b/>
                <w:kern w:val="0"/>
                <w:sz w:val="24"/>
                <w:szCs w:val="24"/>
              </w:rPr>
              <w:t>--</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234.932514</w:t>
            </w:r>
          </w:p>
        </w:tc>
      </w:tr>
    </w:tbl>
    <w:p>
      <w:pPr>
        <w:spacing w:line="360" w:lineRule="auto"/>
        <w:rPr>
          <w:rFonts w:ascii="黑体" w:hAnsi="黑体" w:eastAsia="黑体" w:cs="Times New Roman"/>
          <w:sz w:val="32"/>
          <w:szCs w:val="32"/>
        </w:rPr>
      </w:pPr>
    </w:p>
    <w:p>
      <w:pPr>
        <w:jc w:val="center"/>
        <w:outlineLvl w:val="0"/>
        <w:rPr>
          <w:rFonts w:ascii="方正小标宋_GBK" w:eastAsia="方正小标宋_GBK"/>
          <w:sz w:val="44"/>
        </w:rPr>
      </w:pPr>
    </w:p>
    <w:p>
      <w:pPr>
        <w:jc w:val="center"/>
        <w:outlineLvl w:val="0"/>
        <w:rPr>
          <w:rFonts w:ascii="方正小标宋_GBK" w:eastAsia="方正小标宋_GBK"/>
          <w:sz w:val="44"/>
        </w:rPr>
      </w:pPr>
    </w:p>
    <w:p>
      <w:pPr>
        <w:jc w:val="center"/>
        <w:outlineLvl w:val="0"/>
        <w:rPr>
          <w:rFonts w:ascii="方正小标宋_GBK" w:eastAsia="方正小标宋_GBK"/>
          <w:sz w:val="44"/>
        </w:rPr>
      </w:pPr>
      <w:r>
        <w:rPr>
          <w:rFonts w:hint="eastAsia" w:ascii="方正小标宋_GBK" w:eastAsia="方正小标宋_GBK"/>
          <w:sz w:val="44"/>
        </w:rPr>
        <w:t>第八部分：名词解释</w:t>
      </w:r>
    </w:p>
    <w:p>
      <w:pPr>
        <w:spacing w:line="360" w:lineRule="auto"/>
        <w:ind w:firstLine="640" w:firstLineChars="200"/>
        <w:rPr>
          <w:rFonts w:ascii="仿宋" w:hAnsi="仿宋" w:eastAsia="仿宋"/>
          <w:sz w:val="32"/>
          <w:szCs w:val="32"/>
        </w:rPr>
      </w:pPr>
      <w:r>
        <w:rPr>
          <w:rFonts w:ascii="仿宋" w:hAnsi="仿宋" w:eastAsia="仿宋"/>
          <w:sz w:val="32"/>
          <w:szCs w:val="32"/>
        </w:rPr>
        <w:t>1、一般公共预算财政拨款收入：指区级财政当年拨付的资金。</w:t>
      </w:r>
    </w:p>
    <w:p>
      <w:pPr>
        <w:spacing w:line="360" w:lineRule="auto"/>
        <w:ind w:firstLine="640" w:firstLineChars="200"/>
        <w:rPr>
          <w:rFonts w:ascii="仿宋" w:hAnsi="仿宋" w:eastAsia="仿宋"/>
          <w:sz w:val="32"/>
          <w:szCs w:val="32"/>
        </w:rPr>
      </w:pPr>
      <w:r>
        <w:rPr>
          <w:rFonts w:ascii="仿宋" w:hAnsi="仿宋" w:eastAsia="仿宋"/>
          <w:sz w:val="32"/>
          <w:szCs w:val="32"/>
        </w:rPr>
        <w:t>2、其他收入：指除上述“财政拨款收入”、“事业收入”等以外的收入。</w:t>
      </w:r>
    </w:p>
    <w:p>
      <w:pPr>
        <w:spacing w:line="360" w:lineRule="auto"/>
        <w:ind w:firstLine="640" w:firstLineChars="200"/>
        <w:rPr>
          <w:rFonts w:ascii="仿宋" w:hAnsi="仿宋" w:eastAsia="仿宋"/>
          <w:sz w:val="32"/>
          <w:szCs w:val="32"/>
        </w:rPr>
      </w:pPr>
      <w:r>
        <w:rPr>
          <w:rFonts w:ascii="仿宋" w:hAnsi="仿宋" w:eastAsia="仿宋"/>
          <w:sz w:val="32"/>
          <w:szCs w:val="32"/>
        </w:rPr>
        <w:t>3、基本支出：指为保障机构正常运转、完成日常工作任务而发生的人员支出和公用支出。</w:t>
      </w:r>
    </w:p>
    <w:p>
      <w:pPr>
        <w:spacing w:line="360" w:lineRule="auto"/>
        <w:ind w:firstLine="640" w:firstLineChars="200"/>
        <w:rPr>
          <w:rFonts w:ascii="仿宋" w:hAnsi="仿宋" w:eastAsia="仿宋"/>
          <w:sz w:val="32"/>
          <w:szCs w:val="32"/>
        </w:rPr>
      </w:pPr>
      <w:r>
        <w:rPr>
          <w:rFonts w:ascii="仿宋" w:hAnsi="仿宋" w:eastAsia="仿宋"/>
          <w:sz w:val="32"/>
          <w:szCs w:val="32"/>
        </w:rPr>
        <w:t>4、项目支出：指在基本支出之外为完成特定行政任务和事业发展目标所发生的支出。</w:t>
      </w:r>
    </w:p>
    <w:p>
      <w:pPr>
        <w:spacing w:line="360" w:lineRule="auto"/>
        <w:ind w:firstLine="640" w:firstLineChars="200"/>
        <w:rPr>
          <w:rFonts w:ascii="仿宋" w:hAnsi="仿宋" w:eastAsia="仿宋"/>
          <w:sz w:val="32"/>
          <w:szCs w:val="32"/>
        </w:rPr>
      </w:pPr>
      <w:r>
        <w:rPr>
          <w:rFonts w:ascii="仿宋" w:hAnsi="仿宋" w:eastAsia="仿宋"/>
          <w:sz w:val="32"/>
          <w:szCs w:val="32"/>
        </w:rPr>
        <w:t>5、“三公”经费：纳入区级财政预算管理的“三公”经费，是指区级部门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360" w:lineRule="auto"/>
        <w:ind w:firstLine="640" w:firstLineChars="200"/>
        <w:rPr>
          <w:rFonts w:ascii="仿宋" w:hAnsi="仿宋" w:eastAsia="仿宋"/>
          <w:sz w:val="32"/>
          <w:szCs w:val="32"/>
        </w:rPr>
      </w:pPr>
      <w:r>
        <w:rPr>
          <w:rFonts w:ascii="仿宋" w:hAnsi="仿宋" w:eastAsia="仿宋"/>
          <w:sz w:val="32"/>
          <w:szCs w:val="32"/>
        </w:rPr>
        <w:t>6、机关运行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第九部分：其他需说明的事项</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我单位无其他需说明的事项。</w:t>
      </w: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仿宋_GBK">
    <w:altName w:val="宋体"/>
    <w:panose1 w:val="00000000000000000000"/>
    <w:charset w:val="86"/>
    <w:family w:val="roman"/>
    <w:pitch w:val="default"/>
    <w:sig w:usb0="00000000" w:usb1="00000000" w:usb2="00000000" w:usb3="00000000" w:csb0="00000000" w:csb1="00000000"/>
  </w:font>
  <w:font w:name="方正书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黑体_GBK">
    <w:altName w:val="宋体"/>
    <w:panose1 w:val="00000000000000000000"/>
    <w:charset w:val="86"/>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39661540"/>
    </w:sdtPr>
    <w:sdtContent>
      <w:p>
        <w:pPr>
          <w:pStyle w:val="3"/>
          <w:jc w:val="center"/>
        </w:pPr>
        <w:r>
          <w:fldChar w:fldCharType="begin"/>
        </w:r>
        <w:r>
          <w:instrText xml:space="preserve">PAGE   \* MERGEFORMAT</w:instrText>
        </w:r>
        <w:r>
          <w:fldChar w:fldCharType="separate"/>
        </w:r>
        <w:r>
          <w:rPr>
            <w:lang w:val="zh-CN"/>
          </w:rPr>
          <w:t>12</w:t>
        </w:r>
        <w:r>
          <w:rPr>
            <w:lang w:val="zh-CN"/>
          </w:rPr>
          <w:fldChar w:fldCharType="end"/>
        </w:r>
      </w:p>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PAGE   \* MERGEFORMAT</w:instrText>
    </w:r>
    <w:r>
      <w:fldChar w:fldCharType="separate"/>
    </w:r>
    <w:r>
      <w:rPr>
        <w:lang w:val="zh-CN"/>
      </w:rPr>
      <w:t>15</w:t>
    </w:r>
    <w: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55F1F"/>
    <w:rsid w:val="00013B8A"/>
    <w:rsid w:val="00020687"/>
    <w:rsid w:val="0003784E"/>
    <w:rsid w:val="00044FBC"/>
    <w:rsid w:val="00055F1F"/>
    <w:rsid w:val="000577EF"/>
    <w:rsid w:val="00057F18"/>
    <w:rsid w:val="000A445D"/>
    <w:rsid w:val="000C178B"/>
    <w:rsid w:val="000D3EED"/>
    <w:rsid w:val="000D6CE5"/>
    <w:rsid w:val="00126A17"/>
    <w:rsid w:val="00131DEC"/>
    <w:rsid w:val="00136AB3"/>
    <w:rsid w:val="001377A1"/>
    <w:rsid w:val="001462BD"/>
    <w:rsid w:val="00152380"/>
    <w:rsid w:val="001638BE"/>
    <w:rsid w:val="00164810"/>
    <w:rsid w:val="00172C7A"/>
    <w:rsid w:val="00181777"/>
    <w:rsid w:val="001B4688"/>
    <w:rsid w:val="001B6235"/>
    <w:rsid w:val="001F4875"/>
    <w:rsid w:val="00212335"/>
    <w:rsid w:val="00266AA0"/>
    <w:rsid w:val="002918C6"/>
    <w:rsid w:val="00291EF3"/>
    <w:rsid w:val="00296524"/>
    <w:rsid w:val="002C09DA"/>
    <w:rsid w:val="002D66E3"/>
    <w:rsid w:val="002E01F6"/>
    <w:rsid w:val="002F1ACB"/>
    <w:rsid w:val="002F530F"/>
    <w:rsid w:val="00305E97"/>
    <w:rsid w:val="00310532"/>
    <w:rsid w:val="003164F4"/>
    <w:rsid w:val="00320E7E"/>
    <w:rsid w:val="0032782B"/>
    <w:rsid w:val="00340B3D"/>
    <w:rsid w:val="0034253A"/>
    <w:rsid w:val="003669CF"/>
    <w:rsid w:val="00367A30"/>
    <w:rsid w:val="00397EBF"/>
    <w:rsid w:val="003A06D2"/>
    <w:rsid w:val="003A4557"/>
    <w:rsid w:val="003A6366"/>
    <w:rsid w:val="003B5778"/>
    <w:rsid w:val="003C2317"/>
    <w:rsid w:val="003C442E"/>
    <w:rsid w:val="003D1092"/>
    <w:rsid w:val="003D37CD"/>
    <w:rsid w:val="003E5531"/>
    <w:rsid w:val="003E555C"/>
    <w:rsid w:val="003E6AF3"/>
    <w:rsid w:val="0040243C"/>
    <w:rsid w:val="00406BD1"/>
    <w:rsid w:val="00420C86"/>
    <w:rsid w:val="00426C19"/>
    <w:rsid w:val="00436042"/>
    <w:rsid w:val="00450FD9"/>
    <w:rsid w:val="00453CE0"/>
    <w:rsid w:val="00470736"/>
    <w:rsid w:val="00470BBB"/>
    <w:rsid w:val="0048611E"/>
    <w:rsid w:val="004B6929"/>
    <w:rsid w:val="004E2F43"/>
    <w:rsid w:val="004E3572"/>
    <w:rsid w:val="004F3C52"/>
    <w:rsid w:val="005048DE"/>
    <w:rsid w:val="00510A1E"/>
    <w:rsid w:val="005158E2"/>
    <w:rsid w:val="00524204"/>
    <w:rsid w:val="00550049"/>
    <w:rsid w:val="00553095"/>
    <w:rsid w:val="00553F7E"/>
    <w:rsid w:val="005572D6"/>
    <w:rsid w:val="00570142"/>
    <w:rsid w:val="0057294B"/>
    <w:rsid w:val="00586C35"/>
    <w:rsid w:val="005B1B6F"/>
    <w:rsid w:val="005B6CCB"/>
    <w:rsid w:val="005C54AA"/>
    <w:rsid w:val="005C7B89"/>
    <w:rsid w:val="005F6ABD"/>
    <w:rsid w:val="00600217"/>
    <w:rsid w:val="0062788A"/>
    <w:rsid w:val="00641F8A"/>
    <w:rsid w:val="0066383B"/>
    <w:rsid w:val="006A6FA2"/>
    <w:rsid w:val="006B5117"/>
    <w:rsid w:val="006C05CD"/>
    <w:rsid w:val="006C62DF"/>
    <w:rsid w:val="006F5104"/>
    <w:rsid w:val="006F6549"/>
    <w:rsid w:val="00735B02"/>
    <w:rsid w:val="00763927"/>
    <w:rsid w:val="007657C8"/>
    <w:rsid w:val="00767A77"/>
    <w:rsid w:val="00771E49"/>
    <w:rsid w:val="007774F1"/>
    <w:rsid w:val="00782208"/>
    <w:rsid w:val="00783D2A"/>
    <w:rsid w:val="00785171"/>
    <w:rsid w:val="00791938"/>
    <w:rsid w:val="007A5999"/>
    <w:rsid w:val="007A7F83"/>
    <w:rsid w:val="007C7FD7"/>
    <w:rsid w:val="007F22AB"/>
    <w:rsid w:val="007F3746"/>
    <w:rsid w:val="008062E4"/>
    <w:rsid w:val="00823E75"/>
    <w:rsid w:val="00833132"/>
    <w:rsid w:val="00840B71"/>
    <w:rsid w:val="00845C67"/>
    <w:rsid w:val="00851740"/>
    <w:rsid w:val="0086454E"/>
    <w:rsid w:val="008672EA"/>
    <w:rsid w:val="00891680"/>
    <w:rsid w:val="008A0099"/>
    <w:rsid w:val="008A014E"/>
    <w:rsid w:val="008A0B5F"/>
    <w:rsid w:val="008A2B05"/>
    <w:rsid w:val="008B5402"/>
    <w:rsid w:val="008C6BE7"/>
    <w:rsid w:val="008D11BC"/>
    <w:rsid w:val="0090527E"/>
    <w:rsid w:val="00905BB7"/>
    <w:rsid w:val="0090620C"/>
    <w:rsid w:val="00912DA4"/>
    <w:rsid w:val="009302B8"/>
    <w:rsid w:val="009305C6"/>
    <w:rsid w:val="009752AE"/>
    <w:rsid w:val="00982F3D"/>
    <w:rsid w:val="00983232"/>
    <w:rsid w:val="009A278A"/>
    <w:rsid w:val="009B6368"/>
    <w:rsid w:val="009D7525"/>
    <w:rsid w:val="009F05DA"/>
    <w:rsid w:val="009F63C4"/>
    <w:rsid w:val="00A06710"/>
    <w:rsid w:val="00A16957"/>
    <w:rsid w:val="00A6155C"/>
    <w:rsid w:val="00A8067C"/>
    <w:rsid w:val="00A8079E"/>
    <w:rsid w:val="00A90328"/>
    <w:rsid w:val="00A92D66"/>
    <w:rsid w:val="00AA4262"/>
    <w:rsid w:val="00AB5A90"/>
    <w:rsid w:val="00AB633A"/>
    <w:rsid w:val="00AB7449"/>
    <w:rsid w:val="00AE0547"/>
    <w:rsid w:val="00AE4AA5"/>
    <w:rsid w:val="00AE6EF9"/>
    <w:rsid w:val="00AE7FA9"/>
    <w:rsid w:val="00B147EB"/>
    <w:rsid w:val="00B22155"/>
    <w:rsid w:val="00B26C05"/>
    <w:rsid w:val="00B44F28"/>
    <w:rsid w:val="00B45BAD"/>
    <w:rsid w:val="00B76AA9"/>
    <w:rsid w:val="00B80FAB"/>
    <w:rsid w:val="00B81C88"/>
    <w:rsid w:val="00B84390"/>
    <w:rsid w:val="00B90031"/>
    <w:rsid w:val="00B938D5"/>
    <w:rsid w:val="00BA5C83"/>
    <w:rsid w:val="00BC6A7D"/>
    <w:rsid w:val="00BD4829"/>
    <w:rsid w:val="00BD6002"/>
    <w:rsid w:val="00BD719F"/>
    <w:rsid w:val="00BE6565"/>
    <w:rsid w:val="00BF5442"/>
    <w:rsid w:val="00C177A5"/>
    <w:rsid w:val="00C35FEE"/>
    <w:rsid w:val="00C50535"/>
    <w:rsid w:val="00C6153C"/>
    <w:rsid w:val="00C906EF"/>
    <w:rsid w:val="00CC7D74"/>
    <w:rsid w:val="00CD5356"/>
    <w:rsid w:val="00CE775E"/>
    <w:rsid w:val="00D02F97"/>
    <w:rsid w:val="00D2236B"/>
    <w:rsid w:val="00D45530"/>
    <w:rsid w:val="00D45A0E"/>
    <w:rsid w:val="00D45D23"/>
    <w:rsid w:val="00D638B5"/>
    <w:rsid w:val="00D723D1"/>
    <w:rsid w:val="00D80C60"/>
    <w:rsid w:val="00D8525F"/>
    <w:rsid w:val="00DA0C4D"/>
    <w:rsid w:val="00DA5DA7"/>
    <w:rsid w:val="00DE3935"/>
    <w:rsid w:val="00DE6B32"/>
    <w:rsid w:val="00DF26B8"/>
    <w:rsid w:val="00E05C88"/>
    <w:rsid w:val="00E12C68"/>
    <w:rsid w:val="00E2325B"/>
    <w:rsid w:val="00E24075"/>
    <w:rsid w:val="00E270C9"/>
    <w:rsid w:val="00E35F38"/>
    <w:rsid w:val="00E46F27"/>
    <w:rsid w:val="00E509CC"/>
    <w:rsid w:val="00E56DC0"/>
    <w:rsid w:val="00E71A04"/>
    <w:rsid w:val="00E90DA6"/>
    <w:rsid w:val="00E95C88"/>
    <w:rsid w:val="00E96342"/>
    <w:rsid w:val="00EA2FEA"/>
    <w:rsid w:val="00EA56CB"/>
    <w:rsid w:val="00EA7853"/>
    <w:rsid w:val="00F000B1"/>
    <w:rsid w:val="00F012D3"/>
    <w:rsid w:val="00F044C3"/>
    <w:rsid w:val="00F10D04"/>
    <w:rsid w:val="00F169E3"/>
    <w:rsid w:val="00F35D4B"/>
    <w:rsid w:val="00F3746B"/>
    <w:rsid w:val="00F572CB"/>
    <w:rsid w:val="00F621AF"/>
    <w:rsid w:val="00F8024E"/>
    <w:rsid w:val="00F82447"/>
    <w:rsid w:val="00F868E5"/>
    <w:rsid w:val="00FB2F32"/>
    <w:rsid w:val="00FB2FBF"/>
    <w:rsid w:val="00FC3191"/>
    <w:rsid w:val="00FE0F1F"/>
    <w:rsid w:val="00FF61F3"/>
    <w:rsid w:val="70E970A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uiPriority w:val="99"/>
    <w:rPr>
      <w:sz w:val="18"/>
      <w:szCs w:val="18"/>
    </w:rPr>
  </w:style>
  <w:style w:type="paragraph" w:customStyle="1" w:styleId="10">
    <w:name w:val="插入文本样式-插入总体目标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11">
    <w:name w:val="插入文本样式-插入职责分类绩效目标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12">
    <w:name w:val="插入文本样式-插入实现年度发展规划目标的保障措施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13">
    <w:name w:val="单元格样式23"/>
    <w:basedOn w:val="1"/>
    <w:qFormat/>
    <w:uiPriority w:val="0"/>
    <w:pPr>
      <w:widowControl/>
      <w:jc w:val="right"/>
    </w:pPr>
    <w:rPr>
      <w:rFonts w:ascii="方正书宋_GBK" w:hAnsi="方正书宋_GBK" w:eastAsia="方正书宋_GBK" w:cs="方正书宋_GBK"/>
      <w:kern w:val="0"/>
      <w:sz w:val="24"/>
      <w:szCs w:val="24"/>
      <w:lang w:eastAsia="uk-UA"/>
    </w:rPr>
  </w:style>
  <w:style w:type="paragraph" w:customStyle="1" w:styleId="14">
    <w:name w:val="单元格样式20"/>
    <w:basedOn w:val="1"/>
    <w:qFormat/>
    <w:uiPriority w:val="0"/>
    <w:pPr>
      <w:widowControl/>
      <w:jc w:val="left"/>
    </w:pPr>
    <w:rPr>
      <w:rFonts w:ascii="方正小标宋_GBK" w:hAnsi="方正小标宋_GBK" w:eastAsia="方正小标宋_GBK" w:cs="方正小标宋_GBK"/>
      <w:kern w:val="0"/>
      <w:sz w:val="24"/>
      <w:szCs w:val="24"/>
      <w:lang w:eastAsia="uk-UA"/>
    </w:rPr>
  </w:style>
  <w:style w:type="paragraph" w:customStyle="1" w:styleId="15">
    <w:name w:val="单元格样式1"/>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16">
    <w:name w:val="单元格样式6"/>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17">
    <w:name w:val="单元格样式7"/>
    <w:basedOn w:val="1"/>
    <w:qFormat/>
    <w:uiPriority w:val="0"/>
    <w:pPr>
      <w:widowControl/>
      <w:jc w:val="right"/>
    </w:pPr>
    <w:rPr>
      <w:rFonts w:ascii="方正书宋_GBK" w:hAnsi="方正书宋_GBK" w:eastAsia="方正书宋_GBK" w:cs="方正书宋_GBK"/>
      <w:b/>
      <w:kern w:val="0"/>
      <w:szCs w:val="24"/>
      <w:lang w:eastAsia="uk-UA"/>
    </w:rPr>
  </w:style>
  <w:style w:type="paragraph" w:customStyle="1" w:styleId="18">
    <w:name w:val="单元格样式5"/>
    <w:basedOn w:val="1"/>
    <w:qFormat/>
    <w:uiPriority w:val="0"/>
    <w:pPr>
      <w:widowControl/>
      <w:jc w:val="left"/>
    </w:pPr>
    <w:rPr>
      <w:rFonts w:ascii="方正书宋_GBK" w:hAnsi="方正书宋_GBK" w:eastAsia="方正书宋_GBK" w:cs="方正书宋_GBK"/>
      <w:b/>
      <w:kern w:val="0"/>
      <w:szCs w:val="24"/>
      <w:lang w:eastAsia="uk-U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7C8C8B2-4F97-4288-A264-820009DE435B}">
  <ds:schemaRefs/>
</ds:datastoreItem>
</file>

<file path=docProps/app.xml><?xml version="1.0" encoding="utf-8"?>
<Properties xmlns="http://schemas.openxmlformats.org/officeDocument/2006/extended-properties" xmlns:vt="http://schemas.openxmlformats.org/officeDocument/2006/docPropsVTypes">
  <Template>Normal</Template>
  <Pages>15</Pages>
  <Words>977</Words>
  <Characters>5570</Characters>
  <Lines>46</Lines>
  <Paragraphs>13</Paragraphs>
  <TotalTime>747</TotalTime>
  <ScaleCrop>false</ScaleCrop>
  <LinksUpToDate>false</LinksUpToDate>
  <CharactersWithSpaces>6534</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2019-02-15T06:58:00Z</dcterms:created>
  <dc:creator>Windows 用户</dc:creator>
  <cp:lastModifiedBy>lenovo</cp:lastModifiedBy>
  <cp:lastPrinted>2021-04-14T02:06:00Z</cp:lastPrinted>
  <dcterms:modified xsi:type="dcterms:W3CDTF">2023-11-16T01:31:00Z</dcterms:modified>
  <cp:revision>220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BEB42E596A024761B699077339D0A31D</vt:lpwstr>
  </property>
</Properties>
</file>