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保定市徐水区教育和</w:t>
      </w:r>
      <w:r>
        <w:rPr>
          <w:rFonts w:ascii="宋体" w:hAnsi="宋体" w:eastAsia="宋体"/>
          <w:b/>
          <w:sz w:val="44"/>
          <w:szCs w:val="44"/>
        </w:rPr>
        <w:t>体育局（</w:t>
      </w:r>
      <w:r>
        <w:rPr>
          <w:rFonts w:hint="eastAsia" w:ascii="宋体" w:hAnsi="宋体" w:eastAsia="宋体"/>
          <w:b/>
          <w:sz w:val="44"/>
          <w:szCs w:val="44"/>
        </w:rPr>
        <w:t>本级</w:t>
      </w:r>
      <w:r>
        <w:rPr>
          <w:rFonts w:ascii="宋体" w:hAnsi="宋体" w:eastAsia="宋体"/>
          <w:b/>
          <w:sz w:val="44"/>
          <w:szCs w:val="44"/>
        </w:rPr>
        <w:t>）</w:t>
      </w:r>
    </w:p>
    <w:p>
      <w:pPr>
        <w:spacing w:line="360" w:lineRule="auto"/>
        <w:jc w:val="center"/>
        <w:rPr>
          <w:rFonts w:ascii="宋体" w:hAnsi="宋体" w:eastAsia="宋体"/>
          <w:b/>
          <w:sz w:val="44"/>
          <w:szCs w:val="44"/>
        </w:rPr>
      </w:pPr>
      <w:r>
        <w:rPr>
          <w:rFonts w:ascii="宋体" w:hAnsi="宋体" w:eastAsia="宋体"/>
          <w:b/>
          <w:sz w:val="44"/>
          <w:szCs w:val="44"/>
        </w:rPr>
        <w:t>2021年部门预算公开说明</w:t>
      </w:r>
    </w:p>
    <w:p>
      <w:pPr>
        <w:tabs>
          <w:tab w:val="left" w:pos="5274"/>
        </w:tabs>
        <w:spacing w:line="360" w:lineRule="auto"/>
        <w:rPr>
          <w:rFonts w:ascii="仿宋" w:hAnsi="仿宋" w:eastAsia="仿宋"/>
          <w:sz w:val="32"/>
          <w:szCs w:val="32"/>
        </w:rPr>
      </w:pPr>
      <w:r>
        <w:rPr>
          <w:rFonts w:ascii="仿宋" w:hAnsi="仿宋" w:eastAsia="仿宋"/>
          <w:sz w:val="32"/>
          <w:szCs w:val="32"/>
        </w:rPr>
        <w:tab/>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预算法》、《地方预决算公开操作规程》等文件规定，现将我部门预算信息公开如下：</w:t>
      </w:r>
    </w:p>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:部门职责及机构设置情况</w:t>
      </w:r>
    </w:p>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ascii="仿宋" w:hAnsi="仿宋" w:eastAsia="仿宋"/>
          <w:b/>
          <w:sz w:val="32"/>
          <w:szCs w:val="32"/>
        </w:rPr>
      </w:pPr>
      <w:r>
        <w:rPr>
          <w:rFonts w:hint="eastAsia" w:ascii="仿宋" w:hAnsi="仿宋" w:eastAsia="仿宋"/>
          <w:b/>
          <w:sz w:val="32"/>
          <w:szCs w:val="32"/>
        </w:rPr>
        <w:t>一、部门职责</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根据《保定市徐水区教育和体育局职能配置、内设机构和人员编制规定》，保定市徐水区教育和体育局的主要职责是：</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一）贯彻落实教育和体育工作方针、政策、法律、法规，负责教育体制、办学体制、学校管理体制及城乡教育综合改革的统筹规划和协调指导；落实教育优先发展的战略地位，推动全区教育和体育事业改革发展。</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（二）研究制定全区教育和体育工作的发展规划，统筹规划学枃布局和体育事业发展，在省、市规定的权限内承担各级各类学校设立、撤销、调整的上报工作。</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三）全面实施素质教育，指导推动教育教学和教育科研工作；负责全区义务教育、学前教育、特殊教育、高中教育、职业技术教育、成人教育的宏观指导、综合管理与服务，对全区教育工作状况及办学水平进行监督、检查、评估、验收；负责组织各类招生考试工作。</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四）负责全区教育和体育系统队伍建设工作，负责人员招聘录用、工作调配、教育培训、职称评聘、评优评模、考核奖惩等工作；管理和指导师范类毕业生就业工作；负责实施教师资格制度工作；负责下属单位领导班子的领导干部的培养、考察、考核、任免和管理以及后备干部队伍建设工作。</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五）负责教育和体育经费统筹管理；负责教育和体育基建、设施设备及专项计划的审批和财务的管理、监督、审计工作；参与全区年度教育和体育经费的预决算工作；做好计划统计工作；负责各级助学政策和经费的落实。</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（六）指导全区学校的德育、智育、体育、美育、劳动、国防和安全教育工作；负责教育和体育系统党的建设工作，指导工会、共青团、妇女工作；负责教育和体育系统的安全稳定及综合治理工作。</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七）负责全区体育竞赛、竞技运动项目的设置和布局；参与规划、实施区重点体育设施建设，负责公共体育设施的监督管理工作；加强体育公共服务、促进多元体育服务体系建设；监督、指导体育彩票发行工作；负责全民健身工作，组织、指导、协调全区性重大体育活动；负责国有体育资产的管理、规划、开发和利用；统筹规划全区青少年体育发展，指导和推进青少年体育工作；指导体育管理人员、教练员、运动员队伍建设；负责组织开展反兴奋剂工作；</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（八）负责全区语言文字工作，制订语言文字工作规划；组织协调并监督检查汉语和少数民族语言文字规范、标准的实施；指导推广普通话和普通话测试工作；负责社会用字规范管理。</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sectPr>
          <w:pgSz w:w="11900" w:h="16840"/>
          <w:pgMar w:top="1361" w:right="1020" w:bottom="1361" w:left="1020" w:header="720" w:footer="720" w:gutter="0"/>
          <w:pgNumType w:start="1"/>
          <w:cols w:space="720" w:num="1"/>
        </w:sectPr>
      </w:pPr>
      <w:r>
        <w:rPr>
          <w:rFonts w:ascii="仿宋" w:hAnsi="仿宋" w:eastAsia="仿宋"/>
          <w:sz w:val="32"/>
          <w:szCs w:val="32"/>
        </w:rPr>
        <w:t>（九）承办区委、区政府和上级教育行政部门交办的其他事</w:t>
      </w:r>
      <w:r>
        <w:rPr>
          <w:rFonts w:hint="eastAsia" w:ascii="仿宋" w:hAnsi="仿宋" w:eastAsia="仿宋"/>
          <w:sz w:val="32"/>
          <w:szCs w:val="32"/>
        </w:rPr>
        <w:t>项。</w:t>
      </w:r>
    </w:p>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ascii="仿宋" w:hAnsi="仿宋" w:eastAsia="仿宋"/>
          <w:b/>
          <w:sz w:val="32"/>
          <w:szCs w:val="32"/>
        </w:rPr>
      </w:pPr>
      <w:r>
        <w:rPr>
          <w:rFonts w:hint="eastAsia" w:ascii="仿宋" w:hAnsi="仿宋" w:eastAsia="仿宋"/>
          <w:b/>
          <w:sz w:val="32"/>
          <w:szCs w:val="32"/>
        </w:rPr>
        <w:t>二、机构设置</w:t>
      </w:r>
    </w:p>
    <w:tbl>
      <w:tblPr>
        <w:tblStyle w:val="14"/>
        <w:tblW w:w="9634"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04"/>
        <w:gridCol w:w="3402"/>
        <w:gridCol w:w="1279"/>
        <w:gridCol w:w="1698"/>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trPr>
        <w:tc>
          <w:tcPr>
            <w:tcW w:w="704" w:type="dxa"/>
            <w:tcBorders>
              <w:top w:val="single" w:color="auto" w:sz="4" w:space="0"/>
              <w:left w:val="single" w:color="auto" w:sz="4" w:space="0"/>
              <w:bottom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3402" w:type="dxa"/>
            <w:tcBorders>
              <w:bottom w:val="single" w:color="000000" w:sz="6"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279" w:type="dxa"/>
            <w:tcBorders>
              <w:bottom w:val="single" w:color="000000" w:sz="6"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仿宋" w:eastAsia="仿宋_GB2312" w:cs="宋体"/>
                <w:kern w:val="0"/>
                <w:sz w:val="24"/>
                <w:szCs w:val="24"/>
              </w:rPr>
            </w:pPr>
            <w:r>
              <w:rPr>
                <w:rFonts w:hint="eastAsia" w:ascii="仿宋_GB2312" w:hAnsi="仿宋" w:eastAsia="仿宋_GB2312" w:cs="宋体"/>
                <w:kern w:val="0"/>
                <w:sz w:val="24"/>
                <w:szCs w:val="24"/>
              </w:rPr>
              <w:t>单位基本性质</w:t>
            </w:r>
          </w:p>
        </w:tc>
        <w:tc>
          <w:tcPr>
            <w:tcW w:w="1698" w:type="dxa"/>
            <w:tcBorders>
              <w:bottom w:val="single" w:color="000000" w:sz="6" w:space="0"/>
            </w:tcBorders>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仿宋" w:eastAsia="仿宋_GB2312" w:cs="宋体"/>
                <w:kern w:val="0"/>
                <w:sz w:val="24"/>
                <w:szCs w:val="24"/>
              </w:rPr>
            </w:pPr>
            <w:r>
              <w:rPr>
                <w:rFonts w:hint="eastAsia" w:ascii="仿宋_GB2312" w:hAnsi="仿宋" w:eastAsia="仿宋_GB2312" w:cs="宋体"/>
                <w:kern w:val="0"/>
                <w:sz w:val="24"/>
                <w:szCs w:val="24"/>
              </w:rPr>
              <w:t>单位</w:t>
            </w:r>
            <w:r>
              <w:rPr>
                <w:rFonts w:ascii="仿宋_GB2312" w:hAnsi="仿宋" w:eastAsia="仿宋_GB2312" w:cs="宋体"/>
                <w:kern w:val="0"/>
                <w:sz w:val="24"/>
                <w:szCs w:val="24"/>
              </w:rPr>
              <w:t>规格</w:t>
            </w:r>
          </w:p>
        </w:tc>
        <w:tc>
          <w:tcPr>
            <w:tcW w:w="2551" w:type="dxa"/>
            <w:tcBorders>
              <w:bottom w:val="single" w:color="000000" w:sz="6"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仿宋" w:eastAsia="仿宋_GB2312" w:cs="宋体"/>
                <w:kern w:val="0"/>
                <w:sz w:val="24"/>
                <w:szCs w:val="24"/>
              </w:rPr>
            </w:pPr>
            <w:r>
              <w:rPr>
                <w:rFonts w:hint="eastAsia" w:ascii="仿宋_GB2312" w:hAnsi="仿宋" w:eastAsia="仿宋_GB2312" w:cs="宋体"/>
                <w:kern w:val="0"/>
                <w:sz w:val="24"/>
                <w:szCs w:val="24"/>
              </w:rPr>
              <w:t>经费形式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704" w:type="dxa"/>
            <w:tcBorders>
              <w:top w:val="single" w:color="auto" w:sz="4" w:space="0"/>
              <w:left w:val="single" w:color="auto" w:sz="4" w:space="0"/>
              <w:bottom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480" w:firstLineChars="200"/>
              <w:jc w:val="center"/>
              <w:textAlignment w:val="auto"/>
              <w:rPr>
                <w:rFonts w:ascii="仿宋_GB2312" w:hAnsi="仿宋" w:eastAsia="仿宋_GB2312"/>
                <w:bCs/>
                <w:sz w:val="24"/>
                <w:szCs w:val="24"/>
              </w:rPr>
            </w:pPr>
            <w:r>
              <w:rPr>
                <w:rFonts w:hint="eastAsia" w:ascii="仿宋_GB2312" w:hAnsi="仿宋" w:eastAsia="仿宋_GB2312"/>
                <w:bCs/>
                <w:sz w:val="24"/>
                <w:szCs w:val="24"/>
              </w:rPr>
              <w:t>1</w:t>
            </w:r>
          </w:p>
        </w:tc>
        <w:tc>
          <w:tcPr>
            <w:tcW w:w="3402" w:type="dxa"/>
            <w:tcBorders>
              <w:bottom w:val="single" w:color="auto" w:sz="4" w:space="0"/>
            </w:tcBorders>
            <w:vAlign w:val="center"/>
          </w:tcPr>
          <w:p>
            <w:pPr>
              <w:keepNext w:val="0"/>
              <w:keepLines w:val="0"/>
              <w:pageBreakBefore w:val="0"/>
              <w:kinsoku/>
              <w:wordWrap/>
              <w:overflowPunct/>
              <w:topLinePunct w:val="0"/>
              <w:autoSpaceDE/>
              <w:autoSpaceDN/>
              <w:bidi w:val="0"/>
              <w:adjustRightInd/>
              <w:snapToGrid/>
              <w:ind w:firstLine="480" w:firstLineChars="200"/>
              <w:jc w:val="center"/>
              <w:textAlignment w:val="auto"/>
              <w:rPr>
                <w:rFonts w:ascii="仿宋_GB2312" w:hAnsi="仿宋" w:eastAsia="仿宋_GB2312"/>
                <w:bCs/>
                <w:sz w:val="24"/>
                <w:szCs w:val="24"/>
              </w:rPr>
            </w:pPr>
            <w:r>
              <w:rPr>
                <w:rFonts w:hint="eastAsia" w:ascii="仿宋_GB2312" w:hAnsi="仿宋" w:eastAsia="仿宋_GB2312"/>
                <w:bCs/>
                <w:sz w:val="24"/>
                <w:szCs w:val="24"/>
              </w:rPr>
              <w:t>徐水区教育和体育局（本</w:t>
            </w:r>
            <w:r>
              <w:rPr>
                <w:rFonts w:ascii="仿宋_GB2312" w:hAnsi="仿宋" w:eastAsia="仿宋_GB2312"/>
                <w:bCs/>
                <w:sz w:val="24"/>
                <w:szCs w:val="24"/>
              </w:rPr>
              <w:t>级</w:t>
            </w:r>
            <w:r>
              <w:rPr>
                <w:rFonts w:hint="eastAsia" w:ascii="仿宋_GB2312" w:hAnsi="仿宋" w:eastAsia="仿宋_GB2312"/>
                <w:bCs/>
                <w:sz w:val="24"/>
                <w:szCs w:val="24"/>
              </w:rPr>
              <w:t>）</w:t>
            </w:r>
          </w:p>
        </w:tc>
        <w:tc>
          <w:tcPr>
            <w:tcW w:w="1279" w:type="dxa"/>
            <w:vAlign w:val="center"/>
          </w:tcPr>
          <w:p>
            <w:pPr>
              <w:keepNext w:val="0"/>
              <w:keepLines w:val="0"/>
              <w:pageBreakBefore w:val="0"/>
              <w:kinsoku/>
              <w:wordWrap/>
              <w:overflowPunct/>
              <w:topLinePunct w:val="0"/>
              <w:autoSpaceDE/>
              <w:autoSpaceDN/>
              <w:bidi w:val="0"/>
              <w:adjustRightInd/>
              <w:snapToGrid/>
              <w:ind w:firstLine="480" w:firstLineChars="200"/>
              <w:jc w:val="center"/>
              <w:textAlignment w:val="auto"/>
              <w:rPr>
                <w:rFonts w:ascii="仿宋_GB2312" w:hAnsi="仿宋" w:eastAsia="仿宋_GB2312"/>
                <w:bCs/>
                <w:sz w:val="24"/>
                <w:szCs w:val="24"/>
              </w:rPr>
            </w:pPr>
            <w:r>
              <w:rPr>
                <w:rFonts w:hint="eastAsia" w:ascii="仿宋_GB2312" w:hAnsi="仿宋" w:eastAsia="仿宋_GB2312"/>
                <w:bCs/>
                <w:sz w:val="24"/>
                <w:szCs w:val="24"/>
              </w:rPr>
              <w:t>机关</w:t>
            </w:r>
          </w:p>
        </w:tc>
        <w:tc>
          <w:tcPr>
            <w:tcW w:w="1698" w:type="dxa"/>
          </w:tcPr>
          <w:p>
            <w:pPr>
              <w:keepNext w:val="0"/>
              <w:keepLines w:val="0"/>
              <w:pageBreakBefore w:val="0"/>
              <w:kinsoku/>
              <w:wordWrap/>
              <w:overflowPunct/>
              <w:topLinePunct w:val="0"/>
              <w:autoSpaceDE/>
              <w:autoSpaceDN/>
              <w:bidi w:val="0"/>
              <w:adjustRightInd/>
              <w:snapToGrid/>
              <w:ind w:firstLine="480" w:firstLineChars="200"/>
              <w:jc w:val="center"/>
              <w:textAlignment w:val="auto"/>
              <w:rPr>
                <w:rFonts w:ascii="仿宋_GB2312" w:hAnsi="仿宋" w:eastAsia="仿宋_GB2312"/>
                <w:bCs/>
                <w:sz w:val="24"/>
                <w:szCs w:val="24"/>
              </w:rPr>
            </w:pPr>
            <w:r>
              <w:rPr>
                <w:rFonts w:hint="eastAsia" w:ascii="仿宋_GB2312" w:hAnsi="仿宋" w:eastAsia="仿宋_GB2312"/>
                <w:bCs/>
                <w:sz w:val="24"/>
                <w:szCs w:val="24"/>
              </w:rPr>
              <w:t>正</w:t>
            </w:r>
            <w:r>
              <w:rPr>
                <w:rFonts w:ascii="仿宋_GB2312" w:hAnsi="仿宋" w:eastAsia="仿宋_GB2312"/>
                <w:bCs/>
                <w:sz w:val="24"/>
                <w:szCs w:val="24"/>
              </w:rPr>
              <w:t>科级</w:t>
            </w:r>
          </w:p>
        </w:tc>
        <w:tc>
          <w:tcPr>
            <w:tcW w:w="2551" w:type="dxa"/>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仿宋" w:eastAsia="仿宋_GB2312"/>
                <w:bCs/>
                <w:sz w:val="24"/>
                <w:szCs w:val="24"/>
              </w:rPr>
            </w:pPr>
            <w:r>
              <w:rPr>
                <w:rFonts w:hint="eastAsia" w:ascii="仿宋_GB2312" w:hAnsi="仿宋" w:eastAsia="仿宋_GB2312"/>
                <w:bCs/>
                <w:sz w:val="24"/>
                <w:szCs w:val="24"/>
              </w:rPr>
              <w:t>财政性资金基本保证</w:t>
            </w:r>
          </w:p>
        </w:tc>
      </w:tr>
    </w:tbl>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r>
        <w:rPr>
          <w:rFonts w:hint="eastAsia" w:ascii="方正小标宋_GBK" w:eastAsia="方正小标宋_GBK"/>
          <w:sz w:val="44"/>
        </w:rPr>
        <w:t>第二部分：部门预算安排的总体情况</w:t>
      </w:r>
      <w:r>
        <w:rPr>
          <w:rFonts w:ascii="方正小标宋_GBK" w:eastAsia="方正小标宋_GBK"/>
          <w:sz w:val="44"/>
        </w:rPr>
        <w:t xml:space="preserve"> </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hint="eastAsia" w:ascii="仿宋" w:hAnsi="仿宋" w:eastAsia="仿宋"/>
          <w:sz w:val="32"/>
          <w:szCs w:val="32"/>
        </w:rPr>
        <w:t>按照预算管理有关规定，目前我区部门预算的编制实行综合预算制度，即全部收入和支出都反映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预算中。我部门及所属事业单位的收支包含在部门预算中。</w:t>
      </w:r>
    </w:p>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ascii="仿宋" w:hAnsi="仿宋" w:eastAsia="仿宋"/>
          <w:b/>
          <w:sz w:val="32"/>
          <w:szCs w:val="32"/>
        </w:rPr>
      </w:pPr>
      <w:r>
        <w:rPr>
          <w:rFonts w:hint="eastAsia" w:ascii="仿宋" w:hAnsi="仿宋" w:eastAsia="仿宋"/>
          <w:b/>
          <w:sz w:val="32"/>
          <w:szCs w:val="32"/>
        </w:rPr>
        <w:t>一、收入说明</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2021年预算收入为20928.61万元,其中：一般公共预算收入20928.61万元，基金预算收入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p>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ascii="仿宋" w:hAnsi="仿宋" w:eastAsia="仿宋"/>
          <w:b/>
          <w:sz w:val="32"/>
          <w:szCs w:val="32"/>
        </w:rPr>
      </w:pPr>
      <w:r>
        <w:rPr>
          <w:rFonts w:hint="eastAsia" w:ascii="仿宋" w:hAnsi="仿宋" w:eastAsia="仿宋"/>
          <w:b/>
          <w:sz w:val="32"/>
          <w:szCs w:val="32"/>
        </w:rPr>
        <w:t>二、支出说明</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2021年部门支出预算：20928.61万元</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hint="eastAsia" w:ascii="仿宋" w:hAnsi="仿宋" w:eastAsia="仿宋"/>
          <w:sz w:val="32"/>
          <w:szCs w:val="32"/>
        </w:rPr>
        <w:t>基本支出</w:t>
      </w:r>
      <w:r>
        <w:rPr>
          <w:rFonts w:ascii="仿宋" w:hAnsi="仿宋" w:eastAsia="仿宋"/>
          <w:sz w:val="32"/>
          <w:szCs w:val="32"/>
        </w:rPr>
        <w:t>3017.7</w:t>
      </w:r>
      <w:r>
        <w:rPr>
          <w:rFonts w:hint="eastAsia" w:ascii="仿宋" w:hAnsi="仿宋" w:eastAsia="仿宋"/>
          <w:sz w:val="32"/>
          <w:szCs w:val="32"/>
        </w:rPr>
        <w:t>万元</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2892.81</w:t>
      </w:r>
      <w:r>
        <w:rPr>
          <w:rFonts w:ascii="仿宋" w:hAnsi="仿宋" w:eastAsia="仿宋"/>
          <w:sz w:val="32"/>
          <w:szCs w:val="32"/>
        </w:rPr>
        <w:t>万元</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124.89</w:t>
      </w:r>
      <w:r>
        <w:rPr>
          <w:rFonts w:ascii="仿宋" w:hAnsi="仿宋" w:eastAsia="仿宋"/>
          <w:sz w:val="32"/>
          <w:szCs w:val="32"/>
        </w:rPr>
        <w:t>万元</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17910.91万元</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1484.32</w:t>
      </w:r>
      <w:r>
        <w:rPr>
          <w:rFonts w:ascii="仿宋" w:hAnsi="仿宋" w:eastAsia="仿宋"/>
          <w:sz w:val="32"/>
          <w:szCs w:val="32"/>
        </w:rPr>
        <w:t>万元</w:t>
      </w:r>
    </w:p>
    <w:p>
      <w:pPr>
        <w:keepNext w:val="0"/>
        <w:keepLines w:val="0"/>
        <w:pageBreakBefore w:val="0"/>
        <w:kinsoku/>
        <w:wordWrap/>
        <w:overflowPunct/>
        <w:topLinePunct w:val="0"/>
        <w:autoSpaceDE/>
        <w:autoSpaceDN/>
        <w:bidi w:val="0"/>
        <w:adjustRightInd/>
        <w:snapToGrid/>
        <w:spacing w:line="360" w:lineRule="auto"/>
        <w:ind w:firstLine="643" w:firstLineChars="200"/>
        <w:textAlignment w:val="auto"/>
        <w:rPr>
          <w:rFonts w:ascii="仿宋" w:hAnsi="仿宋" w:eastAsia="仿宋"/>
          <w:b/>
          <w:sz w:val="32"/>
          <w:szCs w:val="32"/>
        </w:rPr>
      </w:pPr>
      <w:r>
        <w:rPr>
          <w:rFonts w:hint="eastAsia" w:ascii="仿宋" w:hAnsi="仿宋" w:eastAsia="仿宋"/>
          <w:b/>
          <w:sz w:val="32"/>
          <w:szCs w:val="32"/>
        </w:rPr>
        <w:t>三、比上年增减情况</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r>
        <w:rPr>
          <w:rFonts w:hint="eastAsia" w:ascii="仿宋" w:hAnsi="仿宋" w:eastAsia="仿宋"/>
          <w:sz w:val="32"/>
          <w:szCs w:val="32"/>
        </w:rPr>
        <w:t>本年度预算收支安排20928.61万元，较上年增加17816.55</w:t>
      </w:r>
      <w:r>
        <w:rPr>
          <w:rFonts w:ascii="仿宋" w:hAnsi="仿宋" w:eastAsia="仿宋"/>
          <w:sz w:val="32"/>
          <w:szCs w:val="32"/>
        </w:rPr>
        <w:t>万元。其中:基本支出</w:t>
      </w:r>
      <w:r>
        <w:rPr>
          <w:rFonts w:hint="eastAsia" w:ascii="仿宋" w:hAnsi="仿宋" w:eastAsia="仿宋"/>
          <w:sz w:val="32"/>
          <w:szCs w:val="32"/>
        </w:rPr>
        <w:t>减少93.67</w:t>
      </w:r>
      <w:r>
        <w:rPr>
          <w:rFonts w:ascii="仿宋" w:hAnsi="仿宋" w:eastAsia="仿宋"/>
          <w:sz w:val="32"/>
          <w:szCs w:val="32"/>
        </w:rPr>
        <w:t>万元，主要原因是</w:t>
      </w:r>
      <w:r>
        <w:rPr>
          <w:rFonts w:hint="eastAsia" w:ascii="仿宋" w:hAnsi="仿宋" w:eastAsia="仿宋"/>
          <w:sz w:val="32"/>
          <w:szCs w:val="32"/>
        </w:rPr>
        <w:t>压减</w:t>
      </w:r>
      <w:r>
        <w:rPr>
          <w:rFonts w:ascii="仿宋" w:hAnsi="仿宋" w:eastAsia="仿宋"/>
          <w:sz w:val="32"/>
          <w:szCs w:val="32"/>
        </w:rPr>
        <w:t>日常办公经费；项目支出</w:t>
      </w:r>
      <w:r>
        <w:rPr>
          <w:rFonts w:hint="eastAsia" w:ascii="仿宋" w:hAnsi="仿宋" w:eastAsia="仿宋"/>
          <w:sz w:val="32"/>
          <w:szCs w:val="32"/>
        </w:rPr>
        <w:t>增加17910.23万</w:t>
      </w:r>
      <w:r>
        <w:rPr>
          <w:rFonts w:ascii="仿宋" w:hAnsi="仿宋" w:eastAsia="仿宋"/>
          <w:sz w:val="32"/>
          <w:szCs w:val="32"/>
        </w:rPr>
        <w:t>元，主要原因是</w:t>
      </w:r>
      <w:r>
        <w:rPr>
          <w:rFonts w:hint="eastAsia" w:ascii="仿宋" w:hAnsi="仿宋" w:eastAsia="仿宋"/>
          <w:sz w:val="32"/>
          <w:szCs w:val="32"/>
        </w:rPr>
        <w:t>列</w:t>
      </w:r>
      <w:r>
        <w:rPr>
          <w:rFonts w:ascii="仿宋" w:hAnsi="仿宋" w:eastAsia="仿宋"/>
          <w:sz w:val="32"/>
          <w:szCs w:val="32"/>
        </w:rPr>
        <w:t>在教体局（</w:t>
      </w:r>
      <w:r>
        <w:rPr>
          <w:rFonts w:hint="eastAsia" w:ascii="仿宋" w:hAnsi="仿宋" w:eastAsia="仿宋"/>
          <w:sz w:val="32"/>
          <w:szCs w:val="32"/>
        </w:rPr>
        <w:t>事业</w:t>
      </w:r>
      <w:r>
        <w:rPr>
          <w:rFonts w:ascii="仿宋" w:hAnsi="仿宋" w:eastAsia="仿宋"/>
          <w:sz w:val="32"/>
          <w:szCs w:val="32"/>
        </w:rPr>
        <w:t>）</w:t>
      </w:r>
      <w:r>
        <w:rPr>
          <w:rFonts w:hint="eastAsia" w:ascii="仿宋" w:hAnsi="仿宋" w:eastAsia="仿宋"/>
          <w:sz w:val="32"/>
          <w:szCs w:val="32"/>
        </w:rPr>
        <w:t>项目增加</w:t>
      </w:r>
      <w:r>
        <w:rPr>
          <w:rFonts w:ascii="仿宋" w:hAnsi="仿宋" w:eastAsia="仿宋"/>
          <w:sz w:val="32"/>
          <w:szCs w:val="32"/>
        </w:rPr>
        <w:t>。</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sz w:val="32"/>
          <w:szCs w:val="32"/>
        </w:rPr>
      </w:pPr>
    </w:p>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r>
        <w:rPr>
          <w:rFonts w:hint="eastAsia" w:ascii="方正小标宋_GBK" w:eastAsia="方正小标宋_GBK"/>
          <w:sz w:val="44"/>
        </w:rPr>
        <w:t>第三部分：机关运行经费安排情况</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仿宋" w:hAnsi="仿宋" w:eastAsia="仿宋"/>
          <w:b/>
          <w:sz w:val="32"/>
          <w:szCs w:val="32"/>
        </w:rPr>
      </w:pPr>
      <w:r>
        <w:rPr>
          <w:rFonts w:ascii="仿宋" w:hAnsi="仿宋" w:eastAsia="仿宋"/>
          <w:sz w:val="32"/>
          <w:szCs w:val="32"/>
        </w:rPr>
        <w:t>2021年我部门机关运行经费安排124.89万元，其中办公费</w:t>
      </w:r>
      <w:r>
        <w:rPr>
          <w:rFonts w:hint="eastAsia" w:ascii="仿宋" w:hAnsi="仿宋" w:eastAsia="仿宋"/>
          <w:sz w:val="32"/>
          <w:szCs w:val="32"/>
        </w:rPr>
        <w:t>3.</w:t>
      </w:r>
      <w:r>
        <w:rPr>
          <w:rFonts w:ascii="仿宋" w:hAnsi="仿宋" w:eastAsia="仿宋"/>
          <w:sz w:val="32"/>
          <w:szCs w:val="32"/>
        </w:rPr>
        <w:t>6万元，邮电费</w:t>
      </w:r>
      <w:r>
        <w:rPr>
          <w:rFonts w:hint="eastAsia" w:ascii="仿宋" w:hAnsi="仿宋" w:eastAsia="仿宋"/>
          <w:sz w:val="32"/>
          <w:szCs w:val="32"/>
        </w:rPr>
        <w:t>0</w:t>
      </w:r>
      <w:r>
        <w:rPr>
          <w:rFonts w:ascii="仿宋" w:hAnsi="仿宋" w:eastAsia="仿宋"/>
          <w:sz w:val="32"/>
          <w:szCs w:val="32"/>
        </w:rPr>
        <w:t>万元，工会经费、福利费</w:t>
      </w:r>
      <w:r>
        <w:rPr>
          <w:rFonts w:hint="eastAsia" w:ascii="仿宋" w:hAnsi="仿宋" w:eastAsia="仿宋"/>
          <w:sz w:val="32"/>
          <w:szCs w:val="32"/>
        </w:rPr>
        <w:t>51.27</w:t>
      </w:r>
      <w:r>
        <w:rPr>
          <w:rFonts w:ascii="仿宋" w:hAnsi="仿宋" w:eastAsia="仿宋"/>
          <w:sz w:val="32"/>
          <w:szCs w:val="32"/>
        </w:rPr>
        <w:t>万元，公务用车运行维护费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w:t>
      </w:r>
      <w:r>
        <w:rPr>
          <w:rFonts w:hint="eastAsia" w:ascii="仿宋" w:hAnsi="仿宋" w:eastAsia="仿宋"/>
          <w:sz w:val="32"/>
          <w:szCs w:val="32"/>
        </w:rPr>
        <w:t>0</w:t>
      </w:r>
      <w:r>
        <w:rPr>
          <w:rFonts w:ascii="仿宋" w:hAnsi="仿宋" w:eastAsia="仿宋"/>
          <w:sz w:val="32"/>
          <w:szCs w:val="32"/>
        </w:rPr>
        <w:t>万元。</w:t>
      </w:r>
    </w:p>
    <w:p>
      <w:pPr>
        <w:keepNext w:val="0"/>
        <w:keepLines w:val="0"/>
        <w:pageBreakBefore w:val="0"/>
        <w:kinsoku/>
        <w:wordWrap/>
        <w:overflowPunct/>
        <w:topLinePunct w:val="0"/>
        <w:autoSpaceDE/>
        <w:autoSpaceDN/>
        <w:bidi w:val="0"/>
        <w:adjustRightInd/>
        <w:snapToGrid/>
        <w:spacing w:line="360" w:lineRule="auto"/>
        <w:ind w:firstLine="640" w:firstLineChars="200"/>
        <w:jc w:val="center"/>
        <w:textAlignment w:val="auto"/>
        <w:rPr>
          <w:rFonts w:ascii="黑体" w:hAnsi="黑体" w:eastAsia="黑体" w:cs="Times New Roman"/>
          <w:sz w:val="32"/>
          <w:szCs w:val="32"/>
        </w:rPr>
      </w:pPr>
    </w:p>
    <w:p>
      <w:pPr>
        <w:keepNext w:val="0"/>
        <w:keepLines w:val="0"/>
        <w:pageBreakBefore w:val="0"/>
        <w:kinsoku/>
        <w:wordWrap/>
        <w:overflowPunct/>
        <w:topLinePunct w:val="0"/>
        <w:autoSpaceDE/>
        <w:autoSpaceDN/>
        <w:bidi w:val="0"/>
        <w:adjustRightInd/>
        <w:snapToGrid/>
        <w:spacing w:line="360" w:lineRule="auto"/>
        <w:ind w:firstLine="640" w:firstLineChars="200"/>
        <w:jc w:val="center"/>
        <w:textAlignment w:val="auto"/>
        <w:rPr>
          <w:rFonts w:ascii="黑体" w:hAnsi="黑体" w:eastAsia="黑体" w:cs="Times New Roman"/>
          <w:sz w:val="32"/>
          <w:szCs w:val="32"/>
        </w:rPr>
      </w:pPr>
    </w:p>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p>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14"/>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14"/>
              <w:tblW w:w="0" w:type="auto"/>
              <w:jc w:val="center"/>
              <w:tblLayout w:type="autofit"/>
              <w:tblCellMar>
                <w:top w:w="0" w:type="dxa"/>
                <w:left w:w="108" w:type="dxa"/>
                <w:bottom w:w="0" w:type="dxa"/>
                <w:right w:w="108" w:type="dxa"/>
              </w:tblCellMar>
            </w:tblPr>
            <w:tblGrid>
              <w:gridCol w:w="2163"/>
              <w:gridCol w:w="1276"/>
              <w:gridCol w:w="1418"/>
              <w:gridCol w:w="111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黑体" w:hAnsi="黑体" w:eastAsia="黑体" w:cs="宋体"/>
                      <w:kern w:val="0"/>
                      <w:sz w:val="32"/>
                      <w:szCs w:val="32"/>
                    </w:rPr>
                  </w:pP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宋体" w:hAnsi="宋体" w:cs="宋体"/>
                      <w:kern w:val="0"/>
                      <w:sz w:val="24"/>
                      <w:szCs w:val="24"/>
                    </w:rPr>
                  </w:pPr>
                </w:p>
              </w:tc>
              <w:tc>
                <w:tcPr>
                  <w:tcW w:w="1276"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宋体" w:hAnsi="宋体" w:cs="宋体"/>
                      <w:kern w:val="0"/>
                      <w:sz w:val="24"/>
                      <w:szCs w:val="24"/>
                    </w:rPr>
                  </w:pPr>
                </w:p>
              </w:tc>
              <w:tc>
                <w:tcPr>
                  <w:tcW w:w="1418"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宋体" w:hAnsi="宋体" w:cs="宋体"/>
                      <w:kern w:val="0"/>
                      <w:sz w:val="24"/>
                      <w:szCs w:val="24"/>
                    </w:rPr>
                  </w:pPr>
                </w:p>
              </w:tc>
              <w:tc>
                <w:tcPr>
                  <w:tcW w:w="836"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宋体" w:hAnsi="宋体" w:cs="宋体"/>
                      <w:kern w:val="0"/>
                      <w:sz w:val="24"/>
                      <w:szCs w:val="24"/>
                    </w:rPr>
                  </w:pPr>
                </w:p>
              </w:tc>
              <w:tc>
                <w:tcPr>
                  <w:tcW w:w="2397"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right"/>
                    <w:textAlignment w:val="auto"/>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2" w:firstLineChars="200"/>
                    <w:jc w:val="center"/>
                    <w:textAlignment w:val="auto"/>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2" w:firstLineChars="200"/>
                    <w:jc w:val="center"/>
                    <w:textAlignment w:val="auto"/>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2" w:firstLineChars="200"/>
                    <w:jc w:val="center"/>
                    <w:textAlignment w:val="auto"/>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2" w:firstLineChars="200"/>
                    <w:jc w:val="center"/>
                    <w:textAlignment w:val="auto"/>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2" w:firstLineChars="200"/>
                    <w:jc w:val="center"/>
                    <w:textAlignment w:val="auto"/>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p>
              </w:tc>
              <w:tc>
                <w:tcPr>
                  <w:tcW w:w="83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p>
              </w:tc>
              <w:tc>
                <w:tcPr>
                  <w:tcW w:w="83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33.5</w:t>
                  </w:r>
                </w:p>
              </w:tc>
              <w:tc>
                <w:tcPr>
                  <w:tcW w:w="83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33.5</w:t>
                  </w:r>
                </w:p>
              </w:tc>
              <w:tc>
                <w:tcPr>
                  <w:tcW w:w="239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去年此</w:t>
                  </w:r>
                  <w:r>
                    <w:rPr>
                      <w:rFonts w:ascii="仿宋_GB2312" w:hAnsi="宋体" w:eastAsia="仿宋_GB2312" w:cs="宋体"/>
                      <w:kern w:val="0"/>
                      <w:sz w:val="24"/>
                      <w:szCs w:val="24"/>
                    </w:rPr>
                    <w:t>预算列</w:t>
                  </w:r>
                  <w:r>
                    <w:rPr>
                      <w:rFonts w:hint="eastAsia" w:ascii="仿宋_GB2312" w:hAnsi="宋体" w:eastAsia="仿宋_GB2312" w:cs="宋体"/>
                      <w:kern w:val="0"/>
                      <w:sz w:val="24"/>
                      <w:szCs w:val="24"/>
                    </w:rPr>
                    <w:t>在</w:t>
                  </w:r>
                  <w:r>
                    <w:rPr>
                      <w:rFonts w:ascii="仿宋_GB2312" w:hAnsi="宋体" w:eastAsia="仿宋_GB2312" w:cs="宋体"/>
                      <w:kern w:val="0"/>
                      <w:sz w:val="24"/>
                      <w:szCs w:val="24"/>
                    </w:rPr>
                    <w:t>教体局（</w:t>
                  </w:r>
                  <w:r>
                    <w:rPr>
                      <w:rFonts w:hint="eastAsia" w:ascii="仿宋_GB2312" w:hAnsi="宋体" w:eastAsia="仿宋_GB2312" w:cs="宋体"/>
                      <w:kern w:val="0"/>
                      <w:sz w:val="24"/>
                      <w:szCs w:val="24"/>
                    </w:rPr>
                    <w:t>本级</w:t>
                  </w:r>
                  <w:r>
                    <w:rPr>
                      <w:rFonts w:ascii="仿宋_GB2312" w:hAnsi="宋体" w:eastAsia="仿宋_GB2312" w:cs="宋体"/>
                      <w:kern w:val="0"/>
                      <w:sz w:val="24"/>
                      <w:szCs w:val="24"/>
                    </w:rPr>
                    <w:t>）</w:t>
                  </w:r>
                  <w:r>
                    <w:rPr>
                      <w:rFonts w:hint="eastAsia" w:ascii="仿宋_GB2312" w:hAnsi="宋体" w:eastAsia="仿宋_GB2312" w:cs="宋体"/>
                      <w:kern w:val="0"/>
                      <w:sz w:val="24"/>
                      <w:szCs w:val="24"/>
                    </w:rPr>
                    <w:t>，</w:t>
                  </w:r>
                  <w:r>
                    <w:rPr>
                      <w:rFonts w:ascii="仿宋_GB2312" w:hAnsi="宋体" w:eastAsia="仿宋_GB2312" w:cs="宋体"/>
                      <w:kern w:val="0"/>
                      <w:sz w:val="24"/>
                      <w:szCs w:val="24"/>
                    </w:rPr>
                    <w:t>今年</w:t>
                  </w:r>
                  <w:r>
                    <w:rPr>
                      <w:rFonts w:hint="eastAsia" w:ascii="仿宋_GB2312" w:hAnsi="宋体" w:eastAsia="仿宋_GB2312" w:cs="宋体"/>
                      <w:kern w:val="0"/>
                      <w:sz w:val="24"/>
                      <w:szCs w:val="24"/>
                    </w:rPr>
                    <w:t>调整</w:t>
                  </w:r>
                  <w:r>
                    <w:rPr>
                      <w:rFonts w:ascii="仿宋_GB2312" w:hAnsi="宋体" w:eastAsia="仿宋_GB2312" w:cs="宋体"/>
                      <w:kern w:val="0"/>
                      <w:sz w:val="24"/>
                      <w:szCs w:val="24"/>
                    </w:rPr>
                    <w:t>到教体局（</w:t>
                  </w:r>
                  <w:r>
                    <w:rPr>
                      <w:rFonts w:hint="eastAsia" w:ascii="仿宋_GB2312" w:hAnsi="宋体" w:eastAsia="仿宋_GB2312" w:cs="宋体"/>
                      <w:kern w:val="0"/>
                      <w:sz w:val="24"/>
                      <w:szCs w:val="24"/>
                    </w:rPr>
                    <w:t>事业</w:t>
                  </w:r>
                  <w:r>
                    <w:rPr>
                      <w:rFonts w:ascii="仿宋_GB2312" w:hAnsi="宋体" w:eastAsia="仿宋_GB2312" w:cs="宋体"/>
                      <w:kern w:val="0"/>
                      <w:sz w:val="24"/>
                      <w:szCs w:val="24"/>
                    </w:rPr>
                    <w:t>）</w:t>
                  </w:r>
                  <w:r>
                    <w:rPr>
                      <w:rFonts w:hint="eastAsia" w:ascii="仿宋_GB2312" w:hAnsi="宋体" w:eastAsia="仿宋_GB2312" w:cs="宋体"/>
                      <w:kern w:val="0"/>
                      <w:sz w:val="24"/>
                      <w:szCs w:val="24"/>
                    </w:rPr>
                    <w:t>总体</w:t>
                  </w:r>
                  <w:r>
                    <w:rPr>
                      <w:rFonts w:ascii="仿宋_GB2312" w:hAnsi="宋体" w:eastAsia="仿宋_GB2312" w:cs="宋体"/>
                      <w:kern w:val="0"/>
                      <w:sz w:val="24"/>
                      <w:szCs w:val="24"/>
                    </w:rPr>
                    <w:t>减少</w:t>
                  </w:r>
                  <w:r>
                    <w:rPr>
                      <w:rFonts w:hint="eastAsia" w:ascii="仿宋_GB2312" w:hAnsi="宋体" w:eastAsia="仿宋_GB2312" w:cs="宋体"/>
                      <w:kern w:val="0"/>
                      <w:sz w:val="24"/>
                      <w:szCs w:val="24"/>
                    </w:rPr>
                    <w:t>0.6万</w:t>
                  </w:r>
                  <w:r>
                    <w:rPr>
                      <w:rFonts w:ascii="仿宋_GB2312" w:hAnsi="宋体" w:eastAsia="仿宋_GB2312" w:cs="宋体"/>
                      <w:kern w:val="0"/>
                      <w:sz w:val="24"/>
                      <w:szCs w:val="24"/>
                    </w:rPr>
                    <w:t>元</w:t>
                  </w: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13</w:t>
                  </w:r>
                </w:p>
              </w:tc>
              <w:tc>
                <w:tcPr>
                  <w:tcW w:w="83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13</w:t>
                  </w:r>
                </w:p>
              </w:tc>
              <w:tc>
                <w:tcPr>
                  <w:tcW w:w="239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去年</w:t>
                  </w:r>
                  <w:r>
                    <w:rPr>
                      <w:rFonts w:ascii="仿宋_GB2312" w:hAnsi="宋体" w:eastAsia="仿宋_GB2312" w:cs="宋体"/>
                      <w:kern w:val="0"/>
                      <w:sz w:val="24"/>
                      <w:szCs w:val="24"/>
                    </w:rPr>
                    <w:t>此预算列在教体局（</w:t>
                  </w:r>
                  <w:r>
                    <w:rPr>
                      <w:rFonts w:hint="eastAsia" w:ascii="仿宋_GB2312" w:hAnsi="宋体" w:eastAsia="仿宋_GB2312" w:cs="宋体"/>
                      <w:kern w:val="0"/>
                      <w:sz w:val="24"/>
                      <w:szCs w:val="24"/>
                    </w:rPr>
                    <w:t>本级</w:t>
                  </w:r>
                  <w:r>
                    <w:rPr>
                      <w:rFonts w:ascii="仿宋_GB2312" w:hAnsi="宋体" w:eastAsia="仿宋_GB2312" w:cs="宋体"/>
                      <w:kern w:val="0"/>
                      <w:sz w:val="24"/>
                      <w:szCs w:val="24"/>
                    </w:rPr>
                    <w:t>）</w:t>
                  </w:r>
                  <w:r>
                    <w:rPr>
                      <w:rFonts w:hint="eastAsia" w:ascii="仿宋_GB2312" w:hAnsi="宋体" w:eastAsia="仿宋_GB2312" w:cs="宋体"/>
                      <w:kern w:val="0"/>
                      <w:sz w:val="24"/>
                      <w:szCs w:val="24"/>
                    </w:rPr>
                    <w:t>今年</w:t>
                  </w:r>
                  <w:r>
                    <w:rPr>
                      <w:rFonts w:ascii="仿宋_GB2312" w:hAnsi="宋体" w:eastAsia="仿宋_GB2312" w:cs="宋体"/>
                      <w:kern w:val="0"/>
                      <w:sz w:val="24"/>
                      <w:szCs w:val="24"/>
                    </w:rPr>
                    <w:t>调整到教</w:t>
                  </w:r>
                  <w:r>
                    <w:rPr>
                      <w:rFonts w:hint="eastAsia" w:ascii="仿宋_GB2312" w:hAnsi="宋体" w:eastAsia="仿宋_GB2312" w:cs="宋体"/>
                      <w:kern w:val="0"/>
                      <w:sz w:val="24"/>
                      <w:szCs w:val="24"/>
                    </w:rPr>
                    <w:t>体局（事业）总体</w:t>
                  </w:r>
                  <w:r>
                    <w:rPr>
                      <w:rFonts w:ascii="仿宋_GB2312" w:hAnsi="宋体" w:eastAsia="仿宋_GB2312" w:cs="宋体"/>
                      <w:kern w:val="0"/>
                      <w:sz w:val="24"/>
                      <w:szCs w:val="24"/>
                    </w:rPr>
                    <w:t>无变化</w:t>
                  </w: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46.5</w:t>
                  </w:r>
                </w:p>
              </w:tc>
              <w:tc>
                <w:tcPr>
                  <w:tcW w:w="83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center"/>
                    <w:textAlignment w:val="auto"/>
                    <w:rPr>
                      <w:rFonts w:ascii="仿宋_GB2312" w:hAnsi="宋体" w:eastAsia="仿宋_GB2312" w:cs="宋体"/>
                      <w:color w:val="FF0000"/>
                      <w:kern w:val="0"/>
                      <w:sz w:val="24"/>
                      <w:szCs w:val="24"/>
                    </w:rPr>
                  </w:pPr>
                  <w:r>
                    <w:rPr>
                      <w:rFonts w:ascii="仿宋_GB2312" w:hAnsi="宋体" w:eastAsia="仿宋_GB2312" w:cs="宋体"/>
                      <w:color w:val="FF0000"/>
                      <w:kern w:val="0"/>
                      <w:sz w:val="24"/>
                      <w:szCs w:val="24"/>
                    </w:rPr>
                    <w:t>46.5</w:t>
                  </w:r>
                </w:p>
              </w:tc>
              <w:tc>
                <w:tcPr>
                  <w:tcW w:w="239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宋体" w:hAnsi="宋体" w:cs="宋体"/>
                      <w:kern w:val="0"/>
                      <w:sz w:val="24"/>
                      <w:szCs w:val="24"/>
                    </w:rPr>
                  </w:pPr>
                </w:p>
              </w:tc>
              <w:tc>
                <w:tcPr>
                  <w:tcW w:w="1276"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宋体" w:hAnsi="宋体" w:cs="宋体"/>
                      <w:kern w:val="0"/>
                      <w:sz w:val="24"/>
                      <w:szCs w:val="24"/>
                    </w:rPr>
                  </w:pPr>
                </w:p>
              </w:tc>
              <w:tc>
                <w:tcPr>
                  <w:tcW w:w="1418"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宋体" w:hAnsi="宋体" w:cs="宋体"/>
                      <w:kern w:val="0"/>
                      <w:sz w:val="24"/>
                      <w:szCs w:val="24"/>
                    </w:rPr>
                  </w:pPr>
                </w:p>
              </w:tc>
              <w:tc>
                <w:tcPr>
                  <w:tcW w:w="836"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宋体" w:hAnsi="宋体" w:cs="宋体"/>
                      <w:kern w:val="0"/>
                      <w:sz w:val="24"/>
                      <w:szCs w:val="24"/>
                    </w:rPr>
                  </w:pPr>
                </w:p>
              </w:tc>
              <w:tc>
                <w:tcPr>
                  <w:tcW w:w="2397"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ind w:firstLine="480" w:firstLineChars="200"/>
                    <w:jc w:val="left"/>
                    <w:textAlignment w:val="auto"/>
                    <w:rPr>
                      <w:rFonts w:ascii="宋体" w:hAnsi="宋体" w:cs="宋体"/>
                      <w:kern w:val="0"/>
                      <w:sz w:val="24"/>
                      <w:szCs w:val="24"/>
                    </w:rPr>
                  </w:pPr>
                </w:p>
              </w:tc>
            </w:tr>
          </w:tbl>
          <w:p>
            <w:pPr>
              <w:keepNext w:val="0"/>
              <w:keepLines w:val="0"/>
              <w:pageBreakBefore w:val="0"/>
              <w:widowControl/>
              <w:kinsoku/>
              <w:wordWrap/>
              <w:overflowPunct/>
              <w:topLinePunct w:val="0"/>
              <w:autoSpaceDE/>
              <w:autoSpaceDN/>
              <w:bidi w:val="0"/>
              <w:adjustRightInd/>
              <w:snapToGrid/>
              <w:spacing w:line="520" w:lineRule="exact"/>
              <w:ind w:right="480" w:firstLine="480" w:firstLineChars="200"/>
              <w:textAlignment w:val="auto"/>
              <w:rPr>
                <w:rFonts w:ascii="仿宋" w:hAnsi="仿宋" w:eastAsia="仿宋" w:cs="宋体"/>
                <w:kern w:val="0"/>
                <w:sz w:val="24"/>
                <w:szCs w:val="24"/>
              </w:rPr>
            </w:pPr>
          </w:p>
        </w:tc>
      </w:tr>
    </w:tbl>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ascii="黑体" w:hAnsi="黑体" w:eastAsia="黑体" w:cs="Times New Roman"/>
          <w:sz w:val="32"/>
          <w:szCs w:val="32"/>
        </w:rPr>
      </w:pPr>
    </w:p>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r>
        <w:rPr>
          <w:rFonts w:hint="eastAsia" w:ascii="方正小标宋_GBK" w:eastAsia="方正小标宋_GBK"/>
          <w:sz w:val="44"/>
        </w:rPr>
        <w:t>第五部分：预算绩效信息</w:t>
      </w:r>
    </w:p>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r>
        <w:rPr>
          <w:rFonts w:hint="eastAsia" w:ascii="方正小标宋_GBK" w:eastAsia="方正小标宋_GBK"/>
          <w:sz w:val="44"/>
        </w:rPr>
        <w:t>部门整体</w:t>
      </w:r>
      <w:r>
        <w:rPr>
          <w:rFonts w:ascii="方正小标宋_GBK" w:eastAsia="方正小标宋_GBK"/>
          <w:sz w:val="44"/>
        </w:rPr>
        <w:t>绩效目标</w:t>
      </w:r>
    </w:p>
    <w:p>
      <w:pPr>
        <w:keepNext w:val="0"/>
        <w:keepLines w:val="0"/>
        <w:pageBreakBefore w:val="0"/>
        <w:kinsoku/>
        <w:wordWrap/>
        <w:overflowPunct/>
        <w:topLinePunct w:val="0"/>
        <w:autoSpaceDE/>
        <w:autoSpaceDN/>
        <w:bidi w:val="0"/>
        <w:adjustRightInd/>
        <w:snapToGrid/>
        <w:spacing w:before="10" w:after="10"/>
        <w:ind w:firstLine="560" w:firstLineChars="200"/>
        <w:textAlignment w:val="auto"/>
        <w:outlineLvl w:val="1"/>
      </w:pPr>
      <w:bookmarkStart w:id="0" w:name="_Toc_2_2_0000000001"/>
      <w:r>
        <w:rPr>
          <w:rFonts w:ascii="方正黑体_GBK" w:hAnsi="方正黑体_GBK" w:eastAsia="方正黑体_GBK" w:cs="方正黑体_GBK"/>
          <w:color w:val="000000"/>
          <w:sz w:val="28"/>
        </w:rPr>
        <w:t>一、总体绩效目标</w:t>
      </w:r>
      <w:bookmarkEnd w:id="0"/>
    </w:p>
    <w:p>
      <w:pPr>
        <w:pStyle w:val="21"/>
        <w:keepNext w:val="0"/>
        <w:keepLines w:val="0"/>
        <w:pageBreakBefore w:val="0"/>
        <w:kinsoku/>
        <w:wordWrap/>
        <w:overflowPunct/>
        <w:topLinePunct w:val="0"/>
        <w:autoSpaceDE/>
        <w:autoSpaceDN/>
        <w:bidi w:val="0"/>
        <w:adjustRightInd/>
        <w:snapToGrid/>
        <w:ind w:firstLine="560" w:firstLineChars="200"/>
        <w:textAlignment w:val="auto"/>
      </w:pPr>
      <w:r>
        <w:t>2021年徐水教育工作的总体目标是：高标准</w:t>
      </w:r>
      <w:r>
        <w:rPr>
          <w:rFonts w:hint="eastAsia"/>
          <w:lang w:eastAsia="zh-CN"/>
        </w:rPr>
        <w:t>准备</w:t>
      </w:r>
      <w:r>
        <w:t>河北省第二轮对县级人民政府教育履职评价；推进高中教育高品质发展、义务教育优质均衡发展、学前教育普及普惠发展，特殊教育拓展融合发展；推进国家职业教育改革市域试点，高水平发展职业教育；强化民办义务教育规范管理；全力打造师德高尚的专业化教师队伍，持续推进教育基础设施建设，努力实现现代信息技术与教育教学深度融合，持之以恒地创建平安校园，强化教育高质量发展支撑保障；推动育人课堂创建，加快建设教育强区，办好人民满意教育，以一流的工作业绩助推我区教育工作在全市当先锋、做表率、走在前，以实际行动和优异成绩</w:t>
      </w:r>
      <w:r>
        <w:rPr>
          <w:rFonts w:hint="eastAsia"/>
          <w:lang w:eastAsia="zh-CN"/>
        </w:rPr>
        <w:t>回报</w:t>
      </w:r>
      <w:r>
        <w:rPr>
          <w:lang w:eastAsia="zh-CN"/>
        </w:rPr>
        <w:t>徐水人民</w:t>
      </w:r>
      <w:r>
        <w:t>。</w:t>
      </w:r>
    </w:p>
    <w:p>
      <w:pPr>
        <w:keepNext w:val="0"/>
        <w:keepLines w:val="0"/>
        <w:pageBreakBefore w:val="0"/>
        <w:kinsoku/>
        <w:wordWrap/>
        <w:overflowPunct/>
        <w:topLinePunct w:val="0"/>
        <w:autoSpaceDE/>
        <w:autoSpaceDN/>
        <w:bidi w:val="0"/>
        <w:adjustRightInd/>
        <w:snapToGrid/>
        <w:spacing w:before="10" w:after="10"/>
        <w:ind w:firstLine="560" w:firstLineChars="200"/>
        <w:textAlignment w:val="auto"/>
        <w:outlineLvl w:val="1"/>
      </w:pPr>
      <w:bookmarkStart w:id="1" w:name="_Toc_2_2_0000000002"/>
      <w:r>
        <w:rPr>
          <w:rFonts w:ascii="方正黑体_GBK" w:hAnsi="方正黑体_GBK" w:eastAsia="方正黑体_GBK" w:cs="方正黑体_GBK"/>
          <w:color w:val="000000"/>
          <w:sz w:val="28"/>
        </w:rPr>
        <w:t>二、分项绩效目标</w:t>
      </w:r>
      <w:bookmarkEnd w:id="1"/>
    </w:p>
    <w:p>
      <w:pPr>
        <w:pStyle w:val="22"/>
        <w:keepNext w:val="0"/>
        <w:keepLines w:val="0"/>
        <w:pageBreakBefore w:val="0"/>
        <w:kinsoku/>
        <w:wordWrap/>
        <w:overflowPunct/>
        <w:topLinePunct w:val="0"/>
        <w:autoSpaceDE/>
        <w:autoSpaceDN/>
        <w:bidi w:val="0"/>
        <w:adjustRightInd/>
        <w:snapToGrid/>
        <w:ind w:firstLine="560" w:firstLineChars="200"/>
        <w:textAlignment w:val="auto"/>
      </w:pPr>
      <w:r>
        <w:t>(一）全面加强思想政治建设。</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绩效目标：把学习宣传贯彻习近平新时代中国特色社会主义思想作为首要政治任务，深入学习贯彻习近平总书记关于教育的重要论述。制定2021年区委教育工委</w:t>
      </w:r>
      <w:r>
        <w:rPr>
          <w:rFonts w:hint="eastAsia"/>
          <w:lang w:eastAsia="zh-CN"/>
        </w:rPr>
        <w:t>理论学习中心组</w:t>
      </w:r>
      <w:r>
        <w:t>学习方案，把习近平新时代中国特色社会主义思想和党的十九大、十九届历次全会和二十大精神纳入</w:t>
      </w:r>
      <w:r>
        <w:rPr>
          <w:rFonts w:hint="eastAsia"/>
          <w:lang w:eastAsia="zh-CN"/>
        </w:rPr>
        <w:t>理论学习中心组</w:t>
      </w:r>
      <w:r>
        <w:t>必学材料，全力做好迎接党的二十大胜利召开和学习宣传贯彻，切实把思想和行动统一到党中央、省委、市委、区委决策部署上来。开展师生迎接、学习、宣传党的二十大专项行动，汇聚成教体系统广大干部师生喜迎党的二十大浓厚氛围。健全完善常态化政治理论学习制度，抓实抓紧教职工政治理论学习，用党的创新理论武装头脑、指导实践、推动工作。加强思想政治工作，推动思想政治理论课改革创新，实现全员育人、全程育人、全方位育人，不断提高工作能力和思想政治工作水平。</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（二）推动学前教育普及普惠发展。</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目标：建立区级和乡镇两级学前教育研训机构，充实学前教育研训队伍，提高幼儿园教科研水平，加强园本教研、区域教研，及时解决幼儿园教师在教育实践过程中的困惑和问题，促进我区学前教育高质量发展。</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绩效指标：在园幼儿数达到20000人，学前三年毛入园率达到90%，应享受学前教育资助政策的幼儿全部得到资助，受益幼儿园、家长满意度达到85%以上。</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（三）推动义务教育优质均衡发展。</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目标：持续打好“双减”攻坚战。坚持校外治理与校内提质协同发力，完善校外培训机构管理制度，要压减作业总量，优化作业设计，提升作业质量。全面提升课后服务水平。不断加强课后服务力量，丰富课后服务内容，落实义务教育学校课后服务“全覆盖”，保证课后服务时间，提高课后服务质量，满足学生多样化需求。</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指标：统一城乡义务教育年生均公用经费标准：小学735元、初中935元（均含取暖费85元），特教6000元。为农村义务教育学生和城市区家庭经济困难学生免费提供教科书。所有城乡义务教育阶段学生免费发放教科书，教师、学生对保障机制的综合满意度≥90%。</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（四）推动高中教育高质量发展。</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目标：积极参与全市高中学校的统一教研，打破以往各校自成一体、重教轻研、相对闭塞的教学传统，推动高中教研水平的整体提升。狠抓高中学校教学常规管理，定期组织区内高中听课评课、年级统一调研考试等活动，促进教学管理的科学化和精细化。</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绩效指标：建档立卡贫困学生全部享受助学金。高中阶段毛入学率达到90%，受益普通高中的教师、学生综合满意度≥98%。</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（五）推进中等职业学校标准化建设工程。</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绩效目标：推进中职学校标准化建设。建设区职教中心15000平方米的职业技术教育综合楼和12000平方米的学生餐厅项目。优化专业布局结构。</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指标：集中打造2-3个重点品牌专业，加大与优质高职学校合作力度，扩大“3+2”中高职纵向贯通培养规模，促进各学段普通教育与职业教育横向渗透融通，建设好1个职业启蒙教育基地，在普通中小学实施职业启蒙教育。深入推进教育部“1+X”证书制度试点工作。</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（六）不断加强干部队伍建设。</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绩效目标：深入推进人事制度改革，切实增强干部能力素质。贯彻落实新时代党的组织路线，坚持正确用人导向，把讲政治、懂教育、善管理、敢担当的优秀党员干部选配到学校党组织书记岗位上来。</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绩效指标：每年参加培训的教师人数≥400人，选派“三区”支教教师人数≥10人，“三区”支教地区学生、家长满意度情况≥90%。</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（七）推进学校体育深入开展。</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绩效目标：开足开齐体育课程，认真落实学生每天一小时体育活动时间。大力普及足球、篮球等集体项目，积极推进田径、轮滑等基础项目，广泛开展乒乓球、武术等优势项目，让每位学生掌握1至2项运动技能。</w:t>
      </w:r>
    </w:p>
    <w:p>
      <w:pPr>
        <w:pStyle w:val="22"/>
        <w:keepNext w:val="0"/>
        <w:keepLines w:val="0"/>
        <w:pageBreakBefore w:val="0"/>
        <w:kinsoku/>
        <w:wordWrap/>
        <w:overflowPunct/>
        <w:topLinePunct w:val="0"/>
        <w:autoSpaceDE/>
        <w:autoSpaceDN/>
        <w:bidi w:val="0"/>
        <w:adjustRightInd/>
        <w:snapToGrid/>
        <w:ind w:firstLine="560" w:firstLineChars="200"/>
        <w:textAlignment w:val="auto"/>
      </w:pPr>
      <w:r>
        <w:t>绩效指标：落实学生“体育家庭作业”制度，确保参与体质健康测试率95%以上，学校学生体检健康测试上报率100%。</w:t>
      </w:r>
    </w:p>
    <w:p>
      <w:pPr>
        <w:keepNext w:val="0"/>
        <w:keepLines w:val="0"/>
        <w:pageBreakBefore w:val="0"/>
        <w:kinsoku/>
        <w:wordWrap/>
        <w:overflowPunct/>
        <w:topLinePunct w:val="0"/>
        <w:autoSpaceDE/>
        <w:autoSpaceDN/>
        <w:bidi w:val="0"/>
        <w:adjustRightInd/>
        <w:snapToGrid/>
        <w:spacing w:before="10" w:after="10"/>
        <w:ind w:firstLine="560" w:firstLineChars="200"/>
        <w:textAlignment w:val="auto"/>
        <w:outlineLvl w:val="1"/>
      </w:pPr>
      <w:bookmarkStart w:id="2" w:name="_Toc_2_2_0000000003"/>
      <w:r>
        <w:rPr>
          <w:rFonts w:ascii="方正黑体_GBK" w:hAnsi="方正黑体_GBK" w:eastAsia="方正黑体_GBK" w:cs="方正黑体_GBK"/>
          <w:color w:val="000000"/>
          <w:sz w:val="28"/>
        </w:rPr>
        <w:t>三、工作保障措施</w:t>
      </w:r>
      <w:bookmarkEnd w:id="2"/>
    </w:p>
    <w:p>
      <w:pPr>
        <w:pStyle w:val="23"/>
        <w:keepNext w:val="0"/>
        <w:keepLines w:val="0"/>
        <w:pageBreakBefore w:val="0"/>
        <w:kinsoku/>
        <w:wordWrap/>
        <w:overflowPunct/>
        <w:topLinePunct w:val="0"/>
        <w:autoSpaceDE/>
        <w:autoSpaceDN/>
        <w:bidi w:val="0"/>
        <w:adjustRightInd/>
        <w:snapToGrid/>
        <w:ind w:firstLine="560" w:firstLineChars="200"/>
        <w:textAlignment w:val="auto"/>
      </w:pPr>
      <w:r>
        <w:t>（一）加强组织领导。建立健全教育领域预算绩效管理制度体系。围绕年度总体绩效目标和分项绩效目标，明确责任主体，细化落实措施，确保绩效目标年内全部完成。</w:t>
      </w:r>
    </w:p>
    <w:p>
      <w:pPr>
        <w:pStyle w:val="23"/>
        <w:keepNext w:val="0"/>
        <w:keepLines w:val="0"/>
        <w:pageBreakBefore w:val="0"/>
        <w:kinsoku/>
        <w:wordWrap/>
        <w:overflowPunct/>
        <w:topLinePunct w:val="0"/>
        <w:autoSpaceDE/>
        <w:autoSpaceDN/>
        <w:bidi w:val="0"/>
        <w:adjustRightInd/>
        <w:snapToGrid/>
        <w:ind w:firstLine="560" w:firstLineChars="200"/>
        <w:textAlignment w:val="auto"/>
      </w:pPr>
      <w: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pStyle w:val="23"/>
        <w:keepNext w:val="0"/>
        <w:keepLines w:val="0"/>
        <w:pageBreakBefore w:val="0"/>
        <w:kinsoku/>
        <w:wordWrap/>
        <w:overflowPunct/>
        <w:topLinePunct w:val="0"/>
        <w:autoSpaceDE/>
        <w:autoSpaceDN/>
        <w:bidi w:val="0"/>
        <w:adjustRightInd/>
        <w:snapToGrid/>
        <w:ind w:firstLine="560" w:firstLineChars="200"/>
        <w:textAlignment w:val="auto"/>
      </w:pPr>
      <w:r>
        <w:t>（三）加强支出管理。督促指导下属单位加快项目执行进度，加快资金支出。严格按照年初预算支出计划加快履行政府采购手续，尽快启动项目，进行资金支付。</w:t>
      </w:r>
    </w:p>
    <w:p>
      <w:pPr>
        <w:pStyle w:val="23"/>
        <w:keepNext w:val="0"/>
        <w:keepLines w:val="0"/>
        <w:pageBreakBefore w:val="0"/>
        <w:kinsoku/>
        <w:wordWrap/>
        <w:overflowPunct/>
        <w:topLinePunct w:val="0"/>
        <w:autoSpaceDE/>
        <w:autoSpaceDN/>
        <w:bidi w:val="0"/>
        <w:adjustRightInd/>
        <w:snapToGrid/>
        <w:ind w:firstLine="560" w:firstLineChars="200"/>
        <w:textAlignment w:val="auto"/>
      </w:pPr>
      <w:r>
        <w:t xml:space="preserve">（四）加强绩效运行监控。强化资金监管，指导各单位建立健全内控组织机构、机制建设和内部管理制度，加强对关键岗位人员管理，保证单位各项经济活动合法合规。      </w:t>
      </w:r>
    </w:p>
    <w:p>
      <w:pPr>
        <w:pStyle w:val="23"/>
        <w:keepNext w:val="0"/>
        <w:keepLines w:val="0"/>
        <w:pageBreakBefore w:val="0"/>
        <w:kinsoku/>
        <w:wordWrap/>
        <w:overflowPunct/>
        <w:topLinePunct w:val="0"/>
        <w:autoSpaceDE/>
        <w:autoSpaceDN/>
        <w:bidi w:val="0"/>
        <w:adjustRightInd/>
        <w:snapToGrid/>
        <w:ind w:firstLine="560" w:firstLineChars="200"/>
        <w:textAlignment w:val="auto"/>
      </w:pPr>
      <w: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pStyle w:val="23"/>
        <w:keepNext w:val="0"/>
        <w:keepLines w:val="0"/>
        <w:pageBreakBefore w:val="0"/>
        <w:kinsoku/>
        <w:wordWrap/>
        <w:overflowPunct/>
        <w:topLinePunct w:val="0"/>
        <w:autoSpaceDE/>
        <w:autoSpaceDN/>
        <w:bidi w:val="0"/>
        <w:adjustRightInd/>
        <w:snapToGrid/>
        <w:ind w:firstLine="560" w:firstLineChars="200"/>
        <w:textAlignment w:val="auto"/>
      </w:pPr>
      <w:r>
        <w:t>（六）规范财务资产管理。进一步完善财务管理制度，严格资产采购审批手续，加强固定资产登记、使用及报废处置管理，做到支出合理，物尽其用。</w:t>
      </w:r>
    </w:p>
    <w:p>
      <w:pPr>
        <w:pStyle w:val="23"/>
        <w:keepNext w:val="0"/>
        <w:keepLines w:val="0"/>
        <w:pageBreakBefore w:val="0"/>
        <w:kinsoku/>
        <w:wordWrap/>
        <w:overflowPunct/>
        <w:topLinePunct w:val="0"/>
        <w:autoSpaceDE/>
        <w:autoSpaceDN/>
        <w:bidi w:val="0"/>
        <w:adjustRightInd/>
        <w:snapToGrid/>
        <w:ind w:firstLine="560" w:firstLineChars="200"/>
        <w:textAlignment w:val="auto"/>
      </w:pPr>
      <w:r>
        <w:t>（七）加强内部监督。加强内部监督制度建设，对绩效运行情况、重大支出决策、资产处置及其他重要经济业务的决算和执行进行督导，对会计资料进行内部审计，并配合做好审计、财政监督等外部监督工作，确保财政资金安全有效。</w:t>
      </w:r>
    </w:p>
    <w:p>
      <w:pPr>
        <w:pStyle w:val="23"/>
        <w:keepNext w:val="0"/>
        <w:keepLines w:val="0"/>
        <w:pageBreakBefore w:val="0"/>
        <w:kinsoku/>
        <w:wordWrap/>
        <w:overflowPunct/>
        <w:topLinePunct w:val="0"/>
        <w:autoSpaceDE/>
        <w:autoSpaceDN/>
        <w:bidi w:val="0"/>
        <w:adjustRightInd/>
        <w:snapToGrid/>
        <w:ind w:firstLine="560" w:firstLineChars="200"/>
        <w:textAlignment w:val="auto"/>
      </w:pPr>
      <w:r>
        <w:t>（八）加强宣传培训力度。加强教育系统人员培训，提高全区教育业务素养；加大宣传力度，强化绩效预算管理意识，促进绩效预算管理水平进一步提升。</w:t>
      </w:r>
    </w:p>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p>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p>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p>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p>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p>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p>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p>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p>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小标宋_GBK" w:eastAsia="方正小标宋_GBK"/>
          <w:sz w:val="44"/>
        </w:rPr>
      </w:pPr>
    </w:p>
    <w:p>
      <w:pPr>
        <w:keepNext w:val="0"/>
        <w:keepLines w:val="0"/>
        <w:pageBreakBefore w:val="0"/>
        <w:kinsoku/>
        <w:wordWrap/>
        <w:overflowPunct/>
        <w:topLinePunct w:val="0"/>
        <w:autoSpaceDE/>
        <w:autoSpaceDN/>
        <w:bidi w:val="0"/>
        <w:adjustRightInd/>
        <w:snapToGrid/>
        <w:ind w:firstLine="880" w:firstLineChars="200"/>
        <w:jc w:val="center"/>
        <w:textAlignment w:val="auto"/>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pPr>
        <w:keepNext w:val="0"/>
        <w:keepLines w:val="0"/>
        <w:pageBreakBefore w:val="0"/>
        <w:kinsoku/>
        <w:wordWrap/>
        <w:overflowPunct/>
        <w:topLinePunct w:val="0"/>
        <w:autoSpaceDE/>
        <w:autoSpaceDN/>
        <w:bidi w:val="0"/>
        <w:adjustRightInd/>
        <w:snapToGrid/>
        <w:ind w:firstLine="562" w:firstLineChars="200"/>
        <w:jc w:val="left"/>
        <w:textAlignment w:val="auto"/>
        <w:outlineLvl w:val="3"/>
        <w:rPr>
          <w:rFonts w:ascii="Times New Roman" w:hAnsi="宋体" w:eastAsia="宋体" w:cs="Times New Roman"/>
          <w:b/>
          <w:sz w:val="28"/>
        </w:rPr>
      </w:pPr>
      <w:bookmarkStart w:id="3" w:name="_Toc71388317"/>
      <w:r>
        <w:rPr>
          <w:rFonts w:ascii="方正仿宋_GBK" w:hAnsi="等线" w:eastAsia="方正仿宋_GBK" w:cs="Times New Roman"/>
          <w:b/>
          <w:sz w:val="28"/>
        </w:rPr>
        <w:t>14.农村原民办代课教师教龄补助绩效目标表</w:t>
      </w:r>
      <w:bookmarkEnd w:id="3"/>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14、农村原民办代课教师教龄补助绩效目标表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1306252104I7I2550T7DE</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农村原民办代课教师教龄补助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4174156.00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4174156.00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用于发放原民办代课教师教龄补助，预计第四季度发放完毕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1.加强教师队伍建设</w:t>
            </w:r>
          </w:p>
          <w:p>
            <w:pPr>
              <w:spacing w:line="300" w:lineRule="exact"/>
              <w:jc w:val="left"/>
              <w:rPr>
                <w:rFonts w:ascii="方正书宋_GBK" w:hAnsi="等线" w:eastAsia="方正书宋_GBK" w:cs="Times New Roman"/>
              </w:rPr>
            </w:pPr>
            <w:r>
              <w:rPr>
                <w:rFonts w:ascii="方正书宋_GBK" w:hAnsi="等线" w:eastAsia="方正书宋_GBK" w:cs="Times New Roman"/>
              </w:rPr>
              <w:t>2.提高原民办代课教师生活水平</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覆盖率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享受补贴政策的人数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≥95人</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加强教师队伍建设</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提高原民办代课教师生活水平</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&gt;90%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保障资金发放准确、及时</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资金发放准确、及时</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&gt;90%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提高民办代课教师生活水平</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提高民办代课教师生活水平</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&gt;90%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提高教师生活水平</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提高教师生活水平</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&gt;95%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4" w:name="_Toc71388318"/>
      <w:r>
        <w:rPr>
          <w:rFonts w:ascii="方正仿宋_GBK" w:hAnsi="等线" w:eastAsia="方正仿宋_GBK" w:cs="Times New Roman"/>
          <w:b/>
          <w:sz w:val="28"/>
        </w:rPr>
        <w:t>15.督学责任区综合事务活动绩效目标表</w:t>
      </w:r>
      <w:bookmarkEnd w:id="4"/>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15、督学责任区综合事务活动绩效目标表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130625210GWPYV9MZ64IT</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督学责任区综合事务活动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800000.00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800000.00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确保我单位日常行政管理方面工作的运行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1.确保我单位日常行政管理方面工作的运行</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绩效评价次数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按季度评价资金使用程度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正常运行率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日常工作及设备设施的正常运转情况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控制资金支出</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资金支出进度占预算全额的比例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按照支出进度要求和预算构成执行</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社会影响力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有效的改善工作环境，有利于提高工作效率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5" w:name="_Toc71388319"/>
      <w:r>
        <w:rPr>
          <w:rFonts w:ascii="方正仿宋_GBK" w:hAnsi="等线" w:eastAsia="方正仿宋_GBK" w:cs="Times New Roman"/>
          <w:b/>
          <w:sz w:val="28"/>
        </w:rPr>
        <w:t>16.提前下达2021年城乡义务教育省级补助资金-营养改善计划膳食补助绩效目标表</w:t>
      </w:r>
      <w:bookmarkEnd w:id="5"/>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16、提前下达2021年城乡义务教育省级补助资金-营养改善计划膳食补助绩效目标表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130625211VRIPL87LBW2I</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提前下达2021年城乡义务教育省级补助资金-营养改善计划膳食补助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11260000.00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11260000.00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用于开展农村义务教育阶段小学生营养改善计划学生补助，每生每天2.5元。以提高学生身体素质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1.保障义务教育阶段小学生营养改善计划顺利实施</w:t>
            </w:r>
          </w:p>
          <w:p>
            <w:pPr>
              <w:spacing w:line="300" w:lineRule="exact"/>
              <w:jc w:val="left"/>
              <w:rPr>
                <w:rFonts w:ascii="方正书宋_GBK" w:hAnsi="等线" w:eastAsia="方正书宋_GBK" w:cs="Times New Roman"/>
              </w:rPr>
            </w:pPr>
            <w:r>
              <w:rPr>
                <w:rFonts w:ascii="方正书宋_GBK" w:hAnsi="等线" w:eastAsia="方正书宋_GBK" w:cs="Times New Roman"/>
              </w:rPr>
              <w:t>2.提高义务教育阶段小学生体质</w:t>
            </w:r>
          </w:p>
          <w:p>
            <w:pPr>
              <w:spacing w:line="300" w:lineRule="exact"/>
              <w:jc w:val="left"/>
              <w:rPr>
                <w:rFonts w:ascii="方正书宋_GBK" w:hAnsi="等线" w:eastAsia="方正书宋_GBK" w:cs="Times New Roman"/>
              </w:rPr>
            </w:pPr>
            <w:r>
              <w:rPr>
                <w:rFonts w:ascii="方正书宋_GBK" w:hAnsi="等线" w:eastAsia="方正书宋_GBK" w:cs="Times New Roman"/>
              </w:rPr>
              <w:t>3.义务教育阶段营养改善计划按标准执行</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学生食用人数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农村义务教育学生营养改善计划惠及人数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≤45019人</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质量达标率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质量达标率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完成及时率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完成及时率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学生补助标准</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农村义务教育学生营养膳食生均补助标准</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≤2.5元</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经济效益指标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对小学生健康的贡献率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通过提高学生营养健康水平促进全民健康水平。</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6" w:name="_Toc71388320"/>
      <w:r>
        <w:rPr>
          <w:rFonts w:ascii="方正仿宋_GBK" w:hAnsi="等线" w:eastAsia="方正仿宋_GBK" w:cs="Times New Roman"/>
          <w:b/>
          <w:sz w:val="28"/>
        </w:rPr>
        <w:t>17.提前下达2021年支持学前教育发展省级补助资金绩效目标表</w:t>
      </w:r>
      <w:bookmarkEnd w:id="6"/>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17、提前下达2021年支持学前教育发展省级补助资金绩效目标表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1306252126UHXZZHL7O8I</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提前下达2021年支持学前教育发展省级补助资金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990000.00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990000.00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改善学校办学条件，解决学校安全隐患，提升学校办学水平，提高社会及师生对学校的满意度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1.改善学校办学条件，解决学校安全隐患</w:t>
            </w:r>
          </w:p>
          <w:p>
            <w:pPr>
              <w:spacing w:line="300" w:lineRule="exact"/>
              <w:jc w:val="left"/>
              <w:rPr>
                <w:rFonts w:ascii="方正书宋_GBK" w:hAnsi="等线" w:eastAsia="方正书宋_GBK" w:cs="Times New Roman"/>
              </w:rPr>
            </w:pPr>
            <w:r>
              <w:rPr>
                <w:rFonts w:ascii="方正书宋_GBK" w:hAnsi="等线" w:eastAsia="方正书宋_GBK" w:cs="Times New Roman"/>
              </w:rPr>
              <w:t>2.提升学校办学水平，提高社会及师生对学校的满意度</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维修项目数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预算安排维修改造项目数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保证安全</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解决安全隐患</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节约资金</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节约资金，保障资金利用率最大化</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提高社会满意度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解决安全隐患，保障师生安全</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保财教[2020]96号</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7" w:name="_Toc71388321"/>
      <w:r>
        <w:rPr>
          <w:rFonts w:ascii="方正仿宋_GBK" w:hAnsi="等线" w:eastAsia="方正仿宋_GBK" w:cs="Times New Roman"/>
          <w:b/>
          <w:sz w:val="28"/>
        </w:rPr>
        <w:t>18.综合事务活动绩效目标表</w:t>
      </w:r>
      <w:bookmarkEnd w:id="7"/>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18、综合事务活动绩效目标表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130625213946KGGM865VU</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综合事务活动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2716200.00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2716200.00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为完成本单位日常行政管理方面的费用开支，以及用于设备设施等维持性费用支出，和直接用于公务活动支出。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1.确保我单位日常行政管理方面工作的运行</w:t>
            </w:r>
          </w:p>
          <w:p>
            <w:pPr>
              <w:spacing w:line="300" w:lineRule="exact"/>
              <w:jc w:val="left"/>
              <w:rPr>
                <w:rFonts w:ascii="方正书宋_GBK" w:hAnsi="等线" w:eastAsia="方正书宋_GBK" w:cs="Times New Roman"/>
              </w:rPr>
            </w:pPr>
            <w:r>
              <w:rPr>
                <w:rFonts w:ascii="方正书宋_GBK" w:hAnsi="等线" w:eastAsia="方正书宋_GBK" w:cs="Times New Roman"/>
              </w:rPr>
              <w:t>2.保障我单位设备设施的正常运转</w:t>
            </w:r>
          </w:p>
          <w:p>
            <w:pPr>
              <w:spacing w:line="300" w:lineRule="exact"/>
              <w:jc w:val="left"/>
              <w:rPr>
                <w:rFonts w:ascii="方正书宋_GBK" w:hAnsi="等线" w:eastAsia="方正书宋_GBK" w:cs="Times New Roman"/>
              </w:rPr>
            </w:pPr>
            <w:r>
              <w:rPr>
                <w:rFonts w:ascii="方正书宋_GBK" w:hAnsi="等线" w:eastAsia="方正书宋_GBK" w:cs="Times New Roman"/>
              </w:rPr>
              <w:t>3.确保我单位公务活动的正常开展</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绩效评价次数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按季度评价资金使用程度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正常运行率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日常工作及设备设施的正常运转情况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控制资金支出</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资金支出进度占预算全额的比例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按照支出进度要求和预算构成执行</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社会影响力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有效的改善职工作环境，有利于提高工作效率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8" w:name="_Toc71388322"/>
      <w:r>
        <w:rPr>
          <w:rFonts w:ascii="方正仿宋_GBK" w:hAnsi="等线" w:eastAsia="方正仿宋_GBK" w:cs="Times New Roman"/>
          <w:b/>
          <w:sz w:val="28"/>
        </w:rPr>
        <w:t>19.提前下达2021年支持学前教育发展中央资金预算绩效目标表</w:t>
      </w:r>
      <w:bookmarkEnd w:id="8"/>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19、提前下达2021年支持学前教育发展中央资金预算绩效目标表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130625213T65RM3QVRS4O</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提前下达2021年支持学前教育发展中央资金预算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8153500.00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8153500.00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改善学校办学条件，解决学校安全隐患，提升学校办学水平，提高社会及师生对学校的满意度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1.改善学校办学条件，解决学校安全隐患</w:t>
            </w:r>
          </w:p>
          <w:p>
            <w:pPr>
              <w:spacing w:line="300" w:lineRule="exact"/>
              <w:jc w:val="left"/>
              <w:rPr>
                <w:rFonts w:ascii="方正书宋_GBK" w:hAnsi="等线" w:eastAsia="方正书宋_GBK" w:cs="Times New Roman"/>
              </w:rPr>
            </w:pPr>
            <w:r>
              <w:rPr>
                <w:rFonts w:ascii="方正书宋_GBK" w:hAnsi="等线" w:eastAsia="方正书宋_GBK" w:cs="Times New Roman"/>
              </w:rPr>
              <w:t>2.提升学校办学水平，提高社会及师生对学校的满意度</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维修项目数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预算安排维修改造项目数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保证安全</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解决安全隐患</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节约资金</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节约资金，保障资金利用率最大化</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提高社会满意度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解决安全隐患，保障师生安全</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保财教[2020]76号</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9" w:name="_Toc71388323"/>
      <w:r>
        <w:rPr>
          <w:rFonts w:ascii="方正仿宋_GBK" w:hAnsi="等线" w:eastAsia="方正仿宋_GBK" w:cs="Times New Roman"/>
          <w:b/>
          <w:sz w:val="28"/>
        </w:rPr>
        <w:t>20.污水处理运行维护费绩效目标表</w:t>
      </w:r>
      <w:bookmarkEnd w:id="9"/>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20、污水处理运行维护费绩效目标表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130625214AQ119AP205OX</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污水处理运行维护费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400000.00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400000.00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用于大王店中学生活污水集中抽运无害化处理。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1.解决学校生活污水未经处理排入雄安新区上游河道污染问题。</w:t>
            </w:r>
          </w:p>
          <w:p>
            <w:pPr>
              <w:spacing w:line="300" w:lineRule="exact"/>
              <w:jc w:val="left"/>
              <w:rPr>
                <w:rFonts w:ascii="方正书宋_GBK" w:hAnsi="等线" w:eastAsia="方正书宋_GBK" w:cs="Times New Roman"/>
              </w:rPr>
            </w:pPr>
            <w:r>
              <w:rPr>
                <w:rFonts w:ascii="方正书宋_GBK" w:hAnsi="等线" w:eastAsia="方正书宋_GBK" w:cs="Times New Roman"/>
              </w:rPr>
              <w:t>2.解决学校生活污水处理问题，保障学校正常运转。</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生活污水处理覆盖范围</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生活污水处理覆盖率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生活污水处理达标程度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生活污水处理达标率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资金拨付</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资金及时拨付</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成本控制</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成本不超标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社会认可度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社会认可率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10" w:name="_Toc71388324"/>
      <w:r>
        <w:rPr>
          <w:rFonts w:ascii="方正仿宋_GBK" w:hAnsi="等线" w:eastAsia="方正仿宋_GBK" w:cs="Times New Roman"/>
          <w:b/>
          <w:sz w:val="28"/>
        </w:rPr>
        <w:t>21.中小学运动场地项目绩效目标表</w:t>
      </w:r>
      <w:bookmarkEnd w:id="10"/>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21、中小学运动场地项目绩效目标表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130625214SECQIZGDQ292</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中小学运动场地项目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5000000.00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5000000.00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改善学校办学条件，解决学校安全隐患，提升学校办学水平，提高社会及师生对学校的满意度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1.改善学校办学条件，解决学校安全隐患</w:t>
            </w:r>
          </w:p>
          <w:p>
            <w:pPr>
              <w:spacing w:line="300" w:lineRule="exact"/>
              <w:jc w:val="left"/>
              <w:rPr>
                <w:rFonts w:ascii="方正书宋_GBK" w:hAnsi="等线" w:eastAsia="方正书宋_GBK" w:cs="Times New Roman"/>
              </w:rPr>
            </w:pPr>
            <w:r>
              <w:rPr>
                <w:rFonts w:ascii="方正书宋_GBK" w:hAnsi="等线" w:eastAsia="方正书宋_GBK" w:cs="Times New Roman"/>
              </w:rPr>
              <w:t>2.加强校园环境建设，提升学校办学水平</w:t>
            </w:r>
          </w:p>
          <w:p>
            <w:pPr>
              <w:spacing w:line="300" w:lineRule="exact"/>
              <w:jc w:val="left"/>
              <w:rPr>
                <w:rFonts w:ascii="方正书宋_GBK" w:hAnsi="等线" w:eastAsia="方正书宋_GBK" w:cs="Times New Roman"/>
              </w:rPr>
            </w:pPr>
            <w:r>
              <w:rPr>
                <w:rFonts w:ascii="方正书宋_GBK" w:hAnsi="等线" w:eastAsia="方正书宋_GBK" w:cs="Times New Roman"/>
              </w:rPr>
              <w:t>3.提高社会及师生对学校的满意度</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修建项目数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预算安排维修改造项目数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保证安全</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解决安全隐患</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节约资金</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节约资金，保障资金利用率最大化</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提高社会满意度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解决安全隐患，保障师生安全</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11" w:name="_Toc71388325"/>
      <w:r>
        <w:rPr>
          <w:rFonts w:ascii="方正仿宋_GBK" w:hAnsi="等线" w:eastAsia="方正仿宋_GBK" w:cs="Times New Roman"/>
          <w:b/>
          <w:sz w:val="28"/>
        </w:rPr>
        <w:t>22.提前下达2021年普通高中资助（高中助学金和资助经费）省级补助资金预算-高中助学金绩效目标表</w:t>
      </w:r>
      <w:bookmarkEnd w:id="11"/>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22、提前下达2021年普通高中资助（高中助学金和资助经费）省级补助资金预算-高中助学金绩效目标表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130625215Y5FO3RUVEZT8</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提前下达2021年普通高中资助（高中助学金和资助经费）省级补助资金预算-高中助学金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500000.00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500000.00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解决家庭困难学生上学问题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1.解决家庭困难学生上学问题</w:t>
            </w:r>
          </w:p>
          <w:p>
            <w:pPr>
              <w:spacing w:line="300" w:lineRule="exact"/>
              <w:jc w:val="left"/>
              <w:rPr>
                <w:rFonts w:ascii="方正书宋_GBK" w:hAnsi="等线" w:eastAsia="方正书宋_GBK" w:cs="Times New Roman"/>
              </w:rPr>
            </w:pPr>
            <w:r>
              <w:rPr>
                <w:rFonts w:ascii="方正书宋_GBK" w:hAnsi="等线" w:eastAsia="方正书宋_GBK" w:cs="Times New Roman"/>
              </w:rPr>
              <w:t>2.完成贫困学生资助工作</w:t>
            </w:r>
          </w:p>
          <w:p>
            <w:pPr>
              <w:spacing w:line="300" w:lineRule="exact"/>
              <w:jc w:val="left"/>
              <w:rPr>
                <w:rFonts w:ascii="方正书宋_GBK" w:hAnsi="等线" w:eastAsia="方正书宋_GBK" w:cs="Times New Roman"/>
              </w:rPr>
            </w:pPr>
            <w:r>
              <w:rPr>
                <w:rFonts w:ascii="方正书宋_GBK" w:hAnsi="等线" w:eastAsia="方正书宋_GBK" w:cs="Times New Roman"/>
              </w:rPr>
              <w:t>3.减轻困难家庭经济负担</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资助建档立卡贫困户子女人数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享受资助的建档立卡贫困学生数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100建档立卡学生必须全员享受资助</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建档立卡贫困户子女占比</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建档立卡学生占所有受资助的学生的比率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建档立卡学生占所有受资助的学生的比率</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资助经费及时发放率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高中助学金经费发放要及时、足额</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建档立卡贫困户子女生均资助标准</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建档立卡贫困学生资助标准需达标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2000元/学年</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建档立卡学生占接受资助的比例</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建档立卡贫困学生全年享受资助</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保财教[2020]99号</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12" w:name="_Toc71388326"/>
      <w:r>
        <w:rPr>
          <w:rFonts w:ascii="方正仿宋_GBK" w:hAnsi="等线" w:eastAsia="方正仿宋_GBK" w:cs="Times New Roman"/>
          <w:b/>
          <w:sz w:val="28"/>
        </w:rPr>
        <w:t>23.学前资助区级配套绩效目标表</w:t>
      </w:r>
      <w:bookmarkEnd w:id="12"/>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23、学前资助区级配套绩效目标表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1306252166SVA80511MYH</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学前资助区级配套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39200.00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39200.00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该项目主要用于解决家庭经济困难儿童入园问题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1.帮助适龄幼儿入园</w:t>
            </w:r>
          </w:p>
          <w:p>
            <w:pPr>
              <w:spacing w:line="300" w:lineRule="exact"/>
              <w:jc w:val="left"/>
              <w:rPr>
                <w:rFonts w:ascii="方正书宋_GBK" w:hAnsi="等线" w:eastAsia="方正书宋_GBK" w:cs="Times New Roman"/>
              </w:rPr>
            </w:pPr>
            <w:r>
              <w:rPr>
                <w:rFonts w:ascii="方正书宋_GBK" w:hAnsi="等线" w:eastAsia="方正书宋_GBK" w:cs="Times New Roman"/>
              </w:rPr>
              <w:t>2.减轻困难家庭经济负担</w:t>
            </w:r>
          </w:p>
          <w:p>
            <w:pPr>
              <w:spacing w:line="300" w:lineRule="exact"/>
              <w:jc w:val="left"/>
              <w:rPr>
                <w:rFonts w:ascii="方正书宋_GBK" w:hAnsi="等线" w:eastAsia="方正书宋_GBK" w:cs="Times New Roman"/>
              </w:rPr>
            </w:pPr>
            <w:r>
              <w:rPr>
                <w:rFonts w:ascii="方正书宋_GBK" w:hAnsi="等线" w:eastAsia="方正书宋_GBK" w:cs="Times New Roman"/>
              </w:rPr>
              <w:t>3.完成贫困学生资助工作</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资助生活困难的家庭或个人数量</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100困难学生全部资助</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"建档立卡学生资助率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建档立卡学生资助率"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100建档立卡学生全部资助</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资助经费及时发放率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资助经费做到及时发放</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100经费发放及时</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资助标准发放率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资助标准足额发放</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100资助标准需达标</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受益学生数量</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受益学生数量</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100困难学生全部享受</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13" w:name="_Toc71388327"/>
      <w:r>
        <w:rPr>
          <w:rFonts w:ascii="方正仿宋_GBK" w:hAnsi="等线" w:eastAsia="方正仿宋_GBK" w:cs="Times New Roman"/>
          <w:b/>
          <w:sz w:val="28"/>
        </w:rPr>
        <w:t>24.督导工作经费绩效目标表</w:t>
      </w:r>
      <w:bookmarkEnd w:id="13"/>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24、督导工作经费绩效目标表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130625217VP5ES1KHKHI9</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督导工作经费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200000.00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200000.00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确保督导日常行政管理方面工作的运行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1.确保督导日常行政管理方面工作的运行</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绩效评价次数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按季度评价资金使用程度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正常运行率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督导日常工作及设备设施的正常运转情况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控制资金支出</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资金支出进度占预算全额的比例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按照支出进度要求和预算构成执行</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社会影响力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有效的改善工作环境，有利于提高工作效率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14" w:name="_Toc71388328"/>
      <w:r>
        <w:rPr>
          <w:rFonts w:ascii="方正仿宋_GBK" w:hAnsi="等线" w:eastAsia="方正仿宋_GBK" w:cs="Times New Roman"/>
          <w:b/>
          <w:sz w:val="28"/>
        </w:rPr>
        <w:t>25.提前下达2021年普通高中补助（高中改善办学条件经费）省级补助资金预算绩效目标表</w:t>
      </w:r>
      <w:bookmarkEnd w:id="14"/>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25、提前下达2021年普通高中补助（高中改善办学条件经费）省级补助资金预算绩效目标表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130625218U4RC8VNAZKI1</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提前下达2021年普通高中补助（高中改善办学条件经费）省级补助资金预算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1380000.00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1380000.00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该项目2021年度资金需求1380000元，用于改善普通高中办学条件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1.改善高中办学条件</w:t>
            </w:r>
          </w:p>
          <w:p>
            <w:pPr>
              <w:spacing w:line="300" w:lineRule="exact"/>
              <w:jc w:val="left"/>
              <w:rPr>
                <w:rFonts w:ascii="方正书宋_GBK" w:hAnsi="等线" w:eastAsia="方正书宋_GBK" w:cs="Times New Roman"/>
              </w:rPr>
            </w:pPr>
            <w:r>
              <w:rPr>
                <w:rFonts w:ascii="方正书宋_GBK" w:hAnsi="等线" w:eastAsia="方正书宋_GBK" w:cs="Times New Roman"/>
              </w:rPr>
              <w:t>2.提高师生满意度</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改善办学条件完成情况</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改善办学条件完成情况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质量合格</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质量合格</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项目完成情况</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项目完成情况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节约项目投入</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节约项目投入</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社会满意度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社会满意度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工作方案</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15" w:name="_Toc71388329"/>
      <w:r>
        <w:rPr>
          <w:rFonts w:ascii="方正仿宋_GBK" w:hAnsi="等线" w:eastAsia="方正仿宋_GBK" w:cs="Times New Roman"/>
          <w:b/>
          <w:sz w:val="28"/>
        </w:rPr>
        <w:t>26.提前下达2021年普通高中资助（高中助学金和资助经费）省级补助资金预算-高中建档立卡绩效目标表</w:t>
      </w:r>
      <w:bookmarkEnd w:id="15"/>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26、提前下达2021年普通高中资助（高中助学金和资助经费）省级补助资金预算-高中建档立卡绩效目标表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130625219Q3ZBMRKKCR4X</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提前下达2021年普通高中资助（高中助学金和资助经费）省级补助资金预算-高中建档立卡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120000.00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120000.00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解决家庭困难学生上学问题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1.解决家庭困难学生上学问题</w:t>
            </w:r>
          </w:p>
          <w:p>
            <w:pPr>
              <w:spacing w:line="300" w:lineRule="exact"/>
              <w:jc w:val="left"/>
              <w:rPr>
                <w:rFonts w:ascii="方正书宋_GBK" w:hAnsi="等线" w:eastAsia="方正书宋_GBK" w:cs="Times New Roman"/>
              </w:rPr>
            </w:pPr>
            <w:r>
              <w:rPr>
                <w:rFonts w:ascii="方正书宋_GBK" w:hAnsi="等线" w:eastAsia="方正书宋_GBK" w:cs="Times New Roman"/>
              </w:rPr>
              <w:t>2.完成贫困学生资助工作</w:t>
            </w:r>
          </w:p>
          <w:p>
            <w:pPr>
              <w:spacing w:line="300" w:lineRule="exact"/>
              <w:jc w:val="left"/>
              <w:rPr>
                <w:rFonts w:ascii="方正书宋_GBK" w:hAnsi="等线" w:eastAsia="方正书宋_GBK" w:cs="Times New Roman"/>
              </w:rPr>
            </w:pPr>
            <w:r>
              <w:rPr>
                <w:rFonts w:ascii="方正书宋_GBK" w:hAnsi="等线" w:eastAsia="方正书宋_GBK" w:cs="Times New Roman"/>
              </w:rPr>
              <w:t>3.减轻困难家庭经济负担</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资助建档立卡贫困户子女人数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享受资助的建档立卡贫困学生数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100建档立卡学生必须全员享受资助</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建档立卡贫困户子女占比</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建档立卡学生占所有受资助的学生的比率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建档立卡学生占所有受资助的学生的比率</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资助经费及时发放率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高中助学金经费发放要及时、足额</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建档立卡贫困户子女生均资助标准</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建档立卡贫困学生资助标准需达标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2000元/学年</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建档立卡学生占接受资助的比例</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建档立卡贫困学生全年享受资助</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保财教[2020]99号</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16" w:name="_Toc71388330"/>
      <w:r>
        <w:rPr>
          <w:rFonts w:ascii="方正仿宋_GBK" w:hAnsi="等线" w:eastAsia="方正仿宋_GBK" w:cs="Times New Roman"/>
          <w:b/>
          <w:sz w:val="28"/>
        </w:rPr>
        <w:t>27.教育装备购置款绩效目标表</w:t>
      </w:r>
      <w:bookmarkEnd w:id="16"/>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27、教育装备购置款绩效目标表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13062521BHFXX4U1DC7TZ</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教育装备购置款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15095618.60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15095618.60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该项目用于改善学校办学条件，推进教育资源公平，提升学校办学水平，提高社会及师生对学校的满意度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1.改善学校办学条件,提升学校办学水平</w:t>
            </w:r>
          </w:p>
          <w:p>
            <w:pPr>
              <w:spacing w:line="300" w:lineRule="exact"/>
              <w:jc w:val="left"/>
              <w:rPr>
                <w:rFonts w:ascii="方正书宋_GBK" w:hAnsi="等线" w:eastAsia="方正书宋_GBK" w:cs="Times New Roman"/>
              </w:rPr>
            </w:pPr>
            <w:r>
              <w:rPr>
                <w:rFonts w:ascii="方正书宋_GBK" w:hAnsi="等线" w:eastAsia="方正书宋_GBK" w:cs="Times New Roman"/>
              </w:rPr>
              <w:t>2.节能环保</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购置仪器数量</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购置计算机的数量</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≥100台</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购置设备合格率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教学设备的合格率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采购成本</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降低采购成本</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受益学生数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使用新设备的学生数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17" w:name="_Toc71388331"/>
      <w:r>
        <w:rPr>
          <w:rFonts w:ascii="方正仿宋_GBK" w:hAnsi="等线" w:eastAsia="方正仿宋_GBK" w:cs="Times New Roman"/>
          <w:b/>
          <w:sz w:val="28"/>
        </w:rPr>
        <w:t>28.提前下达2021年支持学前教育发展省级补助资金-幼儿资助绩效目标表</w:t>
      </w:r>
      <w:bookmarkEnd w:id="17"/>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28、提前下达2021年支持学前教育发展省级补助资金-幼儿资助绩效目标表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13062521C1LKR98K4GFM7</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提前下达2021年支持学前教育发展省级补助资金-幼儿资助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110000.00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110000.00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解决家庭困难学生上学问题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1.解决家庭困难学生上学问题</w:t>
            </w:r>
          </w:p>
          <w:p>
            <w:pPr>
              <w:spacing w:line="300" w:lineRule="exact"/>
              <w:jc w:val="left"/>
              <w:rPr>
                <w:rFonts w:ascii="方正书宋_GBK" w:hAnsi="等线" w:eastAsia="方正书宋_GBK" w:cs="Times New Roman"/>
              </w:rPr>
            </w:pPr>
            <w:r>
              <w:rPr>
                <w:rFonts w:ascii="方正书宋_GBK" w:hAnsi="等线" w:eastAsia="方正书宋_GBK" w:cs="Times New Roman"/>
              </w:rPr>
              <w:t>2.完成贫困学生资助工作</w:t>
            </w:r>
          </w:p>
          <w:p>
            <w:pPr>
              <w:spacing w:line="300" w:lineRule="exact"/>
              <w:jc w:val="left"/>
              <w:rPr>
                <w:rFonts w:ascii="方正书宋_GBK" w:hAnsi="等线" w:eastAsia="方正书宋_GBK" w:cs="Times New Roman"/>
              </w:rPr>
            </w:pPr>
            <w:r>
              <w:rPr>
                <w:rFonts w:ascii="方正书宋_GBK" w:hAnsi="等线" w:eastAsia="方正书宋_GBK" w:cs="Times New Roman"/>
              </w:rPr>
              <w:t>3.减轻困难家庭经济负担</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资助建档立卡贫困户子女人数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享受资助的建档立卡贫困学生数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100建档立卡学生必须全员享受资助</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建档立卡贫困户子女占比</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建档立卡学生占所有受资助的学生的比率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建档立卡学生占所有受资助的学生的比率</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资助经费及时发放率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高中助学金经费发放要及时、足额</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建档立卡贫困户子女生均资助标准</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建档立卡贫困学生资助标准需达标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2000元/学年</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建档立卡学生占接受资助的比例</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建档立卡贫困学生全年享受资助</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保财教[2020]96号</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18" w:name="_Toc71388332"/>
      <w:r>
        <w:rPr>
          <w:rFonts w:ascii="方正仿宋_GBK" w:hAnsi="等线" w:eastAsia="方正仿宋_GBK" w:cs="Times New Roman"/>
          <w:b/>
          <w:sz w:val="28"/>
        </w:rPr>
        <w:t>29.普通高中建档立卡学生免住宿费免教科书费绩效目标表</w:t>
      </w:r>
      <w:bookmarkEnd w:id="18"/>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29、普通高中建档立卡学生免住宿费免教科书费绩效目标表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13062521C9WYT4USVCBMH</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普通高中建档立卡学生免住宿费免教科书费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156800.00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156800.00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该项目主要用于普通高中建档立卡学生免住宿费免教科书费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1.解决建档立卡户学生上学难问题</w:t>
            </w:r>
          </w:p>
          <w:p>
            <w:pPr>
              <w:spacing w:line="300" w:lineRule="exact"/>
              <w:jc w:val="left"/>
              <w:rPr>
                <w:rFonts w:ascii="方正书宋_GBK" w:hAnsi="等线" w:eastAsia="方正书宋_GBK" w:cs="Times New Roman"/>
              </w:rPr>
            </w:pPr>
            <w:r>
              <w:rPr>
                <w:rFonts w:ascii="方正书宋_GBK" w:hAnsi="等线" w:eastAsia="方正书宋_GBK" w:cs="Times New Roman"/>
              </w:rPr>
              <w:t>2.减轻家庭困难户经济压力问题</w:t>
            </w:r>
          </w:p>
          <w:p>
            <w:pPr>
              <w:spacing w:line="300" w:lineRule="exact"/>
              <w:jc w:val="left"/>
              <w:rPr>
                <w:rFonts w:ascii="方正书宋_GBK" w:hAnsi="等线" w:eastAsia="方正书宋_GBK" w:cs="Times New Roman"/>
              </w:rPr>
            </w:pPr>
            <w:r>
              <w:rPr>
                <w:rFonts w:ascii="方正书宋_GBK" w:hAnsi="等线" w:eastAsia="方正书宋_GBK" w:cs="Times New Roman"/>
              </w:rPr>
              <w:t>3.完成贫困学生资助工作</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资助建档立卡贫困户子女人数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享受资助的建档立卡贫困学生数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100建档立卡学生必须全员享受资助</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建档立卡学生占比</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建档立卡学生占所有受资助的学生的比率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建档立卡学生占所有受资助的学生的比率</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资助经费及时发放率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高中助学金经费发放要及时、足额</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建档立卡户学生资助标准</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建档立卡贫困学生资助标准需达标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800元/学年</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建档立卡贫困占接受资助的比例</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建档立卡贫困学生全年享受资助</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100全年享受资助</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19" w:name="_Toc71388333"/>
      <w:r>
        <w:rPr>
          <w:rFonts w:ascii="方正仿宋_GBK" w:hAnsi="等线" w:eastAsia="方正仿宋_GBK" w:cs="Times New Roman"/>
          <w:b/>
          <w:sz w:val="28"/>
        </w:rPr>
        <w:t>30.小学生校内课后服务绩效目标表</w:t>
      </w:r>
      <w:bookmarkEnd w:id="19"/>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30、小学生校内课后服务绩效目标表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13062521CDQCTAT5YM988</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小学生校内课后服务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1799400.00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1799400.00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用于教师小学生课后服务经费，预计第四季度支出完毕。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1.提高我区教育教学质量，促进学生全面发展。</w:t>
            </w:r>
          </w:p>
          <w:p>
            <w:pPr>
              <w:spacing w:line="300" w:lineRule="exact"/>
              <w:jc w:val="left"/>
              <w:rPr>
                <w:rFonts w:ascii="方正书宋_GBK" w:hAnsi="等线" w:eastAsia="方正书宋_GBK" w:cs="Times New Roman"/>
              </w:rPr>
            </w:pPr>
            <w:r>
              <w:rPr>
                <w:rFonts w:ascii="方正书宋_GBK" w:hAnsi="等线" w:eastAsia="方正书宋_GBK" w:cs="Times New Roman"/>
              </w:rPr>
              <w:t>2.进一步增强教育公共服务能力，为广大小学生和家长排忧解难，办好人民满意的教育。</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补贴人员数量（人）</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享受补贴政策的人数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≥100人</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满足义务教育需要</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提高人民的满意度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保障资金发放准确、及时</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资金发放准确、及时</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&gt;95%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课后服务满意率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课后服务满意率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&gt;90%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解决放学后学生无人看管</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满足家长需求，提高孩子的安全</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&gt;97%</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20" w:name="_Toc71388334"/>
      <w:r>
        <w:rPr>
          <w:rFonts w:ascii="方正仿宋_GBK" w:hAnsi="等线" w:eastAsia="方正仿宋_GBK" w:cs="Times New Roman"/>
          <w:b/>
          <w:sz w:val="28"/>
        </w:rPr>
        <w:t>31.中小学校（幼儿园）锅炉、电取暖检验服务费绩效目标表</w:t>
      </w:r>
      <w:bookmarkEnd w:id="20"/>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31、中小学校（幼儿园）锅炉、电取暖检验服务费绩效目标表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13062521D47EPNA1Y4KLO</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中小学校（幼儿园）锅炉、电取暖检验服务费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430000.00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430000.00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全区中小学、幼儿园进行清洁取暖改造，取暖方式分为燃油（气）锅炉、电取暖，需每年对锅炉、电路等进行检测服务。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1.保障学校冬季取暖正常运行</w:t>
            </w:r>
          </w:p>
          <w:p>
            <w:pPr>
              <w:spacing w:line="300" w:lineRule="exact"/>
              <w:jc w:val="left"/>
              <w:rPr>
                <w:rFonts w:ascii="方正书宋_GBK" w:hAnsi="等线" w:eastAsia="方正书宋_GBK" w:cs="Times New Roman"/>
              </w:rPr>
            </w:pPr>
            <w:r>
              <w:rPr>
                <w:rFonts w:ascii="方正书宋_GBK" w:hAnsi="等线" w:eastAsia="方正书宋_GBK" w:cs="Times New Roman"/>
              </w:rPr>
              <w:t>2.保证师生温暖、安全过冬，正常开展教育教学活动。</w:t>
            </w:r>
          </w:p>
          <w:p>
            <w:pPr>
              <w:spacing w:line="300" w:lineRule="exact"/>
              <w:jc w:val="left"/>
              <w:rPr>
                <w:rFonts w:ascii="方正书宋_GBK" w:hAnsi="等线" w:eastAsia="方正书宋_GBK" w:cs="Times New Roman"/>
              </w:rPr>
            </w:pPr>
            <w:r>
              <w:rPr>
                <w:rFonts w:ascii="方正书宋_GBK" w:hAnsi="等线" w:eastAsia="方正书宋_GBK" w:cs="Times New Roman"/>
              </w:rPr>
              <w:t>3.提高社会对教育的满意度</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保证各教学单位正常取暖</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保证各教学单位正常取暖</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锅炉、电暖气设备检测合格</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锅炉、电暖气设备检测合格</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学校、学生、社会满意度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满意率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及时检测，保证运转，避免故障。</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及时检测，保证运转，避免故障。</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达到师生、家长满意</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达到师生、家长满意</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21" w:name="_Toc71388335"/>
      <w:r>
        <w:rPr>
          <w:rFonts w:ascii="方正仿宋_GBK" w:hAnsi="等线" w:eastAsia="方正仿宋_GBK" w:cs="Times New Roman"/>
          <w:b/>
          <w:sz w:val="28"/>
        </w:rPr>
        <w:t>32.农村文化建设区配套资金绩效目标表</w:t>
      </w:r>
      <w:bookmarkEnd w:id="21"/>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32、农村文化建设区配套资金绩效目标表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13062521E4HCIAAE4HEZR</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农村文化建设区配套资金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109440.00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109440.00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农村体育场地设施建设器材购置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1.农村体育场地设施建设器材购置</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绩效评价次数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按季度评价资金使用程度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正常运行率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设备设施的正常运转情况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控制资金支出</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资金支出进度占预算全额的比例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按照支出进度要求和预算构成执行</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社会影响力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有效改善农村体育场地设施建设情况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22" w:name="_Toc71388336"/>
      <w:r>
        <w:rPr>
          <w:rFonts w:ascii="方正仿宋_GBK" w:hAnsi="等线" w:eastAsia="方正仿宋_GBK" w:cs="Times New Roman"/>
          <w:b/>
          <w:sz w:val="28"/>
        </w:rPr>
        <w:t>33.支教津贴（援教津贴）绩效目标表</w:t>
      </w:r>
      <w:bookmarkEnd w:id="22"/>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33、支教津贴（援教津贴）绩效目标表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13062521E8TWC5OUNF3GU</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支教津贴（援教津贴）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143460.00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143460.00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发放2021学年支教津贴（援教津贴），分两次实施。从而调动我校支教教师工作积极性，更加全身心投入到工作中。</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1.提高边远薄弱学校教学质量，为我区的教育事业做出大量贡献，</w:t>
            </w:r>
          </w:p>
          <w:p>
            <w:pPr>
              <w:spacing w:line="300" w:lineRule="exact"/>
              <w:jc w:val="left"/>
              <w:rPr>
                <w:rFonts w:ascii="方正书宋_GBK" w:hAnsi="等线" w:eastAsia="方正书宋_GBK" w:cs="Times New Roman"/>
              </w:rPr>
            </w:pPr>
            <w:r>
              <w:rPr>
                <w:rFonts w:ascii="方正书宋_GBK" w:hAnsi="等线" w:eastAsia="方正书宋_GBK" w:cs="Times New Roman"/>
              </w:rPr>
              <w:t>2.调动我校支教教师工作积极性，更加全身心投入到工作中。</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覆盖率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覆盖我区在岗农村教师</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促进学校教育教学质量</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提高教育教学质量</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教师满意度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满意率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服务年限每满一年发放标准</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满足教育教学需要</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补贴发放率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补贴发放完成率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23" w:name="_Toc71388337"/>
      <w:r>
        <w:rPr>
          <w:rFonts w:ascii="方正仿宋_GBK" w:hAnsi="等线" w:eastAsia="方正仿宋_GBK" w:cs="Times New Roman"/>
          <w:b/>
          <w:sz w:val="28"/>
        </w:rPr>
        <w:t>34.义务教育阶段学生体检经费绩效目标表</w:t>
      </w:r>
      <w:bookmarkEnd w:id="23"/>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34、义务教育阶段学生体检经费绩效目标表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13062521FS0EH7Y8P4RTE</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义务教育阶段学生体检经费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1788092.00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1788092.00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保障中小学生身体健康，提高教育教学质量。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1.保障中小学生身体健康</w:t>
            </w:r>
          </w:p>
          <w:p>
            <w:pPr>
              <w:spacing w:line="300" w:lineRule="exact"/>
              <w:jc w:val="left"/>
              <w:rPr>
                <w:rFonts w:ascii="方正书宋_GBK" w:hAnsi="等线" w:eastAsia="方正书宋_GBK" w:cs="Times New Roman"/>
              </w:rPr>
            </w:pPr>
            <w:r>
              <w:rPr>
                <w:rFonts w:ascii="方正书宋_GBK" w:hAnsi="等线" w:eastAsia="方正书宋_GBK" w:cs="Times New Roman"/>
              </w:rPr>
              <w:t>2.提高教育教学质量</w:t>
            </w:r>
          </w:p>
          <w:p>
            <w:pPr>
              <w:spacing w:line="300" w:lineRule="exact"/>
              <w:jc w:val="left"/>
              <w:rPr>
                <w:rFonts w:ascii="方正书宋_GBK" w:hAnsi="等线" w:eastAsia="方正书宋_GBK" w:cs="Times New Roman"/>
              </w:rPr>
            </w:pPr>
            <w:r>
              <w:rPr>
                <w:rFonts w:ascii="方正书宋_GBK" w:hAnsi="等线" w:eastAsia="方正书宋_GBK" w:cs="Times New Roman"/>
              </w:rPr>
              <w:t>3.提高全民身体素质</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体检学生覆盖率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应体检学生覆盖率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提高教育教学质量</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各项按标准完成</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体检项目标准</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各项目按时完成</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提高学生身体素质</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体检人员对待体检学生的认真度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提高学生身体素质</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提升教育教学质量</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24" w:name="_Toc71388338"/>
      <w:r>
        <w:rPr>
          <w:rFonts w:ascii="方正仿宋_GBK" w:hAnsi="等线" w:eastAsia="方正仿宋_GBK" w:cs="Times New Roman"/>
          <w:b/>
          <w:sz w:val="28"/>
        </w:rPr>
        <w:t>35.保定市徐水区第三中学建设绩效目标表</w:t>
      </w:r>
      <w:bookmarkEnd w:id="24"/>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35、保定市徐水区第三中学建设绩效目标表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13062521G3LZ4AULVOZXK</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保定市徐水区第三中学建设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20000000.00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20000000.00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用于徐水区第三中学建设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1.提高城区教育办学水准</w:t>
            </w:r>
          </w:p>
          <w:p>
            <w:pPr>
              <w:spacing w:line="300" w:lineRule="exact"/>
              <w:jc w:val="left"/>
              <w:rPr>
                <w:rFonts w:ascii="方正书宋_GBK" w:hAnsi="等线" w:eastAsia="方正书宋_GBK" w:cs="Times New Roman"/>
              </w:rPr>
            </w:pPr>
            <w:r>
              <w:rPr>
                <w:rFonts w:ascii="方正书宋_GBK" w:hAnsi="等线" w:eastAsia="方正书宋_GBK" w:cs="Times New Roman"/>
              </w:rPr>
              <w:t>2.加快资金支出进度</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项目完成情况</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项目完成情况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项目按期完成率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项目按期完成率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≥70%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采购成本</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降低采购成本</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受益学生数量</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受益学生数量</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≥80人</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25" w:name="_Toc71388339"/>
      <w:r>
        <w:rPr>
          <w:rFonts w:ascii="方正仿宋_GBK" w:hAnsi="等线" w:eastAsia="方正仿宋_GBK" w:cs="Times New Roman"/>
          <w:b/>
          <w:sz w:val="28"/>
        </w:rPr>
        <w:t>36.中小学校冬季取暖区级补贴绩效目标表</w:t>
      </w:r>
      <w:bookmarkEnd w:id="25"/>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36、中小学校冬季取暖区级补贴绩效目标表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13062521GGWM9ZKWG1HXO</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中小学校冬季取暖区级补贴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6110600.00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6110600.00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该项目用于保障学校冬季学生正常取暖,缓解学校资金压力。</w:t>
            </w:r>
          </w:p>
          <w:p>
            <w:pPr>
              <w:spacing w:line="300" w:lineRule="exact"/>
              <w:jc w:val="left"/>
              <w:rPr>
                <w:rFonts w:ascii="方正书宋_GBK" w:hAnsi="等线"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1.缓解学校取暖经费支出压力。</w:t>
            </w:r>
          </w:p>
          <w:p>
            <w:pPr>
              <w:spacing w:line="300" w:lineRule="exact"/>
              <w:jc w:val="left"/>
              <w:rPr>
                <w:rFonts w:ascii="方正书宋_GBK" w:hAnsi="等线" w:eastAsia="方正书宋_GBK" w:cs="Times New Roman"/>
              </w:rPr>
            </w:pPr>
            <w:r>
              <w:rPr>
                <w:rFonts w:ascii="方正书宋_GBK" w:hAnsi="等线" w:eastAsia="方正书宋_GBK" w:cs="Times New Roman"/>
              </w:rPr>
              <w:t>2.保障义务教育阶段学校冬季正常取暖。</w:t>
            </w:r>
          </w:p>
          <w:p>
            <w:pPr>
              <w:spacing w:line="300" w:lineRule="exact"/>
              <w:jc w:val="left"/>
              <w:rPr>
                <w:rFonts w:ascii="方正书宋_GBK" w:hAnsi="等线" w:eastAsia="方正书宋_GBK" w:cs="Times New Roman"/>
              </w:rPr>
            </w:pPr>
            <w:r>
              <w:rPr>
                <w:rFonts w:ascii="方正书宋_GBK" w:hAnsi="等线" w:eastAsia="方正书宋_GBK" w:cs="Times New Roman"/>
              </w:rPr>
              <w:t>3.让学校营造一个温暖的冬天</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缓解学校资金压力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缓解学校资金压力</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确保所有义务教育学校能正常取暖</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确保所有义务教育学校能正常取暖</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及时拨付到位</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及时拨付到位率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义务教育段学校享有率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义务教育段学校享有率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经济效益指标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提高资金使用率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提高资金使用率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≥60%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26" w:name="_Toc71388340"/>
      <w:r>
        <w:rPr>
          <w:rFonts w:ascii="方正仿宋_GBK" w:hAnsi="等线" w:eastAsia="方正仿宋_GBK" w:cs="Times New Roman"/>
          <w:b/>
          <w:sz w:val="28"/>
        </w:rPr>
        <w:t>37.保定市徐水区第二中学操场改造工程绩效目标表</w:t>
      </w:r>
      <w:bookmarkEnd w:id="26"/>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37、保定市徐水区第二中学操场改造工程绩效目标表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13062521GH9O52DO38PDZ</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保定市徐水区第二中学操场改造工程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2133550.16</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2133550.16</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本项目用于徐水区第二中学操场改造工程。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1.改善学校办学条件</w:t>
            </w:r>
          </w:p>
          <w:p>
            <w:pPr>
              <w:spacing w:line="300" w:lineRule="exact"/>
              <w:jc w:val="left"/>
              <w:rPr>
                <w:rFonts w:ascii="方正书宋_GBK" w:hAnsi="等线" w:eastAsia="方正书宋_GBK" w:cs="Times New Roman"/>
              </w:rPr>
            </w:pPr>
            <w:r>
              <w:rPr>
                <w:rFonts w:ascii="方正书宋_GBK" w:hAnsi="等线" w:eastAsia="方正书宋_GBK" w:cs="Times New Roman"/>
              </w:rPr>
              <w:t>2.改善学校教学环境条件</w:t>
            </w:r>
          </w:p>
          <w:p>
            <w:pPr>
              <w:spacing w:line="300" w:lineRule="exact"/>
              <w:jc w:val="left"/>
              <w:rPr>
                <w:rFonts w:ascii="方正书宋_GBK" w:hAnsi="等线" w:eastAsia="方正书宋_GBK" w:cs="Times New Roman"/>
              </w:rPr>
            </w:pPr>
            <w:r>
              <w:rPr>
                <w:rFonts w:ascii="方正书宋_GBK" w:hAnsi="等线" w:eastAsia="方正书宋_GBK" w:cs="Times New Roman"/>
              </w:rPr>
              <w:t>3.满足学校教育教学活动需求</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新建操场数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新建操场数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1个</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合格率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结项鉴定合格等级项目数量占总数量的比例（百分比）</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完成率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按照要求和计划完成任务的项目在所有立项项目中的比例（百分比）</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资金使用率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项目使用资金占预算资金的百分比</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社会影响力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得到广大受众的充分认可程度。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27" w:name="_Toc71388341"/>
      <w:r>
        <w:rPr>
          <w:rFonts w:ascii="方正仿宋_GBK" w:hAnsi="等线" w:eastAsia="方正仿宋_GBK" w:cs="Times New Roman"/>
          <w:b/>
          <w:sz w:val="28"/>
        </w:rPr>
        <w:t>38.提前下达2021年中央学生资助补助经费预算（直达资金）-高中免学费绩效目标表</w:t>
      </w:r>
      <w:bookmarkEnd w:id="27"/>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38、提前下达2021年中央学生资助补助经费预算（直达资金）-高中免学费绩效目标表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13062521I0RZFCZFZVFFG</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提前下达2021年中央学生资助补助经费预算（直达资金）-高中免学费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70000.00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70000.00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保障高中学校正常运转。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1.保障普通高中设备设施的正常运转</w:t>
            </w:r>
          </w:p>
          <w:p>
            <w:pPr>
              <w:spacing w:line="300" w:lineRule="exact"/>
              <w:jc w:val="left"/>
              <w:rPr>
                <w:rFonts w:ascii="方正书宋_GBK" w:hAnsi="等线" w:eastAsia="方正书宋_GBK" w:cs="Times New Roman"/>
              </w:rPr>
            </w:pPr>
            <w:r>
              <w:rPr>
                <w:rFonts w:ascii="方正书宋_GBK" w:hAnsi="等线" w:eastAsia="方正书宋_GBK" w:cs="Times New Roman"/>
              </w:rPr>
              <w:t>2.确保高中学校教学活动的正常开展</w:t>
            </w:r>
          </w:p>
          <w:p>
            <w:pPr>
              <w:spacing w:line="300" w:lineRule="exact"/>
              <w:jc w:val="left"/>
              <w:rPr>
                <w:rFonts w:ascii="方正书宋_GBK" w:hAnsi="等线" w:eastAsia="方正书宋_GBK" w:cs="Times New Roman"/>
              </w:rPr>
            </w:pPr>
            <w:r>
              <w:rPr>
                <w:rFonts w:ascii="方正书宋_GBK" w:hAnsi="等线" w:eastAsia="方正书宋_GBK" w:cs="Times New Roman"/>
              </w:rPr>
              <w:t>3.促进高中教育健康快速发展</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资金到位率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专项资金补助到位率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保财教[2020]86号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正常运行率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日常工作及设备设施的正常运转情况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保财教[2020]86号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控制资金支出</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资金支出进度占预算全额的比例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保财教[2020]86号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按照支出进度要求和预算构成执行</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保财教[2020]86号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社会影响力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有效的改善学校环境，有利于提高教育质量</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保财教[2020]86号</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28" w:name="_Toc71388342"/>
      <w:r>
        <w:rPr>
          <w:rFonts w:ascii="方正仿宋_GBK" w:hAnsi="等线" w:eastAsia="方正仿宋_GBK" w:cs="Times New Roman"/>
          <w:b/>
          <w:sz w:val="28"/>
        </w:rPr>
        <w:t>39.提前下达2021年支持学前教育发展省级补助资金-奖补资金绩效目标表</w:t>
      </w:r>
      <w:bookmarkEnd w:id="28"/>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39、提前下达2021年支持学前教育发展省级补助资金-奖补资金绩效目标表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13062521IHUF66BYCLAW7</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提前下达2021年支持学前教育发展省级补助资金-奖补资金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2730000.00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2730000.00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保障幼儿园正常运转，促进学前教育健康快速发展，提高幼儿园经费保障水平。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1.保障我单位设备设施的正常运转</w:t>
            </w:r>
          </w:p>
          <w:p>
            <w:pPr>
              <w:spacing w:line="300" w:lineRule="exact"/>
              <w:jc w:val="left"/>
              <w:rPr>
                <w:rFonts w:ascii="方正书宋_GBK" w:hAnsi="等线" w:eastAsia="方正书宋_GBK" w:cs="Times New Roman"/>
              </w:rPr>
            </w:pPr>
            <w:r>
              <w:rPr>
                <w:rFonts w:ascii="方正书宋_GBK" w:hAnsi="等线" w:eastAsia="方正书宋_GBK" w:cs="Times New Roman"/>
              </w:rPr>
              <w:t>2.确保我单位教学活动的正常开展</w:t>
            </w:r>
          </w:p>
          <w:p>
            <w:pPr>
              <w:spacing w:line="300" w:lineRule="exact"/>
              <w:jc w:val="left"/>
              <w:rPr>
                <w:rFonts w:ascii="方正书宋_GBK" w:hAnsi="等线" w:eastAsia="方正书宋_GBK" w:cs="Times New Roman"/>
              </w:rPr>
            </w:pPr>
            <w:r>
              <w:rPr>
                <w:rFonts w:ascii="方正书宋_GBK" w:hAnsi="等线" w:eastAsia="方正书宋_GBK" w:cs="Times New Roman"/>
              </w:rPr>
              <w:t>3.促进学前教育健康快速发展</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资金到位率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专项资金补助到位率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正常运行率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日常工作及设备设施的正常运转情况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控制资金支出</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资金支出进度占预算全额的比例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按照支出进度要求和预算构成执行</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社会影响力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有效的改善学校环境，有利于提高教育质量</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保财教[2020]96号</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29" w:name="_Toc71388343"/>
      <w:r>
        <w:rPr>
          <w:rFonts w:ascii="方正仿宋_GBK" w:hAnsi="等线" w:eastAsia="方正仿宋_GBK" w:cs="Times New Roman"/>
          <w:b/>
          <w:sz w:val="28"/>
        </w:rPr>
        <w:t>40.产病假教师代课费绩效目标表</w:t>
      </w:r>
      <w:bookmarkEnd w:id="29"/>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40、产病假教师代课费绩效目标表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13062521IVTH1N6LA2NY0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产病假教师代课费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864500.00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864500.00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实施产病假教师代课费项目，保障我区教育教学工作正常开展，保证教学质量。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1.促进全区教育均衡发展</w:t>
            </w:r>
          </w:p>
          <w:p>
            <w:pPr>
              <w:spacing w:line="300" w:lineRule="exact"/>
              <w:jc w:val="left"/>
              <w:rPr>
                <w:rFonts w:ascii="方正书宋_GBK" w:hAnsi="等线" w:eastAsia="方正书宋_GBK" w:cs="Times New Roman"/>
              </w:rPr>
            </w:pPr>
            <w:r>
              <w:rPr>
                <w:rFonts w:ascii="方正书宋_GBK" w:hAnsi="等线" w:eastAsia="方正书宋_GBK" w:cs="Times New Roman"/>
              </w:rPr>
              <w:t>2.拨付学校产病假教师代课费，保证学校教育教学活动正常开展。</w:t>
            </w:r>
          </w:p>
          <w:p>
            <w:pPr>
              <w:spacing w:line="300" w:lineRule="exact"/>
              <w:jc w:val="left"/>
              <w:rPr>
                <w:rFonts w:ascii="方正书宋_GBK" w:hAnsi="等线" w:eastAsia="方正书宋_GBK" w:cs="Times New Roman"/>
              </w:rPr>
            </w:pPr>
            <w:r>
              <w:rPr>
                <w:rFonts w:ascii="方正书宋_GBK" w:hAnsi="等线" w:eastAsia="方正书宋_GBK" w:cs="Times New Roman"/>
              </w:rPr>
              <w:t>3.提高教师、学生、家长对学校教育教学的满意度。</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保障学校教育教学课程数量</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保障学校教育教学课程数量</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保障资金发放准确、及时</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保障资金发放准确、及时</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教师、家长满意度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满意率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减轻学校、教师教学负担</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减轻学校、教师教学负担</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补贴发放率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正常发放产病假教师代课费</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30" w:name="_Toc71388344"/>
      <w:r>
        <w:rPr>
          <w:rFonts w:ascii="方正仿宋_GBK" w:hAnsi="等线" w:eastAsia="方正仿宋_GBK" w:cs="Times New Roman"/>
          <w:b/>
          <w:sz w:val="28"/>
        </w:rPr>
        <w:t>41.班主任津贴绩效目标表</w:t>
      </w:r>
      <w:bookmarkEnd w:id="30"/>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41、班主任津贴绩效目标表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13062521K0WIUPXGU4KCG</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班主任津贴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3137960.00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3137960.00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班主任津贴，标准为按班数核算，每学年按10个月计算，本年计划发放班主任津贴3137960元。预计2021年底前支付完成。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1.让班主任带着热情去更好</w:t>
            </w:r>
            <w:r>
              <w:rPr>
                <w:rFonts w:hint="eastAsia" w:ascii="方正书宋_GBK" w:hAnsi="等线" w:eastAsia="方正书宋_GBK" w:cs="Times New Roman"/>
                <w:lang w:eastAsia="zh-CN"/>
              </w:rPr>
              <w:t>地</w:t>
            </w:r>
            <w:r>
              <w:rPr>
                <w:rFonts w:ascii="方正书宋_GBK" w:hAnsi="等线" w:eastAsia="方正书宋_GBK" w:cs="Times New Roman"/>
              </w:rPr>
              <w:t>服务于学生、学校和社会。</w:t>
            </w:r>
          </w:p>
          <w:p>
            <w:pPr>
              <w:spacing w:line="300" w:lineRule="exact"/>
              <w:jc w:val="left"/>
              <w:rPr>
                <w:rFonts w:ascii="方正书宋_GBK" w:hAnsi="等线" w:eastAsia="方正书宋_GBK" w:cs="Times New Roman"/>
              </w:rPr>
            </w:pPr>
            <w:r>
              <w:rPr>
                <w:rFonts w:ascii="方正书宋_GBK" w:hAnsi="等线" w:eastAsia="方正书宋_GBK" w:cs="Times New Roman"/>
              </w:rPr>
              <w:t>2.调动我校班主任工作积极性，更加全身心投入到工作中。</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覆盖率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覆盖我区在岗农村教师</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促进学校教育教学质量</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提高教育教学质量</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教师满意度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满意率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服务年限每满一年发放标准</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满足教育教学需要</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补贴发放率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补贴发放完成率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bookmarkStart w:id="52" w:name="_GoBack"/>
      <w:bookmarkEnd w:id="52"/>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31" w:name="_Toc71388345"/>
      <w:r>
        <w:rPr>
          <w:rFonts w:ascii="方正仿宋_GBK" w:hAnsi="等线" w:eastAsia="方正仿宋_GBK" w:cs="Times New Roman"/>
          <w:b/>
          <w:sz w:val="28"/>
        </w:rPr>
        <w:t>42.普通高中助学金区级配套绩效目标表</w:t>
      </w:r>
      <w:bookmarkEnd w:id="31"/>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42、普通高中助学金区级配套绩效目标表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13062521K3TAI66NF02AH</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普通高中助学金区级配套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160000.00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160000.00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解决家庭困难学生上学问题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1.解决家庭困难学生上学问题</w:t>
            </w:r>
          </w:p>
          <w:p>
            <w:pPr>
              <w:spacing w:line="300" w:lineRule="exact"/>
              <w:jc w:val="left"/>
              <w:rPr>
                <w:rFonts w:ascii="方正书宋_GBK" w:hAnsi="等线" w:eastAsia="方正书宋_GBK" w:cs="Times New Roman"/>
              </w:rPr>
            </w:pPr>
            <w:r>
              <w:rPr>
                <w:rFonts w:ascii="方正书宋_GBK" w:hAnsi="等线" w:eastAsia="方正书宋_GBK" w:cs="Times New Roman"/>
              </w:rPr>
              <w:t>2.完成贫困学生资助工作</w:t>
            </w:r>
          </w:p>
          <w:p>
            <w:pPr>
              <w:spacing w:line="300" w:lineRule="exact"/>
              <w:jc w:val="left"/>
              <w:rPr>
                <w:rFonts w:ascii="方正书宋_GBK" w:hAnsi="等线" w:eastAsia="方正书宋_GBK" w:cs="Times New Roman"/>
              </w:rPr>
            </w:pPr>
            <w:r>
              <w:rPr>
                <w:rFonts w:ascii="方正书宋_GBK" w:hAnsi="等线" w:eastAsia="方正书宋_GBK" w:cs="Times New Roman"/>
              </w:rPr>
              <w:t>3.减轻困难家庭经济负担</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资助建档立卡贫困户子女人数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享受资助的建档立卡贫困学生数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100建档立卡学生必须全员享受资助</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建档立卡贫困户子女占比</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建档立卡学生占所有受资助的学生的比率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建档立卡学生占所有受资助的学生的比率</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资助经费及时发放率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高中助学金经费发放要及时、足额</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建档立卡贫困户子女生均资助标准</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建档立卡贫困学生资助标准需达标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2000元/学年</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建档立卡学生占接受资助的比例</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建档立卡贫困学生全年享受资助</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32" w:name="_Toc71388346"/>
      <w:r>
        <w:rPr>
          <w:rFonts w:ascii="方正仿宋_GBK" w:hAnsi="等线" w:eastAsia="方正仿宋_GBK" w:cs="Times New Roman"/>
          <w:b/>
          <w:sz w:val="28"/>
        </w:rPr>
        <w:t>43.成人教育经费绩效目标表</w:t>
      </w:r>
      <w:bookmarkEnd w:id="32"/>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43、成人教育经费绩效目标表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13062521KH2RYXGO05897</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成人教育经费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630000.00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630000.00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用于成人教育活动的开展，计划2021年1月-12月实施。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1.保障成人教育的正常开展。</w:t>
            </w:r>
          </w:p>
          <w:p>
            <w:pPr>
              <w:spacing w:line="300" w:lineRule="exact"/>
              <w:jc w:val="left"/>
              <w:rPr>
                <w:rFonts w:ascii="方正书宋_GBK" w:hAnsi="等线" w:eastAsia="方正书宋_GBK" w:cs="Times New Roman"/>
              </w:rPr>
            </w:pPr>
            <w:r>
              <w:rPr>
                <w:rFonts w:ascii="方正书宋_GBK" w:hAnsi="等线" w:eastAsia="方正书宋_GBK" w:cs="Times New Roman"/>
              </w:rPr>
              <w:t>2.改善成人教育办学条件</w:t>
            </w:r>
          </w:p>
          <w:p>
            <w:pPr>
              <w:spacing w:line="300" w:lineRule="exact"/>
              <w:jc w:val="left"/>
              <w:rPr>
                <w:rFonts w:ascii="方正书宋_GBK" w:hAnsi="等线" w:eastAsia="方正书宋_GBK" w:cs="Times New Roman"/>
              </w:rPr>
            </w:pPr>
            <w:r>
              <w:rPr>
                <w:rFonts w:ascii="方正书宋_GBK" w:hAnsi="等线" w:eastAsia="方正书宋_GBK" w:cs="Times New Roman"/>
              </w:rPr>
              <w:t>3.提高成人生活水平</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开展成人教育次数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开展成人教育次数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≥20次</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培训质量</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通过开展高质量的成人教育培训提高成人素质水平。</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成人教育与时俱进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通过举办成人培训，成教墙报等提高种养殖水平</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改善成人办学水平</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通过举办成人培训，成教墙报等提高种养殖水平</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提高成人生活质量和水平</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成人学校教学质量不断提高</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33" w:name="_Toc71388347"/>
      <w:r>
        <w:rPr>
          <w:rFonts w:ascii="方正仿宋_GBK" w:hAnsi="等线" w:eastAsia="方正仿宋_GBK" w:cs="Times New Roman"/>
          <w:b/>
          <w:sz w:val="28"/>
        </w:rPr>
        <w:t>44.提前下达2021年义务教育薄弱环节改善与能力提升中央补助资金预算绩效目标表</w:t>
      </w:r>
      <w:bookmarkEnd w:id="33"/>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44、提前下达2021年义务教育薄弱环节改善与能力提升中央补助资金预算绩效目标表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13062521N0AKW6BCU4BKM</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提前下达2021年义务教育薄弱环节改善与能力提升中央补助资金预算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6010000.00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6010000.00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提高义务教育学校办学水平，改善义务教育学校办学条件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1.改善薄弱学校办学条件</w:t>
            </w:r>
          </w:p>
          <w:p>
            <w:pPr>
              <w:spacing w:line="300" w:lineRule="exact"/>
              <w:jc w:val="left"/>
              <w:rPr>
                <w:rFonts w:ascii="方正书宋_GBK" w:hAnsi="等线" w:eastAsia="方正书宋_GBK" w:cs="Times New Roman"/>
              </w:rPr>
            </w:pPr>
            <w:r>
              <w:rPr>
                <w:rFonts w:ascii="方正书宋_GBK" w:hAnsi="等线" w:eastAsia="方正书宋_GBK" w:cs="Times New Roman"/>
              </w:rPr>
              <w:t>2.提高学校师生幸福度</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义务教育薄弱学校改造面积</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义务教育薄弱学校改造面积</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≥100平方米</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项目按期完成率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项目按期完成率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≥70%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采购成本</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降低采购成本</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受益学生数量</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受益学生数量</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≥80人</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依据工作方案</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34" w:name="_Toc71388348"/>
      <w:r>
        <w:rPr>
          <w:rFonts w:ascii="方正仿宋_GBK" w:hAnsi="等线" w:eastAsia="方正仿宋_GBK" w:cs="Times New Roman"/>
          <w:b/>
          <w:sz w:val="28"/>
        </w:rPr>
        <w:t>45.支教补助绩效目标表</w:t>
      </w:r>
      <w:bookmarkEnd w:id="34"/>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45、支教补助绩效目标表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13062521NBLBB8GEGKHBD</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支教补助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152000.00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152000.00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发放2021学年支教津贴，分两次实施。从而调动我校支教教师工作积极性，更加全身心投入到工作中。</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1.提高边远薄弱学校教学质量，为我区的教育事业做出大量贡献，</w:t>
            </w:r>
          </w:p>
          <w:p>
            <w:pPr>
              <w:spacing w:line="300" w:lineRule="exact"/>
              <w:jc w:val="left"/>
              <w:rPr>
                <w:rFonts w:ascii="方正书宋_GBK" w:hAnsi="等线" w:eastAsia="方正书宋_GBK" w:cs="Times New Roman"/>
              </w:rPr>
            </w:pPr>
            <w:r>
              <w:rPr>
                <w:rFonts w:ascii="方正书宋_GBK" w:hAnsi="等线" w:eastAsia="方正书宋_GBK" w:cs="Times New Roman"/>
              </w:rPr>
              <w:t>2.调动我校支教教师工作积极性，更加全身心投入到工作中。</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覆盖率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对所有支教教师覆盖情况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指标5培养人才数量</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提高办学水平</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≥100人</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完成率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按照要求和计划完成支教任务</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服务年限每满一年发放标准</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满足教育教学需要</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200元/月</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补贴发放率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补贴发放完成率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35" w:name="_Toc71388349"/>
      <w:r>
        <w:rPr>
          <w:rFonts w:ascii="方正仿宋_GBK" w:hAnsi="等线" w:eastAsia="方正仿宋_GBK" w:cs="Times New Roman"/>
          <w:b/>
          <w:sz w:val="28"/>
        </w:rPr>
        <w:t>46.提前下达2021年中央学生资助补助经费预算（直达资金）-高中助学金绩效目标表</w:t>
      </w:r>
      <w:bookmarkEnd w:id="35"/>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46、提前下达2021年中央学生资助补助经费预算（直达资金）-高中助学金绩效目标表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13062521O23EBH6009ENN</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提前下达2021年中央学生资助补助经费预算（直达资金）-高中助学金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2480000.00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2480000.00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解决家庭困难学生上学问题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1.解决家庭困难学生上学问题</w:t>
            </w:r>
          </w:p>
          <w:p>
            <w:pPr>
              <w:spacing w:line="300" w:lineRule="exact"/>
              <w:jc w:val="left"/>
              <w:rPr>
                <w:rFonts w:ascii="方正书宋_GBK" w:hAnsi="等线" w:eastAsia="方正书宋_GBK" w:cs="Times New Roman"/>
              </w:rPr>
            </w:pPr>
            <w:r>
              <w:rPr>
                <w:rFonts w:ascii="方正书宋_GBK" w:hAnsi="等线" w:eastAsia="方正书宋_GBK" w:cs="Times New Roman"/>
              </w:rPr>
              <w:t>2.完成贫困学生资助工作</w:t>
            </w:r>
          </w:p>
          <w:p>
            <w:pPr>
              <w:spacing w:line="300" w:lineRule="exact"/>
              <w:jc w:val="left"/>
              <w:rPr>
                <w:rFonts w:ascii="方正书宋_GBK" w:hAnsi="等线" w:eastAsia="方正书宋_GBK" w:cs="Times New Roman"/>
              </w:rPr>
            </w:pPr>
            <w:r>
              <w:rPr>
                <w:rFonts w:ascii="方正书宋_GBK" w:hAnsi="等线" w:eastAsia="方正书宋_GBK" w:cs="Times New Roman"/>
              </w:rPr>
              <w:t>3.减轻困难家庭经济负担</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资助建档立卡贫困户子女人数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享受资助的建档立卡贫困学生数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100建档立卡学生必须全员享受资助</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建档立卡贫困户子女占比</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建档立卡学生占所有受资助的学生的比率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建档立卡学生占所有受资助的学生的比率</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资助经费及时发放率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高中助学金经费发放要及时、足额</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建档立卡贫困户子女生均资助标准</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建档立卡贫困学生资助标准需达标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2000元/学年</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建档立卡学生占接受资助的比例</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建档立卡贫困学生全年享受资助</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36" w:name="_Toc71388350"/>
      <w:r>
        <w:rPr>
          <w:rFonts w:ascii="方正仿宋_GBK" w:hAnsi="等线" w:eastAsia="方正仿宋_GBK" w:cs="Times New Roman"/>
          <w:b/>
          <w:sz w:val="28"/>
        </w:rPr>
        <w:t>47.日新学校建设项目土方工程绩效目标表</w:t>
      </w:r>
      <w:bookmarkEnd w:id="36"/>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47、日新学校建设项目土方工程绩效目标表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13062521O2PD4HKG1G958</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日新学校建设项目土方工程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3497782.80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3497782.80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徐水区日新学校建设项目原场地不平整，存在多处坑槽，需进行土方回填，而后才能进行附属工程施工。依据徐水发改【2020】171号批复，该项目投资金额474.1083万元，2021年预计资金需求349.77828万元，后续资金陆续跟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1.提高城区教育办学水准</w:t>
            </w:r>
          </w:p>
          <w:p>
            <w:pPr>
              <w:spacing w:line="300" w:lineRule="exact"/>
              <w:jc w:val="left"/>
              <w:rPr>
                <w:rFonts w:ascii="方正书宋_GBK" w:hAnsi="等线" w:eastAsia="方正书宋_GBK" w:cs="Times New Roman"/>
              </w:rPr>
            </w:pPr>
            <w:r>
              <w:rPr>
                <w:rFonts w:ascii="方正书宋_GBK" w:hAnsi="等线" w:eastAsia="方正书宋_GBK" w:cs="Times New Roman"/>
              </w:rPr>
              <w:t>2.加快资金支出进度</w:t>
            </w:r>
          </w:p>
          <w:p>
            <w:pPr>
              <w:spacing w:line="300" w:lineRule="exact"/>
              <w:jc w:val="left"/>
              <w:rPr>
                <w:rFonts w:ascii="方正书宋_GBK" w:hAnsi="等线" w:eastAsia="方正书宋_GBK" w:cs="Times New Roman"/>
              </w:rPr>
            </w:pPr>
            <w:r>
              <w:rPr>
                <w:rFonts w:ascii="方正书宋_GBK" w:hAnsi="等线" w:eastAsia="方正书宋_GBK" w:cs="Times New Roman"/>
              </w:rPr>
              <w:t>3.调整优化教学资源，提升教育教学水平。</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项目完成情况</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项目完成情况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项目按期完成率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项目按期完成率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采购成本</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降低采购成本</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受益学生数量</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受益学生数量</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≥500人</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37" w:name="_Toc71388351"/>
      <w:r>
        <w:rPr>
          <w:rFonts w:ascii="方正仿宋_GBK" w:hAnsi="等线" w:eastAsia="方正仿宋_GBK" w:cs="Times New Roman"/>
          <w:b/>
          <w:sz w:val="28"/>
        </w:rPr>
        <w:t>48.保定市徐水区第三幼儿园建设绩效目标表</w:t>
      </w:r>
      <w:bookmarkEnd w:id="37"/>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48、保定市徐水区第三幼儿园建设绩效目标表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13062521OWLCXCEWGE9WG</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保定市徐水区第三幼儿园建设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10000000.00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10000000.00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用于徐水区第三幼儿园建设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1.提高城区教育办学水准</w:t>
            </w:r>
          </w:p>
          <w:p>
            <w:pPr>
              <w:spacing w:line="300" w:lineRule="exact"/>
              <w:jc w:val="left"/>
              <w:rPr>
                <w:rFonts w:ascii="方正书宋_GBK" w:hAnsi="等线" w:eastAsia="方正书宋_GBK" w:cs="Times New Roman"/>
              </w:rPr>
            </w:pPr>
            <w:r>
              <w:rPr>
                <w:rFonts w:ascii="方正书宋_GBK" w:hAnsi="等线" w:eastAsia="方正书宋_GBK" w:cs="Times New Roman"/>
              </w:rPr>
              <w:t>2.加快资金支出进度</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项目完成情况</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项目完成情况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项目按期完成率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项目按期完成率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≥70%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采购成本</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降低采购成本</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受益学生数量</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受益学生数量</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≥80人</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38" w:name="_Toc71388352"/>
      <w:r>
        <w:rPr>
          <w:rFonts w:ascii="方正仿宋_GBK" w:hAnsi="等线" w:eastAsia="方正仿宋_GBK" w:cs="Times New Roman"/>
          <w:b/>
          <w:sz w:val="28"/>
        </w:rPr>
        <w:t>49.提前下达2021年义务教育薄弱环节改善与能力提升省级补助资金预算绩效目标表</w:t>
      </w:r>
      <w:bookmarkEnd w:id="38"/>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49、提前下达2021年义务教育薄弱环节改善与能力提升省级补助资金预算绩效目标表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13062521Q41F5N7PA0MR2</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提前下达2021年义务教育薄弱环节改善与能力提升省级补助资金预算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5680000.00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5680000.00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提高义务教育学校办学水平，改善义务教育学校办学条件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1.改善薄弱学校办学条件</w:t>
            </w:r>
          </w:p>
          <w:p>
            <w:pPr>
              <w:spacing w:line="300" w:lineRule="exact"/>
              <w:jc w:val="left"/>
              <w:rPr>
                <w:rFonts w:ascii="方正书宋_GBK" w:hAnsi="等线" w:eastAsia="方正书宋_GBK" w:cs="Times New Roman"/>
              </w:rPr>
            </w:pPr>
            <w:r>
              <w:rPr>
                <w:rFonts w:ascii="方正书宋_GBK" w:hAnsi="等线" w:eastAsia="方正书宋_GBK" w:cs="Times New Roman"/>
              </w:rPr>
              <w:t>2.提高学校师生幸福度</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义务教育薄弱学校改造面积</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义务教育薄弱学校改造面积</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≥100平方米</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项目按期完成率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项目按期完成率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≥70%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采购成本</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降低采购成本</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受益学生数量</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受益学生数量</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≥80人</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依据工作方案</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39" w:name="_Toc71388353"/>
      <w:r>
        <w:rPr>
          <w:rFonts w:ascii="方正仿宋_GBK" w:hAnsi="等线" w:eastAsia="方正仿宋_GBK" w:cs="Times New Roman"/>
          <w:b/>
          <w:sz w:val="28"/>
        </w:rPr>
        <w:t>50.提前下达2021年革命老区转移支付项目资金（学生课桌椅购置项目）绩效目标表</w:t>
      </w:r>
      <w:bookmarkEnd w:id="39"/>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50、提前下达2021年革命老区转移支付项目资金（学生课桌椅购置项目）绩效目标表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13062521RRY69ME2FGDYI</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提前下达2021年革命老区转移支付项目资金（学生课桌椅购置项目）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1950000.00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1950000.00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用于改善办学条件，提高教学质量。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1.改善办学条件。</w:t>
            </w:r>
          </w:p>
          <w:p>
            <w:pPr>
              <w:spacing w:line="300" w:lineRule="exact"/>
              <w:jc w:val="left"/>
              <w:rPr>
                <w:rFonts w:ascii="方正书宋_GBK" w:hAnsi="等线" w:eastAsia="方正书宋_GBK" w:cs="Times New Roman"/>
              </w:rPr>
            </w:pPr>
            <w:r>
              <w:rPr>
                <w:rFonts w:ascii="方正书宋_GBK" w:hAnsi="等线" w:eastAsia="方正书宋_GBK" w:cs="Times New Roman"/>
              </w:rPr>
              <w:t>2.提高教学质量。</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购置课桌椅数量</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购置课桌椅数量</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≥6500套</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保定市财政局《关于提前下达2021年革命老区转移支付项目资金的通知》保财预[2020]69号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购置设备合格率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教学设备的合格率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保定市财政局《关于提前下达2021年革命老区转移支付项目资金的通知》保财预[2020]69号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保定市财政局《关于提前下达2021年革命老区转移支付项目资金的通知》保财预[2020]69号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采购成本</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降低采购成本</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保定市财政局《关于提前下达2021年革命老区转移支付项目资金的通知》保财预[2020]69号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受益学生数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使用新设备的学生数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保定市财政局《关于提前下达2021年革命老区转移支付项目资金的通知》保财预[2020]69号</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40" w:name="_Toc71388354"/>
      <w:r>
        <w:rPr>
          <w:rFonts w:ascii="方正仿宋_GBK" w:hAnsi="等线" w:eastAsia="方正仿宋_GBK" w:cs="Times New Roman"/>
          <w:b/>
          <w:sz w:val="28"/>
        </w:rPr>
        <w:t>51.保定市徐水区第一中学教学楼改建项目绩效目标表</w:t>
      </w:r>
      <w:bookmarkEnd w:id="40"/>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51、保定市徐水区第一中学教学楼改建项目绩效目标表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13062521TM3R2GFQBUPQC</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保定市徐水区第一中学教学楼改建项目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32550200.00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32550200.00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新建教学楼一栋，改善办学条件。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1.改善学校办学条件。</w:t>
            </w:r>
          </w:p>
          <w:p>
            <w:pPr>
              <w:spacing w:line="300" w:lineRule="exact"/>
              <w:jc w:val="left"/>
              <w:rPr>
                <w:rFonts w:ascii="方正书宋_GBK" w:hAnsi="等线" w:eastAsia="方正书宋_GBK" w:cs="Times New Roman"/>
              </w:rPr>
            </w:pPr>
            <w:r>
              <w:rPr>
                <w:rFonts w:ascii="方正书宋_GBK" w:hAnsi="等线" w:eastAsia="方正书宋_GBK" w:cs="Times New Roman"/>
              </w:rPr>
              <w:t>2.改善学校教学环境。</w:t>
            </w:r>
          </w:p>
          <w:p>
            <w:pPr>
              <w:spacing w:line="300" w:lineRule="exact"/>
              <w:jc w:val="left"/>
              <w:rPr>
                <w:rFonts w:ascii="方正书宋_GBK" w:hAnsi="等线" w:eastAsia="方正书宋_GBK" w:cs="Times New Roman"/>
              </w:rPr>
            </w:pPr>
            <w:r>
              <w:rPr>
                <w:rFonts w:ascii="方正书宋_GBK" w:hAnsi="等线" w:eastAsia="方正书宋_GBK" w:cs="Times New Roman"/>
              </w:rPr>
              <w:t>3.让学生能更好的完成学业。</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学校新建校舍面积</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新建教学楼面积</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11000平方米</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新建改扩建工程验收合格率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新建教学楼工程验收合格率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校舍建设工程按期完成率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校舍建设按期完成</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新建、改扩建学校数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新建教学楼数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1所</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经济效益指标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减轻学校资金压力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减轻学校资金压力</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41" w:name="_Toc71388355"/>
      <w:r>
        <w:rPr>
          <w:rFonts w:ascii="方正仿宋_GBK" w:hAnsi="等线" w:eastAsia="方正仿宋_GBK" w:cs="Times New Roman"/>
          <w:b/>
          <w:sz w:val="28"/>
        </w:rPr>
        <w:t>52.中小学(幼儿园)修缮项目绩效目标表</w:t>
      </w:r>
      <w:bookmarkEnd w:id="41"/>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52、中小学(幼儿园)修缮项目绩效目标表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13062521UCB4WUKV7NEWW</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中小学(幼儿园)修缮项目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9800000.00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9800000.00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改善学校办学条件，解决学校安全隐患，提升学校办学水平，提高社会及师生对学校的满意度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1.改善学校办学条件，解决学校安全隐患</w:t>
            </w:r>
          </w:p>
          <w:p>
            <w:pPr>
              <w:spacing w:line="300" w:lineRule="exact"/>
              <w:jc w:val="left"/>
              <w:rPr>
                <w:rFonts w:ascii="方正书宋_GBK" w:hAnsi="等线" w:eastAsia="方正书宋_GBK" w:cs="Times New Roman"/>
              </w:rPr>
            </w:pPr>
            <w:r>
              <w:rPr>
                <w:rFonts w:ascii="方正书宋_GBK" w:hAnsi="等线" w:eastAsia="方正书宋_GBK" w:cs="Times New Roman"/>
              </w:rPr>
              <w:t>2.提升学校办学水平，提高社会及师生对学校的满意度</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维修项目数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预算安排维修改造项目数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保证安全</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解决安全隐患</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节约资金</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节约资金，保障资金利用率最大化</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提高社会满意度</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解决安全隐患，保障师生安全</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42" w:name="_Toc71388356"/>
      <w:r>
        <w:rPr>
          <w:rFonts w:ascii="方正仿宋_GBK" w:hAnsi="等线" w:eastAsia="方正仿宋_GBK" w:cs="Times New Roman"/>
          <w:b/>
          <w:sz w:val="28"/>
        </w:rPr>
        <w:t>53.提前下达2021年支持学前教育发展中央资金预算-幼儿资助绩效目标表</w:t>
      </w:r>
      <w:bookmarkEnd w:id="42"/>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53、提前下达2021年支持学前教育发展中央资金预算-幼儿资助绩效目标表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13062521UEHZTCEU3Q0PX</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提前下达2021年支持学前教育发展中央资金预算-幼儿资助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396500.00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396500.00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解决家庭困难学生上学问题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1.解决家庭困难学生上学问题</w:t>
            </w:r>
          </w:p>
          <w:p>
            <w:pPr>
              <w:spacing w:line="300" w:lineRule="exact"/>
              <w:jc w:val="left"/>
              <w:rPr>
                <w:rFonts w:ascii="方正书宋_GBK" w:hAnsi="等线" w:eastAsia="方正书宋_GBK" w:cs="Times New Roman"/>
              </w:rPr>
            </w:pPr>
            <w:r>
              <w:rPr>
                <w:rFonts w:ascii="方正书宋_GBK" w:hAnsi="等线" w:eastAsia="方正书宋_GBK" w:cs="Times New Roman"/>
              </w:rPr>
              <w:t>2.完成贫困学生资助工作</w:t>
            </w:r>
          </w:p>
          <w:p>
            <w:pPr>
              <w:spacing w:line="300" w:lineRule="exact"/>
              <w:jc w:val="left"/>
              <w:rPr>
                <w:rFonts w:ascii="方正书宋_GBK" w:hAnsi="等线" w:eastAsia="方正书宋_GBK" w:cs="Times New Roman"/>
              </w:rPr>
            </w:pPr>
            <w:r>
              <w:rPr>
                <w:rFonts w:ascii="方正书宋_GBK" w:hAnsi="等线" w:eastAsia="方正书宋_GBK" w:cs="Times New Roman"/>
              </w:rPr>
              <w:t>3.减轻困难家庭经济负担</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资助建档立卡贫困户子女人数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享受资助的建档立卡贫困学生数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100建档立卡学生必须全员享受资助</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建档立卡贫困户子女占比</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建档立卡学生占所有受资助的学生的比率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建档立卡学生占所有受资助的学生的比率</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资助经费及时发放率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高中助学金经费发放要及时、足额</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建档立卡贫困户子女生均资助标准</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建档立卡贫困学生资助标准需达标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2000元/学年</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保财教[2020]76号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建档立卡学生占接受资助的比例</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建档立卡贫困学生全年享受资助</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保财教[2020]76号</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43" w:name="_Toc71388357"/>
      <w:r>
        <w:rPr>
          <w:rFonts w:ascii="方正仿宋_GBK" w:hAnsi="等线" w:eastAsia="方正仿宋_GBK" w:cs="Times New Roman"/>
          <w:b/>
          <w:sz w:val="28"/>
        </w:rPr>
        <w:t>54.老年体育协会活动经费绩效目标表</w:t>
      </w:r>
      <w:bookmarkEnd w:id="43"/>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54、老年体育协会活动经费绩效目标表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13062521X2CZM1WH0FDQX</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老年体育协会活动经费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推进全民健身事业的发展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25.00%</w:t>
            </w: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1.推进全民健身事业的发展</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绩效评价次数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按季度评价资金使用程度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正常运行率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老年体育协会活动正常开展情况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控制资金支出</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资金支出进度占预算全额的比例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按照支出进度要求和预算构成执行</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社会影响力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有效的推进全民健身事业的发展</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44" w:name="_Toc71388358"/>
      <w:r>
        <w:rPr>
          <w:rFonts w:ascii="方正仿宋_GBK" w:hAnsi="等线" w:eastAsia="方正仿宋_GBK" w:cs="Times New Roman"/>
          <w:b/>
          <w:sz w:val="28"/>
        </w:rPr>
        <w:t>55.徐水区教师发展中心综合培训楼项目绩效目标表</w:t>
      </w:r>
      <w:bookmarkEnd w:id="44"/>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55、徐水区教师发展中心综合培训楼项目绩效目标表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13062521XI7QMUFTRWG1Q</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徐水区教师发展中心综合培训楼项目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7000000.00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7000000.00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徐水区教师发展中心综合培训楼项目，总投资2404万元，建筑面积5688平米，项目占地10亩。依据徐水发改【2020】120号批复，该项目总投资2404万元，2021年该项目预计资金需求为700万元，后续资金陆续跟进。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1.加大教师队伍建设投入，根据需求合理规划布局教育教学资源，配套教师队伍培训硬件设施</w:t>
            </w:r>
          </w:p>
          <w:p>
            <w:pPr>
              <w:spacing w:line="300" w:lineRule="exact"/>
              <w:jc w:val="left"/>
              <w:rPr>
                <w:rFonts w:ascii="方正书宋_GBK" w:hAnsi="等线" w:eastAsia="方正书宋_GBK" w:cs="Times New Roman"/>
              </w:rPr>
            </w:pPr>
            <w:r>
              <w:rPr>
                <w:rFonts w:ascii="方正书宋_GBK" w:hAnsi="等线" w:eastAsia="方正书宋_GBK" w:cs="Times New Roman"/>
              </w:rPr>
              <w:t>2.加大教育投入，搭建教师职业化、专业化、个性化、人文化发展的服务平台，整合区内外优质资源，开展教学、学术研讨活动，引导和支持学术梯队和教师团队建设更全面发展进步。</w:t>
            </w:r>
          </w:p>
          <w:p>
            <w:pPr>
              <w:spacing w:line="300" w:lineRule="exact"/>
              <w:jc w:val="left"/>
              <w:rPr>
                <w:rFonts w:ascii="方正书宋_GBK" w:hAnsi="等线" w:eastAsia="方正书宋_GBK" w:cs="Times New Roman"/>
              </w:rPr>
            </w:pPr>
            <w:r>
              <w:rPr>
                <w:rFonts w:ascii="方正书宋_GBK" w:hAnsi="等线" w:eastAsia="方正书宋_GBK" w:cs="Times New Roman"/>
              </w:rPr>
              <w:t>3.提高教师队伍综合素质，从而提高教育教学水平。</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新建、改扩建面积</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新建综合培训楼面积</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5688平方米</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新建改扩建工程验收合格率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新建综合培训楼工程验收合格率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校舍建设工程按期完成率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项目建设按期完成</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项目建设资金使用效率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教师队伍建设覆盖率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受益教师数量</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45" w:name="_Toc71388359"/>
      <w:r>
        <w:rPr>
          <w:rFonts w:ascii="方正仿宋_GBK" w:hAnsi="等线" w:eastAsia="方正仿宋_GBK" w:cs="Times New Roman"/>
          <w:b/>
          <w:sz w:val="28"/>
        </w:rPr>
        <w:t>56.建档立卡贫困户学生区级补助绩效目标表</w:t>
      </w:r>
      <w:bookmarkEnd w:id="45"/>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56、建档立卡贫困户学生区级补助绩效目标表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13062521Y0BAQZZHMUU1Y</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建档立卡贫困户学生区级补助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442000.00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442000.00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该项目主要用于普通高中建档立卡学生免住宿费免教科书费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1.解决建档立卡户学生上学难问题</w:t>
            </w:r>
          </w:p>
          <w:p>
            <w:pPr>
              <w:spacing w:line="300" w:lineRule="exact"/>
              <w:jc w:val="left"/>
              <w:rPr>
                <w:rFonts w:ascii="方正书宋_GBK" w:hAnsi="等线" w:eastAsia="方正书宋_GBK" w:cs="Times New Roman"/>
              </w:rPr>
            </w:pPr>
            <w:r>
              <w:rPr>
                <w:rFonts w:ascii="方正书宋_GBK" w:hAnsi="等线" w:eastAsia="方正书宋_GBK" w:cs="Times New Roman"/>
              </w:rPr>
              <w:t>2.减轻家庭困难户经济压力问题</w:t>
            </w:r>
          </w:p>
          <w:p>
            <w:pPr>
              <w:spacing w:line="300" w:lineRule="exact"/>
              <w:jc w:val="left"/>
              <w:rPr>
                <w:rFonts w:ascii="方正书宋_GBK" w:hAnsi="等线" w:eastAsia="方正书宋_GBK" w:cs="Times New Roman"/>
              </w:rPr>
            </w:pPr>
            <w:r>
              <w:rPr>
                <w:rFonts w:ascii="方正书宋_GBK" w:hAnsi="等线" w:eastAsia="方正书宋_GBK" w:cs="Times New Roman"/>
              </w:rPr>
              <w:t>3.完成贫困学生资助工作</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资助建档立卡贫困户子女人数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享受资助的建档立卡贫困学生数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100建档立卡学生必须全员享受资助</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建档立卡学生占比</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建档立卡学生占所有受资助的学生的比率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建档立卡学生占所有受资助的学生的比率</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资助经费及时发放率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高中助学金经费发放要及时、足额</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建档立卡户学生资助标准</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建档立卡贫困学生资助标准需达标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800元/学年</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建档立卡贫困占接受资助的比例</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建档立卡贫困学生全年享受资助</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100全年享受资助</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46" w:name="_Toc71388360"/>
      <w:r>
        <w:rPr>
          <w:rFonts w:ascii="方正仿宋_GBK" w:hAnsi="等线" w:eastAsia="方正仿宋_GBK" w:cs="Times New Roman"/>
          <w:b/>
          <w:sz w:val="28"/>
        </w:rPr>
        <w:t>57.体育活动经费绩效目标表</w:t>
      </w:r>
      <w:bookmarkEnd w:id="46"/>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57、体育活动经费绩效目标表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13062521Y2QCG87PG45WA</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体育活动经费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50000.00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50000.00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提高全区人民身体素质，开展体育活动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1.提高全区人民身体素质，开展体育活动</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绩效评价次数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按季度评价资金使用程度</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正常运行率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活动正常开展情况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控制资金支出</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资金支出进度占预算全额的比例</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预算执行率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按照支出进度要求和预算构成执行</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社会影响力</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有效的开展体育活动，有利于提高身体素质</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依据工作要求</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47" w:name="_Toc71388361"/>
      <w:r>
        <w:rPr>
          <w:rFonts w:ascii="方正仿宋_GBK" w:hAnsi="等线" w:eastAsia="方正仿宋_GBK" w:cs="Times New Roman"/>
          <w:b/>
          <w:sz w:val="28"/>
        </w:rPr>
        <w:t>58.普高建档立卡免学杂费绩效目标表</w:t>
      </w:r>
      <w:bookmarkEnd w:id="47"/>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58、普高建档立卡免学杂费绩效目标表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13062521Y5HXYT1PURS2B</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普高建档立卡免学杂费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50000.00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50000.00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该项目主要用于普通高中建档立卡学生免住宿费免教科书费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1.解决建档立卡户学生上学难问题</w:t>
            </w:r>
          </w:p>
          <w:p>
            <w:pPr>
              <w:spacing w:line="300" w:lineRule="exact"/>
              <w:jc w:val="left"/>
              <w:rPr>
                <w:rFonts w:ascii="方正书宋_GBK" w:hAnsi="等线" w:eastAsia="方正书宋_GBK" w:cs="Times New Roman"/>
              </w:rPr>
            </w:pPr>
            <w:r>
              <w:rPr>
                <w:rFonts w:ascii="方正书宋_GBK" w:hAnsi="等线" w:eastAsia="方正书宋_GBK" w:cs="Times New Roman"/>
              </w:rPr>
              <w:t>2.减轻家庭困难户经济压力问题</w:t>
            </w:r>
          </w:p>
          <w:p>
            <w:pPr>
              <w:spacing w:line="300" w:lineRule="exact"/>
              <w:jc w:val="left"/>
              <w:rPr>
                <w:rFonts w:ascii="方正书宋_GBK" w:hAnsi="等线" w:eastAsia="方正书宋_GBK" w:cs="Times New Roman"/>
              </w:rPr>
            </w:pPr>
            <w:r>
              <w:rPr>
                <w:rFonts w:ascii="方正书宋_GBK" w:hAnsi="等线" w:eastAsia="方正书宋_GBK" w:cs="Times New Roman"/>
              </w:rPr>
              <w:t>3.完成贫困学生资助工作</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资助建档立卡贫困户子女人数</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享受资助的建档立卡贫困学生数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100建档立卡学生必须全员享受资助</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建档立卡学生占比</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建档立卡学生占所有受资助的学生的比率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建档立卡学生占所有受资助的学生的比率</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资助经费及时发放率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高中助学金经费发放要及时、足额</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建档立卡户学生资助标准</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建档立卡贫困学生资助标准需达标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800元/学年</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建档立卡贫困占接受资助的比例</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建档立卡贫困学生全年享受资助</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100全年享受资助</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48" w:name="_Toc71388362"/>
      <w:r>
        <w:rPr>
          <w:rFonts w:ascii="方正仿宋_GBK" w:hAnsi="等线" w:eastAsia="方正仿宋_GBK" w:cs="Times New Roman"/>
          <w:b/>
          <w:sz w:val="28"/>
        </w:rPr>
        <w:t>59.农村义务教育学校校舍安全区级配套绩效目标表</w:t>
      </w:r>
      <w:bookmarkEnd w:id="48"/>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59、农村义务教育学校校舍安全区级配套绩效目标表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13062521YD4RFDCHX1Q22</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农村义务教育学校校舍安全区级配套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2050000.00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2050000.00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提高义务教育学校办学水平，改善义务教育学校办学条件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1.保障我区农村义务教育学校校舍安全</w:t>
            </w:r>
          </w:p>
          <w:p>
            <w:pPr>
              <w:spacing w:line="300" w:lineRule="exact"/>
              <w:jc w:val="left"/>
              <w:rPr>
                <w:rFonts w:ascii="方正书宋_GBK" w:hAnsi="等线" w:eastAsia="方正书宋_GBK" w:cs="Times New Roman"/>
              </w:rPr>
            </w:pPr>
            <w:r>
              <w:rPr>
                <w:rFonts w:ascii="方正书宋_GBK" w:hAnsi="等线" w:eastAsia="方正书宋_GBK" w:cs="Times New Roman"/>
              </w:rPr>
              <w:t>2.提高学校师生幸福度</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义务教育薄弱学校改造面积</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义务教育薄弱学校改造面积</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≥100平方米</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项目按期完成率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项目按期完成率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≥70%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资金支付率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采购成本</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降低采购成本</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受益学生数量</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受益学生数量</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≥80人</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49" w:name="_Toc71388363"/>
      <w:r>
        <w:rPr>
          <w:rFonts w:ascii="方正仿宋_GBK" w:hAnsi="等线" w:eastAsia="方正仿宋_GBK" w:cs="Times New Roman"/>
          <w:b/>
          <w:sz w:val="28"/>
        </w:rPr>
        <w:t>60.在岗农村教师津贴绩效目标表</w:t>
      </w:r>
      <w:bookmarkEnd w:id="49"/>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60、在岗农村教师津贴绩效目标表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13062521YGT0ABO00INFM</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在岗农村教师津贴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4547160.00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4547160.00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用于在岗农村教师津贴发放。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1.促进教育均衡发展</w:t>
            </w:r>
          </w:p>
          <w:p>
            <w:pPr>
              <w:spacing w:line="300" w:lineRule="exact"/>
              <w:jc w:val="left"/>
              <w:rPr>
                <w:rFonts w:ascii="方正书宋_GBK" w:hAnsi="等线" w:eastAsia="方正书宋_GBK" w:cs="Times New Roman"/>
              </w:rPr>
            </w:pPr>
            <w:r>
              <w:rPr>
                <w:rFonts w:ascii="方正书宋_GBK" w:hAnsi="等线" w:eastAsia="方正书宋_GBK" w:cs="Times New Roman"/>
              </w:rPr>
              <w:t>2.调动农村教师积极性</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覆盖率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对所有农村在岗教师覆盖情况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指标5培养人才数量</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提高办学水平</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≥100人</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完成率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按照要求和计划完成支教任务</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服务年限每满一年发放标准</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满足教育教学需要</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90元/月</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补贴发放率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补贴发放完成率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pPr>
        <w:spacing w:line="300" w:lineRule="exact"/>
        <w:jc w:val="left"/>
        <w:rPr>
          <w:rFonts w:ascii="等线" w:hAnsi="等线" w:eastAsia="等线" w:cs="Times New Roman"/>
        </w:rPr>
      </w:pPr>
    </w:p>
    <w:p>
      <w:pPr>
        <w:jc w:val="left"/>
        <w:outlineLvl w:val="3"/>
        <w:rPr>
          <w:rFonts w:ascii="Times New Roman" w:hAnsi="宋体" w:eastAsia="宋体" w:cs="Times New Roman"/>
          <w:b/>
          <w:sz w:val="28"/>
        </w:rPr>
      </w:pPr>
      <w:bookmarkStart w:id="50" w:name="_Toc71388364"/>
      <w:r>
        <w:rPr>
          <w:rFonts w:ascii="方正仿宋_GBK" w:hAnsi="等线" w:eastAsia="方正仿宋_GBK" w:cs="Times New Roman"/>
          <w:b/>
          <w:sz w:val="28"/>
        </w:rPr>
        <w:t>61.寄宿制学校教师津贴绩效目标表</w:t>
      </w:r>
      <w:bookmarkEnd w:id="50"/>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61、寄宿制学校教师津贴绩效目标表 \f C \l 1 </w:instrText>
      </w:r>
      <w:r>
        <w:rPr>
          <w:rFonts w:ascii="方正仿宋_GBK" w:hAnsi="等线" w:eastAsia="方正仿宋_GBK" w:cs="Times New Roman"/>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hAnsi="等线" w:eastAsia="方正书宋_GBK" w:cs="Times New Roman"/>
                <w:b/>
              </w:rPr>
            </w:pPr>
            <w:r>
              <w:rPr>
                <w:rFonts w:ascii="方正书宋_GBK" w:hAnsi="等线" w:eastAsia="方正书宋_GBK" w:cs="Times New Roman"/>
                <w:b/>
              </w:rPr>
              <w:t>360003教体局（事业）</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hAnsi="等线" w:eastAsia="方正书宋_GBK" w:cs="Times New Roman"/>
              </w:rPr>
            </w:pPr>
            <w:r>
              <w:rPr>
                <w:rFonts w:ascii="方正书宋_GBK" w:hAnsi="等线" w:eastAsia="方正书宋_GBK" w:cs="Times New Roman"/>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13062521Z352NR8GWMZ88</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寄宿制学校教师津贴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1151000.00</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1151000.00</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等线" w:hAnsi="等线" w:eastAsia="等线" w:cs="Times New Roman"/>
              </w:rPr>
            </w:pPr>
          </w:p>
        </w:tc>
        <w:tc>
          <w:tcPr>
            <w:tcW w:w="8278" w:type="dxa"/>
            <w:gridSpan w:val="6"/>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根据区领导批示，调动寄宿制学校教师工作积极性，设立寄宿制学校教师津贴，对我区寄宿制学校教师发放津贴。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等线" w:hAnsi="等线" w:eastAsia="等线" w:cs="Times New Roman"/>
              </w:rPr>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50.00%</w:t>
            </w:r>
          </w:p>
        </w:tc>
        <w:tc>
          <w:tcPr>
            <w:tcW w:w="1304" w:type="dxa"/>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1.调动寄宿制学校教师工作的积极性。</w:t>
            </w:r>
          </w:p>
          <w:p>
            <w:pPr>
              <w:spacing w:line="300" w:lineRule="exact"/>
              <w:jc w:val="left"/>
              <w:rPr>
                <w:rFonts w:ascii="方正书宋_GBK" w:hAnsi="等线" w:eastAsia="方正书宋_GBK" w:cs="Times New Roman"/>
              </w:rPr>
            </w:pPr>
            <w:r>
              <w:rPr>
                <w:rFonts w:ascii="方正书宋_GBK" w:hAnsi="等线" w:eastAsia="方正书宋_GBK" w:cs="Times New Roman"/>
              </w:rPr>
              <w:t>2.保障学校教育教学情况的开展。</w:t>
            </w:r>
          </w:p>
        </w:tc>
      </w:tr>
    </w:tbl>
    <w:p>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覆盖率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对寄宿制学校教师津贴发放的覆盖率。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≥80%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资金发放到位率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资金用于寄宿制学校教师补贴的情况。</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pPr>
    </w:p>
    <w:p>
      <w:pPr>
        <w:spacing w:line="300" w:lineRule="exact"/>
        <w:jc w:val="left"/>
        <w:rPr>
          <w:rFonts w:ascii="等线" w:hAnsi="等线" w:eastAsia="等线" w:cs="Times New Roman"/>
        </w:rPr>
      </w:pPr>
    </w:p>
    <w:p>
      <w:pPr>
        <w:spacing w:line="300" w:lineRule="exact"/>
        <w:jc w:val="left"/>
        <w:rPr>
          <w:rFonts w:ascii="等线" w:hAnsi="等线" w:eastAsia="等线" w:cs="Times New Roman"/>
        </w:rPr>
      </w:pPr>
    </w:p>
    <w:p>
      <w:pPr>
        <w:spacing w:line="300" w:lineRule="exact"/>
        <w:jc w:val="left"/>
        <w:rPr>
          <w:rFonts w:ascii="等线" w:hAnsi="等线" w:eastAsia="等线" w:cs="Times New Roman"/>
        </w:rPr>
      </w:pPr>
    </w:p>
    <w:p>
      <w:pPr>
        <w:spacing w:line="300" w:lineRule="exact"/>
        <w:jc w:val="left"/>
        <w:rPr>
          <w:rFonts w:hint="eastAsia" w:ascii="等线" w:hAnsi="等线" w:eastAsia="等线" w:cs="Times New Roman"/>
        </w:rPr>
      </w:pP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widowControl/>
              <w:jc w:val="left"/>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及时率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及时发放寄宿制学校教师津补贴。</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hAnsi="等线" w:eastAsia="方正书宋_GBK" w:cs="Times New Roman"/>
              </w:rPr>
            </w:pP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服务年限每满一年发放标准</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满足教育教学需要</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shd w:val="clear" w:color="auto" w:fill="auto"/>
            <w:vAlign w:val="center"/>
          </w:tcPr>
          <w:p>
            <w:pPr>
              <w:spacing w:line="300" w:lineRule="exact"/>
              <w:jc w:val="center"/>
              <w:rPr>
                <w:rFonts w:ascii="方正书宋_GBK" w:hAnsi="等线" w:eastAsia="方正书宋_GBK" w:cs="Times New Roman"/>
              </w:rPr>
            </w:pPr>
            <w:r>
              <w:rPr>
                <w:rFonts w:ascii="方正书宋_GBK" w:hAnsi="等线" w:eastAsia="方正书宋_GBK" w:cs="Times New Roman"/>
              </w:rPr>
              <w:t>效益指标</w:t>
            </w:r>
          </w:p>
        </w:tc>
        <w:tc>
          <w:tcPr>
            <w:tcW w:w="1134"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补贴发放率</w:t>
            </w:r>
          </w:p>
        </w:tc>
        <w:tc>
          <w:tcPr>
            <w:tcW w:w="289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发放寄宿制学校教师补贴完成率</w:t>
            </w:r>
          </w:p>
        </w:tc>
        <w:tc>
          <w:tcPr>
            <w:tcW w:w="1276"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pPr>
              <w:spacing w:line="300" w:lineRule="exact"/>
              <w:jc w:val="left"/>
              <w:rPr>
                <w:rFonts w:ascii="方正书宋_GBK" w:hAnsi="等线" w:eastAsia="方正书宋_GBK" w:cs="Times New Roman"/>
              </w:rPr>
            </w:pPr>
            <w:r>
              <w:rPr>
                <w:rFonts w:ascii="方正书宋_GBK" w:hAnsi="等线" w:eastAsia="方正书宋_GBK" w:cs="Times New Roman"/>
              </w:rPr>
              <w:t>测算标准</w:t>
            </w:r>
          </w:p>
        </w:tc>
      </w:tr>
    </w:tbl>
    <w:p>
      <w:pPr>
        <w:spacing w:line="300" w:lineRule="exact"/>
        <w:jc w:val="left"/>
        <w:rPr>
          <w:rFonts w:ascii="等线" w:hAnsi="等线" w:eastAsia="等线" w:cs="Times New Roman"/>
        </w:rPr>
      </w:pPr>
    </w:p>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2021年，我部门无政府采购预算。</w:t>
      </w:r>
    </w:p>
    <w:p>
      <w:pPr>
        <w:jc w:val="center"/>
        <w:outlineLvl w:val="1"/>
      </w:pPr>
      <w:bookmarkStart w:id="51" w:name="_Toc_2_2_0000000007"/>
      <w:r>
        <w:rPr>
          <w:rFonts w:ascii="方正小标宋_GBK" w:hAnsi="方正小标宋_GBK" w:eastAsia="方正小标宋_GBK" w:cs="方正小标宋_GBK"/>
          <w:color w:val="000000"/>
          <w:sz w:val="32"/>
        </w:rPr>
        <w:t>部门政府采购预算</w:t>
      </w:r>
      <w:bookmarkEnd w:id="51"/>
    </w:p>
    <w:tbl>
      <w:tblPr>
        <w:tblStyle w:val="1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25"/>
            </w:pPr>
            <w:r>
              <w:t>360保定市徐水区教育和体育局</w:t>
            </w:r>
          </w:p>
        </w:tc>
        <w:tc>
          <w:tcPr>
            <w:tcW w:w="8674" w:type="dxa"/>
            <w:gridSpan w:val="9"/>
            <w:tcBorders>
              <w:top w:val="single" w:color="FFFFFF" w:sz="6" w:space="0"/>
              <w:left w:val="single" w:color="FFFFFF" w:sz="6" w:space="0"/>
              <w:right w:val="single" w:color="FFFFFF" w:sz="6" w:space="0"/>
            </w:tcBorders>
            <w:vAlign w:val="center"/>
          </w:tcPr>
          <w:p>
            <w:pPr>
              <w:pStyle w:val="24"/>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26"/>
            </w:pPr>
            <w:r>
              <w:t>政府采购项目来源</w:t>
            </w:r>
          </w:p>
        </w:tc>
        <w:tc>
          <w:tcPr>
            <w:tcW w:w="1134" w:type="dxa"/>
            <w:vMerge w:val="restart"/>
            <w:vAlign w:val="center"/>
          </w:tcPr>
          <w:p>
            <w:pPr>
              <w:pStyle w:val="26"/>
            </w:pPr>
            <w:r>
              <w:t>采购物品名称</w:t>
            </w:r>
          </w:p>
        </w:tc>
        <w:tc>
          <w:tcPr>
            <w:tcW w:w="1134" w:type="dxa"/>
            <w:vMerge w:val="restart"/>
            <w:vAlign w:val="center"/>
          </w:tcPr>
          <w:p>
            <w:pPr>
              <w:pStyle w:val="26"/>
            </w:pPr>
            <w:r>
              <w:t>政府采购目录序号</w:t>
            </w:r>
          </w:p>
        </w:tc>
        <w:tc>
          <w:tcPr>
            <w:tcW w:w="709" w:type="dxa"/>
            <w:vMerge w:val="restart"/>
            <w:vAlign w:val="center"/>
          </w:tcPr>
          <w:p>
            <w:pPr>
              <w:pStyle w:val="26"/>
            </w:pPr>
            <w:r>
              <w:t>计量  单位</w:t>
            </w:r>
          </w:p>
        </w:tc>
        <w:tc>
          <w:tcPr>
            <w:tcW w:w="850" w:type="dxa"/>
            <w:vMerge w:val="restart"/>
            <w:vAlign w:val="center"/>
          </w:tcPr>
          <w:p>
            <w:pPr>
              <w:pStyle w:val="26"/>
            </w:pPr>
            <w:r>
              <w:t>数量</w:t>
            </w:r>
          </w:p>
        </w:tc>
        <w:tc>
          <w:tcPr>
            <w:tcW w:w="850" w:type="dxa"/>
            <w:vMerge w:val="restart"/>
            <w:vAlign w:val="center"/>
          </w:tcPr>
          <w:p>
            <w:pPr>
              <w:pStyle w:val="26"/>
            </w:pPr>
            <w:r>
              <w:t>单价</w:t>
            </w:r>
          </w:p>
        </w:tc>
        <w:tc>
          <w:tcPr>
            <w:tcW w:w="7710" w:type="dxa"/>
            <w:gridSpan w:val="8"/>
            <w:vAlign w:val="center"/>
          </w:tcPr>
          <w:p>
            <w:pPr>
              <w:pStyle w:val="26"/>
            </w:pPr>
            <w:r>
              <w:t>政府采购金额（当年部门预算安排资金）</w:t>
            </w:r>
          </w:p>
        </w:tc>
        <w:tc>
          <w:tcPr>
            <w:tcW w:w="964" w:type="dxa"/>
            <w:vMerge w:val="restart"/>
            <w:vAlign w:val="center"/>
          </w:tcPr>
          <w:p>
            <w:pPr>
              <w:pStyle w:val="26"/>
            </w:pPr>
            <w:r>
              <w:t>2021年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vAlign w:val="center"/>
          </w:tcPr>
          <w:p>
            <w:pPr>
              <w:pStyle w:val="26"/>
            </w:pPr>
            <w:r>
              <w:t>项目名称</w:t>
            </w:r>
          </w:p>
        </w:tc>
        <w:tc>
          <w:tcPr>
            <w:tcW w:w="964" w:type="dxa"/>
            <w:vAlign w:val="center"/>
          </w:tcPr>
          <w:p>
            <w:pPr>
              <w:pStyle w:val="26"/>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26"/>
            </w:pPr>
            <w:r>
              <w:t>合计</w:t>
            </w:r>
          </w:p>
        </w:tc>
        <w:tc>
          <w:tcPr>
            <w:tcW w:w="964" w:type="dxa"/>
            <w:vAlign w:val="center"/>
          </w:tcPr>
          <w:p>
            <w:pPr>
              <w:pStyle w:val="26"/>
            </w:pPr>
            <w:r>
              <w:t>一般公共预算拨款</w:t>
            </w:r>
          </w:p>
        </w:tc>
        <w:tc>
          <w:tcPr>
            <w:tcW w:w="964" w:type="dxa"/>
            <w:vAlign w:val="center"/>
          </w:tcPr>
          <w:p>
            <w:pPr>
              <w:pStyle w:val="26"/>
            </w:pPr>
            <w:r>
              <w:t>基金预算拨款</w:t>
            </w:r>
          </w:p>
        </w:tc>
        <w:tc>
          <w:tcPr>
            <w:tcW w:w="964" w:type="dxa"/>
            <w:vAlign w:val="center"/>
          </w:tcPr>
          <w:p>
            <w:pPr>
              <w:pStyle w:val="26"/>
            </w:pPr>
            <w:r>
              <w:t>国有资本经营预算拨款</w:t>
            </w:r>
          </w:p>
        </w:tc>
        <w:tc>
          <w:tcPr>
            <w:tcW w:w="964" w:type="dxa"/>
            <w:vAlign w:val="center"/>
          </w:tcPr>
          <w:p>
            <w:pPr>
              <w:pStyle w:val="26"/>
            </w:pPr>
            <w:r>
              <w:t>财政专户核拨</w:t>
            </w:r>
          </w:p>
        </w:tc>
        <w:tc>
          <w:tcPr>
            <w:tcW w:w="964" w:type="dxa"/>
            <w:vAlign w:val="center"/>
          </w:tcPr>
          <w:p>
            <w:pPr>
              <w:pStyle w:val="26"/>
            </w:pPr>
            <w:r>
              <w:t>单位    资金</w:t>
            </w:r>
          </w:p>
        </w:tc>
        <w:tc>
          <w:tcPr>
            <w:tcW w:w="964" w:type="dxa"/>
            <w:vAlign w:val="center"/>
          </w:tcPr>
          <w:p>
            <w:pPr>
              <w:pStyle w:val="26"/>
            </w:pPr>
            <w:r>
              <w:t>财政拨    款结转</w:t>
            </w:r>
          </w:p>
        </w:tc>
        <w:tc>
          <w:tcPr>
            <w:tcW w:w="964" w:type="dxa"/>
            <w:vAlign w:val="center"/>
          </w:tcPr>
          <w:p>
            <w:pPr>
              <w:pStyle w:val="26"/>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30"/>
            </w:pPr>
            <w:r>
              <w:t>合  计</w:t>
            </w:r>
          </w:p>
        </w:tc>
        <w:tc>
          <w:tcPr>
            <w:tcW w:w="964" w:type="dxa"/>
            <w:vAlign w:val="center"/>
          </w:tcPr>
          <w:p>
            <w:pPr>
              <w:pStyle w:val="31"/>
            </w:pPr>
          </w:p>
        </w:tc>
        <w:tc>
          <w:tcPr>
            <w:tcW w:w="1134" w:type="dxa"/>
            <w:vAlign w:val="center"/>
          </w:tcPr>
          <w:p>
            <w:pPr>
              <w:pStyle w:val="32"/>
            </w:pPr>
          </w:p>
        </w:tc>
        <w:tc>
          <w:tcPr>
            <w:tcW w:w="1134" w:type="dxa"/>
            <w:vAlign w:val="center"/>
          </w:tcPr>
          <w:p>
            <w:pPr>
              <w:pStyle w:val="32"/>
            </w:pPr>
          </w:p>
        </w:tc>
        <w:tc>
          <w:tcPr>
            <w:tcW w:w="709" w:type="dxa"/>
            <w:vAlign w:val="center"/>
          </w:tcPr>
          <w:p>
            <w:pPr>
              <w:pStyle w:val="30"/>
            </w:pPr>
          </w:p>
        </w:tc>
        <w:tc>
          <w:tcPr>
            <w:tcW w:w="850" w:type="dxa"/>
            <w:vAlign w:val="center"/>
          </w:tcPr>
          <w:p>
            <w:pPr>
              <w:pStyle w:val="31"/>
            </w:pPr>
          </w:p>
        </w:tc>
        <w:tc>
          <w:tcPr>
            <w:tcW w:w="850"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30"/>
            </w:pPr>
            <w:r>
              <w:t>保定市徐水区教育和体育局（</w:t>
            </w:r>
            <w:r>
              <w:rPr>
                <w:rFonts w:hint="eastAsia"/>
                <w:lang w:eastAsia="zh-CN"/>
              </w:rPr>
              <w:t>事业</w:t>
            </w:r>
            <w:r>
              <w:t>）</w:t>
            </w:r>
          </w:p>
        </w:tc>
        <w:tc>
          <w:tcPr>
            <w:tcW w:w="964" w:type="dxa"/>
            <w:vAlign w:val="center"/>
          </w:tcPr>
          <w:p>
            <w:pPr>
              <w:pStyle w:val="31"/>
            </w:pPr>
          </w:p>
        </w:tc>
        <w:tc>
          <w:tcPr>
            <w:tcW w:w="1134" w:type="dxa"/>
            <w:vAlign w:val="center"/>
          </w:tcPr>
          <w:p>
            <w:pPr>
              <w:pStyle w:val="32"/>
            </w:pPr>
          </w:p>
        </w:tc>
        <w:tc>
          <w:tcPr>
            <w:tcW w:w="1134" w:type="dxa"/>
            <w:vAlign w:val="center"/>
          </w:tcPr>
          <w:p>
            <w:pPr>
              <w:pStyle w:val="32"/>
            </w:pPr>
          </w:p>
        </w:tc>
        <w:tc>
          <w:tcPr>
            <w:tcW w:w="709" w:type="dxa"/>
            <w:vAlign w:val="center"/>
          </w:tcPr>
          <w:p>
            <w:pPr>
              <w:pStyle w:val="30"/>
            </w:pPr>
          </w:p>
        </w:tc>
        <w:tc>
          <w:tcPr>
            <w:tcW w:w="850" w:type="dxa"/>
            <w:vAlign w:val="center"/>
          </w:tcPr>
          <w:p>
            <w:pPr>
              <w:pStyle w:val="31"/>
            </w:pPr>
          </w:p>
        </w:tc>
        <w:tc>
          <w:tcPr>
            <w:tcW w:w="850"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c>
          <w:tcPr>
            <w:tcW w:w="964" w:type="dxa"/>
            <w:vAlign w:val="center"/>
          </w:tcPr>
          <w:p>
            <w:pPr>
              <w:pStyle w:val="3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28"/>
            </w:pPr>
          </w:p>
        </w:tc>
        <w:tc>
          <w:tcPr>
            <w:tcW w:w="964" w:type="dxa"/>
            <w:vAlign w:val="center"/>
          </w:tcPr>
          <w:p>
            <w:pPr>
              <w:pStyle w:val="27"/>
            </w:pPr>
          </w:p>
        </w:tc>
        <w:tc>
          <w:tcPr>
            <w:tcW w:w="1134" w:type="dxa"/>
            <w:vAlign w:val="center"/>
          </w:tcPr>
          <w:p>
            <w:pPr>
              <w:pStyle w:val="28"/>
            </w:pPr>
          </w:p>
        </w:tc>
        <w:tc>
          <w:tcPr>
            <w:tcW w:w="1134" w:type="dxa"/>
            <w:vAlign w:val="center"/>
          </w:tcPr>
          <w:p>
            <w:pPr>
              <w:pStyle w:val="28"/>
            </w:pPr>
          </w:p>
        </w:tc>
        <w:tc>
          <w:tcPr>
            <w:tcW w:w="709" w:type="dxa"/>
            <w:vAlign w:val="center"/>
          </w:tcPr>
          <w:p>
            <w:pPr>
              <w:pStyle w:val="29"/>
            </w:pPr>
          </w:p>
        </w:tc>
        <w:tc>
          <w:tcPr>
            <w:tcW w:w="850" w:type="dxa"/>
            <w:vAlign w:val="center"/>
          </w:tcPr>
          <w:p>
            <w:pPr>
              <w:pStyle w:val="27"/>
            </w:pPr>
          </w:p>
        </w:tc>
        <w:tc>
          <w:tcPr>
            <w:tcW w:w="850" w:type="dxa"/>
            <w:vAlign w:val="center"/>
          </w:tcPr>
          <w:p>
            <w:pPr>
              <w:pStyle w:val="27"/>
            </w:pPr>
          </w:p>
        </w:tc>
        <w:tc>
          <w:tcPr>
            <w:tcW w:w="964" w:type="dxa"/>
            <w:vAlign w:val="center"/>
          </w:tcPr>
          <w:p>
            <w:pPr>
              <w:pStyle w:val="27"/>
            </w:pPr>
          </w:p>
        </w:tc>
        <w:tc>
          <w:tcPr>
            <w:tcW w:w="964" w:type="dxa"/>
            <w:vAlign w:val="center"/>
          </w:tcPr>
          <w:p>
            <w:pPr>
              <w:pStyle w:val="27"/>
            </w:pPr>
          </w:p>
        </w:tc>
        <w:tc>
          <w:tcPr>
            <w:tcW w:w="964" w:type="dxa"/>
            <w:vAlign w:val="center"/>
          </w:tcPr>
          <w:p>
            <w:pPr>
              <w:pStyle w:val="27"/>
            </w:pPr>
          </w:p>
        </w:tc>
        <w:tc>
          <w:tcPr>
            <w:tcW w:w="964" w:type="dxa"/>
            <w:vAlign w:val="center"/>
          </w:tcPr>
          <w:p>
            <w:pPr>
              <w:pStyle w:val="27"/>
            </w:pPr>
          </w:p>
        </w:tc>
        <w:tc>
          <w:tcPr>
            <w:tcW w:w="964" w:type="dxa"/>
            <w:vAlign w:val="center"/>
          </w:tcPr>
          <w:p>
            <w:pPr>
              <w:pStyle w:val="27"/>
            </w:pPr>
          </w:p>
        </w:tc>
        <w:tc>
          <w:tcPr>
            <w:tcW w:w="964" w:type="dxa"/>
            <w:vAlign w:val="center"/>
          </w:tcPr>
          <w:p>
            <w:pPr>
              <w:pStyle w:val="27"/>
            </w:pPr>
          </w:p>
        </w:tc>
        <w:tc>
          <w:tcPr>
            <w:tcW w:w="964" w:type="dxa"/>
            <w:vAlign w:val="center"/>
          </w:tcPr>
          <w:p>
            <w:pPr>
              <w:pStyle w:val="27"/>
            </w:pPr>
          </w:p>
        </w:tc>
        <w:tc>
          <w:tcPr>
            <w:tcW w:w="964" w:type="dxa"/>
            <w:vAlign w:val="center"/>
          </w:tcPr>
          <w:p>
            <w:pPr>
              <w:pStyle w:val="27"/>
            </w:pPr>
          </w:p>
        </w:tc>
        <w:tc>
          <w:tcPr>
            <w:tcW w:w="964" w:type="dxa"/>
            <w:vAlign w:val="center"/>
          </w:tcPr>
          <w:p>
            <w:pPr>
              <w:pStyle w:val="27"/>
            </w:pPr>
          </w:p>
        </w:tc>
      </w:tr>
    </w:tbl>
    <w:p>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上年末我部门固定资产总金额为1</w:t>
      </w:r>
      <w:r>
        <w:rPr>
          <w:rFonts w:ascii="仿宋" w:hAnsi="仿宋" w:eastAsia="仿宋"/>
          <w:sz w:val="32"/>
          <w:szCs w:val="32"/>
        </w:rPr>
        <w:t>536.4</w:t>
      </w:r>
      <w:r>
        <w:rPr>
          <w:rFonts w:hint="eastAsia" w:ascii="仿宋" w:hAnsi="仿宋" w:eastAsia="仿宋"/>
          <w:sz w:val="32"/>
          <w:szCs w:val="32"/>
        </w:rPr>
        <w:t>万元（详见下表）。</w:t>
      </w:r>
      <w:r>
        <w:rPr>
          <w:rFonts w:ascii="仿宋" w:hAnsi="仿宋" w:eastAsia="仿宋"/>
          <w:sz w:val="32"/>
          <w:szCs w:val="32"/>
        </w:rPr>
        <w:t xml:space="preserve"> 本年度</w:t>
      </w:r>
      <w:r>
        <w:rPr>
          <w:rFonts w:hint="eastAsia" w:ascii="仿宋" w:hAnsi="仿宋" w:eastAsia="仿宋"/>
          <w:sz w:val="32"/>
          <w:szCs w:val="32"/>
        </w:rPr>
        <w:t>我部门本年度无国有资产购置计划，拟购置金额为</w:t>
      </w:r>
      <w:r>
        <w:rPr>
          <w:rFonts w:ascii="仿宋" w:hAnsi="仿宋" w:eastAsia="仿宋"/>
          <w:sz w:val="32"/>
          <w:szCs w:val="32"/>
        </w:rPr>
        <w:t>0。</w:t>
      </w:r>
    </w:p>
    <w:tbl>
      <w:tblPr>
        <w:tblStyle w:val="14"/>
        <w:tblW w:w="10084" w:type="dxa"/>
        <w:jc w:val="center"/>
        <w:tblLayout w:type="autofit"/>
        <w:tblCellMar>
          <w:top w:w="0" w:type="dxa"/>
          <w:left w:w="108" w:type="dxa"/>
          <w:bottom w:w="0" w:type="dxa"/>
          <w:right w:w="108" w:type="dxa"/>
        </w:tblCellMar>
      </w:tblPr>
      <w:tblGrid>
        <w:gridCol w:w="4788"/>
        <w:gridCol w:w="1056"/>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1172.02</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334.92</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1172.02</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334.92</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71</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我部门无其他需说明的事项。</w:t>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script"/>
    <w:pitch w:val="default"/>
    <w:sig w:usb0="00000000" w:usb1="00000000" w:usb2="0000001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2253390"/>
    </w:sdtPr>
    <w:sdtContent>
      <w:p>
        <w:pPr>
          <w:pStyle w:val="7"/>
          <w:jc w:val="center"/>
        </w:pPr>
        <w:r>
          <w:fldChar w:fldCharType="begin"/>
        </w:r>
        <w:r>
          <w:instrText xml:space="preserve">PAGE   \* MERGEFORMAT</w:instrText>
        </w:r>
        <w:r>
          <w:fldChar w:fldCharType="separate"/>
        </w:r>
        <w:r>
          <w:rPr>
            <w:lang w:val="zh-CN"/>
          </w:rPr>
          <w:t>58</w:t>
        </w:r>
        <w:r>
          <w:fldChar w:fldCharType="end"/>
        </w:r>
      </w:p>
    </w:sdtContent>
  </w:sdt>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docPartObj>
        <w:docPartGallery w:val="AutoText"/>
      </w:docPartObj>
    </w:sdtPr>
    <w:sdtContent>
      <w:p>
        <w:pPr>
          <w:pStyle w:val="7"/>
          <w:jc w:val="center"/>
        </w:pPr>
        <w:r>
          <w:fldChar w:fldCharType="begin"/>
        </w:r>
        <w:r>
          <w:instrText xml:space="preserve">PAGE   \* MERGEFORMAT</w:instrText>
        </w:r>
        <w:r>
          <w:fldChar w:fldCharType="separate"/>
        </w:r>
        <w:r>
          <w:rPr>
            <w:lang w:val="zh-CN"/>
          </w:rPr>
          <w:t>60</w:t>
        </w:r>
        <w:r>
          <w:fldChar w:fldCharType="end"/>
        </w:r>
      </w:p>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F1F"/>
    <w:rsid w:val="00013B8A"/>
    <w:rsid w:val="00044FBC"/>
    <w:rsid w:val="00055F1F"/>
    <w:rsid w:val="000577EF"/>
    <w:rsid w:val="00057F18"/>
    <w:rsid w:val="000A445D"/>
    <w:rsid w:val="000C178B"/>
    <w:rsid w:val="000E3A56"/>
    <w:rsid w:val="00131DEC"/>
    <w:rsid w:val="00136AB3"/>
    <w:rsid w:val="001462BD"/>
    <w:rsid w:val="00152380"/>
    <w:rsid w:val="001638BE"/>
    <w:rsid w:val="00164810"/>
    <w:rsid w:val="00172C7A"/>
    <w:rsid w:val="00181777"/>
    <w:rsid w:val="001B4688"/>
    <w:rsid w:val="001B6235"/>
    <w:rsid w:val="001F4875"/>
    <w:rsid w:val="00212335"/>
    <w:rsid w:val="00290445"/>
    <w:rsid w:val="002918C6"/>
    <w:rsid w:val="00291EF3"/>
    <w:rsid w:val="00296524"/>
    <w:rsid w:val="002A4355"/>
    <w:rsid w:val="002E01F6"/>
    <w:rsid w:val="002F1ACB"/>
    <w:rsid w:val="002F530F"/>
    <w:rsid w:val="00305E97"/>
    <w:rsid w:val="00310532"/>
    <w:rsid w:val="0032782B"/>
    <w:rsid w:val="00340B3D"/>
    <w:rsid w:val="0034253A"/>
    <w:rsid w:val="00366030"/>
    <w:rsid w:val="003669CF"/>
    <w:rsid w:val="00367A30"/>
    <w:rsid w:val="00374475"/>
    <w:rsid w:val="003A06D2"/>
    <w:rsid w:val="003A4557"/>
    <w:rsid w:val="003A6366"/>
    <w:rsid w:val="003C2317"/>
    <w:rsid w:val="003C442E"/>
    <w:rsid w:val="003D1092"/>
    <w:rsid w:val="003D37CD"/>
    <w:rsid w:val="003E22CE"/>
    <w:rsid w:val="003E5531"/>
    <w:rsid w:val="003E555C"/>
    <w:rsid w:val="003E6AF3"/>
    <w:rsid w:val="0040243C"/>
    <w:rsid w:val="00406BD1"/>
    <w:rsid w:val="00426C19"/>
    <w:rsid w:val="00450FD9"/>
    <w:rsid w:val="00453CE0"/>
    <w:rsid w:val="00470736"/>
    <w:rsid w:val="00470BBB"/>
    <w:rsid w:val="0048611E"/>
    <w:rsid w:val="004B6929"/>
    <w:rsid w:val="004E2F43"/>
    <w:rsid w:val="004E3572"/>
    <w:rsid w:val="004F2647"/>
    <w:rsid w:val="004F3C52"/>
    <w:rsid w:val="00510A1E"/>
    <w:rsid w:val="005158E2"/>
    <w:rsid w:val="00524204"/>
    <w:rsid w:val="00550049"/>
    <w:rsid w:val="00553F7E"/>
    <w:rsid w:val="00570142"/>
    <w:rsid w:val="00586C35"/>
    <w:rsid w:val="005B1B6F"/>
    <w:rsid w:val="005B6CCB"/>
    <w:rsid w:val="005C54AA"/>
    <w:rsid w:val="005C7B89"/>
    <w:rsid w:val="0062788A"/>
    <w:rsid w:val="00632015"/>
    <w:rsid w:val="00641F8A"/>
    <w:rsid w:val="0066383B"/>
    <w:rsid w:val="006A6FA2"/>
    <w:rsid w:val="006B5117"/>
    <w:rsid w:val="006C5779"/>
    <w:rsid w:val="006C62DF"/>
    <w:rsid w:val="006F5104"/>
    <w:rsid w:val="006F6549"/>
    <w:rsid w:val="00706545"/>
    <w:rsid w:val="00735B02"/>
    <w:rsid w:val="007657C8"/>
    <w:rsid w:val="00767A77"/>
    <w:rsid w:val="00771E49"/>
    <w:rsid w:val="00782208"/>
    <w:rsid w:val="00791938"/>
    <w:rsid w:val="007A5999"/>
    <w:rsid w:val="007C7FD7"/>
    <w:rsid w:val="007F3746"/>
    <w:rsid w:val="00833132"/>
    <w:rsid w:val="00845C67"/>
    <w:rsid w:val="0086454E"/>
    <w:rsid w:val="008672EA"/>
    <w:rsid w:val="00891680"/>
    <w:rsid w:val="008A0099"/>
    <w:rsid w:val="008A0B5F"/>
    <w:rsid w:val="008B5402"/>
    <w:rsid w:val="008D11BC"/>
    <w:rsid w:val="0090527E"/>
    <w:rsid w:val="00905BB7"/>
    <w:rsid w:val="0090620C"/>
    <w:rsid w:val="00912DA4"/>
    <w:rsid w:val="009302B8"/>
    <w:rsid w:val="009305C6"/>
    <w:rsid w:val="009752AE"/>
    <w:rsid w:val="00982F3D"/>
    <w:rsid w:val="00983232"/>
    <w:rsid w:val="009A2777"/>
    <w:rsid w:val="009A278A"/>
    <w:rsid w:val="009B6368"/>
    <w:rsid w:val="009F63C4"/>
    <w:rsid w:val="00A16957"/>
    <w:rsid w:val="00A3457D"/>
    <w:rsid w:val="00A6155C"/>
    <w:rsid w:val="00A72C46"/>
    <w:rsid w:val="00A8079E"/>
    <w:rsid w:val="00A90328"/>
    <w:rsid w:val="00A92D66"/>
    <w:rsid w:val="00AA4262"/>
    <w:rsid w:val="00AB5A90"/>
    <w:rsid w:val="00AB7449"/>
    <w:rsid w:val="00AE31F6"/>
    <w:rsid w:val="00AE4AA5"/>
    <w:rsid w:val="00AE7FA9"/>
    <w:rsid w:val="00B147EB"/>
    <w:rsid w:val="00B22155"/>
    <w:rsid w:val="00B76AA9"/>
    <w:rsid w:val="00B80FAB"/>
    <w:rsid w:val="00B81C88"/>
    <w:rsid w:val="00BA5C83"/>
    <w:rsid w:val="00BC6A7D"/>
    <w:rsid w:val="00BD4829"/>
    <w:rsid w:val="00BD6002"/>
    <w:rsid w:val="00BD719F"/>
    <w:rsid w:val="00BF5442"/>
    <w:rsid w:val="00C177A5"/>
    <w:rsid w:val="00C35FEE"/>
    <w:rsid w:val="00C50535"/>
    <w:rsid w:val="00C6153C"/>
    <w:rsid w:val="00C906EF"/>
    <w:rsid w:val="00CC7D74"/>
    <w:rsid w:val="00D02F97"/>
    <w:rsid w:val="00D45530"/>
    <w:rsid w:val="00D45A0E"/>
    <w:rsid w:val="00D45D23"/>
    <w:rsid w:val="00D723D1"/>
    <w:rsid w:val="00D80C60"/>
    <w:rsid w:val="00D8525F"/>
    <w:rsid w:val="00DA0C4D"/>
    <w:rsid w:val="00DA5DA7"/>
    <w:rsid w:val="00DE3935"/>
    <w:rsid w:val="00DE6B32"/>
    <w:rsid w:val="00DF26B8"/>
    <w:rsid w:val="00E12C68"/>
    <w:rsid w:val="00E2325B"/>
    <w:rsid w:val="00E24075"/>
    <w:rsid w:val="00E270C9"/>
    <w:rsid w:val="00E35F38"/>
    <w:rsid w:val="00E46F27"/>
    <w:rsid w:val="00E509CC"/>
    <w:rsid w:val="00E56DC0"/>
    <w:rsid w:val="00E71A04"/>
    <w:rsid w:val="00E90DA6"/>
    <w:rsid w:val="00E96342"/>
    <w:rsid w:val="00EA2FEA"/>
    <w:rsid w:val="00EA56CB"/>
    <w:rsid w:val="00EA7853"/>
    <w:rsid w:val="00EE1DA6"/>
    <w:rsid w:val="00F000B1"/>
    <w:rsid w:val="00F012D3"/>
    <w:rsid w:val="00F044C3"/>
    <w:rsid w:val="00F10D04"/>
    <w:rsid w:val="00F169E3"/>
    <w:rsid w:val="00F35D4B"/>
    <w:rsid w:val="00F3746B"/>
    <w:rsid w:val="00F572CB"/>
    <w:rsid w:val="00F621AF"/>
    <w:rsid w:val="00F8024E"/>
    <w:rsid w:val="00F82447"/>
    <w:rsid w:val="00F868E5"/>
    <w:rsid w:val="00FB2F32"/>
    <w:rsid w:val="00FC3191"/>
    <w:rsid w:val="00FE0F1F"/>
    <w:rsid w:val="00FF61F3"/>
    <w:rsid w:val="08092A23"/>
    <w:rsid w:val="1283775E"/>
    <w:rsid w:val="19491D59"/>
    <w:rsid w:val="211661E5"/>
    <w:rsid w:val="40607598"/>
    <w:rsid w:val="41C674A9"/>
    <w:rsid w:val="492C1233"/>
    <w:rsid w:val="50CA1094"/>
    <w:rsid w:val="55AB2510"/>
    <w:rsid w:val="5DB06582"/>
    <w:rsid w:val="64EF0FF6"/>
    <w:rsid w:val="76025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5">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2">
    <w:name w:val="toc 7"/>
    <w:basedOn w:val="1"/>
    <w:next w:val="1"/>
    <w:unhideWhenUsed/>
    <w:uiPriority w:val="39"/>
    <w:pPr>
      <w:ind w:left="2520" w:leftChars="1200"/>
    </w:pPr>
    <w:rPr>
      <w:rFonts w:ascii="等线" w:hAnsi="等线" w:eastAsia="等线" w:cs="Times New Roman"/>
    </w:rPr>
  </w:style>
  <w:style w:type="paragraph" w:styleId="3">
    <w:name w:val="toc 5"/>
    <w:basedOn w:val="1"/>
    <w:next w:val="1"/>
    <w:unhideWhenUsed/>
    <w:uiPriority w:val="39"/>
    <w:pPr>
      <w:ind w:left="1680" w:leftChars="800"/>
    </w:pPr>
    <w:rPr>
      <w:rFonts w:ascii="等线" w:hAnsi="等线" w:eastAsia="等线" w:cs="Times New Roman"/>
    </w:rPr>
  </w:style>
  <w:style w:type="paragraph" w:styleId="4">
    <w:name w:val="toc 3"/>
    <w:basedOn w:val="1"/>
    <w:next w:val="1"/>
    <w:unhideWhenUsed/>
    <w:uiPriority w:val="39"/>
    <w:pPr>
      <w:ind w:left="840" w:leftChars="400"/>
    </w:pPr>
    <w:rPr>
      <w:rFonts w:ascii="等线" w:hAnsi="等线" w:eastAsia="等线" w:cs="Times New Roman"/>
    </w:rPr>
  </w:style>
  <w:style w:type="paragraph" w:styleId="5">
    <w:name w:val="toc 8"/>
    <w:basedOn w:val="1"/>
    <w:next w:val="1"/>
    <w:unhideWhenUsed/>
    <w:uiPriority w:val="39"/>
    <w:pPr>
      <w:ind w:left="2940" w:leftChars="1400"/>
    </w:pPr>
    <w:rPr>
      <w:rFonts w:ascii="等线" w:hAnsi="等线" w:eastAsia="等线" w:cs="Times New Roman"/>
    </w:rPr>
  </w:style>
  <w:style w:type="paragraph" w:styleId="6">
    <w:name w:val="Balloon Text"/>
    <w:basedOn w:val="1"/>
    <w:link w:val="20"/>
    <w:semiHidden/>
    <w:unhideWhenUsed/>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uiPriority w:val="39"/>
    <w:rPr>
      <w:rFonts w:ascii="等线" w:hAnsi="等线" w:eastAsia="等线" w:cs="Times New Roman"/>
    </w:rPr>
  </w:style>
  <w:style w:type="paragraph" w:styleId="10">
    <w:name w:val="toc 4"/>
    <w:basedOn w:val="1"/>
    <w:next w:val="1"/>
    <w:unhideWhenUsed/>
    <w:uiPriority w:val="39"/>
    <w:pPr>
      <w:ind w:left="1260" w:leftChars="600"/>
    </w:pPr>
    <w:rPr>
      <w:rFonts w:ascii="等线" w:hAnsi="等线" w:eastAsia="等线" w:cs="Times New Roman"/>
    </w:rPr>
  </w:style>
  <w:style w:type="paragraph" w:styleId="11">
    <w:name w:val="toc 6"/>
    <w:basedOn w:val="1"/>
    <w:next w:val="1"/>
    <w:unhideWhenUsed/>
    <w:uiPriority w:val="39"/>
    <w:pPr>
      <w:ind w:left="2100" w:leftChars="1000"/>
    </w:pPr>
    <w:rPr>
      <w:rFonts w:ascii="等线" w:hAnsi="等线" w:eastAsia="等线" w:cs="Times New Roman"/>
    </w:rPr>
  </w:style>
  <w:style w:type="paragraph" w:styleId="12">
    <w:name w:val="toc 2"/>
    <w:basedOn w:val="1"/>
    <w:next w:val="1"/>
    <w:unhideWhenUsed/>
    <w:qFormat/>
    <w:uiPriority w:val="39"/>
    <w:pPr>
      <w:ind w:left="420" w:leftChars="200"/>
    </w:pPr>
    <w:rPr>
      <w:rFonts w:ascii="等线" w:hAnsi="等线" w:eastAsia="等线" w:cs="Times New Roman"/>
    </w:rPr>
  </w:style>
  <w:style w:type="paragraph" w:styleId="13">
    <w:name w:val="toc 9"/>
    <w:basedOn w:val="1"/>
    <w:next w:val="1"/>
    <w:unhideWhenUsed/>
    <w:uiPriority w:val="39"/>
    <w:pPr>
      <w:ind w:left="3360" w:leftChars="1600"/>
    </w:pPr>
    <w:rPr>
      <w:rFonts w:ascii="等线" w:hAnsi="等线" w:eastAsia="等线" w:cs="Times New Roman"/>
    </w:rPr>
  </w:style>
  <w:style w:type="character" w:styleId="16">
    <w:name w:val="page number"/>
    <w:semiHidden/>
    <w:unhideWhenUsed/>
    <w:uiPriority w:val="99"/>
  </w:style>
  <w:style w:type="character" w:styleId="17">
    <w:name w:val="Hyperlink"/>
    <w:unhideWhenUsed/>
    <w:uiPriority w:val="99"/>
    <w:rPr>
      <w:color w:val="0563C1"/>
      <w:u w:val="single"/>
    </w:rPr>
  </w:style>
  <w:style w:type="character" w:customStyle="1" w:styleId="18">
    <w:name w:val="页眉 字符"/>
    <w:basedOn w:val="15"/>
    <w:link w:val="8"/>
    <w:uiPriority w:val="99"/>
    <w:rPr>
      <w:sz w:val="18"/>
      <w:szCs w:val="18"/>
    </w:rPr>
  </w:style>
  <w:style w:type="character" w:customStyle="1" w:styleId="19">
    <w:name w:val="页脚 字符"/>
    <w:basedOn w:val="15"/>
    <w:link w:val="7"/>
    <w:qFormat/>
    <w:uiPriority w:val="99"/>
    <w:rPr>
      <w:sz w:val="18"/>
      <w:szCs w:val="18"/>
    </w:rPr>
  </w:style>
  <w:style w:type="character" w:customStyle="1" w:styleId="20">
    <w:name w:val="批注框文本 字符"/>
    <w:basedOn w:val="15"/>
    <w:link w:val="6"/>
    <w:semiHidden/>
    <w:uiPriority w:val="99"/>
    <w:rPr>
      <w:sz w:val="18"/>
      <w:szCs w:val="18"/>
    </w:rPr>
  </w:style>
  <w:style w:type="paragraph" w:customStyle="1" w:styleId="21">
    <w:name w:val="插入文本样式-插入总体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22">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23">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24">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25">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26">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7">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28">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29">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30">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31">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32">
    <w:name w:val="单元格样式5"/>
    <w:basedOn w:val="1"/>
    <w:qFormat/>
    <w:uiPriority w:val="0"/>
    <w:pPr>
      <w:widowControl/>
      <w:jc w:val="lef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2ED1F7-3E14-41A8-A0D1-4A74806AE67E}">
  <ds:schemaRefs/>
</ds:datastoreItem>
</file>

<file path=docProps/app.xml><?xml version="1.0" encoding="utf-8"?>
<Properties xmlns="http://schemas.openxmlformats.org/officeDocument/2006/extended-properties" xmlns:vt="http://schemas.openxmlformats.org/officeDocument/2006/docPropsVTypes">
  <Template>Normal</Template>
  <Pages>60</Pages>
  <Words>5015</Words>
  <Characters>28587</Characters>
  <Lines>238</Lines>
  <Paragraphs>67</Paragraphs>
  <TotalTime>4</TotalTime>
  <ScaleCrop>false</ScaleCrop>
  <LinksUpToDate>false</LinksUpToDate>
  <CharactersWithSpaces>33535</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2022-08-31T09:51:00Z</dcterms:created>
  <dc:creator>Windows 用户</dc:creator>
  <cp:lastModifiedBy>lenovo</cp:lastModifiedBy>
  <cp:lastPrinted>2021-04-14T02:06:00Z</cp:lastPrinted>
  <dcterms:modified xsi:type="dcterms:W3CDTF">2023-11-16T03:16:13Z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3440459761D5418D8407A23F8F1C3165</vt:lpwstr>
  </property>
</Properties>
</file>