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保定市徐水区教育和</w:t>
      </w:r>
      <w:r>
        <w:rPr>
          <w:rFonts w:ascii="宋体" w:hAnsi="宋体" w:eastAsia="宋体"/>
          <w:b/>
          <w:sz w:val="44"/>
          <w:szCs w:val="44"/>
        </w:rPr>
        <w:t>体育局（</w:t>
      </w:r>
      <w:r>
        <w:rPr>
          <w:rFonts w:hint="eastAsia" w:ascii="宋体" w:hAnsi="宋体" w:eastAsia="宋体"/>
          <w:b/>
          <w:sz w:val="44"/>
          <w:szCs w:val="44"/>
        </w:rPr>
        <w:t>本级</w:t>
      </w:r>
      <w:r>
        <w:rPr>
          <w:rFonts w:ascii="宋体" w:hAnsi="宋体" w:eastAsia="宋体"/>
          <w:b/>
          <w:sz w:val="44"/>
          <w:szCs w:val="44"/>
        </w:rPr>
        <w:t>）</w:t>
      </w:r>
    </w:p>
    <w:p>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pPr>
        <w:tabs>
          <w:tab w:val="left" w:pos="5274"/>
        </w:tabs>
        <w:spacing w:line="360" w:lineRule="auto"/>
        <w:rPr>
          <w:rFonts w:ascii="仿宋" w:hAnsi="仿宋" w:eastAsia="仿宋"/>
          <w:sz w:val="32"/>
          <w:szCs w:val="32"/>
        </w:rPr>
      </w:pPr>
      <w:r>
        <w:rPr>
          <w:rFonts w:ascii="仿宋" w:hAnsi="仿宋" w:eastAsia="仿宋"/>
          <w:sz w:val="32"/>
          <w:szCs w:val="32"/>
        </w:rPr>
        <w:tab/>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一、部门职责</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根据《保定市徐水区教育和体育局职能配置、内设机构和人员编制规定》，保定市徐水区教育和体育局的主要职责是：</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全区教育和体育事业改革发展。</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（二）研究制定全区教育和体育工作的发展规划，统筹规划学枃布局和体育事业发展，在省、市规定的权限内承担各级各类学校设立、撤销、调整的上报工作。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三）全面实施素质教育，指导推动教育教学和教育科研工作；负责全区义务教育、学前教育、特殊教育、高中教育、职业技术教育、成人教育的宏观指导、综合管理与服务，对全区教育工作状况及办学水平进行监督、检查、评估、验收；负责组织各类招生考试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四）负责全区教育和体育系统队伍建设工作，负责人员招聘录用、工作调配、教育培训、职称评聘、评优评模、考核奖惩等工作；管理和指导师范类毕业生就业工作；负责实施教师资格制度工作；负责下属单位领导班子的领导干部的培养、考察、考核、任免和管理以及后备干部队伍建设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五）负责教育和体育经费统筹管理；负责教育和体育基建、设施设备及专项计划的审批和财务的管理、监督、审计工作；参与全区年度教育和体育经费的预决算工作；做好计划统计工作；负责各级助学政策和经费的落实。</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（六）指导全区学校的德育、智育、体育、美育、劳动、国防和安全教育工作；负责教育和体育系统党的建设工作，指导工会、共青团、妇女工作；负责教育和体育系统的安全稳定及综合治理工作。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七）负责全区体育竞赛、竞技运动项目的设置和布局；参与规划、实施区重点体育设施建设，负责公共体育设施的监督管理工作；加强体育公共服务、促进多元体育服务体系建设；监督、指导体育彩票发行工作；负责全民健身工作，组织、指导、协调全区性重大体育活动；负责国有体育资产的管理、规划、开发和利用；统筹规划全区青少年体育发展，指导和推进青少年体育工作；指导体育管理人员、教练员、运动员队伍建设；负责组织开展反兴奋剂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（八）负责全区语言文字工作，制订语言文字工作规划；组织协调并监督检查汉语和少数民族语言文字规范、标准的实施；指导推广普通话和普通话测试工作；负责社会用字规范管理。</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sectPr>
          <w:pgSz w:w="11900" w:h="16840"/>
          <w:pgMar w:top="1361" w:right="1020" w:bottom="1361" w:left="1020" w:header="720" w:footer="720" w:gutter="0"/>
          <w:pgNumType w:start="1"/>
          <w:cols w:space="720" w:num="1"/>
        </w:sectPr>
      </w:pPr>
      <w:r>
        <w:rPr>
          <w:rFonts w:ascii="仿宋" w:hAnsi="仿宋" w:eastAsia="仿宋"/>
          <w:sz w:val="32"/>
          <w:szCs w:val="32"/>
        </w:rPr>
        <w:t>（九）承办区委、区政府和上级教育行政部门交办的其他事</w:t>
      </w:r>
      <w:r>
        <w:rPr>
          <w:rFonts w:hint="eastAsia" w:ascii="仿宋" w:hAnsi="仿宋" w:eastAsia="仿宋"/>
          <w:sz w:val="32"/>
          <w:szCs w:val="32"/>
        </w:rPr>
        <w:t>项。</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二、机构设置</w:t>
      </w:r>
    </w:p>
    <w:tbl>
      <w:tblPr>
        <w:tblStyle w:val="14"/>
        <w:tblW w:w="963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551"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bottom w:val="single" w:color="auto" w:sz="4" w:space="0"/>
            </w:tcBorders>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徐水区教育和体育局（本</w:t>
            </w:r>
            <w:r>
              <w:rPr>
                <w:rFonts w:ascii="仿宋_GB2312" w:hAnsi="仿宋" w:eastAsia="仿宋_GB2312"/>
                <w:bCs/>
                <w:sz w:val="24"/>
                <w:szCs w:val="24"/>
              </w:rPr>
              <w:t>级</w:t>
            </w:r>
            <w:r>
              <w:rPr>
                <w:rFonts w:hint="eastAsia" w:ascii="仿宋_GB2312" w:hAnsi="仿宋" w:eastAsia="仿宋_GB2312"/>
                <w:bCs/>
                <w:sz w:val="24"/>
                <w:szCs w:val="24"/>
              </w:rPr>
              <w:t>）</w:t>
            </w:r>
          </w:p>
        </w:tc>
        <w:tc>
          <w:tcPr>
            <w:tcW w:w="1279" w:type="dxa"/>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机关</w:t>
            </w:r>
          </w:p>
        </w:tc>
        <w:tc>
          <w:tcPr>
            <w:tcW w:w="1698" w:type="dxa"/>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正</w:t>
            </w:r>
            <w:r>
              <w:rPr>
                <w:rFonts w:ascii="仿宋_GB2312" w:hAnsi="仿宋" w:eastAsia="仿宋_GB2312"/>
                <w:bCs/>
                <w:sz w:val="24"/>
                <w:szCs w:val="24"/>
              </w:rPr>
              <w:t>科级</w:t>
            </w:r>
          </w:p>
        </w:tc>
        <w:tc>
          <w:tcPr>
            <w:tcW w:w="2551" w:type="dxa"/>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一、收入说明</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2021年预算收入为1664.15万元,其中：一般公共预算收入</w:t>
      </w:r>
      <w:r>
        <w:rPr>
          <w:rFonts w:hint="eastAsia" w:ascii="仿宋" w:hAnsi="仿宋" w:eastAsia="仿宋"/>
          <w:sz w:val="32"/>
          <w:szCs w:val="32"/>
        </w:rPr>
        <w:t>1664.15</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二、支出说明</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2021年部门支出预算：1664.15万元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179.83</w:t>
      </w:r>
      <w:r>
        <w:rPr>
          <w:rFonts w:hint="eastAsia"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133.71</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46.12</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1484.32万元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1484.32</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三、比上年增减情况</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本年度预算收支安排1</w:t>
      </w:r>
      <w:r>
        <w:rPr>
          <w:rFonts w:ascii="仿宋" w:hAnsi="仿宋" w:eastAsia="仿宋"/>
          <w:sz w:val="32"/>
          <w:szCs w:val="32"/>
        </w:rPr>
        <w:t>664.15</w:t>
      </w:r>
      <w:r>
        <w:rPr>
          <w:rFonts w:hint="eastAsia" w:ascii="仿宋" w:hAnsi="仿宋" w:eastAsia="仿宋"/>
          <w:sz w:val="32"/>
          <w:szCs w:val="32"/>
        </w:rPr>
        <w:t>万元，较上年</w:t>
      </w:r>
      <w:r>
        <w:rPr>
          <w:rFonts w:ascii="仿宋" w:hAnsi="仿宋" w:eastAsia="仿宋"/>
          <w:sz w:val="32"/>
          <w:szCs w:val="32"/>
        </w:rPr>
        <w:t>减少</w:t>
      </w:r>
      <w:r>
        <w:rPr>
          <w:rFonts w:hint="eastAsia" w:ascii="仿宋" w:hAnsi="仿宋" w:eastAsia="仿宋"/>
          <w:sz w:val="32"/>
          <w:szCs w:val="32"/>
        </w:rPr>
        <w:t>9082.21</w:t>
      </w:r>
      <w:r>
        <w:rPr>
          <w:rFonts w:ascii="仿宋" w:hAnsi="仿宋" w:eastAsia="仿宋"/>
          <w:sz w:val="32"/>
          <w:szCs w:val="32"/>
        </w:rPr>
        <w:t>万元。其中:基本支出减少</w:t>
      </w:r>
      <w:r>
        <w:rPr>
          <w:rFonts w:hint="eastAsia" w:ascii="仿宋" w:hAnsi="仿宋" w:eastAsia="仿宋"/>
          <w:sz w:val="32"/>
          <w:szCs w:val="32"/>
        </w:rPr>
        <w:t>8.3</w:t>
      </w:r>
      <w:r>
        <w:rPr>
          <w:rFonts w:ascii="仿宋" w:hAnsi="仿宋" w:eastAsia="仿宋"/>
          <w:sz w:val="32"/>
          <w:szCs w:val="32"/>
        </w:rPr>
        <w:t>万元，主要原因是</w:t>
      </w:r>
      <w:r>
        <w:rPr>
          <w:rFonts w:hint="eastAsia" w:ascii="仿宋" w:hAnsi="仿宋" w:eastAsia="仿宋"/>
          <w:sz w:val="32"/>
          <w:szCs w:val="32"/>
        </w:rPr>
        <w:t>压减</w:t>
      </w:r>
      <w:r>
        <w:rPr>
          <w:rFonts w:ascii="仿宋" w:hAnsi="仿宋" w:eastAsia="仿宋"/>
          <w:sz w:val="32"/>
          <w:szCs w:val="32"/>
        </w:rPr>
        <w:t>日常办公经费；项目支出减少</w:t>
      </w:r>
      <w:r>
        <w:rPr>
          <w:rFonts w:hint="eastAsia" w:ascii="仿宋" w:hAnsi="仿宋" w:eastAsia="仿宋"/>
          <w:sz w:val="32"/>
          <w:szCs w:val="32"/>
        </w:rPr>
        <w:t>9173.91万</w:t>
      </w:r>
      <w:r>
        <w:rPr>
          <w:rFonts w:ascii="仿宋" w:hAnsi="仿宋" w:eastAsia="仿宋"/>
          <w:sz w:val="32"/>
          <w:szCs w:val="32"/>
        </w:rPr>
        <w:t>元，主要原因是</w:t>
      </w:r>
      <w:r>
        <w:rPr>
          <w:rFonts w:hint="eastAsia" w:ascii="仿宋" w:hAnsi="仿宋" w:eastAsia="仿宋"/>
          <w:sz w:val="32"/>
          <w:szCs w:val="32"/>
        </w:rPr>
        <w:t>列</w:t>
      </w:r>
      <w:r>
        <w:rPr>
          <w:rFonts w:ascii="仿宋" w:hAnsi="仿宋" w:eastAsia="仿宋"/>
          <w:sz w:val="32"/>
          <w:szCs w:val="32"/>
        </w:rPr>
        <w:t>在教体局（</w:t>
      </w:r>
      <w:r>
        <w:rPr>
          <w:rFonts w:hint="eastAsia" w:ascii="仿宋" w:hAnsi="仿宋" w:eastAsia="仿宋"/>
          <w:sz w:val="32"/>
          <w:szCs w:val="32"/>
        </w:rPr>
        <w:t>本级</w:t>
      </w:r>
      <w:r>
        <w:rPr>
          <w:rFonts w:ascii="仿宋" w:hAnsi="仿宋" w:eastAsia="仿宋"/>
          <w:sz w:val="32"/>
          <w:szCs w:val="32"/>
        </w:rPr>
        <w:t>）</w:t>
      </w:r>
      <w:r>
        <w:rPr>
          <w:rFonts w:hint="eastAsia" w:ascii="仿宋" w:hAnsi="仿宋" w:eastAsia="仿宋"/>
          <w:sz w:val="32"/>
          <w:szCs w:val="32"/>
        </w:rPr>
        <w:t>项目</w:t>
      </w:r>
      <w:r>
        <w:rPr>
          <w:rFonts w:ascii="仿宋" w:hAnsi="仿宋" w:eastAsia="仿宋"/>
          <w:sz w:val="32"/>
          <w:szCs w:val="32"/>
        </w:rPr>
        <w:t>减少。</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第三部分：机关运行经费安排情况</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b/>
          <w:sz w:val="32"/>
          <w:szCs w:val="32"/>
        </w:rPr>
      </w:pPr>
      <w:r>
        <w:rPr>
          <w:rFonts w:ascii="仿宋" w:hAnsi="仿宋" w:eastAsia="仿宋"/>
          <w:sz w:val="32"/>
          <w:szCs w:val="32"/>
        </w:rPr>
        <w:t>2021年我部门机关运行经费安排46.12万元，其中办公费</w:t>
      </w:r>
      <w:r>
        <w:rPr>
          <w:rFonts w:hint="eastAsia" w:ascii="仿宋" w:hAnsi="仿宋" w:eastAsia="仿宋"/>
          <w:sz w:val="32"/>
          <w:szCs w:val="32"/>
        </w:rPr>
        <w:t>3.24</w:t>
      </w:r>
      <w:r>
        <w:rPr>
          <w:rFonts w:ascii="仿宋" w:hAnsi="仿宋" w:eastAsia="仿宋"/>
          <w:sz w:val="32"/>
          <w:szCs w:val="32"/>
        </w:rPr>
        <w:t>万元，邮电费</w:t>
      </w:r>
      <w:r>
        <w:rPr>
          <w:rFonts w:hint="eastAsia" w:ascii="仿宋" w:hAnsi="仿宋" w:eastAsia="仿宋"/>
          <w:sz w:val="32"/>
          <w:szCs w:val="32"/>
        </w:rPr>
        <w:t>5.36</w:t>
      </w:r>
      <w:r>
        <w:rPr>
          <w:rFonts w:ascii="仿宋" w:hAnsi="仿宋" w:eastAsia="仿宋"/>
          <w:sz w:val="32"/>
          <w:szCs w:val="32"/>
        </w:rPr>
        <w:t>万元，工会经费、福利费</w:t>
      </w:r>
      <w:r>
        <w:rPr>
          <w:rFonts w:hint="eastAsia" w:ascii="仿宋" w:hAnsi="仿宋" w:eastAsia="仿宋"/>
          <w:sz w:val="32"/>
          <w:szCs w:val="32"/>
        </w:rPr>
        <w:t>2.52</w:t>
      </w:r>
      <w:r>
        <w:rPr>
          <w:rFonts w:ascii="仿宋" w:hAnsi="仿宋" w:eastAsia="仿宋"/>
          <w:sz w:val="32"/>
          <w:szCs w:val="32"/>
        </w:rPr>
        <w:t>万元，公务用车运行维护费</w:t>
      </w:r>
      <w:r>
        <w:rPr>
          <w:rFonts w:hint="eastAsia" w:ascii="仿宋" w:hAnsi="仿宋" w:eastAsia="仿宋"/>
          <w:sz w:val="32"/>
          <w:szCs w:val="32"/>
        </w:rPr>
        <w:t>5.4</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jc w:val="center"/>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line="360" w:lineRule="auto"/>
        <w:ind w:firstLine="640" w:firstLineChars="200"/>
        <w:jc w:val="center"/>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14"/>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14"/>
              <w:tblW w:w="0" w:type="auto"/>
              <w:jc w:val="center"/>
              <w:tblLayout w:type="autofit"/>
              <w:tblCellMar>
                <w:top w:w="0" w:type="dxa"/>
                <w:left w:w="108" w:type="dxa"/>
                <w:bottom w:w="0" w:type="dxa"/>
                <w:right w:w="108" w:type="dxa"/>
              </w:tblCellMar>
            </w:tblPr>
            <w:tblGrid>
              <w:gridCol w:w="2163"/>
              <w:gridCol w:w="1276"/>
              <w:gridCol w:w="1418"/>
              <w:gridCol w:w="12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27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41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83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2397"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right"/>
                    <w:textAlignment w:val="auto"/>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39.5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5.4</w:t>
                  </w: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-34.1</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部分</w:t>
                  </w:r>
                  <w:r>
                    <w:rPr>
                      <w:rFonts w:ascii="仿宋_GB2312" w:hAnsi="宋体" w:eastAsia="仿宋_GB2312" w:cs="宋体"/>
                      <w:kern w:val="0"/>
                      <w:sz w:val="24"/>
                      <w:szCs w:val="24"/>
                    </w:rPr>
                    <w:t>预算在教体局（</w:t>
                  </w:r>
                  <w:r>
                    <w:rPr>
                      <w:rFonts w:hint="eastAsia" w:ascii="仿宋_GB2312" w:hAnsi="宋体" w:eastAsia="仿宋_GB2312" w:cs="宋体"/>
                      <w:kern w:val="0"/>
                      <w:sz w:val="24"/>
                      <w:szCs w:val="24"/>
                    </w:rPr>
                    <w:t>事业</w:t>
                  </w:r>
                  <w:r>
                    <w:rPr>
                      <w:rFonts w:ascii="仿宋_GB2312" w:hAnsi="宋体" w:eastAsia="仿宋_GB2312" w:cs="宋体"/>
                      <w:kern w:val="0"/>
                      <w:sz w:val="24"/>
                      <w:szCs w:val="24"/>
                    </w:rPr>
                    <w:t>）</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13</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-13</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预算</w:t>
                  </w:r>
                  <w:r>
                    <w:rPr>
                      <w:rFonts w:ascii="仿宋_GB2312" w:hAnsi="宋体" w:eastAsia="仿宋_GB2312" w:cs="宋体"/>
                      <w:kern w:val="0"/>
                      <w:sz w:val="24"/>
                      <w:szCs w:val="24"/>
                    </w:rPr>
                    <w:t>调整到教</w:t>
                  </w:r>
                  <w:r>
                    <w:rPr>
                      <w:rFonts w:hint="eastAsia" w:ascii="仿宋_GB2312" w:hAnsi="宋体" w:eastAsia="仿宋_GB2312" w:cs="宋体"/>
                      <w:kern w:val="0"/>
                      <w:sz w:val="24"/>
                      <w:szCs w:val="24"/>
                    </w:rPr>
                    <w:t>体局（事业）</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52.5</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5.4</w:t>
                  </w: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-47.1</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27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41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83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2397"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r>
          </w:tbl>
          <w:p>
            <w:pPr>
              <w:keepNext w:val="0"/>
              <w:keepLines w:val="0"/>
              <w:pageBreakBefore w:val="0"/>
              <w:widowControl/>
              <w:kinsoku/>
              <w:wordWrap/>
              <w:overflowPunct/>
              <w:topLinePunct w:val="0"/>
              <w:autoSpaceDE/>
              <w:autoSpaceDN/>
              <w:bidi w:val="0"/>
              <w:adjustRightInd/>
              <w:snapToGrid/>
              <w:spacing w:line="520" w:lineRule="exact"/>
              <w:ind w:right="480" w:firstLine="480" w:firstLineChars="200"/>
              <w:textAlignment w:val="auto"/>
              <w:rPr>
                <w:rFonts w:ascii="仿宋" w:hAnsi="仿宋" w:eastAsia="仿宋" w:cs="宋体"/>
                <w:kern w:val="0"/>
                <w:sz w:val="24"/>
                <w:szCs w:val="24"/>
              </w:rPr>
            </w:pPr>
          </w:p>
        </w:tc>
      </w:tr>
    </w:tbl>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第五部分：预算绩效信息</w:t>
      </w: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21"/>
        <w:keepNext w:val="0"/>
        <w:keepLines w:val="0"/>
        <w:pageBreakBefore w:val="0"/>
        <w:kinsoku/>
        <w:wordWrap/>
        <w:overflowPunct/>
        <w:topLinePunct w:val="0"/>
        <w:autoSpaceDE/>
        <w:autoSpaceDN/>
        <w:bidi w:val="0"/>
        <w:adjustRightInd/>
        <w:snapToGrid/>
        <w:ind w:firstLine="560" w:firstLineChars="200"/>
        <w:textAlignment w:val="auto"/>
      </w:pPr>
      <w:r>
        <w:t>2021年徐水教育工作的总体目标是：高标准</w:t>
      </w:r>
      <w:r>
        <w:rPr>
          <w:rFonts w:hint="eastAsia"/>
          <w:lang w:eastAsia="zh-CN"/>
        </w:rPr>
        <w:t>准备</w:t>
      </w:r>
      <w:r>
        <w:t>河北省第二轮对县级人民政府教育履职评价；推进高中教育高品质发展、义务教育优质均衡发展、学前教育普及普惠发展，特殊教育拓展融合发展；推进国家职业教育改革市域试点，高水平发展职业教育；强化民办义务教育规范管理；全力打造师德高尚的专业化教师队伍，持续推进教育基础设施建设，努力实现现代信息技术与教育教学深度融合，持之以恒地创建平安校园，强化教育高质量发展支撑保障；推动育人课堂创建，加快建设教育强区，办好人民满意教育，以一流的工作业绩助推我区教育工作在全市当先锋、做表率、走在前，以实际行动和优异成绩</w:t>
      </w:r>
      <w:r>
        <w:rPr>
          <w:rFonts w:hint="eastAsia"/>
          <w:lang w:eastAsia="zh-CN"/>
        </w:rPr>
        <w:t>回报</w:t>
      </w:r>
      <w:r>
        <w:rPr>
          <w:lang w:eastAsia="zh-CN"/>
        </w:rPr>
        <w:t>徐水人民</w:t>
      </w:r>
      <w:r>
        <w:t>。</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22"/>
        <w:keepNext w:val="0"/>
        <w:keepLines w:val="0"/>
        <w:pageBreakBefore w:val="0"/>
        <w:kinsoku/>
        <w:wordWrap/>
        <w:overflowPunct/>
        <w:topLinePunct w:val="0"/>
        <w:autoSpaceDE/>
        <w:autoSpaceDN/>
        <w:bidi w:val="0"/>
        <w:adjustRightInd/>
        <w:snapToGrid/>
        <w:ind w:firstLine="560" w:firstLineChars="200"/>
        <w:textAlignment w:val="auto"/>
      </w:pPr>
      <w:r>
        <w:t>(一）全面加强思想政治建设。</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绩效目标：把学习宣传贯彻习近平新时代中国特色社会主义思想作为首要政治任务，深入学习贯彻习近平总书记关于教育的重要论述。制定2021年区委教育工委</w:t>
      </w:r>
      <w:r>
        <w:rPr>
          <w:rFonts w:hint="eastAsia"/>
          <w:lang w:eastAsia="zh-CN"/>
        </w:rPr>
        <w:t>理论中心学习组</w:t>
      </w:r>
      <w:r>
        <w:t>学习方案，把习近平新时代中国特色社会主义思想和党的十九大、十九届历次全会和二十大精神纳入</w:t>
      </w:r>
      <w:r>
        <w:rPr>
          <w:rFonts w:hint="eastAsia"/>
          <w:lang w:eastAsia="zh-CN"/>
        </w:rPr>
        <w:t>理论中心学习组</w:t>
      </w:r>
      <w:bookmarkStart w:id="16" w:name="_GoBack"/>
      <w:bookmarkEnd w:id="16"/>
      <w: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（二）推动学前教育普及普惠发展。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建立区级和乡镇两级学前教育研训机构，充实学前教育研训队伍，提高幼儿园教科研水平，加强园本教研、区域教研，及时解决幼儿园教师在教育实践过程中的困惑和问题，促进我区学前教育高质量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绩效指标：在园幼儿数达到20000人，学前三年毛入园率达到90%，应享受学前教育资助政策的幼儿全部得到资助，受益幼儿园、家长满意度达到85%以上。</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（三）推动义务教育优质均衡发展。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统一城乡义务教育年生均公用经费标准：小学735元、初中935元（均含取暖费85元），特教6000元。为农村义务教育学生和城市区家庭经济困难学生免费提供教科书。所有城乡义务教育阶段学生免费发放教科书，教师、学生对保障机制的综合满意度≥90%。</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（四）推动高中教育高质量发展。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积极参与全市高中学校的统一教研，打破以往各校自成一体、重教轻研、相对闭塞的教学传统，推动高中教研水平的整体提升。狠抓高中学校教学常规管理，定期组织区内高中听课评课、年级统一调研考试等活动，促进教学管理的科学化和精细化。</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绩效指标：建档立卡贫困学生全部享受助学金。高中阶段毛入学率达到90%，受益普通高中的教师、学生综合满意度≥98%。</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（五）推进中等职业学校标准化建设工程。</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绩效目标：推进中职学校标准化建设。建设区职教中心15000平方米的职业技术教育综合楼和12000平方米的学生餐厅项目。优化专业布局结构。</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集中打造2-3个重点品牌专业，加大与优质高职学校合作力度，扩大“3+2”中高职纵向贯通培养规模，促进各学段普通教育与职业教育横向渗透融通，建设好1个职业启蒙教育基地，在普通中小学实施职业启蒙教育。深入推进教育部“1+X”证书制度试点工作。</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（六）不断加强干部队伍建设。</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绩效目标：深入推进人事制度改革，切实增强干部能力素质。贯彻落实新时代党的组织路线，坚持正确用人导向，把讲政治、懂教育、善管理、敢担当的优秀党员干部选配到学校党组织书记岗位上来。</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绩效指标：每年参加培训的教师人数≥400人，选派“三区”支教教师人数≥10人，“三区”支教地区学生、家长满意度情况≥90%。</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（七）推进学校体育深入开展。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绩效指标：落实学生“体育家庭作业”制度，确保参与体质健康测试率95%以上，学校学生体检健康测试上报率100%。</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23"/>
        <w:keepNext w:val="0"/>
        <w:keepLines w:val="0"/>
        <w:pageBreakBefore w:val="0"/>
        <w:kinsoku/>
        <w:wordWrap/>
        <w:overflowPunct/>
        <w:topLinePunct w:val="0"/>
        <w:autoSpaceDE/>
        <w:autoSpaceDN/>
        <w:bidi w:val="0"/>
        <w:adjustRightInd/>
        <w:snapToGrid/>
        <w:ind w:firstLine="560" w:firstLineChars="200"/>
        <w:textAlignment w:val="auto"/>
      </w:pPr>
      <w:r>
        <w:t>（一）加强组织领导。建立健全教育领域预算绩效管理制度体系。围绕年度总体绩效目标和分项绩效目标，明确责任主体，细化落实措施，确保绩效目标年内全部完成。</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（三）加强支出管理。督促指导下属单位加快项目执行进度，加快资金支出。严格按照年初预算支出计划加快履行政府采购手续，尽快启动项目，进行资金支付。</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 xml:space="preserve">（四）加强绩效运行监控。强化资金监管，指导各单位建立健全内控组织机构、机制建设和内部管理制度，加强对关键岗位人员管理，保证单位各项经济活动合法合规。      </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（六）规范财务资产管理。进一步完善财务管理制度，严格资产采购审批手续，加强固定资产登记、使用及报废处置管理，做到支出合理，物尽其用。</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（八）加强宣传培训力度。加强教育系统人员培训，提高全区教育业务素养；加大宣传力度，强化绩效预算管理意识，促进绩效预算管理水平进一步提升。</w:t>
      </w: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rPr>
          <w:rFonts w:ascii="仿宋" w:hAnsi="仿宋" w:eastAsia="仿宋"/>
          <w:sz w:val="32"/>
          <w:szCs w:val="32"/>
        </w:rPr>
      </w:pPr>
    </w:p>
    <w:p>
      <w:pPr>
        <w:jc w:val="left"/>
        <w:outlineLvl w:val="3"/>
        <w:rPr>
          <w:rFonts w:ascii="Times New Roman" w:hAnsi="宋体" w:eastAsia="宋体" w:cs="Times New Roman"/>
          <w:b/>
          <w:sz w:val="28"/>
        </w:rPr>
      </w:pPr>
      <w:r>
        <w:rPr>
          <w:rFonts w:ascii="方正仿宋_GBK" w:hAnsi="等线" w:eastAsia="方正仿宋_GBK" w:cs="Times New Roman"/>
          <w:b/>
          <w:sz w:val="28"/>
        </w:rPr>
        <w:t>提前下达2021年支持学前教育发展中央资金预算的通知绩效目标表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1、提前下达2021年支持学前教育发展中央资金预算的通知绩效目标表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130625214Y410I8PVMZY3</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提前下达2021年支持学前教育发展中央资金预算的通知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改善学校办学条件，解决学校安全隐患，提升学校办学水平，提高社会及师生对学校的满意度</w:t>
            </w:r>
          </w:p>
          <w:p>
            <w:pPr>
              <w:spacing w:line="300" w:lineRule="exact"/>
              <w:jc w:val="left"/>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1.改善学校办学条件，解决学校安全隐患</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预算安排维修改造项目数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 w:name="_Toc71388305"/>
      <w:r>
        <w:rPr>
          <w:rFonts w:ascii="方正仿宋_GBK" w:hAnsi="等线" w:eastAsia="方正仿宋_GBK" w:cs="Times New Roman"/>
          <w:b/>
          <w:sz w:val="28"/>
        </w:rPr>
        <w:t>2.提前下达2021年城乡义务教育保障机制改革市级资金-公用经费绩效目标表</w:t>
      </w:r>
      <w:bookmarkEnd w:id="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2、提前下达2021年城乡义务教育保障机制改革市级资金-公用经费绩效目标表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130625215RE1T5A1HBF16</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4526665.00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4526665.00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提高社会整体素质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学生的整体素质提高将影响社会的整体素质提高</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保定市财政局、保定市教育局《关于提前下达2021年城乡义务教育经费保障机制改革市级资金的通知》保财教[2020]77号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 w:name="_Toc71388306"/>
      <w:r>
        <w:rPr>
          <w:rFonts w:ascii="方正仿宋_GBK" w:hAnsi="等线" w:eastAsia="方正仿宋_GBK" w:cs="Times New Roman"/>
          <w:b/>
          <w:sz w:val="28"/>
        </w:rPr>
        <w:t>3.义务教育阶段小学生营养改善计划运行保障经费绩效目标表</w:t>
      </w:r>
      <w:bookmarkEnd w:id="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3、义务教育阶段小学生营养改善计划运行保障经费绩效目标表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13062521AGKQQVZZO71D0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3300000.00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3300000.00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用于学校保障营养餐所需经费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1.用于学校保障营养餐所需经费</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足额拨款</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足额拨款完成情况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符合条件申报对象覆盖率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享受扶助政策人数占符合条件申报对象总数的比例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按照要求和计划完成情况</w:t>
            </w:r>
          </w:p>
          <w:p>
            <w:pPr>
              <w:spacing w:line="300" w:lineRule="exact"/>
              <w:jc w:val="left"/>
              <w:rPr>
                <w:rFonts w:ascii="方正书宋_GBK" w:hAnsi="等线" w:eastAsia="方正书宋_GBK" w:cs="Times New Roman"/>
              </w:rPr>
            </w:pP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学生身体素质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通过实施营养餐政策,普遍</w:t>
            </w:r>
          </w:p>
          <w:p>
            <w:pPr>
              <w:spacing w:line="300" w:lineRule="exact"/>
              <w:jc w:val="left"/>
              <w:rPr>
                <w:rFonts w:ascii="方正书宋_GBK" w:hAnsi="等线" w:eastAsia="方正书宋_GBK" w:cs="Times New Roman"/>
              </w:rPr>
            </w:pPr>
            <w:r>
              <w:rPr>
                <w:rFonts w:ascii="方正书宋_GBK" w:hAnsi="等线" w:eastAsia="方正书宋_GBK" w:cs="Times New Roman"/>
              </w:rPr>
              <w:t>提高学生身体素质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5" w:name="_Toc71388307"/>
      <w:r>
        <w:rPr>
          <w:rFonts w:ascii="方正仿宋_GBK" w:hAnsi="等线" w:eastAsia="方正仿宋_GBK" w:cs="Times New Roman"/>
          <w:b/>
          <w:sz w:val="28"/>
        </w:rPr>
        <w:t>4.提前下达2021年学生资助市级配套资金-普通高中建档立卡免学费绩效目标表</w:t>
      </w:r>
      <w:bookmarkEnd w:id="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4、提前下达2021年学生资助市级配套资金-普通高中建档立卡免学费绩效目标表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13062521AIEKF2I9UBD3E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提前下达2021年学生资助市级配套资金-普通高中建档立卡免学费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用于我区高中教育中困难学生资助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1.改善学校办学条件，解决高中困难学生入学问题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p>
            <w:pPr>
              <w:spacing w:line="300" w:lineRule="exact"/>
              <w:jc w:val="left"/>
              <w:rPr>
                <w:rFonts w:ascii="方正书宋_GBK" w:hAnsi="等线" w:eastAsia="方正书宋_GBK" w:cs="Times New Roman"/>
              </w:rPr>
            </w:pPr>
            <w:r>
              <w:rPr>
                <w:rFonts w:ascii="方正书宋_GBK" w:hAnsi="等线" w:eastAsia="方正书宋_GBK" w:cs="Times New Roman"/>
              </w:rPr>
              <w:t>3.促进高中教育的发展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全区困难群众保障率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实际保障人数占困难群众的比例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绩效指标描述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预算安排资助学生数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解决困难学生高中入学率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生态效益指标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保证教育教学工作正常进行所占比率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促进高中教育的发展</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6" w:name="_Toc71388308"/>
      <w:r>
        <w:rPr>
          <w:rFonts w:ascii="方正仿宋_GBK" w:hAnsi="等线" w:eastAsia="方正仿宋_GBK" w:cs="Times New Roman"/>
          <w:b/>
          <w:sz w:val="28"/>
        </w:rPr>
        <w:t>5.标准化考点高清监控系统绩效目标表</w:t>
      </w:r>
      <w:bookmarkEnd w:id="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5、标准化考点高清监控系统绩效目标表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13062521KYNG1Y8LPSPY8</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标准化考点高清监控系统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317490.50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317490.50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高清监控系统尾款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1.维护考试公平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每个考场是否都有监控</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清晰度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监控视频是否清晰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清晰</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及时性</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考场违规发现的及时性</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维护考试秩序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是否有效维持考场秩序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是</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7" w:name="_Toc71388309"/>
      <w:r>
        <w:rPr>
          <w:rFonts w:ascii="方正仿宋_GBK" w:hAnsi="等线" w:eastAsia="方正仿宋_GBK" w:cs="Times New Roman"/>
          <w:b/>
          <w:sz w:val="28"/>
        </w:rPr>
        <w:t>6.徐水区教育和体育局招办考试考务费绩效目标表</w:t>
      </w:r>
      <w:bookmarkEnd w:id="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6、徐水区教育和体育局招办考试考务费绩效目标表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13062521LZGXBK5MYGXGF</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徐水区教育和体育局招办考试考务费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1803700.00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1803700.00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为完成本单位招办考试考务方面的费用开支，以及用于设备设施等维持性费用支出，和直接用于公务活动支出。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1.为完成本单位招办考试考务方面的费用开支，以及用于设备设施等维持性费用支出，和直接用于公务活动支出。</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考试及设备设施的正常运转情况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有效的改善考试环境，有利于提高工作效率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8" w:name="_Toc71388310"/>
      <w:r>
        <w:rPr>
          <w:rFonts w:ascii="方正仿宋_GBK" w:hAnsi="等线" w:eastAsia="方正仿宋_GBK" w:cs="Times New Roman"/>
          <w:b/>
          <w:sz w:val="28"/>
        </w:rPr>
        <w:t>7.提前下达2021年学生资助市级配套资金-普高助学金绩效目标表</w:t>
      </w:r>
      <w:bookmarkEnd w:id="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7、提前下达2021年学生资助市级配套资金-普高助学金绩效目标表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13062521MPU19PKQGDOKZ</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提前下达2021年学生资助市级配套资金-普高助学金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用于我区高中助学金资助。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1.改善学校办学条件，解决学生高中学习问题</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p>
            <w:pPr>
              <w:spacing w:line="300" w:lineRule="exact"/>
              <w:jc w:val="left"/>
              <w:rPr>
                <w:rFonts w:ascii="方正书宋_GBK" w:hAnsi="等线" w:eastAsia="方正书宋_GBK" w:cs="Times New Roman"/>
              </w:rPr>
            </w:pPr>
            <w:r>
              <w:rPr>
                <w:rFonts w:ascii="方正书宋_GBK" w:hAnsi="等线" w:eastAsia="方正书宋_GBK" w:cs="Times New Roman"/>
              </w:rPr>
              <w:t>3.促进高中教育的发展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全区困难群众保障率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实际保障人数占困难群众的比例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绩效指标描述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预算安排资助学生数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解决困难学生高中学习</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生态效益指标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促进高中教育的发展</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9" w:name="_Toc71388311"/>
      <w:r>
        <w:rPr>
          <w:rFonts w:ascii="方正仿宋_GBK" w:hAnsi="等线" w:eastAsia="方正仿宋_GBK" w:cs="Times New Roman"/>
          <w:b/>
          <w:sz w:val="28"/>
        </w:rPr>
        <w:t>8.提前下达2021年学生资助市级配套资金-学前幼儿资助绩效目标表</w:t>
      </w:r>
      <w:bookmarkEnd w:id="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8、提前下达2021年学生资助市级配套资金-学前幼儿资助绩效目标表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13062521SGTETTZH86Y90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提前下达2021年学生资助市级配套资金-学前幼儿资助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132300.00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132300.00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用于我区学前幼儿入园资助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1.改善学校办学条件，解决学前幼儿入园问题</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p>
            <w:pPr>
              <w:spacing w:line="300" w:lineRule="exact"/>
              <w:jc w:val="left"/>
              <w:rPr>
                <w:rFonts w:ascii="方正书宋_GBK" w:hAnsi="等线" w:eastAsia="方正书宋_GBK" w:cs="Times New Roman"/>
              </w:rPr>
            </w:pPr>
            <w:r>
              <w:rPr>
                <w:rFonts w:ascii="方正书宋_GBK" w:hAnsi="等线" w:eastAsia="方正书宋_GBK" w:cs="Times New Roman"/>
              </w:rPr>
              <w:t>3.促进学前教育的发展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全区困难群众保障率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实际保障人数占困难群众的比例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绩效指标描述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预算安排资助学生数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解决困难学生入园率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生态效益指标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促进学前教育的发展</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0" w:name="_Toc71388312"/>
      <w:r>
        <w:rPr>
          <w:rFonts w:ascii="方正仿宋_GBK" w:hAnsi="等线" w:eastAsia="方正仿宋_GBK" w:cs="Times New Roman"/>
          <w:b/>
          <w:sz w:val="28"/>
        </w:rPr>
        <w:t>9.教育网络运行服务费绩效目标表</w:t>
      </w:r>
      <w:bookmarkEnd w:id="1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9、教育网络运行服务费绩效目标表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13062521TSW9PSMTECNRZ</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教育网络运行服务费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1085000.00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1085000.00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保障全区教育系统网络正常运行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1.保障全区教育系统网络正常运行</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1" w:name="_Toc71388313"/>
      <w:r>
        <w:rPr>
          <w:rFonts w:ascii="方正仿宋_GBK" w:hAnsi="等线" w:eastAsia="方正仿宋_GBK" w:cs="Times New Roman"/>
          <w:b/>
          <w:sz w:val="28"/>
        </w:rPr>
        <w:t>10.提前下达2021年原民办代课教师教龄补助市级配套资金绩效目标表</w:t>
      </w:r>
      <w:bookmarkEnd w:id="1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10、提前下达2021年原民办代课教师教龄补助市级配套资金绩效目标表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13062521V5ZU49ZWR9COA</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提前下达2021年原民办代课教师教龄补助市级配套资金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1208000.00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1208000.00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用于发放原民办代课教师教龄补助，预计第四季度发放完毕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1.加强教师队伍建设</w:t>
            </w:r>
          </w:p>
          <w:p>
            <w:pPr>
              <w:spacing w:line="300" w:lineRule="exact"/>
              <w:jc w:val="left"/>
              <w:rPr>
                <w:rFonts w:ascii="方正书宋_GBK" w:hAnsi="等线" w:eastAsia="方正书宋_GBK" w:cs="Times New Roman"/>
              </w:rPr>
            </w:pPr>
            <w:r>
              <w:rPr>
                <w:rFonts w:ascii="方正书宋_GBK" w:hAnsi="等线" w:eastAsia="方正书宋_GBK" w:cs="Times New Roman"/>
              </w:rPr>
              <w:t>2.提高原民办代课教师生活水平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享受补贴政策的人数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加强教师队伍建设</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提高原民办代课教师生活水平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资金发放准确、及时</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2" w:name="_Toc71388314"/>
      <w:r>
        <w:rPr>
          <w:rFonts w:ascii="方正仿宋_GBK" w:hAnsi="等线" w:eastAsia="方正仿宋_GBK" w:cs="Times New Roman"/>
          <w:b/>
          <w:sz w:val="28"/>
        </w:rPr>
        <w:t>11.提前下达2021年中央“三区”人才计划教师专项工作补助经费预算绩效目标表</w:t>
      </w:r>
      <w:bookmarkEnd w:id="12"/>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11、提前下达2021年中央\“三区\”人才计划教师专项工作补助经费预算绩效目标表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13062521VN7HDUPFZIOTL</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提前下达2021年中央“三区”人才计划教师专项工作补助经费预算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优选优秀教师支持三区教育，促进均衡发展，本年度资金7万元，每学期结束后安排支出。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1.支持三区教育，促进均衡发展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3" w:name="_Toc71388315"/>
      <w:r>
        <w:rPr>
          <w:rFonts w:ascii="方正仿宋_GBK" w:hAnsi="等线" w:eastAsia="方正仿宋_GBK" w:cs="Times New Roman"/>
          <w:b/>
          <w:sz w:val="28"/>
        </w:rPr>
        <w:t>12.提前下达2021年省级教师队伍建设专项资金（原民办代课教师教龄补助）预算绩效目标表</w:t>
      </w:r>
      <w:bookmarkEnd w:id="1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12、提前下达2021年省级教师队伍建设专项资金（原民办代课教师教龄补助）预算绩效目标表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13062521YNCMKKTY84K6E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提前下达2021年省级教师队伍建设专项资金（原民办代课教师教龄补助）预算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1210000.00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1210000.00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用于发放原民办代课教师教龄补助，预计第四季度发放完毕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1.加强教师队伍建设</w:t>
            </w:r>
          </w:p>
          <w:p>
            <w:pPr>
              <w:spacing w:line="300" w:lineRule="exact"/>
              <w:jc w:val="left"/>
              <w:rPr>
                <w:rFonts w:ascii="方正书宋_GBK" w:hAnsi="等线" w:eastAsia="方正书宋_GBK" w:cs="Times New Roman"/>
              </w:rPr>
            </w:pPr>
            <w:r>
              <w:rPr>
                <w:rFonts w:ascii="方正书宋_GBK" w:hAnsi="等线" w:eastAsia="方正书宋_GBK" w:cs="Times New Roman"/>
              </w:rPr>
              <w:t>2.提高原民办代课教师生活水平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享受补贴政策的人数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加强教师队伍建设</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提高原民办代课教师生活水平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资金发放准确、及时</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4" w:name="_Toc71388316"/>
      <w:r>
        <w:rPr>
          <w:rFonts w:ascii="方正仿宋_GBK" w:hAnsi="等线" w:eastAsia="方正仿宋_GBK" w:cs="Times New Roman"/>
          <w:b/>
          <w:sz w:val="28"/>
        </w:rPr>
        <w:t>13.提前下达2021年省级“三区”人才计划教师专项工作补助经费绩效目标表</w:t>
      </w:r>
      <w:bookmarkEnd w:id="1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13、提前下达2021年省级\“三区\”人才计划教师专项工作补助经费绩效目标表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360001教体局本级</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13062521ZYF3YRUZOX12T</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提前下达2021年省级“三区”人才计划教师专项工作补助经费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优选优秀教师支持三区教育，促进均衡发展，本年度资金7万元，每学期结束后安排支出。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1.支持三区教育</w:t>
            </w:r>
          </w:p>
          <w:p>
            <w:pPr>
              <w:spacing w:line="300" w:lineRule="exact"/>
              <w:jc w:val="left"/>
              <w:rPr>
                <w:rFonts w:ascii="方正书宋_GBK" w:hAnsi="等线" w:eastAsia="方正书宋_GBK" w:cs="Times New Roman"/>
              </w:rPr>
            </w:pPr>
            <w:r>
              <w:rPr>
                <w:rFonts w:ascii="方正书宋_GBK" w:hAnsi="等线" w:eastAsia="方正书宋_GBK" w:cs="Times New Roman"/>
              </w:rPr>
              <w:t>2.促进均衡发展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实发人数比率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实发人数占应发人数比率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考核工作完成占计划完成数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支付及时率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按时支付人员工资及时率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预算控制数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不超年初预算数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保证工作正常进行</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能够保障人员日常工作效率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根据工作安排</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w:t>
      </w:r>
    </w:p>
    <w:p>
      <w:pPr>
        <w:jc w:val="center"/>
        <w:outlineLvl w:val="1"/>
      </w:pPr>
      <w:bookmarkStart w:id="15" w:name="_Toc_2_2_0000000007"/>
      <w:r>
        <w:rPr>
          <w:rFonts w:ascii="方正小标宋_GBK" w:hAnsi="方正小标宋_GBK" w:eastAsia="方正小标宋_GBK" w:cs="方正小标宋_GBK"/>
          <w:color w:val="000000"/>
          <w:sz w:val="32"/>
        </w:rPr>
        <w:t>部门政府采购预算</w:t>
      </w:r>
      <w:bookmarkEnd w:id="15"/>
    </w:p>
    <w:tbl>
      <w:tblPr>
        <w:tblStyle w:val="1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5"/>
            </w:pPr>
            <w:r>
              <w:t>360保定市徐水区教育和体育局</w:t>
            </w:r>
          </w:p>
        </w:tc>
        <w:tc>
          <w:tcPr>
            <w:tcW w:w="8674" w:type="dxa"/>
            <w:gridSpan w:val="9"/>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26"/>
            </w:pPr>
            <w:r>
              <w:t>政府采购项目来源</w:t>
            </w:r>
          </w:p>
        </w:tc>
        <w:tc>
          <w:tcPr>
            <w:tcW w:w="1134" w:type="dxa"/>
            <w:vMerge w:val="restart"/>
            <w:vAlign w:val="center"/>
          </w:tcPr>
          <w:p>
            <w:pPr>
              <w:pStyle w:val="26"/>
            </w:pPr>
            <w:r>
              <w:t>采购物品名称</w:t>
            </w:r>
          </w:p>
        </w:tc>
        <w:tc>
          <w:tcPr>
            <w:tcW w:w="1134" w:type="dxa"/>
            <w:vMerge w:val="restart"/>
            <w:vAlign w:val="center"/>
          </w:tcPr>
          <w:p>
            <w:pPr>
              <w:pStyle w:val="26"/>
            </w:pPr>
            <w:r>
              <w:t>政府采购目录序号</w:t>
            </w:r>
          </w:p>
        </w:tc>
        <w:tc>
          <w:tcPr>
            <w:tcW w:w="709" w:type="dxa"/>
            <w:vMerge w:val="restart"/>
            <w:vAlign w:val="center"/>
          </w:tcPr>
          <w:p>
            <w:pPr>
              <w:pStyle w:val="26"/>
            </w:pPr>
            <w:r>
              <w:t>计量  单位</w:t>
            </w:r>
          </w:p>
        </w:tc>
        <w:tc>
          <w:tcPr>
            <w:tcW w:w="850" w:type="dxa"/>
            <w:vMerge w:val="restart"/>
            <w:vAlign w:val="center"/>
          </w:tcPr>
          <w:p>
            <w:pPr>
              <w:pStyle w:val="26"/>
            </w:pPr>
            <w:r>
              <w:t>数量</w:t>
            </w:r>
          </w:p>
        </w:tc>
        <w:tc>
          <w:tcPr>
            <w:tcW w:w="850" w:type="dxa"/>
            <w:vMerge w:val="restart"/>
            <w:vAlign w:val="center"/>
          </w:tcPr>
          <w:p>
            <w:pPr>
              <w:pStyle w:val="26"/>
            </w:pPr>
            <w:r>
              <w:t>单价</w:t>
            </w:r>
          </w:p>
        </w:tc>
        <w:tc>
          <w:tcPr>
            <w:tcW w:w="7710" w:type="dxa"/>
            <w:gridSpan w:val="8"/>
            <w:vAlign w:val="center"/>
          </w:tcPr>
          <w:p>
            <w:pPr>
              <w:pStyle w:val="26"/>
            </w:pPr>
            <w:r>
              <w:t>政府采购金额（当年部门预算安排资金）</w:t>
            </w:r>
          </w:p>
        </w:tc>
        <w:tc>
          <w:tcPr>
            <w:tcW w:w="964" w:type="dxa"/>
            <w:vMerge w:val="restart"/>
            <w:vAlign w:val="center"/>
          </w:tcPr>
          <w:p>
            <w:pPr>
              <w:pStyle w:val="26"/>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26"/>
            </w:pPr>
            <w:r>
              <w:t>项目名称</w:t>
            </w:r>
          </w:p>
        </w:tc>
        <w:tc>
          <w:tcPr>
            <w:tcW w:w="964" w:type="dxa"/>
            <w:vAlign w:val="center"/>
          </w:tcPr>
          <w:p>
            <w:pPr>
              <w:pStyle w:val="26"/>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26"/>
            </w:pPr>
            <w:r>
              <w:t>合计</w:t>
            </w:r>
          </w:p>
        </w:tc>
        <w:tc>
          <w:tcPr>
            <w:tcW w:w="964" w:type="dxa"/>
            <w:vAlign w:val="center"/>
          </w:tcPr>
          <w:p>
            <w:pPr>
              <w:pStyle w:val="26"/>
            </w:pPr>
            <w:r>
              <w:t>一般公共预算拨款</w:t>
            </w:r>
          </w:p>
        </w:tc>
        <w:tc>
          <w:tcPr>
            <w:tcW w:w="964" w:type="dxa"/>
            <w:vAlign w:val="center"/>
          </w:tcPr>
          <w:p>
            <w:pPr>
              <w:pStyle w:val="26"/>
            </w:pPr>
            <w:r>
              <w:t>基金预算拨款</w:t>
            </w:r>
          </w:p>
        </w:tc>
        <w:tc>
          <w:tcPr>
            <w:tcW w:w="964" w:type="dxa"/>
            <w:vAlign w:val="center"/>
          </w:tcPr>
          <w:p>
            <w:pPr>
              <w:pStyle w:val="26"/>
            </w:pPr>
            <w:r>
              <w:t>国有资本经营预算拨款</w:t>
            </w:r>
          </w:p>
        </w:tc>
        <w:tc>
          <w:tcPr>
            <w:tcW w:w="964" w:type="dxa"/>
            <w:vAlign w:val="center"/>
          </w:tcPr>
          <w:p>
            <w:pPr>
              <w:pStyle w:val="26"/>
            </w:pPr>
            <w:r>
              <w:t>财政专户核拨</w:t>
            </w:r>
          </w:p>
        </w:tc>
        <w:tc>
          <w:tcPr>
            <w:tcW w:w="964" w:type="dxa"/>
            <w:vAlign w:val="center"/>
          </w:tcPr>
          <w:p>
            <w:pPr>
              <w:pStyle w:val="26"/>
            </w:pPr>
            <w:r>
              <w:t>单位    资金</w:t>
            </w:r>
          </w:p>
        </w:tc>
        <w:tc>
          <w:tcPr>
            <w:tcW w:w="964" w:type="dxa"/>
            <w:vAlign w:val="center"/>
          </w:tcPr>
          <w:p>
            <w:pPr>
              <w:pStyle w:val="26"/>
            </w:pPr>
            <w:r>
              <w:t>财政拨    款结转</w:t>
            </w:r>
          </w:p>
        </w:tc>
        <w:tc>
          <w:tcPr>
            <w:tcW w:w="964" w:type="dxa"/>
            <w:vAlign w:val="center"/>
          </w:tcPr>
          <w:p>
            <w:pPr>
              <w:pStyle w:val="26"/>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30"/>
            </w:pPr>
            <w:r>
              <w:t>合  计</w:t>
            </w:r>
          </w:p>
        </w:tc>
        <w:tc>
          <w:tcPr>
            <w:tcW w:w="964" w:type="dxa"/>
            <w:vAlign w:val="center"/>
          </w:tcPr>
          <w:p>
            <w:pPr>
              <w:pStyle w:val="31"/>
            </w:pPr>
          </w:p>
        </w:tc>
        <w:tc>
          <w:tcPr>
            <w:tcW w:w="1134" w:type="dxa"/>
            <w:vAlign w:val="center"/>
          </w:tcPr>
          <w:p>
            <w:pPr>
              <w:pStyle w:val="32"/>
            </w:pPr>
          </w:p>
        </w:tc>
        <w:tc>
          <w:tcPr>
            <w:tcW w:w="1134" w:type="dxa"/>
            <w:vAlign w:val="center"/>
          </w:tcPr>
          <w:p>
            <w:pPr>
              <w:pStyle w:val="32"/>
            </w:pPr>
          </w:p>
        </w:tc>
        <w:tc>
          <w:tcPr>
            <w:tcW w:w="709" w:type="dxa"/>
            <w:vAlign w:val="center"/>
          </w:tcPr>
          <w:p>
            <w:pPr>
              <w:pStyle w:val="30"/>
            </w:pPr>
          </w:p>
        </w:tc>
        <w:tc>
          <w:tcPr>
            <w:tcW w:w="850" w:type="dxa"/>
            <w:vAlign w:val="center"/>
          </w:tcPr>
          <w:p>
            <w:pPr>
              <w:pStyle w:val="31"/>
            </w:pPr>
          </w:p>
        </w:tc>
        <w:tc>
          <w:tcPr>
            <w:tcW w:w="850"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30"/>
            </w:pPr>
            <w:r>
              <w:t>保定市徐水区教育和体育局（</w:t>
            </w:r>
            <w:r>
              <w:rPr>
                <w:rFonts w:hint="eastAsia"/>
                <w:lang w:eastAsia="zh-CN"/>
              </w:rPr>
              <w:t>本级</w:t>
            </w:r>
            <w:r>
              <w:t>）</w:t>
            </w:r>
          </w:p>
        </w:tc>
        <w:tc>
          <w:tcPr>
            <w:tcW w:w="964" w:type="dxa"/>
            <w:vAlign w:val="center"/>
          </w:tcPr>
          <w:p>
            <w:pPr>
              <w:pStyle w:val="31"/>
            </w:pPr>
          </w:p>
        </w:tc>
        <w:tc>
          <w:tcPr>
            <w:tcW w:w="1134" w:type="dxa"/>
            <w:vAlign w:val="center"/>
          </w:tcPr>
          <w:p>
            <w:pPr>
              <w:pStyle w:val="32"/>
            </w:pPr>
          </w:p>
        </w:tc>
        <w:tc>
          <w:tcPr>
            <w:tcW w:w="1134" w:type="dxa"/>
            <w:vAlign w:val="center"/>
          </w:tcPr>
          <w:p>
            <w:pPr>
              <w:pStyle w:val="32"/>
            </w:pPr>
          </w:p>
        </w:tc>
        <w:tc>
          <w:tcPr>
            <w:tcW w:w="709" w:type="dxa"/>
            <w:vAlign w:val="center"/>
          </w:tcPr>
          <w:p>
            <w:pPr>
              <w:pStyle w:val="30"/>
            </w:pPr>
          </w:p>
        </w:tc>
        <w:tc>
          <w:tcPr>
            <w:tcW w:w="850" w:type="dxa"/>
            <w:vAlign w:val="center"/>
          </w:tcPr>
          <w:p>
            <w:pPr>
              <w:pStyle w:val="31"/>
            </w:pPr>
          </w:p>
        </w:tc>
        <w:tc>
          <w:tcPr>
            <w:tcW w:w="850"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8"/>
            </w:pPr>
          </w:p>
        </w:tc>
        <w:tc>
          <w:tcPr>
            <w:tcW w:w="964" w:type="dxa"/>
            <w:vAlign w:val="center"/>
          </w:tcPr>
          <w:p>
            <w:pPr>
              <w:pStyle w:val="27"/>
            </w:pPr>
          </w:p>
        </w:tc>
        <w:tc>
          <w:tcPr>
            <w:tcW w:w="1134" w:type="dxa"/>
            <w:vAlign w:val="center"/>
          </w:tcPr>
          <w:p>
            <w:pPr>
              <w:pStyle w:val="28"/>
            </w:pPr>
          </w:p>
        </w:tc>
        <w:tc>
          <w:tcPr>
            <w:tcW w:w="1134" w:type="dxa"/>
            <w:vAlign w:val="center"/>
          </w:tcPr>
          <w:p>
            <w:pPr>
              <w:pStyle w:val="28"/>
            </w:pPr>
          </w:p>
        </w:tc>
        <w:tc>
          <w:tcPr>
            <w:tcW w:w="709" w:type="dxa"/>
            <w:vAlign w:val="center"/>
          </w:tcPr>
          <w:p>
            <w:pPr>
              <w:pStyle w:val="29"/>
            </w:pPr>
          </w:p>
        </w:tc>
        <w:tc>
          <w:tcPr>
            <w:tcW w:w="850" w:type="dxa"/>
            <w:vAlign w:val="center"/>
          </w:tcPr>
          <w:p>
            <w:pPr>
              <w:pStyle w:val="27"/>
            </w:pPr>
          </w:p>
        </w:tc>
        <w:tc>
          <w:tcPr>
            <w:tcW w:w="850"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w:t>
      </w:r>
      <w:r>
        <w:rPr>
          <w:rFonts w:ascii="仿宋" w:hAnsi="仿宋" w:eastAsia="仿宋"/>
          <w:sz w:val="32"/>
          <w:szCs w:val="32"/>
        </w:rPr>
        <w:t>536.4</w:t>
      </w:r>
      <w:r>
        <w:rPr>
          <w:rFonts w:hint="eastAsia" w:ascii="仿宋" w:hAnsi="仿宋" w:eastAsia="仿宋"/>
          <w:sz w:val="32"/>
          <w:szCs w:val="32"/>
        </w:rPr>
        <w:t>万元（详见下表）。</w:t>
      </w:r>
      <w:r>
        <w:rPr>
          <w:rFonts w:ascii="仿宋" w:hAnsi="仿宋" w:eastAsia="仿宋"/>
          <w:sz w:val="32"/>
          <w:szCs w:val="32"/>
        </w:rPr>
        <w:t xml:space="preserve"> 本年度</w:t>
      </w:r>
      <w:r>
        <w:rPr>
          <w:rFonts w:hint="eastAsia" w:ascii="仿宋" w:hAnsi="仿宋" w:eastAsia="仿宋"/>
          <w:sz w:val="32"/>
          <w:szCs w:val="32"/>
        </w:rPr>
        <w:t>我部门本年度无国有资产购置计划，拟购置金额为</w:t>
      </w:r>
      <w:r>
        <w:rPr>
          <w:rFonts w:ascii="仿宋" w:hAnsi="仿宋" w:eastAsia="仿宋"/>
          <w:sz w:val="32"/>
          <w:szCs w:val="32"/>
        </w:rPr>
        <w:t>0。</w:t>
      </w:r>
    </w:p>
    <w:tbl>
      <w:tblPr>
        <w:tblStyle w:val="14"/>
        <w:tblW w:w="10084"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1172.02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334.92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1172.02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334.92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2253390"/>
    </w:sdtPr>
    <w:sdtContent>
      <w:p>
        <w:pPr>
          <w:pStyle w:val="7"/>
          <w:jc w:val="center"/>
        </w:pPr>
        <w:r>
          <w:fldChar w:fldCharType="begin"/>
        </w:r>
        <w:r>
          <w:instrText xml:space="preserve">PAGE   \* MERGEFORMAT</w:instrText>
        </w:r>
        <w:r>
          <w:fldChar w:fldCharType="separate"/>
        </w:r>
        <w:r>
          <w:rPr>
            <w:lang w:val="zh-CN"/>
          </w:rPr>
          <w:t>23</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7"/>
          <w:jc w:val="center"/>
        </w:pPr>
        <w:r>
          <w:fldChar w:fldCharType="begin"/>
        </w:r>
        <w:r>
          <w:instrText xml:space="preserve">PAGE   \* MERGEFORMAT</w:instrText>
        </w:r>
        <w:r>
          <w:fldChar w:fldCharType="separate"/>
        </w:r>
        <w:r>
          <w:rPr>
            <w:lang w:val="zh-CN"/>
          </w:rPr>
          <w:t>25</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55F1F"/>
    <w:rsid w:val="000577EF"/>
    <w:rsid w:val="00057F18"/>
    <w:rsid w:val="000A445D"/>
    <w:rsid w:val="000C178B"/>
    <w:rsid w:val="000E3A56"/>
    <w:rsid w:val="00131DEC"/>
    <w:rsid w:val="00136AB3"/>
    <w:rsid w:val="001462BD"/>
    <w:rsid w:val="00152380"/>
    <w:rsid w:val="001638BE"/>
    <w:rsid w:val="00164810"/>
    <w:rsid w:val="00172C7A"/>
    <w:rsid w:val="00181777"/>
    <w:rsid w:val="001B4688"/>
    <w:rsid w:val="001B6235"/>
    <w:rsid w:val="001F4875"/>
    <w:rsid w:val="00212335"/>
    <w:rsid w:val="00290445"/>
    <w:rsid w:val="002918C6"/>
    <w:rsid w:val="00291EF3"/>
    <w:rsid w:val="00296524"/>
    <w:rsid w:val="002A4355"/>
    <w:rsid w:val="002E01F6"/>
    <w:rsid w:val="002F1ACB"/>
    <w:rsid w:val="002F530F"/>
    <w:rsid w:val="00305E97"/>
    <w:rsid w:val="00310532"/>
    <w:rsid w:val="0032782B"/>
    <w:rsid w:val="00340B3D"/>
    <w:rsid w:val="0034253A"/>
    <w:rsid w:val="003669CF"/>
    <w:rsid w:val="00367A30"/>
    <w:rsid w:val="00374475"/>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32015"/>
    <w:rsid w:val="00641F8A"/>
    <w:rsid w:val="0066383B"/>
    <w:rsid w:val="006A6FA2"/>
    <w:rsid w:val="006B3983"/>
    <w:rsid w:val="006B5117"/>
    <w:rsid w:val="006C5779"/>
    <w:rsid w:val="006C62DF"/>
    <w:rsid w:val="006F5104"/>
    <w:rsid w:val="006F6549"/>
    <w:rsid w:val="00706545"/>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77"/>
    <w:rsid w:val="009A278A"/>
    <w:rsid w:val="009B6368"/>
    <w:rsid w:val="009F63C4"/>
    <w:rsid w:val="00A16957"/>
    <w:rsid w:val="00A3457D"/>
    <w:rsid w:val="00A6155C"/>
    <w:rsid w:val="00A8079E"/>
    <w:rsid w:val="00A90328"/>
    <w:rsid w:val="00A92D66"/>
    <w:rsid w:val="00AA4262"/>
    <w:rsid w:val="00AB5A90"/>
    <w:rsid w:val="00AB7449"/>
    <w:rsid w:val="00AE31F6"/>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C3514"/>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6865"/>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689117C1"/>
    <w:rsid w:val="690F2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toc 7"/>
    <w:basedOn w:val="1"/>
    <w:next w:val="1"/>
    <w:unhideWhenUsed/>
    <w:uiPriority w:val="39"/>
    <w:pPr>
      <w:ind w:left="2520" w:leftChars="1200"/>
    </w:pPr>
    <w:rPr>
      <w:rFonts w:ascii="等线" w:hAnsi="等线" w:eastAsia="等线" w:cs="Times New Roman"/>
    </w:rPr>
  </w:style>
  <w:style w:type="paragraph" w:styleId="3">
    <w:name w:val="toc 5"/>
    <w:basedOn w:val="1"/>
    <w:next w:val="1"/>
    <w:unhideWhenUsed/>
    <w:uiPriority w:val="39"/>
    <w:pPr>
      <w:ind w:left="1680" w:leftChars="800"/>
    </w:pPr>
    <w:rPr>
      <w:rFonts w:ascii="等线" w:hAnsi="等线" w:eastAsia="等线" w:cs="Times New Roman"/>
    </w:rPr>
  </w:style>
  <w:style w:type="paragraph" w:styleId="4">
    <w:name w:val="toc 3"/>
    <w:basedOn w:val="1"/>
    <w:next w:val="1"/>
    <w:unhideWhenUsed/>
    <w:uiPriority w:val="39"/>
    <w:pPr>
      <w:ind w:left="840" w:leftChars="400"/>
    </w:pPr>
    <w:rPr>
      <w:rFonts w:ascii="等线" w:hAnsi="等线" w:eastAsia="等线" w:cs="Times New Roman"/>
    </w:rPr>
  </w:style>
  <w:style w:type="paragraph" w:styleId="5">
    <w:name w:val="toc 8"/>
    <w:basedOn w:val="1"/>
    <w:next w:val="1"/>
    <w:unhideWhenUsed/>
    <w:uiPriority w:val="39"/>
    <w:pPr>
      <w:ind w:left="2940" w:leftChars="1400"/>
    </w:pPr>
    <w:rPr>
      <w:rFonts w:ascii="等线" w:hAnsi="等线" w:eastAsia="等线" w:cs="Times New Roman"/>
    </w:rPr>
  </w:style>
  <w:style w:type="paragraph" w:styleId="6">
    <w:name w:val="Balloon Text"/>
    <w:basedOn w:val="1"/>
    <w:link w:val="20"/>
    <w:semiHidden/>
    <w:unhideWhenUsed/>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rPr>
      <w:rFonts w:ascii="等线" w:hAnsi="等线" w:eastAsia="等线" w:cs="Times New Roman"/>
    </w:rPr>
  </w:style>
  <w:style w:type="paragraph" w:styleId="10">
    <w:name w:val="toc 4"/>
    <w:basedOn w:val="1"/>
    <w:next w:val="1"/>
    <w:unhideWhenUsed/>
    <w:uiPriority w:val="39"/>
    <w:pPr>
      <w:ind w:left="1260" w:leftChars="600"/>
    </w:pPr>
    <w:rPr>
      <w:rFonts w:ascii="等线" w:hAnsi="等线" w:eastAsia="等线" w:cs="Times New Roman"/>
    </w:rPr>
  </w:style>
  <w:style w:type="paragraph" w:styleId="11">
    <w:name w:val="toc 6"/>
    <w:basedOn w:val="1"/>
    <w:next w:val="1"/>
    <w:unhideWhenUsed/>
    <w:uiPriority w:val="39"/>
    <w:pPr>
      <w:ind w:left="2100" w:leftChars="1000"/>
    </w:pPr>
    <w:rPr>
      <w:rFonts w:ascii="等线" w:hAnsi="等线" w:eastAsia="等线" w:cs="Times New Roman"/>
    </w:rPr>
  </w:style>
  <w:style w:type="paragraph" w:styleId="12">
    <w:name w:val="toc 2"/>
    <w:basedOn w:val="1"/>
    <w:next w:val="1"/>
    <w:unhideWhenUsed/>
    <w:uiPriority w:val="39"/>
    <w:pPr>
      <w:ind w:left="420" w:leftChars="200"/>
    </w:pPr>
    <w:rPr>
      <w:rFonts w:ascii="等线" w:hAnsi="等线" w:eastAsia="等线" w:cs="Times New Roman"/>
    </w:rPr>
  </w:style>
  <w:style w:type="paragraph" w:styleId="13">
    <w:name w:val="toc 9"/>
    <w:basedOn w:val="1"/>
    <w:next w:val="1"/>
    <w:unhideWhenUsed/>
    <w:uiPriority w:val="39"/>
    <w:pPr>
      <w:ind w:left="3360" w:leftChars="1600"/>
    </w:pPr>
    <w:rPr>
      <w:rFonts w:ascii="等线" w:hAnsi="等线" w:eastAsia="等线" w:cs="Times New Roman"/>
    </w:rPr>
  </w:style>
  <w:style w:type="character" w:styleId="16">
    <w:name w:val="page number"/>
    <w:semiHidden/>
    <w:unhideWhenUsed/>
    <w:uiPriority w:val="99"/>
  </w:style>
  <w:style w:type="character" w:styleId="17">
    <w:name w:val="Hyperlink"/>
    <w:unhideWhenUsed/>
    <w:uiPriority w:val="99"/>
    <w:rPr>
      <w:color w:val="0563C1"/>
      <w:u w:val="single"/>
    </w:rPr>
  </w:style>
  <w:style w:type="character" w:customStyle="1" w:styleId="18">
    <w:name w:val="页眉 字符"/>
    <w:basedOn w:val="15"/>
    <w:link w:val="8"/>
    <w:uiPriority w:val="99"/>
    <w:rPr>
      <w:sz w:val="18"/>
      <w:szCs w:val="18"/>
    </w:rPr>
  </w:style>
  <w:style w:type="character" w:customStyle="1" w:styleId="19">
    <w:name w:val="页脚 字符"/>
    <w:basedOn w:val="15"/>
    <w:link w:val="7"/>
    <w:qFormat/>
    <w:uiPriority w:val="99"/>
    <w:rPr>
      <w:sz w:val="18"/>
      <w:szCs w:val="18"/>
    </w:rPr>
  </w:style>
  <w:style w:type="character" w:customStyle="1" w:styleId="20">
    <w:name w:val="批注框文本 字符"/>
    <w:basedOn w:val="15"/>
    <w:link w:val="6"/>
    <w:semiHidden/>
    <w:uiPriority w:val="99"/>
    <w:rPr>
      <w:sz w:val="18"/>
      <w:szCs w:val="18"/>
    </w:rPr>
  </w:style>
  <w:style w:type="paragraph" w:customStyle="1" w:styleId="2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4">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5">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6">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7">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28">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9">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30">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31">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32">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F60B52-CFDE-4B45-87D6-AA37EC3F4E4A}">
  <ds:schemaRefs/>
</ds:datastoreItem>
</file>

<file path=docProps/app.xml><?xml version="1.0" encoding="utf-8"?>
<Properties xmlns="http://schemas.openxmlformats.org/officeDocument/2006/extended-properties" xmlns:vt="http://schemas.openxmlformats.org/officeDocument/2006/docPropsVTypes">
  <Template>Normal</Template>
  <Pages>25</Pages>
  <Words>2102</Words>
  <Characters>11985</Characters>
  <Lines>99</Lines>
  <Paragraphs>28</Paragraphs>
  <TotalTime>1</TotalTime>
  <ScaleCrop>false</ScaleCrop>
  <LinksUpToDate>false</LinksUpToDate>
  <CharactersWithSpaces>14059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2022-08-31T09:52:00Z</dcterms:created>
  <dc:creator>Windows 用户</dc:creator>
  <cp:lastModifiedBy>lenovo</cp:lastModifiedBy>
  <cp:lastPrinted>2021-04-14T02:06:00Z</cp:lastPrinted>
  <dcterms:modified xsi:type="dcterms:W3CDTF">2023-11-16T03:12:48Z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13E3CA70F9C646C5BDC5280629282761</vt:lpwstr>
  </property>
</Properties>
</file>