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保定市徐水区漕河镇中心学校</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w:t>
      </w:r>
      <w:r>
        <w:rPr>
          <w:rFonts w:hint="eastAsia" w:ascii="仿宋" w:hAnsi="仿宋" w:eastAsia="仿宋"/>
          <w:sz w:val="32"/>
          <w:szCs w:val="32"/>
        </w:rPr>
        <w:t>漕河镇中心学校</w:t>
      </w:r>
      <w:r>
        <w:rPr>
          <w:rFonts w:ascii="仿宋" w:hAnsi="仿宋" w:eastAsia="仿宋"/>
          <w:sz w:val="32"/>
          <w:szCs w:val="32"/>
        </w:rPr>
        <w:t>职能配置、内设机构和人员编制规定》，保定市徐水区</w:t>
      </w:r>
      <w:r>
        <w:rPr>
          <w:rFonts w:hint="eastAsia" w:ascii="仿宋" w:hAnsi="仿宋" w:eastAsia="仿宋"/>
          <w:sz w:val="32"/>
          <w:szCs w:val="32"/>
        </w:rPr>
        <w:t>漕河镇中心学校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（一）贯彻落实教育和体育工作方针、政策、法律、法规，负责教育体制、办学体制、学校管理体制及城乡教育综合改革的统筹规划和协调指导；落实教育优先发展的战略地位，推动全</w:t>
      </w:r>
      <w:r>
        <w:rPr>
          <w:rFonts w:hint="eastAsia" w:ascii="仿宋" w:hAnsi="仿宋" w:eastAsia="仿宋"/>
          <w:sz w:val="32"/>
          <w:szCs w:val="32"/>
        </w:rPr>
        <w:t>镇</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（二）研究制定全</w:t>
      </w:r>
      <w:r>
        <w:rPr>
          <w:rFonts w:hint="eastAsia" w:ascii="仿宋" w:hAnsi="仿宋" w:eastAsia="仿宋"/>
          <w:sz w:val="32"/>
          <w:szCs w:val="32"/>
        </w:rPr>
        <w:t>镇</w:t>
      </w:r>
      <w:r>
        <w:rPr>
          <w:rFonts w:ascii="仿宋" w:hAnsi="仿宋" w:eastAsia="仿宋"/>
          <w:sz w:val="32"/>
          <w:szCs w:val="32"/>
        </w:rPr>
        <w:t>教育和体育工作的发展规划，统筹规划学枃布局和体育事业发展，在</w:t>
      </w:r>
      <w:r>
        <w:rPr>
          <w:rFonts w:hint="eastAsia" w:ascii="仿宋" w:hAnsi="仿宋" w:eastAsia="仿宋"/>
          <w:sz w:val="32"/>
          <w:szCs w:val="32"/>
        </w:rPr>
        <w:t>上级</w:t>
      </w:r>
      <w:r>
        <w:rPr>
          <w:rFonts w:ascii="仿宋" w:hAnsi="仿宋" w:eastAsia="仿宋"/>
          <w:sz w:val="32"/>
          <w:szCs w:val="32"/>
        </w:rPr>
        <w:t>规定的权限内承担各级各类学校设立、撤销、调整的上报工作。</w:t>
      </w:r>
    </w:p>
    <w:p>
      <w:pPr>
        <w:spacing w:line="360" w:lineRule="auto"/>
        <w:ind w:firstLine="640" w:firstLineChars="200"/>
        <w:rPr>
          <w:rFonts w:ascii="仿宋" w:hAnsi="仿宋" w:eastAsia="仿宋"/>
          <w:sz w:val="32"/>
          <w:szCs w:val="32"/>
        </w:rPr>
      </w:pPr>
      <w:r>
        <w:rPr>
          <w:rFonts w:ascii="仿宋" w:hAnsi="仿宋" w:eastAsia="仿宋"/>
          <w:sz w:val="32"/>
          <w:szCs w:val="32"/>
        </w:rPr>
        <w:t>（三）全面实施素质教育，指导推动教育教学和教育科研工作；负责全</w:t>
      </w:r>
      <w:r>
        <w:rPr>
          <w:rFonts w:hint="eastAsia" w:ascii="仿宋" w:hAnsi="仿宋" w:eastAsia="仿宋"/>
          <w:sz w:val="32"/>
          <w:szCs w:val="32"/>
        </w:rPr>
        <w:t>镇</w:t>
      </w:r>
      <w:r>
        <w:rPr>
          <w:rFonts w:ascii="仿宋" w:hAnsi="仿宋" w:eastAsia="仿宋"/>
          <w:sz w:val="32"/>
          <w:szCs w:val="32"/>
        </w:rPr>
        <w:t>义务教育、学前教育</w:t>
      </w:r>
      <w:r>
        <w:rPr>
          <w:rFonts w:hint="eastAsia" w:ascii="仿宋" w:hAnsi="仿宋" w:eastAsia="仿宋"/>
          <w:sz w:val="32"/>
          <w:szCs w:val="32"/>
        </w:rPr>
        <w:t>、</w:t>
      </w:r>
      <w:r>
        <w:rPr>
          <w:rFonts w:ascii="仿宋" w:hAnsi="仿宋" w:eastAsia="仿宋"/>
          <w:sz w:val="32"/>
          <w:szCs w:val="32"/>
        </w:rPr>
        <w:t>成人教育的宏观指导、综合管理与服务，对全</w:t>
      </w:r>
      <w:r>
        <w:rPr>
          <w:rFonts w:hint="eastAsia" w:ascii="仿宋" w:hAnsi="仿宋" w:eastAsia="仿宋"/>
          <w:sz w:val="32"/>
          <w:szCs w:val="32"/>
        </w:rPr>
        <w:t>镇</w:t>
      </w:r>
      <w:r>
        <w:rPr>
          <w:rFonts w:ascii="仿宋" w:hAnsi="仿宋" w:eastAsia="仿宋"/>
          <w:sz w:val="32"/>
          <w:szCs w:val="32"/>
        </w:rPr>
        <w:t>教育工作状况及办学水平进行监督、检查、评估、验收；负责组织各类招生考试工作。</w:t>
      </w:r>
    </w:p>
    <w:p>
      <w:pPr>
        <w:spacing w:line="360" w:lineRule="auto"/>
        <w:ind w:firstLine="640" w:firstLineChars="200"/>
        <w:rPr>
          <w:rFonts w:ascii="仿宋" w:hAnsi="仿宋" w:eastAsia="仿宋"/>
          <w:sz w:val="32"/>
          <w:szCs w:val="32"/>
        </w:rPr>
      </w:pPr>
      <w:r>
        <w:rPr>
          <w:rFonts w:ascii="仿宋" w:hAnsi="仿宋" w:eastAsia="仿宋"/>
          <w:sz w:val="32"/>
          <w:szCs w:val="32"/>
        </w:rPr>
        <w:t>（四）负责全</w:t>
      </w:r>
      <w:r>
        <w:rPr>
          <w:rFonts w:hint="eastAsia" w:ascii="仿宋" w:hAnsi="仿宋" w:eastAsia="仿宋"/>
          <w:sz w:val="32"/>
          <w:szCs w:val="32"/>
        </w:rPr>
        <w:t>镇</w:t>
      </w:r>
      <w:r>
        <w:rPr>
          <w:rFonts w:ascii="仿宋" w:hAnsi="仿宋" w:eastAsia="仿宋"/>
          <w:sz w:val="32"/>
          <w:szCs w:val="32"/>
        </w:rPr>
        <w:t>教育和体育系统队伍建设工作，负责人员招聘录用、工作调配、教育培训、职称评聘、评优评模、考核奖惩等工作；管理和指导师范类毕业生就业工作；负责实施教师资格制度工作；负责下属单位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ascii="仿宋" w:hAnsi="仿宋" w:eastAsia="仿宋"/>
          <w:sz w:val="32"/>
          <w:szCs w:val="32"/>
        </w:rPr>
        <w:t>（五）负责教育和体育经费统筹管理；负责教育和体育基建、设施设备及专项计划的审批和财务的管理、监督、审计工作；参与全</w:t>
      </w:r>
      <w:r>
        <w:rPr>
          <w:rFonts w:hint="eastAsia" w:ascii="仿宋" w:hAnsi="仿宋" w:eastAsia="仿宋"/>
          <w:sz w:val="32"/>
          <w:szCs w:val="32"/>
        </w:rPr>
        <w:t>镇</w:t>
      </w:r>
      <w:r>
        <w:rPr>
          <w:rFonts w:ascii="仿宋" w:hAnsi="仿宋" w:eastAsia="仿宋"/>
          <w:sz w:val="32"/>
          <w:szCs w:val="32"/>
        </w:rPr>
        <w:t>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（六）指导全</w:t>
      </w:r>
      <w:r>
        <w:rPr>
          <w:rFonts w:hint="eastAsia" w:ascii="仿宋" w:hAnsi="仿宋" w:eastAsia="仿宋"/>
          <w:sz w:val="32"/>
          <w:szCs w:val="32"/>
        </w:rPr>
        <w:t>镇</w:t>
      </w:r>
      <w:r>
        <w:rPr>
          <w:rFonts w:ascii="仿宋" w:hAnsi="仿宋" w:eastAsia="仿宋"/>
          <w:sz w:val="32"/>
          <w:szCs w:val="32"/>
        </w:rPr>
        <w:t>学校的德育、智育、体育、美育、劳动、国防和安全教育工作；负责教育和体育系统党的建设工作，指导工会、共青团、妇女工作；负责教育和体育系统的安全稳定及综合治理工作。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（七）负责全</w:t>
      </w:r>
      <w:r>
        <w:rPr>
          <w:rFonts w:hint="eastAsia" w:ascii="仿宋" w:hAnsi="仿宋" w:eastAsia="仿宋"/>
          <w:sz w:val="32"/>
          <w:szCs w:val="32"/>
        </w:rPr>
        <w:t>镇</w:t>
      </w:r>
      <w:r>
        <w:rPr>
          <w:rFonts w:ascii="仿宋" w:hAnsi="仿宋" w:eastAsia="仿宋"/>
          <w:sz w:val="32"/>
          <w:szCs w:val="32"/>
        </w:rPr>
        <w:t>体育竞赛、竞技运动项目的设置和布局；参与规划、实施</w:t>
      </w:r>
      <w:r>
        <w:rPr>
          <w:rFonts w:hint="eastAsia" w:ascii="仿宋" w:hAnsi="仿宋" w:eastAsia="仿宋"/>
          <w:sz w:val="32"/>
          <w:szCs w:val="32"/>
        </w:rPr>
        <w:t>镇</w:t>
      </w:r>
      <w:r>
        <w:rPr>
          <w:rFonts w:ascii="仿宋" w:hAnsi="仿宋" w:eastAsia="仿宋"/>
          <w:sz w:val="32"/>
          <w:szCs w:val="32"/>
        </w:rPr>
        <w:t>重点体育设施建设，负责公共体育设施的监督管理工作；加强体育公共服务、促进多元体育服务体系建设；监督、指导体育彩票发行工作；负责全民健身工作，组织、指导、协调全</w:t>
      </w:r>
      <w:r>
        <w:rPr>
          <w:rFonts w:hint="eastAsia" w:ascii="仿宋" w:hAnsi="仿宋" w:eastAsia="仿宋"/>
          <w:sz w:val="32"/>
          <w:szCs w:val="32"/>
        </w:rPr>
        <w:t>镇</w:t>
      </w:r>
      <w:r>
        <w:rPr>
          <w:rFonts w:ascii="仿宋" w:hAnsi="仿宋" w:eastAsia="仿宋"/>
          <w:sz w:val="32"/>
          <w:szCs w:val="32"/>
        </w:rPr>
        <w:t>性重大体育活动；负责国有体育资产的管理、规划、开发和利用；统筹规划全</w:t>
      </w:r>
      <w:r>
        <w:rPr>
          <w:rFonts w:hint="eastAsia" w:ascii="仿宋" w:hAnsi="仿宋" w:eastAsia="仿宋"/>
          <w:sz w:val="32"/>
          <w:szCs w:val="32"/>
        </w:rPr>
        <w:t>镇</w:t>
      </w:r>
      <w:r>
        <w:rPr>
          <w:rFonts w:ascii="仿宋" w:hAnsi="仿宋" w:eastAsia="仿宋"/>
          <w:sz w:val="32"/>
          <w:szCs w:val="32"/>
        </w:rPr>
        <w:t>青少年体育发展，指导和推进青少年体育工作；指导体育管理人员、教练员、运动员队伍建设；负责组织开展反兴奋剂工作；</w:t>
      </w:r>
    </w:p>
    <w:p>
      <w:pPr>
        <w:spacing w:line="360" w:lineRule="auto"/>
        <w:ind w:firstLine="640" w:firstLineChars="200"/>
        <w:rPr>
          <w:rFonts w:ascii="仿宋" w:hAnsi="仿宋" w:eastAsia="仿宋"/>
          <w:sz w:val="32"/>
          <w:szCs w:val="32"/>
        </w:rPr>
      </w:pPr>
      <w:r>
        <w:rPr>
          <w:rFonts w:ascii="仿宋" w:hAnsi="仿宋" w:eastAsia="仿宋"/>
          <w:sz w:val="32"/>
          <w:szCs w:val="32"/>
        </w:rPr>
        <w:t>（八）负责全</w:t>
      </w:r>
      <w:r>
        <w:rPr>
          <w:rFonts w:hint="eastAsia" w:ascii="仿宋" w:hAnsi="仿宋" w:eastAsia="仿宋"/>
          <w:sz w:val="32"/>
          <w:szCs w:val="32"/>
        </w:rPr>
        <w:t>镇</w:t>
      </w:r>
      <w:r>
        <w:rPr>
          <w:rFonts w:ascii="仿宋" w:hAnsi="仿宋" w:eastAsia="仿宋"/>
          <w:sz w:val="32"/>
          <w:szCs w:val="32"/>
        </w:rPr>
        <w:t>语言文字工作，制订语言文字工作规划；组织协调并监督检查汉语和少数民族语言文字规范、标准的实施；指导推广普通话和普通话测试工作；负责社会用字规范管理。</w:t>
      </w:r>
    </w:p>
    <w:p>
      <w:pPr>
        <w:spacing w:line="360" w:lineRule="auto"/>
        <w:ind w:firstLine="640" w:firstLineChars="200"/>
        <w:rPr>
          <w:rFonts w:ascii="仿宋" w:hAnsi="仿宋" w:eastAsia="仿宋"/>
          <w:sz w:val="32"/>
          <w:szCs w:val="32"/>
        </w:rPr>
        <w:sectPr>
          <w:pgSz w:w="11900" w:h="16840"/>
          <w:pgMar w:top="1361" w:right="1020" w:bottom="1361" w:left="1020" w:header="720" w:footer="720" w:gutter="0"/>
          <w:pgNumType w:start="1"/>
          <w:cols w:space="720" w:num="1"/>
        </w:sectPr>
      </w:pPr>
      <w:r>
        <w:rPr>
          <w:rFonts w:ascii="仿宋" w:hAnsi="仿宋" w:eastAsia="仿宋"/>
          <w:sz w:val="32"/>
          <w:szCs w:val="32"/>
        </w:rPr>
        <w:t>（九）承办</w:t>
      </w:r>
      <w:r>
        <w:rPr>
          <w:rFonts w:hint="eastAsia" w:ascii="仿宋" w:hAnsi="仿宋" w:eastAsia="仿宋"/>
          <w:sz w:val="32"/>
          <w:szCs w:val="32"/>
        </w:rPr>
        <w:t>镇</w:t>
      </w:r>
      <w:r>
        <w:rPr>
          <w:rFonts w:ascii="仿宋" w:hAnsi="仿宋" w:eastAsia="仿宋"/>
          <w:sz w:val="32"/>
          <w:szCs w:val="32"/>
        </w:rPr>
        <w:t>委、</w:t>
      </w:r>
      <w:r>
        <w:rPr>
          <w:rFonts w:hint="eastAsia" w:ascii="仿宋" w:hAnsi="仿宋" w:eastAsia="仿宋"/>
          <w:sz w:val="32"/>
          <w:szCs w:val="32"/>
        </w:rPr>
        <w:t>镇</w:t>
      </w:r>
      <w:r>
        <w:rPr>
          <w:rFonts w:ascii="仿宋" w:hAnsi="仿宋" w:eastAsia="仿宋"/>
          <w:sz w:val="32"/>
          <w:szCs w:val="32"/>
        </w:rPr>
        <w:t>政府和上级教育行政单位交办的其他事</w:t>
      </w:r>
      <w:r>
        <w:rPr>
          <w:rFonts w:hint="eastAsia" w:ascii="仿宋" w:hAnsi="仿宋" w:eastAsia="仿宋"/>
          <w:sz w:val="32"/>
          <w:szCs w:val="32"/>
        </w:rPr>
        <w:t>。</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漕河镇中心学校</w:t>
            </w:r>
            <w:r>
              <w:rPr>
                <w:rFonts w:hint="eastAsia" w:ascii="仿宋_GB2312" w:hAnsi="仿宋" w:eastAsia="仿宋_GB2312"/>
                <w:bCs/>
                <w:sz w:val="24"/>
                <w:szCs w:val="24"/>
              </w:rPr>
              <w:t>（本</w:t>
            </w:r>
            <w:r>
              <w:rPr>
                <w:rFonts w:ascii="仿宋_GB2312" w:hAnsi="仿宋" w:eastAsia="仿宋_GB2312"/>
                <w:bCs/>
                <w:sz w:val="24"/>
                <w:szCs w:val="24"/>
              </w:rPr>
              <w:t>级</w:t>
            </w:r>
            <w:r>
              <w:rPr>
                <w:rFonts w:hint="eastAsia" w:ascii="仿宋_GB2312" w:hAnsi="仿宋" w:eastAsia="仿宋_GB2312"/>
                <w:bCs/>
                <w:sz w:val="24"/>
                <w:szCs w:val="24"/>
              </w:rPr>
              <w:t>）</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漕河镇第一小学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漕河镇第二小学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漕河镇漕河小学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漕河镇北楼小学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kern w:val="0"/>
                <w:sz w:val="24"/>
                <w:szCs w:val="24"/>
              </w:rPr>
              <w:t>6</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kern w:val="0"/>
                <w:sz w:val="24"/>
                <w:szCs w:val="24"/>
              </w:rPr>
              <w:t>漕河镇北庞村小学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kern w:val="0"/>
                <w:sz w:val="24"/>
                <w:szCs w:val="24"/>
              </w:rPr>
              <w:t>7</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漕河镇史各庄小学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漕河镇南留幼儿园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漕河镇勉家营幼儿园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漕河镇梁家营幼儿园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漕河镇东白亭幼儿园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1２</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漕河镇史各庄幼儿园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bl>
    <w:p>
      <w:pP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按照预算管理有关规定，目前我镇单位预算的编制实行综合预算制度，即全部收入和支出都反映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rPr>
          <w:rFonts w:ascii="仿宋" w:hAnsi="仿宋" w:eastAsia="仿宋"/>
          <w:b/>
          <w:sz w:val="32"/>
          <w:szCs w:val="32"/>
        </w:rPr>
      </w:pPr>
      <w:r>
        <w:rPr>
          <w:rFonts w:hint="eastAsia" w:ascii="仿宋" w:hAnsi="仿宋" w:eastAsia="仿宋"/>
          <w:b/>
          <w:sz w:val="32"/>
          <w:szCs w:val="32"/>
        </w:rPr>
        <w:t>一、收入说明</w:t>
      </w:r>
    </w:p>
    <w:p>
      <w:pPr>
        <w:rPr>
          <w:rFonts w:ascii="仿宋" w:hAnsi="仿宋" w:eastAsia="仿宋"/>
          <w:b/>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年预算收入为3774</w:t>
      </w:r>
      <w:r>
        <w:rPr>
          <w:rFonts w:hint="eastAsia" w:ascii="仿宋" w:hAnsi="仿宋" w:eastAsia="仿宋"/>
          <w:sz w:val="32"/>
          <w:szCs w:val="32"/>
        </w:rPr>
        <w:t>.</w:t>
      </w:r>
      <w:r>
        <w:rPr>
          <w:rFonts w:ascii="仿宋" w:hAnsi="仿宋" w:eastAsia="仿宋"/>
          <w:sz w:val="32"/>
          <w:szCs w:val="32"/>
        </w:rPr>
        <w:t>7655</w:t>
      </w:r>
      <w:r>
        <w:rPr>
          <w:rFonts w:hint="eastAsia" w:ascii="仿宋" w:hAnsi="仿宋" w:eastAsia="仿宋"/>
          <w:sz w:val="32"/>
          <w:szCs w:val="32"/>
        </w:rPr>
        <w:t>万</w:t>
      </w:r>
      <w:r>
        <w:rPr>
          <w:rFonts w:ascii="仿宋" w:hAnsi="仿宋" w:eastAsia="仿宋"/>
          <w:sz w:val="32"/>
          <w:szCs w:val="32"/>
        </w:rPr>
        <w:t>元,其中：一般公共预算收入3774</w:t>
      </w:r>
      <w:r>
        <w:rPr>
          <w:rFonts w:hint="eastAsia" w:ascii="仿宋" w:hAnsi="仿宋" w:eastAsia="仿宋"/>
          <w:sz w:val="32"/>
          <w:szCs w:val="32"/>
        </w:rPr>
        <w:t>.</w:t>
      </w:r>
      <w:r>
        <w:rPr>
          <w:rFonts w:ascii="仿宋" w:hAnsi="仿宋" w:eastAsia="仿宋"/>
          <w:sz w:val="32"/>
          <w:szCs w:val="32"/>
        </w:rPr>
        <w:t>7655</w:t>
      </w:r>
      <w:r>
        <w:rPr>
          <w:rFonts w:hint="eastAsia" w:ascii="仿宋" w:hAnsi="仿宋" w:eastAsia="仿宋"/>
          <w:sz w:val="32"/>
          <w:szCs w:val="32"/>
        </w:rPr>
        <w:t>万</w:t>
      </w:r>
      <w:r>
        <w:rPr>
          <w:rFonts w:ascii="仿宋" w:hAnsi="仿宋" w:eastAsia="仿宋"/>
          <w:sz w:val="32"/>
          <w:szCs w:val="32"/>
        </w:rPr>
        <w:t>元，基金预算收入</w:t>
      </w:r>
      <w:r>
        <w:rPr>
          <w:rFonts w:hint="eastAsia" w:ascii="仿宋" w:hAnsi="仿宋" w:eastAsia="仿宋"/>
          <w:sz w:val="32"/>
          <w:szCs w:val="32"/>
        </w:rPr>
        <w:t>0万</w:t>
      </w:r>
      <w:r>
        <w:rPr>
          <w:rFonts w:ascii="仿宋" w:hAnsi="仿宋" w:eastAsia="仿宋"/>
          <w:sz w:val="32"/>
          <w:szCs w:val="32"/>
        </w:rPr>
        <w:t>元，财政专户收入</w:t>
      </w:r>
      <w:r>
        <w:rPr>
          <w:rFonts w:hint="eastAsia" w:ascii="仿宋" w:hAnsi="仿宋" w:eastAsia="仿宋"/>
          <w:sz w:val="32"/>
          <w:szCs w:val="32"/>
        </w:rPr>
        <w:t>0万</w:t>
      </w:r>
      <w:r>
        <w:rPr>
          <w:rFonts w:ascii="仿宋" w:hAnsi="仿宋" w:eastAsia="仿宋"/>
          <w:sz w:val="32"/>
          <w:szCs w:val="32"/>
        </w:rPr>
        <w:t>元，其他来源收入</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年单位支出预算：3774</w:t>
      </w:r>
      <w:r>
        <w:rPr>
          <w:rFonts w:hint="eastAsia" w:ascii="仿宋" w:hAnsi="仿宋" w:eastAsia="仿宋"/>
          <w:sz w:val="32"/>
          <w:szCs w:val="32"/>
        </w:rPr>
        <w:t>.</w:t>
      </w:r>
      <w:r>
        <w:rPr>
          <w:rFonts w:ascii="仿宋" w:hAnsi="仿宋" w:eastAsia="仿宋"/>
          <w:sz w:val="32"/>
          <w:szCs w:val="32"/>
        </w:rPr>
        <w:t>7655</w:t>
      </w:r>
      <w:r>
        <w:rPr>
          <w:rFonts w:hint="eastAsia" w:ascii="仿宋" w:hAnsi="仿宋" w:eastAsia="仿宋"/>
          <w:sz w:val="32"/>
          <w:szCs w:val="32"/>
        </w:rPr>
        <w:t>万</w:t>
      </w:r>
      <w:r>
        <w:rPr>
          <w:rFonts w:ascii="仿宋" w:hAnsi="仿宋" w:eastAsia="仿宋"/>
          <w:sz w:val="32"/>
          <w:szCs w:val="32"/>
        </w:rPr>
        <w:t>元</w:t>
      </w:r>
    </w:p>
    <w:p>
      <w:pPr>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3136</w:t>
      </w:r>
      <w:r>
        <w:rPr>
          <w:rFonts w:hint="eastAsia" w:ascii="仿宋" w:hAnsi="仿宋" w:eastAsia="仿宋"/>
          <w:sz w:val="32"/>
          <w:szCs w:val="32"/>
        </w:rPr>
        <w:t>万元</w:t>
      </w:r>
    </w:p>
    <w:p>
      <w:pPr>
        <w:rPr>
          <w:rFonts w:ascii="仿宋" w:hAnsi="仿宋" w:eastAsia="仿宋"/>
          <w:sz w:val="32"/>
          <w:szCs w:val="32"/>
        </w:rPr>
      </w:pPr>
      <w:r>
        <w:rPr>
          <w:rFonts w:ascii="仿宋" w:hAnsi="仿宋" w:eastAsia="仿宋"/>
          <w:sz w:val="32"/>
          <w:szCs w:val="32"/>
        </w:rPr>
        <w:t xml:space="preserve">    其中：人员经费3063</w:t>
      </w:r>
      <w:r>
        <w:rPr>
          <w:rFonts w:hint="eastAsia" w:ascii="仿宋" w:hAnsi="仿宋" w:eastAsia="仿宋"/>
          <w:sz w:val="32"/>
          <w:szCs w:val="32"/>
        </w:rPr>
        <w:t>.</w:t>
      </w:r>
      <w:r>
        <w:rPr>
          <w:rFonts w:ascii="仿宋" w:hAnsi="仿宋" w:eastAsia="仿宋"/>
          <w:sz w:val="32"/>
          <w:szCs w:val="32"/>
        </w:rPr>
        <w:t>82</w:t>
      </w:r>
      <w:r>
        <w:rPr>
          <w:rFonts w:hint="eastAsia" w:ascii="仿宋" w:hAnsi="仿宋" w:eastAsia="仿宋"/>
          <w:sz w:val="32"/>
          <w:szCs w:val="32"/>
        </w:rPr>
        <w:t>万</w:t>
      </w:r>
      <w:r>
        <w:rPr>
          <w:rFonts w:ascii="仿宋" w:hAnsi="仿宋" w:eastAsia="仿宋"/>
          <w:sz w:val="32"/>
          <w:szCs w:val="32"/>
        </w:rPr>
        <w:t>元</w:t>
      </w:r>
    </w:p>
    <w:p>
      <w:pPr>
        <w:rPr>
          <w:rFonts w:ascii="仿宋" w:hAnsi="仿宋" w:eastAsia="仿宋"/>
          <w:sz w:val="32"/>
          <w:szCs w:val="32"/>
        </w:rPr>
      </w:pPr>
      <w:r>
        <w:rPr>
          <w:rFonts w:ascii="仿宋" w:hAnsi="仿宋" w:eastAsia="仿宋"/>
          <w:sz w:val="32"/>
          <w:szCs w:val="32"/>
        </w:rPr>
        <w:t xml:space="preserve">          日常公用经费72</w:t>
      </w:r>
      <w:r>
        <w:rPr>
          <w:rFonts w:hint="eastAsia" w:ascii="仿宋" w:hAnsi="仿宋" w:eastAsia="仿宋"/>
          <w:sz w:val="32"/>
          <w:szCs w:val="32"/>
        </w:rPr>
        <w:t>.</w:t>
      </w:r>
      <w:r>
        <w:rPr>
          <w:rFonts w:ascii="仿宋" w:hAnsi="仿宋" w:eastAsia="仿宋"/>
          <w:sz w:val="32"/>
          <w:szCs w:val="32"/>
        </w:rPr>
        <w:t>18</w:t>
      </w:r>
      <w:r>
        <w:rPr>
          <w:rFonts w:hint="eastAsia" w:ascii="仿宋" w:hAnsi="仿宋" w:eastAsia="仿宋"/>
          <w:sz w:val="32"/>
          <w:szCs w:val="32"/>
        </w:rPr>
        <w:t>万</w:t>
      </w:r>
      <w:r>
        <w:rPr>
          <w:rFonts w:ascii="仿宋" w:hAnsi="仿宋" w:eastAsia="仿宋"/>
          <w:sz w:val="32"/>
          <w:szCs w:val="32"/>
        </w:rPr>
        <w:t>元</w:t>
      </w:r>
    </w:p>
    <w:p>
      <w:pPr>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638</w:t>
      </w:r>
      <w:r>
        <w:rPr>
          <w:rFonts w:hint="eastAsia" w:ascii="仿宋" w:hAnsi="仿宋" w:eastAsia="仿宋"/>
          <w:sz w:val="32"/>
          <w:szCs w:val="32"/>
        </w:rPr>
        <w:t>.</w:t>
      </w:r>
      <w:r>
        <w:rPr>
          <w:rFonts w:ascii="仿宋" w:hAnsi="仿宋" w:eastAsia="仿宋"/>
          <w:sz w:val="32"/>
          <w:szCs w:val="32"/>
        </w:rPr>
        <w:t>7655</w:t>
      </w:r>
      <w:r>
        <w:rPr>
          <w:rFonts w:hint="eastAsia" w:ascii="仿宋" w:hAnsi="仿宋" w:eastAsia="仿宋"/>
          <w:sz w:val="32"/>
          <w:szCs w:val="32"/>
        </w:rPr>
        <w:t>万元</w:t>
      </w:r>
    </w:p>
    <w:p>
      <w:pPr>
        <w:rPr>
          <w:rFonts w:ascii="仿宋" w:hAnsi="仿宋" w:eastAsia="仿宋"/>
          <w:sz w:val="32"/>
          <w:szCs w:val="32"/>
        </w:rPr>
      </w:pPr>
      <w:r>
        <w:rPr>
          <w:rFonts w:ascii="仿宋" w:hAnsi="仿宋" w:eastAsia="仿宋"/>
          <w:sz w:val="32"/>
          <w:szCs w:val="32"/>
        </w:rPr>
        <w:t>其中：本级支出638</w:t>
      </w:r>
      <w:r>
        <w:rPr>
          <w:rFonts w:hint="eastAsia" w:ascii="仿宋" w:hAnsi="仿宋" w:eastAsia="仿宋"/>
          <w:sz w:val="32"/>
          <w:szCs w:val="32"/>
        </w:rPr>
        <w:t>.</w:t>
      </w:r>
      <w:r>
        <w:rPr>
          <w:rFonts w:ascii="仿宋" w:hAnsi="仿宋" w:eastAsia="仿宋"/>
          <w:sz w:val="32"/>
          <w:szCs w:val="32"/>
        </w:rPr>
        <w:t>7655</w:t>
      </w:r>
      <w:r>
        <w:rPr>
          <w:rFonts w:hint="eastAsia"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3774</w:t>
      </w:r>
      <w:r>
        <w:rPr>
          <w:rFonts w:hint="eastAsia" w:ascii="仿宋" w:hAnsi="仿宋" w:eastAsia="仿宋"/>
          <w:sz w:val="32"/>
          <w:szCs w:val="32"/>
        </w:rPr>
        <w:t>.</w:t>
      </w:r>
      <w:r>
        <w:rPr>
          <w:rFonts w:ascii="仿宋" w:hAnsi="仿宋" w:eastAsia="仿宋"/>
          <w:sz w:val="32"/>
          <w:szCs w:val="32"/>
        </w:rPr>
        <w:t>7655</w:t>
      </w:r>
      <w:r>
        <w:rPr>
          <w:rFonts w:hint="eastAsia" w:ascii="仿宋" w:hAnsi="仿宋" w:eastAsia="仿宋"/>
          <w:sz w:val="32"/>
          <w:szCs w:val="32"/>
        </w:rPr>
        <w:t>万元，较上年增加338.5155万元</w:t>
      </w:r>
      <w:r>
        <w:rPr>
          <w:rFonts w:ascii="仿宋" w:hAnsi="仿宋" w:eastAsia="仿宋"/>
          <w:sz w:val="32"/>
          <w:szCs w:val="32"/>
        </w:rPr>
        <w:t>。主要原因是</w:t>
      </w:r>
      <w:r>
        <w:rPr>
          <w:rFonts w:hint="eastAsia" w:ascii="仿宋" w:hAnsi="仿宋" w:eastAsia="仿宋"/>
          <w:sz w:val="32"/>
          <w:szCs w:val="32"/>
        </w:rPr>
        <w:t>人员较去年有所增加，工资调标增加</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第三部分：单位运行经费安排情况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年我单位运行经费安排</w:t>
      </w:r>
      <w:r>
        <w:rPr>
          <w:rFonts w:hint="eastAsia" w:ascii="仿宋" w:hAnsi="仿宋" w:eastAsia="仿宋"/>
          <w:sz w:val="32"/>
          <w:szCs w:val="32"/>
        </w:rPr>
        <w:t>72.18万元</w:t>
      </w:r>
      <w:r>
        <w:rPr>
          <w:rFonts w:ascii="仿宋" w:hAnsi="仿宋" w:eastAsia="仿宋"/>
          <w:sz w:val="32"/>
          <w:szCs w:val="32"/>
        </w:rPr>
        <w:t>，其中办公费</w:t>
      </w:r>
      <w:r>
        <w:rPr>
          <w:rFonts w:hint="eastAsia" w:ascii="仿宋" w:hAnsi="仿宋" w:eastAsia="仿宋"/>
          <w:sz w:val="32"/>
          <w:szCs w:val="32"/>
        </w:rPr>
        <w:t>3.6万元</w:t>
      </w:r>
      <w:r>
        <w:rPr>
          <w:rFonts w:ascii="仿宋" w:hAnsi="仿宋" w:eastAsia="仿宋"/>
          <w:sz w:val="32"/>
          <w:szCs w:val="32"/>
        </w:rPr>
        <w:t>，邮电费</w:t>
      </w:r>
      <w:r>
        <w:rPr>
          <w:rFonts w:hint="eastAsia" w:ascii="仿宋" w:hAnsi="仿宋" w:eastAsia="仿宋"/>
          <w:sz w:val="32"/>
          <w:szCs w:val="32"/>
        </w:rPr>
        <w:t>0万元</w:t>
      </w:r>
      <w:r>
        <w:rPr>
          <w:rFonts w:ascii="仿宋" w:hAnsi="仿宋" w:eastAsia="仿宋"/>
          <w:sz w:val="32"/>
          <w:szCs w:val="32"/>
        </w:rPr>
        <w:t>，工会经费</w:t>
      </w:r>
      <w:r>
        <w:rPr>
          <w:rFonts w:hint="eastAsia" w:ascii="仿宋" w:hAnsi="仿宋" w:eastAsia="仿宋"/>
          <w:sz w:val="32"/>
          <w:szCs w:val="32"/>
        </w:rPr>
        <w:t>28.82万元，</w:t>
      </w:r>
      <w:r>
        <w:rPr>
          <w:rFonts w:ascii="仿宋" w:hAnsi="仿宋" w:eastAsia="仿宋"/>
          <w:sz w:val="32"/>
          <w:szCs w:val="32"/>
        </w:rPr>
        <w:t>福利费</w:t>
      </w:r>
      <w:r>
        <w:rPr>
          <w:rFonts w:hint="eastAsia" w:ascii="仿宋" w:hAnsi="仿宋" w:eastAsia="仿宋"/>
          <w:sz w:val="32"/>
          <w:szCs w:val="32"/>
        </w:rPr>
        <w:t>20.55万元</w:t>
      </w:r>
      <w:r>
        <w:rPr>
          <w:rFonts w:ascii="仿宋" w:hAnsi="仿宋" w:eastAsia="仿宋"/>
          <w:sz w:val="32"/>
          <w:szCs w:val="32"/>
        </w:rPr>
        <w:t>，</w:t>
      </w:r>
      <w:r>
        <w:rPr>
          <w:rFonts w:hint="eastAsia" w:ascii="仿宋" w:hAnsi="仿宋" w:eastAsia="仿宋"/>
          <w:sz w:val="32"/>
          <w:szCs w:val="32"/>
        </w:rPr>
        <w:t>离退休干部经费19.21万元，</w:t>
      </w:r>
      <w:r>
        <w:rPr>
          <w:rFonts w:ascii="仿宋" w:hAnsi="仿宋" w:eastAsia="仿宋"/>
          <w:sz w:val="32"/>
          <w:szCs w:val="32"/>
        </w:rPr>
        <w:t>公务用车运行维护费</w:t>
      </w:r>
      <w:r>
        <w:rPr>
          <w:rFonts w:hint="eastAsia" w:ascii="仿宋" w:hAnsi="仿宋" w:eastAsia="仿宋"/>
          <w:sz w:val="32"/>
          <w:szCs w:val="32"/>
        </w:rPr>
        <w:t>0万元，</w:t>
      </w:r>
      <w:r>
        <w:rPr>
          <w:rFonts w:ascii="仿宋" w:hAnsi="仿宋" w:eastAsia="仿宋"/>
          <w:sz w:val="32"/>
          <w:szCs w:val="32"/>
        </w:rPr>
        <w:t>其他支出</w:t>
      </w:r>
      <w:r>
        <w:rPr>
          <w:rFonts w:hint="eastAsia" w:ascii="仿宋" w:hAnsi="仿宋" w:eastAsia="仿宋"/>
          <w:sz w:val="32"/>
          <w:szCs w:val="32"/>
        </w:rPr>
        <w:t>0万元</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p>
            <w:pPr>
              <w:rPr>
                <w:rFonts w:hint="eastAsia"/>
                <w:sz w:val="24"/>
              </w:rPr>
            </w:pPr>
            <w:r>
              <w:rPr>
                <w:sz w:val="24"/>
              </w:rPr>
              <w:t>2021</w:t>
            </w:r>
            <w:r>
              <w:rPr>
                <w:rFonts w:hint="eastAsia"/>
                <w:sz w:val="24"/>
              </w:rPr>
              <w:t>年</w:t>
            </w:r>
            <w:r>
              <w:rPr>
                <w:sz w:val="24"/>
              </w:rPr>
              <w:t>我单位无三公经费，空表列示。</w:t>
            </w:r>
          </w:p>
          <w:tbl>
            <w:tblPr>
              <w:tblStyle w:val="5"/>
              <w:tblW w:w="0" w:type="auto"/>
              <w:jc w:val="center"/>
              <w:tblLayout w:type="autofit"/>
              <w:tblCellMar>
                <w:top w:w="0" w:type="dxa"/>
                <w:left w:w="108" w:type="dxa"/>
                <w:bottom w:w="0" w:type="dxa"/>
                <w:right w:w="108" w:type="dxa"/>
              </w:tblCellMar>
            </w:tblPr>
            <w:tblGrid>
              <w:gridCol w:w="2136"/>
              <w:gridCol w:w="1724"/>
              <w:gridCol w:w="1724"/>
              <w:gridCol w:w="1180"/>
              <w:gridCol w:w="1416"/>
            </w:tblGrid>
            <w:tr>
              <w:tblPrEx>
                <w:tblCellMar>
                  <w:top w:w="0" w:type="dxa"/>
                  <w:left w:w="108" w:type="dxa"/>
                  <w:bottom w:w="0" w:type="dxa"/>
                  <w:right w:w="108" w:type="dxa"/>
                </w:tblCellMar>
              </w:tblPrEx>
              <w:trPr>
                <w:trHeight w:val="221" w:hRule="atLeast"/>
                <w:jc w:val="center"/>
              </w:trPr>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w:t>
                  </w:r>
                  <w:r>
                    <w:rPr>
                      <w:rFonts w:hint="eastAsia" w:ascii="仿宋_GB2312" w:hAnsi="宋体" w:eastAsia="仿宋_GB2312" w:cs="宋体"/>
                      <w:b/>
                      <w:kern w:val="0"/>
                      <w:sz w:val="24"/>
                      <w:szCs w:val="24"/>
                    </w:rPr>
                    <w:t>0年度预算</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w:t>
                  </w:r>
                  <w:r>
                    <w:rPr>
                      <w:rFonts w:hint="eastAsia" w:ascii="仿宋_GB2312" w:hAnsi="宋体" w:eastAsia="仿宋_GB2312" w:cs="宋体"/>
                      <w:b/>
                      <w:kern w:val="0"/>
                      <w:sz w:val="24"/>
                      <w:szCs w:val="24"/>
                    </w:rPr>
                    <w:t>1年度预算</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0" w:type="auto"/>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486"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549"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699"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676"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685" w:hRule="atLeast"/>
                <w:jc w:val="center"/>
              </w:trPr>
              <w:tc>
                <w:tcPr>
                  <w:tcW w:w="0" w:type="auto"/>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0" w:type="auto"/>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w:t>
                  </w:r>
                </w:p>
              </w:tc>
            </w:tr>
            <w:tr>
              <w:tblPrEx>
                <w:tblCellMar>
                  <w:top w:w="0" w:type="dxa"/>
                  <w:left w:w="108" w:type="dxa"/>
                  <w:bottom w:w="0" w:type="dxa"/>
                  <w:right w:w="108" w:type="dxa"/>
                </w:tblCellMar>
              </w:tblPrEx>
              <w:trPr>
                <w:trHeight w:val="285" w:hRule="atLeast"/>
                <w:jc w:val="center"/>
              </w:trPr>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c>
                <w:tcPr>
                  <w:tcW w:w="0" w:type="auto"/>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一、总体绩效目标</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w:t>
      </w:r>
      <w:r>
        <w:rPr>
          <w:rFonts w:hint="eastAsia" w:ascii="仿宋" w:hAnsi="仿宋" w:eastAsia="仿宋"/>
          <w:sz w:val="32"/>
          <w:szCs w:val="32"/>
        </w:rPr>
        <w:t>漕河镇</w:t>
      </w:r>
      <w:r>
        <w:rPr>
          <w:rFonts w:ascii="仿宋" w:hAnsi="仿宋" w:eastAsia="仿宋"/>
          <w:sz w:val="32"/>
          <w:szCs w:val="32"/>
        </w:rPr>
        <w:t>教育工作的总体目标是：高标准通过河北省第二轮对县级人民政府教育履职评价；推进义务教育优质均衡发展、学前教育普及普惠发展；强化民办义务教育规范管理，压减民办义务教育在校生规模占比；全力打造师德高尚的专业化教师队伍，持续推进教育基础设施建设，努力实现现代信息技术与教育教学深度融合，持之以恒地创建平安校园，强化教育高质量发展支撑保障；积极做好与山东杜郎口中学、西安铁一中的对接交流工作，推动育人课堂创建，加快建</w:t>
      </w:r>
      <w:r>
        <w:rPr>
          <w:rFonts w:hint="eastAsia" w:ascii="仿宋" w:hAnsi="仿宋" w:eastAsia="仿宋"/>
          <w:sz w:val="32"/>
          <w:szCs w:val="32"/>
        </w:rPr>
        <w:t>设教育强区，办好人民满意教育，以一流的工作业绩助推我镇教育工作在全市当先锋、做表率、走在前，以实际行动和优异成绩迎接党的二十大胜利召开。</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二、分项绩效目标</w:t>
      </w:r>
    </w:p>
    <w:p>
      <w:pPr>
        <w:spacing w:line="360" w:lineRule="auto"/>
        <w:ind w:firstLine="640" w:firstLineChars="200"/>
        <w:rPr>
          <w:rFonts w:ascii="仿宋" w:hAnsi="仿宋" w:eastAsia="仿宋"/>
          <w:sz w:val="32"/>
          <w:szCs w:val="32"/>
        </w:rPr>
      </w:pPr>
      <w:r>
        <w:rPr>
          <w:rFonts w:ascii="仿宋" w:hAnsi="仿宋" w:eastAsia="仿宋"/>
          <w:sz w:val="32"/>
          <w:szCs w:val="32"/>
        </w:rPr>
        <w:t>(一）全面加强思想政治建设。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绩效目标：把学习宣传贯彻习近平新时代中国特色社会主义思想作为首要政治任务，深入学习贯彻习近平总书记关于教育的重要论述。制定</w:t>
      </w: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w:t>
      </w:r>
      <w:r>
        <w:rPr>
          <w:rFonts w:hint="eastAsia" w:ascii="仿宋" w:hAnsi="仿宋" w:eastAsia="仿宋"/>
          <w:sz w:val="32"/>
          <w:szCs w:val="32"/>
        </w:rPr>
        <w:t>镇</w:t>
      </w:r>
      <w:r>
        <w:rPr>
          <w:rFonts w:ascii="仿宋" w:hAnsi="仿宋" w:eastAsia="仿宋"/>
          <w:sz w:val="32"/>
          <w:szCs w:val="32"/>
        </w:rPr>
        <w:t>委教育工委</w:t>
      </w:r>
      <w:r>
        <w:rPr>
          <w:rFonts w:hint="eastAsia" w:ascii="仿宋" w:hAnsi="仿宋" w:eastAsia="仿宋"/>
          <w:sz w:val="32"/>
          <w:szCs w:val="32"/>
          <w:lang w:eastAsia="zh-CN"/>
        </w:rPr>
        <w:t>理论学习中心组</w:t>
      </w:r>
      <w:r>
        <w:rPr>
          <w:rFonts w:ascii="仿宋" w:hAnsi="仿宋" w:eastAsia="仿宋"/>
          <w:sz w:val="32"/>
          <w:szCs w:val="32"/>
        </w:rPr>
        <w:t>学习方案，把习近平新时代中国特色社会主义思想和党的十九大、十九届历次全会和二十大精神纳入</w:t>
      </w:r>
      <w:r>
        <w:rPr>
          <w:rFonts w:hint="eastAsia" w:ascii="仿宋" w:hAnsi="仿宋" w:eastAsia="仿宋"/>
          <w:sz w:val="32"/>
          <w:szCs w:val="32"/>
          <w:lang w:eastAsia="zh-CN"/>
        </w:rPr>
        <w:t>理论学习中心组</w:t>
      </w:r>
      <w:bookmarkStart w:id="11" w:name="_GoBack"/>
      <w:bookmarkEnd w:id="11"/>
      <w:r>
        <w:rPr>
          <w:rFonts w:ascii="仿宋" w:hAnsi="仿宋" w:eastAsia="仿宋"/>
          <w:sz w:val="32"/>
          <w:szCs w:val="32"/>
        </w:rPr>
        <w:t>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w:t>
      </w:r>
      <w:r>
        <w:rPr>
          <w:rFonts w:hint="eastAsia" w:ascii="仿宋" w:hAnsi="仿宋" w:eastAsia="仿宋"/>
          <w:sz w:val="32"/>
          <w:szCs w:val="32"/>
        </w:rPr>
        <w:t>理论学习，用党的创新理论武装头脑、指导实践、推动工作。加强思想政治工作，推动思想政治理论课改革创新，实现全员育人、全程育人、全方位育人，不断提高工作能力和思想政治工作水平。</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（二）推动学前教育普及普惠发展。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绩效目标：建立乡镇级学前教育研训机构，充实学前教育研训队伍，提高幼儿园教科研水平，加强园本教研、区域教研，及时解决幼儿园教师在教育实践过程中的困惑和问题，促进我镇学前教育高质量发展。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绩效指标：在园幼儿数达到700</w:t>
      </w:r>
      <w:r>
        <w:rPr>
          <w:rFonts w:ascii="仿宋" w:hAnsi="仿宋" w:eastAsia="仿宋"/>
          <w:sz w:val="32"/>
          <w:szCs w:val="32"/>
        </w:rPr>
        <w:t>人，学前三年毛入园率达到90%，应享受学前教育资助政策的幼儿全部得到资助，受益幼儿园、家长满意度达到85%以上。</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（三）推动义务教育优质均衡发展。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绩效指标：统一城乡义务教育年生均公用经费标准：小学</w:t>
      </w:r>
      <w:r>
        <w:rPr>
          <w:rFonts w:ascii="仿宋" w:hAnsi="仿宋" w:eastAsia="仿宋"/>
          <w:sz w:val="32"/>
          <w:szCs w:val="32"/>
        </w:rPr>
        <w:t>735元（均含取暖费85元）。为农村义务教育学生和家庭经济困难学生免费提供教科书。所有城乡义务教育阶段学生免费发放教科书，教师、学生对保障机制的综合满意度≥90%。</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（四）不断加强干部队伍建设。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绩效目标：深入推进人事制度改革，切实增强干部能力素质。贯彻落实新时代党的组织路线，坚持正确用人导向，把讲政治、懂教育、善管理、敢担当的优秀党员干部选配到学校党组织岗位上来。</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绩效指标：每年参加培训的教师人数≥100</w:t>
      </w:r>
      <w:r>
        <w:rPr>
          <w:rFonts w:ascii="仿宋" w:hAnsi="仿宋" w:eastAsia="仿宋"/>
          <w:sz w:val="32"/>
          <w:szCs w:val="32"/>
        </w:rPr>
        <w:t>人</w:t>
      </w:r>
      <w:r>
        <w:rPr>
          <w:rFonts w:hint="eastAsia" w:ascii="仿宋" w:hAnsi="仿宋" w:eastAsia="仿宋"/>
          <w:sz w:val="32"/>
          <w:szCs w:val="32"/>
        </w:rPr>
        <w:t>，</w:t>
      </w:r>
      <w:r>
        <w:rPr>
          <w:rFonts w:ascii="仿宋" w:hAnsi="仿宋" w:eastAsia="仿宋"/>
          <w:sz w:val="32"/>
          <w:szCs w:val="32"/>
        </w:rPr>
        <w:t>学生、家长满意度情况≥90%。</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（七）推进学校体育深入开展。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w:t>
      </w:r>
      <w:r>
        <w:rPr>
          <w:rFonts w:ascii="仿宋" w:hAnsi="仿宋" w:eastAsia="仿宋"/>
          <w:sz w:val="32"/>
          <w:szCs w:val="32"/>
        </w:rPr>
        <w:t>1至2项运动技能。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绩效指标：落实学生“体育家庭作业”制度，确保参与体质健康测试率</w:t>
      </w:r>
      <w:r>
        <w:rPr>
          <w:rFonts w:ascii="仿宋" w:hAnsi="仿宋" w:eastAsia="仿宋"/>
          <w:sz w:val="32"/>
          <w:szCs w:val="32"/>
        </w:rPr>
        <w:t>95%以上，学校学生体检健康测试上报率100%。</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三、工作保障措施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（三）加强支出管理。督促指导下属单位加快项目执行进度，加快资金支出。严格按照年初预算支出计划加快履行政府采购手续，尽快启动项目，进行资金支付。</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（四）加强绩效运行监控。强化资金监管，指导各单位建立健全内控组织机构、机制建设和内部管理制度，加强对关键岗位人员管理，保证单位各项经济活动合法合规。</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（六）规范财务资产管理。进一步完善财务管理制度，严格资产采购审批手续，加强固定资产登记、使用及报废处置管理，做到支出合理，物尽其用。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（八）加强宣传培训力度。加强教育系统人员培训，提高全镇教育业务素养；加大宣传力度，强化绩效预算管理意识，促进绩效预算管理水平进一步提升。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0" w:name="_Toc71388552"/>
      <w:r>
        <w:rPr>
          <w:rFonts w:hint="eastAsia" w:ascii="方正仿宋_GBK" w:eastAsia="方正仿宋_GBK"/>
          <w:b/>
          <w:sz w:val="28"/>
        </w:rPr>
        <w:t>1</w:t>
      </w:r>
      <w:r>
        <w:rPr>
          <w:rFonts w:ascii="方正仿宋_GBK" w:eastAsia="方正仿宋_GBK"/>
          <w:b/>
          <w:sz w:val="28"/>
        </w:rPr>
        <w:t>.区自建乡村学校少年宫日常运转经费绩效目标表</w:t>
      </w:r>
      <w:bookmarkEnd w:id="0"/>
      <w:r>
        <w:rPr>
          <w:rFonts w:ascii="方正仿宋_GBK" w:eastAsia="方正仿宋_GBK"/>
          <w:b/>
          <w:sz w:val="28"/>
        </w:rPr>
        <w:fldChar w:fldCharType="begin"/>
      </w:r>
      <w:r>
        <w:rPr>
          <w:rFonts w:ascii="方正仿宋_GBK" w:eastAsia="方正仿宋_GBK"/>
          <w:b/>
          <w:sz w:val="28"/>
        </w:rPr>
        <w:instrText xml:space="preserve"> TC 249、区自建乡村学校少年宫日常运转经费绩效目标表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为完成本单位日常管理方面的费用开支，以及用于设备设施等维持性费用支出，和直接用于公务活动支出。</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p>
            <w:pPr>
              <w:spacing w:line="300" w:lineRule="exact"/>
              <w:jc w:val="left"/>
              <w:rPr>
                <w:rFonts w:ascii="方正书宋_GBK" w:eastAsia="方正书宋_GBK"/>
              </w:rPr>
            </w:pP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确保我单位日常教学管理方面工作的运行</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保障我单位设备设施的正常运转</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确保我单位少年宫活动的正常开展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553"/>
      <w:r>
        <w:rPr>
          <w:rFonts w:ascii="方正仿宋_GBK" w:eastAsia="方正仿宋_GBK"/>
          <w:b/>
          <w:sz w:val="28"/>
        </w:rPr>
        <w:t>2.提前下达2021年城乡义务教育保障机制改革市级资金-校舍维修改造资金（徐水区漕河镇第一小学操场改造）绩效目标表</w:t>
      </w:r>
      <w:bookmarkEnd w:id="1"/>
      <w:r>
        <w:rPr>
          <w:rFonts w:ascii="方正仿宋_GBK" w:eastAsia="方正仿宋_GBK"/>
          <w:b/>
          <w:sz w:val="28"/>
        </w:rPr>
        <w:fldChar w:fldCharType="begin"/>
      </w:r>
      <w:r>
        <w:rPr>
          <w:rFonts w:ascii="方正仿宋_GBK" w:eastAsia="方正仿宋_GBK"/>
          <w:b/>
          <w:sz w:val="28"/>
        </w:rPr>
        <w:instrText xml:space="preserve"> TC 250、提前下达2021年城乡义务教育保障机制改革市级资金-校舍维修改造资金（徐水区漕河镇第一小学操场改造）绩效目标表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130625218YDDKM7O2BSUE</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提前下达</w:t>
            </w:r>
            <w:r>
              <w:rPr>
                <w:rFonts w:ascii="方正书宋_GBK" w:eastAsia="方正书宋_GBK"/>
              </w:rPr>
              <w:t>2021</w:t>
            </w:r>
            <w:r>
              <w:rPr>
                <w:rFonts w:hint="eastAsia" w:ascii="宋体" w:hAnsi="宋体" w:eastAsia="宋体" w:cs="宋体"/>
              </w:rPr>
              <w:t>年城乡义务教育保障机制改革市级资金</w:t>
            </w:r>
            <w:r>
              <w:rPr>
                <w:rFonts w:ascii="方正书宋_GBK" w:eastAsia="方正书宋_GBK"/>
              </w:rPr>
              <w:t>-</w:t>
            </w:r>
            <w:r>
              <w:rPr>
                <w:rFonts w:hint="eastAsia" w:ascii="宋体" w:hAnsi="宋体" w:eastAsia="宋体" w:cs="宋体"/>
              </w:rPr>
              <w:t>校舍维修改造资金（徐水区漕河镇第一小学操场改造）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2050000.00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2050000.00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改善办学条件，美化校园环境，增加学生身体素质。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改善办学条件</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美化校园环境</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增加学生身体素质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按项目资金使用程度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554"/>
      <w:r>
        <w:rPr>
          <w:rFonts w:hint="eastAsia" w:ascii="方正仿宋_GBK" w:eastAsia="方正仿宋_GBK"/>
          <w:b/>
          <w:sz w:val="28"/>
        </w:rPr>
        <w:t>3</w:t>
      </w:r>
      <w:r>
        <w:rPr>
          <w:rFonts w:ascii="方正仿宋_GBK" w:eastAsia="方正仿宋_GBK"/>
          <w:b/>
          <w:sz w:val="28"/>
        </w:rPr>
        <w:t>.提前下达2021年城乡义务教育省级补助资金-困难学生生活补助绩效目标表</w:t>
      </w:r>
      <w:bookmarkEnd w:id="2"/>
      <w:r>
        <w:rPr>
          <w:rFonts w:ascii="方正仿宋_GBK" w:eastAsia="方正仿宋_GBK"/>
          <w:b/>
          <w:sz w:val="28"/>
        </w:rPr>
        <w:fldChar w:fldCharType="begin"/>
      </w:r>
      <w:r>
        <w:rPr>
          <w:rFonts w:ascii="方正仿宋_GBK" w:eastAsia="方正仿宋_GBK"/>
          <w:b/>
          <w:sz w:val="28"/>
        </w:rPr>
        <w:instrText xml:space="preserve"> TC 251、提前下达2021年城乡义务教育省级补助资金-困难学生生活补助绩效目标表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提前下达</w:t>
            </w:r>
            <w:r>
              <w:rPr>
                <w:rFonts w:ascii="方正书宋_GBK" w:eastAsia="方正书宋_GBK"/>
              </w:rPr>
              <w:t>2021</w:t>
            </w:r>
            <w:r>
              <w:rPr>
                <w:rFonts w:hint="eastAsia" w:ascii="宋体" w:hAnsi="宋体" w:eastAsia="宋体" w:cs="宋体"/>
              </w:rPr>
              <w:t>年城乡义务教育省级补助资金</w:t>
            </w:r>
            <w:r>
              <w:rPr>
                <w:rFonts w:ascii="方正书宋_GBK" w:eastAsia="方正书宋_GBK"/>
              </w:rPr>
              <w:t>-</w:t>
            </w:r>
            <w:r>
              <w:rPr>
                <w:rFonts w:hint="eastAsia" w:ascii="宋体" w:hAnsi="宋体" w:eastAsia="宋体" w:cs="宋体"/>
              </w:rPr>
              <w:t>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12500.00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12500.00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推进义务教育健康持续发展</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切实解决家庭经济困难学生就学</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555"/>
      <w:r>
        <w:rPr>
          <w:rFonts w:hint="eastAsia" w:ascii="方正仿宋_GBK" w:eastAsia="方正仿宋_GBK"/>
          <w:b/>
          <w:sz w:val="28"/>
        </w:rPr>
        <w:t>4</w:t>
      </w:r>
      <w:r>
        <w:rPr>
          <w:rFonts w:ascii="方正仿宋_GBK" w:eastAsia="方正仿宋_GBK"/>
          <w:b/>
          <w:sz w:val="28"/>
        </w:rPr>
        <w:t>.校园安保经费绩效目标表</w:t>
      </w:r>
      <w:bookmarkEnd w:id="3"/>
      <w:r>
        <w:rPr>
          <w:rFonts w:ascii="方正仿宋_GBK" w:eastAsia="方正仿宋_GBK"/>
          <w:b/>
          <w:sz w:val="28"/>
        </w:rPr>
        <w:fldChar w:fldCharType="begin"/>
      </w:r>
      <w:r>
        <w:rPr>
          <w:rFonts w:ascii="方正仿宋_GBK" w:eastAsia="方正仿宋_GBK"/>
          <w:b/>
          <w:sz w:val="28"/>
        </w:rPr>
        <w:instrText xml:space="preserve"> TC 252、校园安保经费绩效目标表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478800.00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478800.00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加强学校安全保卫工作，切实保障了师生生命、财产安全。</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维持正常教育教学秩序。</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绩效评价人数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556"/>
      <w:r>
        <w:rPr>
          <w:rFonts w:hint="eastAsia" w:ascii="方正仿宋_GBK" w:eastAsia="方正仿宋_GBK"/>
          <w:b/>
          <w:sz w:val="28"/>
        </w:rPr>
        <w:t>5</w:t>
      </w:r>
      <w:r>
        <w:rPr>
          <w:rFonts w:ascii="方正仿宋_GBK" w:eastAsia="方正仿宋_GBK"/>
          <w:b/>
          <w:sz w:val="28"/>
        </w:rPr>
        <w:t>.提前下达2021年城乡义务教育省级补助资金-公用经费绩效目标表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253、提前下达2021年城乡义务教育省级补助资金-公用经费绩效目标表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提前下达</w:t>
            </w:r>
            <w:r>
              <w:rPr>
                <w:rFonts w:ascii="方正书宋_GBK" w:eastAsia="方正书宋_GBK"/>
              </w:rPr>
              <w:t>2021</w:t>
            </w:r>
            <w:r>
              <w:rPr>
                <w:rFonts w:hint="eastAsia" w:ascii="宋体" w:hAnsi="宋体" w:eastAsia="宋体" w:cs="宋体"/>
              </w:rPr>
              <w:t>年城乡义务教育省级补助资金</w:t>
            </w:r>
            <w:r>
              <w:rPr>
                <w:rFonts w:ascii="方正书宋_GBK" w:eastAsia="方正书宋_GBK"/>
              </w:rPr>
              <w:t>-</w:t>
            </w:r>
            <w:r>
              <w:rPr>
                <w:rFonts w:hint="eastAsia" w:ascii="宋体" w:hAnsi="宋体" w:eastAsia="宋体" w:cs="宋体"/>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747642.00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747642.00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、规范全区中小学财务管理，能更好的促进我区教育事业又快又好发展。</w:t>
            </w:r>
            <w:r>
              <w:rPr>
                <w:rFonts w:ascii="方正书宋_GBK" w:eastAsia="方正书宋_GBK"/>
              </w:rPr>
              <w:t>2</w:t>
            </w:r>
            <w:r>
              <w:rPr>
                <w:rFonts w:hint="eastAsia" w:ascii="宋体" w:hAnsi="宋体" w:eastAsia="宋体" w:cs="宋体"/>
              </w:rPr>
              <w:t>、能加强财务监管，提高资金使用效益。</w:t>
            </w:r>
            <w:r>
              <w:rPr>
                <w:rFonts w:ascii="方正书宋_GBK" w:eastAsia="方正书宋_GBK"/>
              </w:rPr>
              <w:t>3</w:t>
            </w:r>
            <w:r>
              <w:rPr>
                <w:rFonts w:hint="eastAsia" w:ascii="宋体" w:hAnsi="宋体" w:eastAsia="宋体" w:cs="宋体"/>
              </w:rPr>
              <w:t>、能极大地减轻家长负担。</w:t>
            </w:r>
            <w:r>
              <w:rPr>
                <w:rFonts w:ascii="方正书宋_GBK" w:eastAsia="方正书宋_GBK"/>
              </w:rPr>
              <w:t>4</w:t>
            </w:r>
            <w:r>
              <w:rPr>
                <w:rFonts w:hint="eastAsia" w:ascii="宋体" w:hAnsi="宋体" w:eastAsia="宋体" w:cs="宋体"/>
              </w:rPr>
              <w:t>、教育政策性投入要求地方政府足额配套保障。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保障义务教育阶段学校能够正常运转</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保证所有义务教育学校均能享受义务教育公用经费</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加强财务监管，提高资金使用效益</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557"/>
      <w:r>
        <w:rPr>
          <w:rFonts w:hint="eastAsia" w:ascii="方正仿宋_GBK" w:eastAsia="方正仿宋_GBK"/>
          <w:b/>
          <w:sz w:val="28"/>
        </w:rPr>
        <w:t>6</w:t>
      </w:r>
      <w:r>
        <w:rPr>
          <w:rFonts w:ascii="方正仿宋_GBK" w:eastAsia="方正仿宋_GBK"/>
          <w:b/>
          <w:sz w:val="28"/>
        </w:rPr>
        <w:t>.关于提前下达2021年城乡义务教育中央补助经费预算（直达资金）-困难学生生活补助绩效目标表</w:t>
      </w:r>
      <w:bookmarkEnd w:id="5"/>
      <w:r>
        <w:rPr>
          <w:rFonts w:ascii="方正仿宋_GBK" w:eastAsia="方正仿宋_GBK"/>
          <w:b/>
          <w:sz w:val="28"/>
        </w:rPr>
        <w:fldChar w:fldCharType="begin"/>
      </w:r>
      <w:r>
        <w:rPr>
          <w:rFonts w:ascii="方正仿宋_GBK" w:eastAsia="方正仿宋_GBK"/>
          <w:b/>
          <w:sz w:val="28"/>
        </w:rPr>
        <w:instrText xml:space="preserve"> TC 254、关于提前下达2021年城乡义务教育中央补助经费预算（直达资金）-困难学生生活补助绩效目标表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关于提前下达</w:t>
            </w:r>
            <w:r>
              <w:rPr>
                <w:rFonts w:ascii="方正书宋_GBK" w:eastAsia="方正书宋_GBK"/>
              </w:rPr>
              <w:t>2021</w:t>
            </w:r>
            <w:r>
              <w:rPr>
                <w:rFonts w:hint="eastAsia" w:ascii="宋体" w:hAnsi="宋体" w:eastAsia="宋体" w:cs="宋体"/>
              </w:rPr>
              <w:t>年城乡义务教育中央补助经费预算（直达资金）</w:t>
            </w:r>
            <w:r>
              <w:rPr>
                <w:rFonts w:ascii="方正书宋_GBK" w:eastAsia="方正书宋_GBK"/>
              </w:rPr>
              <w:t>-</w:t>
            </w:r>
            <w:r>
              <w:rPr>
                <w:rFonts w:hint="eastAsia" w:ascii="宋体" w:hAnsi="宋体" w:eastAsia="宋体" w:cs="宋体"/>
              </w:rPr>
              <w:t>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17500.00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17500.00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推进义务教育健康持续发展</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切实解决家庭经济困难学生就学</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558"/>
      <w:r>
        <w:rPr>
          <w:rFonts w:hint="eastAsia" w:ascii="方正仿宋_GBK" w:eastAsia="方正仿宋_GBK"/>
          <w:b/>
          <w:sz w:val="28"/>
        </w:rPr>
        <w:t>7</w:t>
      </w:r>
      <w:r>
        <w:rPr>
          <w:rFonts w:ascii="方正仿宋_GBK" w:eastAsia="方正仿宋_GBK"/>
          <w:b/>
          <w:sz w:val="28"/>
        </w:rPr>
        <w:t>.义务教育阶段小学生营养改善计划地方试点区级资金绩效目标表</w:t>
      </w:r>
      <w:bookmarkEnd w:id="6"/>
      <w:r>
        <w:rPr>
          <w:rFonts w:ascii="方正仿宋_GBK" w:eastAsia="方正仿宋_GBK"/>
          <w:b/>
          <w:sz w:val="28"/>
        </w:rPr>
        <w:fldChar w:fldCharType="begin"/>
      </w:r>
      <w:r>
        <w:rPr>
          <w:rFonts w:ascii="方正仿宋_GBK" w:eastAsia="方正仿宋_GBK"/>
          <w:b/>
          <w:sz w:val="28"/>
        </w:rPr>
        <w:instrText xml:space="preserve"> TC 255、义务教育阶段小学生营养改善计划地方试点区级资金绩效目标表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360039</w:t>
            </w:r>
            <w:r>
              <w:rPr>
                <w:rFonts w:hint="eastAsia" w:ascii="宋体" w:hAnsi="宋体" w:eastAsia="宋体" w:cs="宋体"/>
                <w:b/>
              </w:rPr>
              <w:t>漕河镇中心学校（小学）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608750.00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608750.00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徐水区自</w:t>
            </w:r>
            <w:r>
              <w:rPr>
                <w:rFonts w:ascii="方正书宋_GBK" w:eastAsia="方正书宋_GBK"/>
              </w:rPr>
              <w:t>2019</w:t>
            </w:r>
            <w:r>
              <w:rPr>
                <w:rFonts w:hint="eastAsia" w:ascii="宋体" w:hAnsi="宋体" w:eastAsia="宋体" w:cs="宋体"/>
              </w:rPr>
              <w:t>年秋季开学起，在全区范围内实施义务教育阶段小学生营养改善计划地方试点，用于义务教育阶段小学生营养改善计划运行保障经费。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徐水区自</w:t>
            </w:r>
            <w:r>
              <w:rPr>
                <w:rFonts w:ascii="方正书宋_GBK" w:eastAsia="方正书宋_GBK"/>
              </w:rPr>
              <w:t>2019</w:t>
            </w:r>
            <w:r>
              <w:rPr>
                <w:rFonts w:hint="eastAsia" w:ascii="宋体" w:hAnsi="宋体" w:eastAsia="宋体" w:cs="宋体"/>
              </w:rPr>
              <w:t>年秋季开学起，在全区范围内实施义务教育阶段小学生营养改善计划地方试点</w:t>
            </w:r>
            <w:r>
              <w:rPr>
                <w:rFonts w:ascii="方正书宋_GBK" w:eastAsia="方正书宋_GBK"/>
              </w:rPr>
              <w:t xml:space="preserve"> </w:t>
            </w:r>
            <w:r>
              <w:rPr>
                <w:rFonts w:hint="eastAsia" w:ascii="宋体" w:hAnsi="宋体" w:eastAsia="宋体" w:cs="宋体"/>
              </w:rPr>
              <w:t>我乡实施营养餐改善计划</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每个小学生每天（工作日）一盒学生奶、一枚熟鸡蛋</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确保我乡营养餐工作正常开展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实发人数比率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考核完成率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支付及时率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预算控制数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559"/>
      <w:r>
        <w:rPr>
          <w:rFonts w:hint="eastAsia" w:ascii="方正仿宋_GBK" w:eastAsia="方正仿宋_GBK"/>
          <w:b/>
          <w:sz w:val="28"/>
        </w:rPr>
        <w:t>8</w:t>
      </w:r>
      <w:r>
        <w:rPr>
          <w:rFonts w:ascii="方正仿宋_GBK" w:eastAsia="方正仿宋_GBK"/>
          <w:b/>
          <w:sz w:val="28"/>
        </w:rPr>
        <w:t>.普惠性民办幼儿园生均公用经费绩效目标表</w:t>
      </w:r>
      <w:bookmarkEnd w:id="7"/>
      <w:r>
        <w:rPr>
          <w:rFonts w:ascii="方正仿宋_GBK" w:eastAsia="方正仿宋_GBK"/>
          <w:b/>
          <w:sz w:val="28"/>
        </w:rPr>
        <w:fldChar w:fldCharType="begin"/>
      </w:r>
      <w:r>
        <w:rPr>
          <w:rFonts w:ascii="方正仿宋_GBK" w:eastAsia="方正仿宋_GBK"/>
          <w:b/>
          <w:sz w:val="28"/>
        </w:rPr>
        <w:instrText xml:space="preserve"> TC 256、普惠性民办幼儿园生均公用经费绩效目标表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360040</w:t>
            </w:r>
            <w:r>
              <w:rPr>
                <w:rFonts w:hint="eastAsia" w:ascii="宋体" w:hAnsi="宋体" w:eastAsia="宋体" w:cs="宋体"/>
                <w:b/>
              </w:rPr>
              <w:t>漕河镇中心学校（幼儿园）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75200.00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75200.00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加强学校安全保卫工作，切实保障了师生生命、财产安全。</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维持正常教育教学秩序。</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绩效评价人数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560"/>
      <w:r>
        <w:rPr>
          <w:rFonts w:hint="eastAsia" w:ascii="方正仿宋_GBK" w:eastAsia="方正仿宋_GBK"/>
          <w:b/>
          <w:sz w:val="28"/>
        </w:rPr>
        <w:t>9</w:t>
      </w:r>
      <w:r>
        <w:rPr>
          <w:rFonts w:ascii="方正仿宋_GBK" w:eastAsia="方正仿宋_GBK"/>
          <w:b/>
          <w:sz w:val="28"/>
        </w:rPr>
        <w:t>.幼儿园生均公用经费绩效目标表</w:t>
      </w:r>
      <w:bookmarkEnd w:id="8"/>
      <w:r>
        <w:rPr>
          <w:rFonts w:ascii="方正仿宋_GBK" w:eastAsia="方正仿宋_GBK"/>
          <w:b/>
          <w:sz w:val="28"/>
        </w:rPr>
        <w:fldChar w:fldCharType="begin"/>
      </w:r>
      <w:r>
        <w:rPr>
          <w:rFonts w:ascii="方正仿宋_GBK" w:eastAsia="方正仿宋_GBK"/>
          <w:b/>
          <w:sz w:val="28"/>
        </w:rPr>
        <w:instrText xml:space="preserve"> TC 257、幼儿园生均公用经费绩效目标表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360040</w:t>
            </w:r>
            <w:r>
              <w:rPr>
                <w:rFonts w:hint="eastAsia" w:ascii="宋体" w:hAnsi="宋体" w:eastAsia="宋体" w:cs="宋体"/>
                <w:b/>
              </w:rPr>
              <w:t>漕河镇中心学校（幼儿园）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230800.00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230800.00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促进学前教育健康快速发展，提高幼儿园经费保障水平。</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确保幼儿园教育教学活动正常运转</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提高教育水平，提升教育质量。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561"/>
      <w:r>
        <w:rPr>
          <w:rFonts w:hint="eastAsia" w:ascii="方正仿宋_GBK" w:eastAsia="方正仿宋_GBK"/>
          <w:b/>
          <w:sz w:val="28"/>
        </w:rPr>
        <w:t>10</w:t>
      </w:r>
      <w:r>
        <w:rPr>
          <w:rFonts w:ascii="方正仿宋_GBK" w:eastAsia="方正仿宋_GBK"/>
          <w:b/>
          <w:sz w:val="28"/>
        </w:rPr>
        <w:t>.漕河镇幼儿园教育教学活动经费绩效目标表</w:t>
      </w:r>
      <w:bookmarkEnd w:id="9"/>
      <w:r>
        <w:rPr>
          <w:rFonts w:ascii="方正仿宋_GBK" w:eastAsia="方正仿宋_GBK"/>
          <w:b/>
          <w:sz w:val="28"/>
        </w:rPr>
        <w:fldChar w:fldCharType="begin"/>
      </w:r>
      <w:r>
        <w:rPr>
          <w:rFonts w:ascii="方正仿宋_GBK" w:eastAsia="方正仿宋_GBK"/>
          <w:b/>
          <w:sz w:val="28"/>
        </w:rPr>
        <w:instrText xml:space="preserve"> TC 258、漕河镇幼儿园教育教学活动经费绩效目标表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360040</w:t>
            </w:r>
            <w:r>
              <w:rPr>
                <w:rFonts w:hint="eastAsia" w:ascii="宋体" w:hAnsi="宋体" w:eastAsia="宋体" w:cs="宋体"/>
                <w:b/>
              </w:rPr>
              <w:t>漕河镇中心学校（幼儿园）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hint="eastAsia" w:ascii="宋体" w:hAnsi="宋体" w:eastAsia="宋体" w:cs="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13062521S6MMZDDVIM5GX</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hint="eastAsia" w:ascii="宋体" w:hAnsi="宋体" w:eastAsia="宋体" w:cs="宋体"/>
              </w:rPr>
              <w:t>漕河镇幼儿园教育教学活动经费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1015000.00</w:t>
            </w:r>
          </w:p>
        </w:tc>
        <w:tc>
          <w:tcPr>
            <w:tcW w:w="1587"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1015000.00</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hint="eastAsia" w:ascii="宋体" w:hAnsi="宋体" w:eastAsia="宋体" w:cs="宋体"/>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资金支出计划（</w:t>
            </w:r>
            <w:r>
              <w:rPr>
                <w:rFonts w:ascii="方正书宋_GBK" w:eastAsia="方正书宋_GBK"/>
                <w:b/>
              </w:rPr>
              <w:t>%</w:t>
            </w:r>
            <w:r>
              <w:rPr>
                <w:rFonts w:hint="eastAsia" w:ascii="宋体" w:hAnsi="宋体" w:eastAsia="宋体" w:cs="宋体"/>
                <w:b/>
              </w:rPr>
              <w:t>）</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w:t>
            </w:r>
            <w:r>
              <w:rPr>
                <w:rFonts w:hint="eastAsia" w:ascii="宋体" w:hAnsi="宋体" w:eastAsia="宋体" w:cs="宋体"/>
                <w:b/>
              </w:rPr>
              <w:t>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r>
              <w:rPr>
                <w:rFonts w:hint="eastAsia" w:ascii="宋体" w:hAnsi="宋体" w:eastAsia="宋体" w:cs="宋体"/>
                <w:b/>
              </w:rPr>
              <w:t>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r>
              <w:rPr>
                <w:rFonts w:hint="eastAsia" w:ascii="宋体" w:hAnsi="宋体" w:eastAsia="宋体" w:cs="宋体"/>
                <w:b/>
              </w:rPr>
              <w:t>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w:t>
            </w:r>
            <w:r>
              <w:rPr>
                <w:rFonts w:hint="eastAsia" w:ascii="宋体" w:hAnsi="宋体" w:eastAsia="宋体" w:cs="宋体"/>
                <w:b/>
              </w:rPr>
              <w:t>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宋体" w:hAnsi="宋体" w:eastAsia="宋体" w:cs="宋体"/>
              </w:rPr>
              <w:t>促进学前教育健康快速发展，提高幼儿园经费保障水平。</w:t>
            </w:r>
          </w:p>
          <w:p>
            <w:pPr>
              <w:spacing w:line="300" w:lineRule="exact"/>
              <w:jc w:val="left"/>
              <w:rPr>
                <w:rFonts w:ascii="方正书宋_GBK" w:eastAsia="方正书宋_GBK"/>
              </w:rPr>
            </w:pPr>
            <w:r>
              <w:rPr>
                <w:rFonts w:ascii="方正书宋_GBK" w:eastAsia="方正书宋_GBK"/>
              </w:rPr>
              <w:t>2.</w:t>
            </w:r>
            <w:r>
              <w:rPr>
                <w:rFonts w:hint="eastAsia" w:ascii="宋体" w:hAnsi="宋体" w:eastAsia="宋体" w:cs="宋体"/>
              </w:rPr>
              <w:t>确保幼儿园教育教学活动正常运转</w:t>
            </w:r>
          </w:p>
          <w:p>
            <w:pPr>
              <w:spacing w:line="300" w:lineRule="exact"/>
              <w:jc w:val="left"/>
              <w:rPr>
                <w:rFonts w:ascii="方正书宋_GBK" w:eastAsia="方正书宋_GBK"/>
              </w:rPr>
            </w:pPr>
            <w:r>
              <w:rPr>
                <w:rFonts w:ascii="方正书宋_GBK" w:eastAsia="方正书宋_GBK"/>
              </w:rPr>
              <w:t>3.</w:t>
            </w:r>
            <w:r>
              <w:rPr>
                <w:rFonts w:hint="eastAsia" w:ascii="宋体" w:hAnsi="宋体" w:eastAsia="宋体" w:cs="宋体"/>
              </w:rPr>
              <w:t>提高教育水平，提升教育质量。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一级指标</w:t>
            </w:r>
          </w:p>
        </w:tc>
        <w:tc>
          <w:tcPr>
            <w:tcW w:w="1134"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二级指标</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三级指标</w:t>
            </w:r>
          </w:p>
        </w:tc>
        <w:tc>
          <w:tcPr>
            <w:tcW w:w="289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w:t>
            </w:r>
          </w:p>
        </w:tc>
        <w:tc>
          <w:tcPr>
            <w:tcW w:w="1701" w:type="dxa"/>
            <w:shd w:val="clear" w:color="auto" w:fill="auto"/>
            <w:vAlign w:val="center"/>
          </w:tcPr>
          <w:p>
            <w:pPr>
              <w:spacing w:line="300" w:lineRule="exact"/>
              <w:jc w:val="center"/>
              <w:rPr>
                <w:rFonts w:ascii="方正书宋_GBK" w:eastAsia="方正书宋_GBK"/>
                <w:b/>
              </w:rPr>
            </w:pPr>
            <w:r>
              <w:rPr>
                <w:rFonts w:hint="eastAsia" w:ascii="宋体" w:hAnsi="宋体" w:eastAsia="宋体" w:cs="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hint="eastAsia" w:ascii="宋体" w:hAnsi="宋体" w:eastAsia="宋体" w:cs="宋体"/>
              </w:rPr>
              <w:t>产出指标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数量指标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绩效评价次数</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w:t>
            </w:r>
            <w:r>
              <w:rPr>
                <w:rFonts w:hint="eastAsia" w:ascii="宋体" w:hAnsi="宋体" w:eastAsia="宋体" w:cs="宋体"/>
              </w:rPr>
              <w:t>次</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质量指标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正常运行率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时效指标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控制资金支出</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成本指标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预算执行率</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hint="eastAsia" w:ascii="宋体" w:hAnsi="宋体" w:eastAsia="宋体" w:cs="宋体"/>
              </w:rPr>
              <w:t>效益指标</w:t>
            </w:r>
          </w:p>
        </w:tc>
        <w:tc>
          <w:tcPr>
            <w:tcW w:w="1134"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社会效益指标</w:t>
            </w:r>
          </w:p>
        </w:tc>
        <w:tc>
          <w:tcPr>
            <w:tcW w:w="1276"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社会影响力</w:t>
            </w:r>
          </w:p>
        </w:tc>
        <w:tc>
          <w:tcPr>
            <w:tcW w:w="289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hint="eastAsia" w:ascii="宋体" w:hAnsi="宋体" w:eastAsia="宋体" w:cs="宋体"/>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w:t>
      </w:r>
      <w:r>
        <w:rPr>
          <w:rFonts w:hint="eastAsia" w:ascii="仿宋" w:hAnsi="仿宋" w:eastAsia="仿宋"/>
          <w:sz w:val="32"/>
          <w:szCs w:val="32"/>
        </w:rPr>
        <w:t>单位</w:t>
      </w:r>
      <w:r>
        <w:rPr>
          <w:rFonts w:ascii="仿宋" w:hAnsi="仿宋" w:eastAsia="仿宋"/>
          <w:sz w:val="32"/>
          <w:szCs w:val="32"/>
        </w:rPr>
        <w:t>无政府采购预算，</w:t>
      </w:r>
      <w:r>
        <w:rPr>
          <w:rFonts w:hint="eastAsia" w:ascii="仿宋" w:hAnsi="仿宋" w:eastAsia="仿宋"/>
          <w:sz w:val="32"/>
          <w:szCs w:val="32"/>
        </w:rPr>
        <w:t>以</w:t>
      </w:r>
      <w:r>
        <w:rPr>
          <w:rFonts w:ascii="仿宋" w:hAnsi="仿宋" w:eastAsia="仿宋"/>
          <w:sz w:val="32"/>
          <w:szCs w:val="32"/>
        </w:rPr>
        <w:t>空表列示。</w:t>
      </w:r>
    </w:p>
    <w:p>
      <w:pPr>
        <w:outlineLvl w:val="0"/>
        <w:rPr>
          <w:rFonts w:ascii="方正书宋_GBK" w:eastAsia="方正书宋_GBK"/>
        </w:rPr>
      </w:pPr>
    </w:p>
    <w:tbl>
      <w:tblPr>
        <w:tblStyle w:val="5"/>
        <w:tblpPr w:leftFromText="180" w:rightFromText="180" w:vertAnchor="text" w:horzAnchor="margin" w:tblpXSpec="center" w:tblpY="562"/>
        <w:tblW w:w="1121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55"/>
        <w:gridCol w:w="567"/>
        <w:gridCol w:w="658"/>
        <w:gridCol w:w="465"/>
        <w:gridCol w:w="336"/>
        <w:gridCol w:w="567"/>
        <w:gridCol w:w="567"/>
        <w:gridCol w:w="567"/>
        <w:gridCol w:w="709"/>
        <w:gridCol w:w="709"/>
        <w:gridCol w:w="1041"/>
        <w:gridCol w:w="1134"/>
        <w:gridCol w:w="1085"/>
        <w:gridCol w:w="851"/>
        <w:gridCol w:w="899"/>
        <w:gridCol w:w="6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trPr>
        <w:tc>
          <w:tcPr>
            <w:tcW w:w="3615" w:type="dxa"/>
            <w:gridSpan w:val="7"/>
            <w:tcBorders>
              <w:top w:val="single" w:color="FFFFFF" w:sz="6" w:space="0"/>
              <w:left w:val="single" w:color="FFFFFF" w:sz="6" w:space="0"/>
              <w:right w:val="single" w:color="FFFFFF" w:sz="6" w:space="0"/>
            </w:tcBorders>
            <w:vAlign w:val="center"/>
          </w:tcPr>
          <w:p>
            <w:pPr>
              <w:pStyle w:val="16"/>
              <w:rPr>
                <w:lang w:eastAsia="zh-CN"/>
              </w:rPr>
            </w:pPr>
            <w:bookmarkStart w:id="10" w:name="_Toc_2_2_0000000007"/>
            <w:r>
              <w:t>360</w:t>
            </w:r>
            <w:r>
              <w:rPr>
                <w:rFonts w:hint="eastAsia"/>
                <w:lang w:eastAsia="zh-CN"/>
              </w:rPr>
              <w:t>033</w:t>
            </w:r>
            <w:r>
              <w:rPr>
                <w:rFonts w:hint="eastAsia" w:ascii="宋体" w:hAnsi="宋体" w:eastAsia="宋体" w:cs="宋体"/>
              </w:rPr>
              <w:t>保定市徐水区</w:t>
            </w:r>
            <w:r>
              <w:rPr>
                <w:rFonts w:hint="eastAsia" w:ascii="宋体" w:hAnsi="宋体" w:eastAsia="宋体" w:cs="宋体"/>
                <w:lang w:eastAsia="zh-CN"/>
              </w:rPr>
              <w:t>漕河镇中心学校</w:t>
            </w:r>
          </w:p>
        </w:tc>
        <w:tc>
          <w:tcPr>
            <w:tcW w:w="7598" w:type="dxa"/>
            <w:gridSpan w:val="9"/>
            <w:tcBorders>
              <w:top w:val="single" w:color="FFFFFF" w:sz="6" w:space="0"/>
              <w:left w:val="single" w:color="FFFFFF" w:sz="6" w:space="0"/>
              <w:right w:val="single" w:color="FFFFFF" w:sz="6" w:space="0"/>
            </w:tcBorders>
            <w:vAlign w:val="center"/>
          </w:tcPr>
          <w:p>
            <w:pPr>
              <w:pStyle w:val="15"/>
            </w:pPr>
            <w:r>
              <w:rPr>
                <w:rFonts w:hint="eastAsia" w:ascii="宋体" w:hAnsi="宋体" w:eastAsia="宋体" w:cs="宋体"/>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trPr>
        <w:tc>
          <w:tcPr>
            <w:tcW w:w="1022" w:type="dxa"/>
            <w:gridSpan w:val="2"/>
            <w:vAlign w:val="center"/>
          </w:tcPr>
          <w:p>
            <w:pPr>
              <w:pStyle w:val="12"/>
            </w:pPr>
            <w:r>
              <w:rPr>
                <w:rFonts w:hint="eastAsia" w:ascii="宋体" w:hAnsi="宋体" w:eastAsia="宋体" w:cs="宋体"/>
              </w:rPr>
              <w:t>政府采购项目来源</w:t>
            </w:r>
          </w:p>
        </w:tc>
        <w:tc>
          <w:tcPr>
            <w:tcW w:w="658" w:type="dxa"/>
            <w:vMerge w:val="restart"/>
            <w:vAlign w:val="center"/>
          </w:tcPr>
          <w:p>
            <w:pPr>
              <w:pStyle w:val="12"/>
            </w:pPr>
            <w:r>
              <w:rPr>
                <w:rFonts w:hint="eastAsia" w:ascii="宋体" w:hAnsi="宋体" w:eastAsia="宋体" w:cs="宋体"/>
              </w:rPr>
              <w:t>采购物品名称</w:t>
            </w:r>
          </w:p>
        </w:tc>
        <w:tc>
          <w:tcPr>
            <w:tcW w:w="465" w:type="dxa"/>
            <w:vMerge w:val="restart"/>
            <w:vAlign w:val="center"/>
          </w:tcPr>
          <w:p>
            <w:pPr>
              <w:pStyle w:val="12"/>
            </w:pPr>
            <w:r>
              <w:rPr>
                <w:rFonts w:hint="eastAsia" w:ascii="宋体" w:hAnsi="宋体" w:eastAsia="宋体" w:cs="宋体"/>
              </w:rPr>
              <w:t>政府采购目录序号</w:t>
            </w:r>
          </w:p>
        </w:tc>
        <w:tc>
          <w:tcPr>
            <w:tcW w:w="336" w:type="dxa"/>
            <w:vMerge w:val="restart"/>
            <w:vAlign w:val="center"/>
          </w:tcPr>
          <w:p>
            <w:pPr>
              <w:pStyle w:val="12"/>
            </w:pPr>
            <w:r>
              <w:rPr>
                <w:rFonts w:hint="eastAsia" w:ascii="宋体" w:hAnsi="宋体" w:eastAsia="宋体" w:cs="宋体"/>
              </w:rPr>
              <w:t>计量</w:t>
            </w:r>
            <w:r>
              <w:t xml:space="preserve">  </w:t>
            </w:r>
            <w:r>
              <w:rPr>
                <w:rFonts w:hint="eastAsia" w:ascii="宋体" w:hAnsi="宋体" w:eastAsia="宋体" w:cs="宋体"/>
              </w:rPr>
              <w:t>单位</w:t>
            </w:r>
          </w:p>
        </w:tc>
        <w:tc>
          <w:tcPr>
            <w:tcW w:w="567" w:type="dxa"/>
            <w:vMerge w:val="restart"/>
            <w:vAlign w:val="center"/>
          </w:tcPr>
          <w:p>
            <w:pPr>
              <w:pStyle w:val="12"/>
            </w:pPr>
            <w:r>
              <w:rPr>
                <w:rFonts w:hint="eastAsia" w:ascii="宋体" w:hAnsi="宋体" w:eastAsia="宋体" w:cs="宋体"/>
              </w:rPr>
              <w:t>数量</w:t>
            </w:r>
          </w:p>
        </w:tc>
        <w:tc>
          <w:tcPr>
            <w:tcW w:w="567" w:type="dxa"/>
            <w:vMerge w:val="restart"/>
            <w:vAlign w:val="center"/>
          </w:tcPr>
          <w:p>
            <w:pPr>
              <w:pStyle w:val="12"/>
            </w:pPr>
            <w:r>
              <w:rPr>
                <w:rFonts w:hint="eastAsia" w:ascii="宋体" w:hAnsi="宋体" w:eastAsia="宋体" w:cs="宋体"/>
              </w:rPr>
              <w:t>单价</w:t>
            </w:r>
          </w:p>
        </w:tc>
        <w:tc>
          <w:tcPr>
            <w:tcW w:w="6995" w:type="dxa"/>
            <w:gridSpan w:val="8"/>
            <w:vAlign w:val="center"/>
          </w:tcPr>
          <w:p>
            <w:pPr>
              <w:pStyle w:val="12"/>
            </w:pPr>
            <w:r>
              <w:rPr>
                <w:rFonts w:hint="eastAsia" w:ascii="宋体" w:hAnsi="宋体" w:eastAsia="宋体" w:cs="宋体"/>
              </w:rPr>
              <w:t>政府采购金额（当年部门预算安排资金）</w:t>
            </w:r>
          </w:p>
        </w:tc>
        <w:tc>
          <w:tcPr>
            <w:tcW w:w="603" w:type="dxa"/>
            <w:vMerge w:val="restart"/>
            <w:vAlign w:val="center"/>
          </w:tcPr>
          <w:p>
            <w:pPr>
              <w:pStyle w:val="12"/>
            </w:pPr>
            <w:r>
              <w:t>202</w:t>
            </w:r>
            <w:r>
              <w:rPr>
                <w:rFonts w:hint="eastAsia"/>
                <w:lang w:eastAsia="zh-CN"/>
              </w:rPr>
              <w:t>1</w:t>
            </w:r>
            <w:r>
              <w:rPr>
                <w:rFonts w:hint="eastAsia" w:ascii="宋体" w:hAnsi="宋体" w:eastAsia="宋体" w:cs="宋体"/>
              </w:rPr>
              <w:t>年</w:t>
            </w:r>
            <w:r>
              <w:t xml:space="preserve">  </w:t>
            </w:r>
            <w:r>
              <w:rPr>
                <w:rFonts w:hint="eastAsia" w:ascii="宋体" w:hAnsi="宋体" w:eastAsia="宋体" w:cs="宋体"/>
              </w:rPr>
              <w:t>预留中</w:t>
            </w:r>
            <w:r>
              <w:t xml:space="preserve">  </w:t>
            </w:r>
            <w:r>
              <w:rPr>
                <w:rFonts w:hint="eastAsia" w:ascii="宋体" w:hAnsi="宋体" w:eastAsia="宋体" w:cs="宋体"/>
              </w:rPr>
              <w:t>小微企</w:t>
            </w:r>
            <w:r>
              <w:t xml:space="preserve">  </w:t>
            </w:r>
            <w:r>
              <w:rPr>
                <w:rFonts w:hint="eastAsia" w:ascii="宋体" w:hAnsi="宋体" w:eastAsia="宋体" w:cs="宋体"/>
              </w:rPr>
              <w:t>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trPr>
        <w:tc>
          <w:tcPr>
            <w:tcW w:w="455" w:type="dxa"/>
            <w:vAlign w:val="center"/>
          </w:tcPr>
          <w:p>
            <w:pPr>
              <w:pStyle w:val="12"/>
            </w:pPr>
            <w:r>
              <w:rPr>
                <w:rFonts w:hint="eastAsia" w:ascii="宋体" w:hAnsi="宋体" w:eastAsia="宋体" w:cs="宋体"/>
              </w:rPr>
              <w:t>项目名称</w:t>
            </w:r>
          </w:p>
        </w:tc>
        <w:tc>
          <w:tcPr>
            <w:tcW w:w="567" w:type="dxa"/>
            <w:vAlign w:val="center"/>
          </w:tcPr>
          <w:p>
            <w:pPr>
              <w:pStyle w:val="12"/>
            </w:pPr>
            <w:r>
              <w:rPr>
                <w:rFonts w:hint="eastAsia" w:ascii="宋体" w:hAnsi="宋体" w:eastAsia="宋体" w:cs="宋体"/>
              </w:rPr>
              <w:t>预算</w:t>
            </w:r>
            <w:r>
              <w:t xml:space="preserve">    </w:t>
            </w:r>
            <w:r>
              <w:rPr>
                <w:rFonts w:hint="eastAsia" w:ascii="宋体" w:hAnsi="宋体" w:eastAsia="宋体" w:cs="宋体"/>
              </w:rPr>
              <w:t>资金</w:t>
            </w:r>
          </w:p>
        </w:tc>
        <w:tc>
          <w:tcPr>
            <w:tcW w:w="658" w:type="dxa"/>
            <w:vMerge w:val="continue"/>
          </w:tcPr>
          <w:p/>
        </w:tc>
        <w:tc>
          <w:tcPr>
            <w:tcW w:w="465" w:type="dxa"/>
            <w:vMerge w:val="continue"/>
          </w:tcPr>
          <w:p/>
        </w:tc>
        <w:tc>
          <w:tcPr>
            <w:tcW w:w="336" w:type="dxa"/>
            <w:vMerge w:val="continue"/>
          </w:tcPr>
          <w:p/>
        </w:tc>
        <w:tc>
          <w:tcPr>
            <w:tcW w:w="567" w:type="dxa"/>
            <w:vMerge w:val="continue"/>
          </w:tcPr>
          <w:p/>
        </w:tc>
        <w:tc>
          <w:tcPr>
            <w:tcW w:w="567" w:type="dxa"/>
            <w:vMerge w:val="continue"/>
          </w:tcPr>
          <w:p/>
        </w:tc>
        <w:tc>
          <w:tcPr>
            <w:tcW w:w="567" w:type="dxa"/>
            <w:vAlign w:val="center"/>
          </w:tcPr>
          <w:p>
            <w:pPr>
              <w:pStyle w:val="12"/>
            </w:pPr>
            <w:r>
              <w:rPr>
                <w:rFonts w:hint="eastAsia" w:ascii="宋体" w:hAnsi="宋体" w:eastAsia="宋体" w:cs="宋体"/>
              </w:rPr>
              <w:t>合计</w:t>
            </w:r>
          </w:p>
        </w:tc>
        <w:tc>
          <w:tcPr>
            <w:tcW w:w="709" w:type="dxa"/>
            <w:vAlign w:val="center"/>
          </w:tcPr>
          <w:p>
            <w:pPr>
              <w:pStyle w:val="12"/>
            </w:pPr>
            <w:r>
              <w:rPr>
                <w:rFonts w:hint="eastAsia" w:ascii="宋体" w:hAnsi="宋体" w:eastAsia="宋体" w:cs="宋体"/>
              </w:rPr>
              <w:t>一般公共预算拨款</w:t>
            </w:r>
          </w:p>
        </w:tc>
        <w:tc>
          <w:tcPr>
            <w:tcW w:w="709" w:type="dxa"/>
            <w:vAlign w:val="center"/>
          </w:tcPr>
          <w:p>
            <w:pPr>
              <w:pStyle w:val="12"/>
            </w:pPr>
            <w:r>
              <w:rPr>
                <w:rFonts w:hint="eastAsia" w:ascii="宋体" w:hAnsi="宋体" w:eastAsia="宋体" w:cs="宋体"/>
              </w:rPr>
              <w:t>基金预算拨款</w:t>
            </w:r>
          </w:p>
        </w:tc>
        <w:tc>
          <w:tcPr>
            <w:tcW w:w="1041" w:type="dxa"/>
            <w:vAlign w:val="center"/>
          </w:tcPr>
          <w:p>
            <w:pPr>
              <w:pStyle w:val="12"/>
            </w:pPr>
            <w:r>
              <w:rPr>
                <w:rFonts w:hint="eastAsia" w:ascii="宋体" w:hAnsi="宋体" w:eastAsia="宋体" w:cs="宋体"/>
              </w:rPr>
              <w:t>国有资本经营预算拨款</w:t>
            </w:r>
          </w:p>
        </w:tc>
        <w:tc>
          <w:tcPr>
            <w:tcW w:w="1134" w:type="dxa"/>
            <w:vAlign w:val="center"/>
          </w:tcPr>
          <w:p>
            <w:pPr>
              <w:pStyle w:val="12"/>
            </w:pPr>
            <w:r>
              <w:rPr>
                <w:rFonts w:hint="eastAsia" w:ascii="宋体" w:hAnsi="宋体" w:eastAsia="宋体" w:cs="宋体"/>
              </w:rPr>
              <w:t>财政专户核拨</w:t>
            </w:r>
          </w:p>
        </w:tc>
        <w:tc>
          <w:tcPr>
            <w:tcW w:w="1085" w:type="dxa"/>
            <w:vAlign w:val="center"/>
          </w:tcPr>
          <w:p>
            <w:pPr>
              <w:pStyle w:val="12"/>
            </w:pPr>
            <w:r>
              <w:rPr>
                <w:rFonts w:hint="eastAsia" w:ascii="宋体" w:hAnsi="宋体" w:eastAsia="宋体" w:cs="宋体"/>
              </w:rPr>
              <w:t>单位</w:t>
            </w:r>
            <w:r>
              <w:t xml:space="preserve">    </w:t>
            </w:r>
            <w:r>
              <w:rPr>
                <w:rFonts w:hint="eastAsia" w:ascii="宋体" w:hAnsi="宋体" w:eastAsia="宋体" w:cs="宋体"/>
              </w:rPr>
              <w:t>资金</w:t>
            </w:r>
          </w:p>
        </w:tc>
        <w:tc>
          <w:tcPr>
            <w:tcW w:w="851" w:type="dxa"/>
            <w:vAlign w:val="center"/>
          </w:tcPr>
          <w:p>
            <w:pPr>
              <w:pStyle w:val="12"/>
            </w:pPr>
            <w:r>
              <w:rPr>
                <w:rFonts w:hint="eastAsia" w:ascii="宋体" w:hAnsi="宋体" w:eastAsia="宋体" w:cs="宋体"/>
              </w:rPr>
              <w:t>财政拨</w:t>
            </w:r>
            <w:r>
              <w:t xml:space="preserve">    </w:t>
            </w:r>
            <w:r>
              <w:rPr>
                <w:rFonts w:hint="eastAsia" w:ascii="宋体" w:hAnsi="宋体" w:eastAsia="宋体" w:cs="宋体"/>
              </w:rPr>
              <w:t>款结转</w:t>
            </w:r>
          </w:p>
        </w:tc>
        <w:tc>
          <w:tcPr>
            <w:tcW w:w="899" w:type="dxa"/>
            <w:vAlign w:val="center"/>
          </w:tcPr>
          <w:p>
            <w:pPr>
              <w:pStyle w:val="12"/>
            </w:pPr>
            <w:r>
              <w:rPr>
                <w:rFonts w:hint="eastAsia" w:ascii="宋体" w:hAnsi="宋体" w:eastAsia="宋体" w:cs="宋体"/>
              </w:rPr>
              <w:t>非财政</w:t>
            </w:r>
            <w:r>
              <w:t xml:space="preserve">    </w:t>
            </w:r>
            <w:r>
              <w:rPr>
                <w:rFonts w:hint="eastAsia" w:ascii="宋体" w:hAnsi="宋体" w:eastAsia="宋体" w:cs="宋体"/>
              </w:rPr>
              <w:t>拨款结</w:t>
            </w:r>
            <w:r>
              <w:t xml:space="preserve">    </w:t>
            </w:r>
            <w:r>
              <w:rPr>
                <w:rFonts w:hint="eastAsia" w:ascii="宋体" w:hAnsi="宋体" w:eastAsia="宋体" w:cs="宋体"/>
              </w:rPr>
              <w:t>转结余</w:t>
            </w:r>
          </w:p>
        </w:tc>
        <w:tc>
          <w:tcPr>
            <w:tcW w:w="603"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455" w:type="dxa"/>
            <w:vAlign w:val="center"/>
          </w:tcPr>
          <w:p>
            <w:pPr>
              <w:pStyle w:val="17"/>
            </w:pPr>
          </w:p>
        </w:tc>
        <w:tc>
          <w:tcPr>
            <w:tcW w:w="567" w:type="dxa"/>
            <w:vAlign w:val="center"/>
          </w:tcPr>
          <w:p>
            <w:pPr>
              <w:pStyle w:val="18"/>
            </w:pPr>
          </w:p>
        </w:tc>
        <w:tc>
          <w:tcPr>
            <w:tcW w:w="658" w:type="dxa"/>
            <w:vAlign w:val="center"/>
          </w:tcPr>
          <w:p>
            <w:pPr>
              <w:pStyle w:val="10"/>
            </w:pPr>
          </w:p>
        </w:tc>
        <w:tc>
          <w:tcPr>
            <w:tcW w:w="465" w:type="dxa"/>
            <w:vAlign w:val="center"/>
          </w:tcPr>
          <w:p>
            <w:pPr>
              <w:pStyle w:val="10"/>
            </w:pPr>
          </w:p>
        </w:tc>
        <w:tc>
          <w:tcPr>
            <w:tcW w:w="336" w:type="dxa"/>
            <w:vAlign w:val="center"/>
          </w:tcPr>
          <w:p>
            <w:pPr>
              <w:pStyle w:val="17"/>
            </w:pPr>
          </w:p>
        </w:tc>
        <w:tc>
          <w:tcPr>
            <w:tcW w:w="567" w:type="dxa"/>
            <w:vAlign w:val="center"/>
          </w:tcPr>
          <w:p>
            <w:pPr>
              <w:pStyle w:val="18"/>
            </w:pPr>
          </w:p>
        </w:tc>
        <w:tc>
          <w:tcPr>
            <w:tcW w:w="567" w:type="dxa"/>
            <w:vAlign w:val="center"/>
          </w:tcPr>
          <w:p>
            <w:pPr>
              <w:pStyle w:val="18"/>
            </w:pPr>
          </w:p>
        </w:tc>
        <w:tc>
          <w:tcPr>
            <w:tcW w:w="567" w:type="dxa"/>
            <w:vAlign w:val="center"/>
          </w:tcPr>
          <w:p>
            <w:pPr>
              <w:pStyle w:val="18"/>
              <w:rPr>
                <w:lang w:eastAsia="zh-CN"/>
              </w:rPr>
            </w:pPr>
          </w:p>
        </w:tc>
        <w:tc>
          <w:tcPr>
            <w:tcW w:w="709" w:type="dxa"/>
            <w:vAlign w:val="center"/>
          </w:tcPr>
          <w:p>
            <w:pPr>
              <w:pStyle w:val="18"/>
            </w:pPr>
          </w:p>
        </w:tc>
        <w:tc>
          <w:tcPr>
            <w:tcW w:w="709" w:type="dxa"/>
            <w:vAlign w:val="center"/>
          </w:tcPr>
          <w:p>
            <w:pPr>
              <w:pStyle w:val="18"/>
            </w:pPr>
          </w:p>
        </w:tc>
        <w:tc>
          <w:tcPr>
            <w:tcW w:w="1041" w:type="dxa"/>
            <w:vAlign w:val="center"/>
          </w:tcPr>
          <w:p>
            <w:pPr>
              <w:pStyle w:val="18"/>
            </w:pPr>
          </w:p>
        </w:tc>
        <w:tc>
          <w:tcPr>
            <w:tcW w:w="1134" w:type="dxa"/>
            <w:vAlign w:val="center"/>
          </w:tcPr>
          <w:p>
            <w:pPr>
              <w:pStyle w:val="18"/>
            </w:pPr>
          </w:p>
        </w:tc>
        <w:tc>
          <w:tcPr>
            <w:tcW w:w="1085" w:type="dxa"/>
            <w:vAlign w:val="center"/>
          </w:tcPr>
          <w:p>
            <w:pPr>
              <w:pStyle w:val="18"/>
            </w:pPr>
          </w:p>
        </w:tc>
        <w:tc>
          <w:tcPr>
            <w:tcW w:w="851" w:type="dxa"/>
            <w:vAlign w:val="center"/>
          </w:tcPr>
          <w:p>
            <w:pPr>
              <w:pStyle w:val="18"/>
            </w:pPr>
          </w:p>
        </w:tc>
        <w:tc>
          <w:tcPr>
            <w:tcW w:w="899" w:type="dxa"/>
            <w:vAlign w:val="center"/>
          </w:tcPr>
          <w:p>
            <w:pPr>
              <w:pStyle w:val="18"/>
            </w:pPr>
          </w:p>
        </w:tc>
        <w:tc>
          <w:tcPr>
            <w:tcW w:w="603" w:type="dxa"/>
            <w:vAlign w:val="center"/>
          </w:tcPr>
          <w:p>
            <w:pPr>
              <w:pStyle w:val="18"/>
            </w:pPr>
          </w:p>
        </w:tc>
      </w:tr>
    </w:tbl>
    <w:p>
      <w:pPr>
        <w:jc w:val="center"/>
        <w:outlineLvl w:val="1"/>
      </w:pPr>
      <w:r>
        <w:rPr>
          <w:rFonts w:hint="eastAsia" w:ascii="宋体" w:hAnsi="宋体" w:eastAsia="宋体" w:cs="宋体"/>
          <w:color w:val="000000"/>
          <w:sz w:val="32"/>
        </w:rPr>
        <w:t>单位政府采购预算</w:t>
      </w:r>
      <w:bookmarkEnd w:id="10"/>
    </w:p>
    <w:p>
      <w:pPr>
        <w:outlineLvl w:val="0"/>
        <w:rPr>
          <w:rFonts w:ascii="方正书宋_GBK" w:eastAsia="方正书宋_GBK"/>
        </w:rPr>
        <w:sectPr>
          <w:pgSz w:w="11900" w:h="16840"/>
          <w:pgMar w:top="1984" w:right="1304" w:bottom="1134" w:left="1304" w:header="720" w:footer="720" w:gutter="0"/>
          <w:cols w:space="720" w:num="1"/>
        </w:sect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w:t>
      </w:r>
      <w:r>
        <w:rPr>
          <w:rFonts w:hint="eastAsia"/>
          <w:snapToGrid w:val="0"/>
          <w:kern w:val="0"/>
          <w:sz w:val="28"/>
          <w:szCs w:val="28"/>
        </w:rPr>
        <w:t>1483.41</w:t>
      </w:r>
      <w:r>
        <w:rPr>
          <w:rFonts w:hint="eastAsia" w:ascii="仿宋" w:hAnsi="仿宋" w:eastAsia="仿宋"/>
          <w:sz w:val="32"/>
          <w:szCs w:val="32"/>
        </w:rPr>
        <w:t>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462"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snapToGrid w:val="0"/>
                <w:kern w:val="0"/>
                <w:sz w:val="28"/>
                <w:szCs w:val="28"/>
              </w:rPr>
              <w:t>1483.41</w:t>
            </w:r>
          </w:p>
        </w:tc>
      </w:tr>
      <w:tr>
        <w:tblPrEx>
          <w:tblCellMar>
            <w:top w:w="0" w:type="dxa"/>
            <w:left w:w="108" w:type="dxa"/>
            <w:bottom w:w="0" w:type="dxa"/>
            <w:right w:w="108" w:type="dxa"/>
          </w:tblCellMar>
        </w:tblPrEx>
        <w:trPr>
          <w:trHeight w:val="542"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7200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snapToGrid w:val="0"/>
                <w:kern w:val="0"/>
                <w:sz w:val="28"/>
                <w:szCs w:val="28"/>
              </w:rPr>
              <w:t>922.19</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368"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431"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561.22</w:t>
            </w:r>
          </w:p>
          <w:p>
            <w:pPr>
              <w:jc w:val="center"/>
              <w:rPr>
                <w:rFonts w:ascii="仿宋_GB2312" w:hAnsi="仿宋" w:eastAsia="仿宋_GB2312" w:cs="宋体"/>
                <w:kern w:val="0"/>
                <w:sz w:val="24"/>
                <w:szCs w:val="24"/>
              </w:rPr>
            </w:pPr>
          </w:p>
        </w:tc>
      </w:tr>
    </w:tbl>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SimSun-ExtB"/>
    <w:panose1 w:val="00000000000000000000"/>
    <w:charset w:val="86"/>
    <w:family w:val="script"/>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方正小标宋_GBK">
    <w:altName w:val="SimSun-ExtB"/>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NjOTdhNGRjODM4ZmNkYzM4MTI4Y2EzZjRlOWNiMTkifQ=="/>
  </w:docVars>
  <w:rsids>
    <w:rsidRoot w:val="00055F1F"/>
    <w:rsid w:val="00013B8A"/>
    <w:rsid w:val="00044FBC"/>
    <w:rsid w:val="00047B97"/>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C5C58"/>
    <w:rsid w:val="001F24F6"/>
    <w:rsid w:val="001F4875"/>
    <w:rsid w:val="00212335"/>
    <w:rsid w:val="00250C08"/>
    <w:rsid w:val="002918C6"/>
    <w:rsid w:val="00291EF3"/>
    <w:rsid w:val="00296524"/>
    <w:rsid w:val="002E01F6"/>
    <w:rsid w:val="002F1ACB"/>
    <w:rsid w:val="002F4667"/>
    <w:rsid w:val="002F530F"/>
    <w:rsid w:val="00305E97"/>
    <w:rsid w:val="00310532"/>
    <w:rsid w:val="0032288C"/>
    <w:rsid w:val="0032782B"/>
    <w:rsid w:val="00340B3D"/>
    <w:rsid w:val="0034253A"/>
    <w:rsid w:val="00350D70"/>
    <w:rsid w:val="003669CF"/>
    <w:rsid w:val="00367A30"/>
    <w:rsid w:val="00386953"/>
    <w:rsid w:val="00394FD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02E18"/>
    <w:rsid w:val="00510A1E"/>
    <w:rsid w:val="005158E2"/>
    <w:rsid w:val="00524204"/>
    <w:rsid w:val="00550049"/>
    <w:rsid w:val="00553F7E"/>
    <w:rsid w:val="00570142"/>
    <w:rsid w:val="00586C35"/>
    <w:rsid w:val="005B1B6F"/>
    <w:rsid w:val="005B6CCB"/>
    <w:rsid w:val="005C54AA"/>
    <w:rsid w:val="005C7B89"/>
    <w:rsid w:val="005D25BA"/>
    <w:rsid w:val="005F6998"/>
    <w:rsid w:val="00625666"/>
    <w:rsid w:val="0062788A"/>
    <w:rsid w:val="00641F8A"/>
    <w:rsid w:val="00646910"/>
    <w:rsid w:val="0066383B"/>
    <w:rsid w:val="006A6FA2"/>
    <w:rsid w:val="006B5117"/>
    <w:rsid w:val="006C62DF"/>
    <w:rsid w:val="006D6257"/>
    <w:rsid w:val="006F5104"/>
    <w:rsid w:val="006F6549"/>
    <w:rsid w:val="00735B02"/>
    <w:rsid w:val="007657C8"/>
    <w:rsid w:val="00767A77"/>
    <w:rsid w:val="00771E49"/>
    <w:rsid w:val="00782208"/>
    <w:rsid w:val="00791938"/>
    <w:rsid w:val="007A5999"/>
    <w:rsid w:val="007C7FD7"/>
    <w:rsid w:val="007D0E7E"/>
    <w:rsid w:val="007F371F"/>
    <w:rsid w:val="007F3746"/>
    <w:rsid w:val="00833132"/>
    <w:rsid w:val="00845C67"/>
    <w:rsid w:val="0086454E"/>
    <w:rsid w:val="008672EA"/>
    <w:rsid w:val="00891680"/>
    <w:rsid w:val="008A0099"/>
    <w:rsid w:val="008A0382"/>
    <w:rsid w:val="008A0B5F"/>
    <w:rsid w:val="008B5402"/>
    <w:rsid w:val="008C7941"/>
    <w:rsid w:val="008D11BC"/>
    <w:rsid w:val="008D74ED"/>
    <w:rsid w:val="0090527E"/>
    <w:rsid w:val="00905BB7"/>
    <w:rsid w:val="0090620C"/>
    <w:rsid w:val="00912DA4"/>
    <w:rsid w:val="009302B8"/>
    <w:rsid w:val="009305C6"/>
    <w:rsid w:val="009752AE"/>
    <w:rsid w:val="00982F3D"/>
    <w:rsid w:val="00983232"/>
    <w:rsid w:val="009A278A"/>
    <w:rsid w:val="009B6368"/>
    <w:rsid w:val="009F63C4"/>
    <w:rsid w:val="00A16957"/>
    <w:rsid w:val="00A2319F"/>
    <w:rsid w:val="00A6155C"/>
    <w:rsid w:val="00A70A3B"/>
    <w:rsid w:val="00A8079E"/>
    <w:rsid w:val="00A86AD4"/>
    <w:rsid w:val="00A90328"/>
    <w:rsid w:val="00A92D66"/>
    <w:rsid w:val="00AA4262"/>
    <w:rsid w:val="00AB5A90"/>
    <w:rsid w:val="00AB7449"/>
    <w:rsid w:val="00AE4AA5"/>
    <w:rsid w:val="00AE7F62"/>
    <w:rsid w:val="00AE7FA9"/>
    <w:rsid w:val="00B10875"/>
    <w:rsid w:val="00B147EB"/>
    <w:rsid w:val="00B22155"/>
    <w:rsid w:val="00B654DF"/>
    <w:rsid w:val="00B76AA9"/>
    <w:rsid w:val="00B80FAB"/>
    <w:rsid w:val="00B81C88"/>
    <w:rsid w:val="00BA5C83"/>
    <w:rsid w:val="00BC6A7D"/>
    <w:rsid w:val="00BD4829"/>
    <w:rsid w:val="00BD6002"/>
    <w:rsid w:val="00BD719F"/>
    <w:rsid w:val="00BF5442"/>
    <w:rsid w:val="00C177A5"/>
    <w:rsid w:val="00C2414A"/>
    <w:rsid w:val="00C35FEE"/>
    <w:rsid w:val="00C50535"/>
    <w:rsid w:val="00C6153C"/>
    <w:rsid w:val="00C75C48"/>
    <w:rsid w:val="00C906EF"/>
    <w:rsid w:val="00C93444"/>
    <w:rsid w:val="00CC5BE7"/>
    <w:rsid w:val="00CC7D74"/>
    <w:rsid w:val="00CF3606"/>
    <w:rsid w:val="00D02F97"/>
    <w:rsid w:val="00D45530"/>
    <w:rsid w:val="00D45A0E"/>
    <w:rsid w:val="00D45D23"/>
    <w:rsid w:val="00D61F2B"/>
    <w:rsid w:val="00D723D1"/>
    <w:rsid w:val="00D80C60"/>
    <w:rsid w:val="00D81324"/>
    <w:rsid w:val="00D83DB8"/>
    <w:rsid w:val="00D8525F"/>
    <w:rsid w:val="00DA0C4D"/>
    <w:rsid w:val="00DA54D7"/>
    <w:rsid w:val="00DA5DA7"/>
    <w:rsid w:val="00DA5F8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D727F"/>
    <w:rsid w:val="00EE332D"/>
    <w:rsid w:val="00F000B1"/>
    <w:rsid w:val="00F012D3"/>
    <w:rsid w:val="00F044C3"/>
    <w:rsid w:val="00F1097F"/>
    <w:rsid w:val="00F10D04"/>
    <w:rsid w:val="00F169E3"/>
    <w:rsid w:val="00F31AF5"/>
    <w:rsid w:val="00F35D4B"/>
    <w:rsid w:val="00F3746B"/>
    <w:rsid w:val="00F572CB"/>
    <w:rsid w:val="00F621AF"/>
    <w:rsid w:val="00F8024E"/>
    <w:rsid w:val="00F82447"/>
    <w:rsid w:val="00F868E5"/>
    <w:rsid w:val="00F86ED3"/>
    <w:rsid w:val="00FB2F32"/>
    <w:rsid w:val="00FC3191"/>
    <w:rsid w:val="00FE0F1F"/>
    <w:rsid w:val="00FF61F3"/>
    <w:rsid w:val="0A214432"/>
    <w:rsid w:val="1D5E0CD8"/>
    <w:rsid w:val="27733670"/>
    <w:rsid w:val="299B775B"/>
    <w:rsid w:val="71CD6CBA"/>
    <w:rsid w:val="726F4E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uiPriority="39" w:name="toc 3"/>
    <w:lsdException w:qFormat="1" w:uiPriority="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paragraph" w:customStyle="1" w:styleId="10">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1">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4">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B55529-139E-491F-B168-C46C7B8AEC7E}">
  <ds:schemaRefs/>
</ds:datastoreItem>
</file>

<file path=docProps/app.xml><?xml version="1.0" encoding="utf-8"?>
<Properties xmlns="http://schemas.openxmlformats.org/officeDocument/2006/extended-properties" xmlns:vt="http://schemas.openxmlformats.org/officeDocument/2006/docPropsVTypes">
  <Template>Normal</Template>
  <Pages>21</Pages>
  <Words>1764</Words>
  <Characters>10061</Characters>
  <Lines>83</Lines>
  <Paragraphs>23</Paragraphs>
  <TotalTime>7</TotalTime>
  <ScaleCrop>false</ScaleCrop>
  <LinksUpToDate>false</LinksUpToDate>
  <CharactersWithSpaces>11802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2023-11-16T01:29:03Z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