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保定市徐水区崔庄镇中心学校</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1、办好教育教学工作，为国家的</w:t>
      </w:r>
      <w:bookmarkStart w:id="14" w:name="_GoBack"/>
      <w:bookmarkEnd w:id="14"/>
      <w:r>
        <w:rPr>
          <w:rFonts w:hint="eastAsia" w:ascii="仿宋" w:hAnsi="仿宋" w:eastAsia="仿宋"/>
          <w:sz w:val="32"/>
          <w:szCs w:val="32"/>
        </w:rPr>
        <w:t>义务教育培养人才打好基础。</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、提高义务教育公用经费保障水平，改善办学条件，均衡配置基础教育意象派，缩小城乡、区域、校际之间办学差距，落实学生资助政策</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、推进农村义务教育经费保障机制改革，提高农村中学公用经费水平，完善校舍维修改造长效机制，为农村学生免费提供教科书。</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14"/>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参公</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保定市徐水区崔庄镇中心学校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6981</w:t>
      </w:r>
      <w:r>
        <w:rPr>
          <w:rFonts w:ascii="仿宋" w:hAnsi="仿宋" w:eastAsia="仿宋"/>
          <w:sz w:val="32"/>
          <w:szCs w:val="32"/>
        </w:rPr>
        <w:t>.</w:t>
      </w:r>
      <w:r>
        <w:rPr>
          <w:rFonts w:hint="eastAsia" w:ascii="仿宋" w:hAnsi="仿宋" w:eastAsia="仿宋"/>
          <w:sz w:val="32"/>
          <w:szCs w:val="32"/>
        </w:rPr>
        <w:t>1</w:t>
      </w:r>
      <w:r>
        <w:rPr>
          <w:rFonts w:ascii="仿宋" w:hAnsi="仿宋" w:eastAsia="仿宋"/>
          <w:sz w:val="32"/>
          <w:szCs w:val="32"/>
        </w:rPr>
        <w:t>万元,其中：一般公共预算收入</w:t>
      </w:r>
      <w:r>
        <w:rPr>
          <w:rFonts w:hint="eastAsia" w:ascii="仿宋" w:hAnsi="仿宋" w:eastAsia="仿宋"/>
          <w:sz w:val="32"/>
          <w:szCs w:val="32"/>
        </w:rPr>
        <w:t>6981</w:t>
      </w:r>
      <w:r>
        <w:rPr>
          <w:rFonts w:ascii="仿宋" w:hAnsi="仿宋" w:eastAsia="仿宋"/>
          <w:sz w:val="32"/>
          <w:szCs w:val="32"/>
        </w:rPr>
        <w:t>.</w:t>
      </w:r>
      <w:r>
        <w:rPr>
          <w:rFonts w:hint="eastAsia" w:ascii="仿宋" w:hAnsi="仿宋" w:eastAsia="仿宋"/>
          <w:sz w:val="32"/>
          <w:szCs w:val="32"/>
        </w:rPr>
        <w:t>1</w:t>
      </w:r>
      <w:r>
        <w:rPr>
          <w:rFonts w:ascii="仿宋" w:hAnsi="仿宋" w:eastAsia="仿宋"/>
          <w:sz w:val="32"/>
          <w:szCs w:val="32"/>
        </w:rPr>
        <w:t>万元，基金预算收入0万元，财政专户收入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6981</w:t>
      </w:r>
      <w:r>
        <w:rPr>
          <w:rFonts w:ascii="仿宋" w:hAnsi="仿宋" w:eastAsia="仿宋"/>
          <w:sz w:val="32"/>
          <w:szCs w:val="32"/>
        </w:rPr>
        <w:t>.</w:t>
      </w:r>
      <w:r>
        <w:rPr>
          <w:rFonts w:hint="eastAsia" w:ascii="仿宋" w:hAnsi="仿宋" w:eastAsia="仿宋"/>
          <w:sz w:val="32"/>
          <w:szCs w:val="32"/>
        </w:rPr>
        <w:t>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基本支出5109.47万元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4996.79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112.68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项目支出1871.61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218.21</w:t>
      </w:r>
      <w:r>
        <w:rPr>
          <w:rFonts w:ascii="仿宋" w:hAnsi="仿宋" w:eastAsia="仿宋"/>
          <w:sz w:val="32"/>
          <w:szCs w:val="32"/>
        </w:rPr>
        <w:t>万元</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本年度预算收支安排6981</w:t>
      </w:r>
      <w:r>
        <w:rPr>
          <w:rFonts w:ascii="仿宋" w:hAnsi="仿宋" w:eastAsia="仿宋"/>
          <w:sz w:val="32"/>
          <w:szCs w:val="32"/>
        </w:rPr>
        <w:t>.</w:t>
      </w:r>
      <w:r>
        <w:rPr>
          <w:rFonts w:hint="eastAsia" w:ascii="仿宋" w:hAnsi="仿宋" w:eastAsia="仿宋"/>
          <w:sz w:val="32"/>
          <w:szCs w:val="32"/>
        </w:rPr>
        <w:t>1万元，较上年增加</w:t>
      </w:r>
      <w:r>
        <w:rPr>
          <w:rFonts w:ascii="仿宋" w:hAnsi="仿宋" w:eastAsia="仿宋"/>
          <w:sz w:val="32"/>
          <w:szCs w:val="32"/>
        </w:rPr>
        <w:t>1335.62万元。其中:基本支出增加1593.61万元，主要原因是</w:t>
      </w:r>
      <w:r>
        <w:rPr>
          <w:rFonts w:hint="eastAsia" w:ascii="仿宋" w:hAnsi="仿宋" w:eastAsia="仿宋"/>
          <w:sz w:val="32"/>
          <w:szCs w:val="32"/>
        </w:rPr>
        <w:t>人员增加及财政提高人员待遇致使财政投入增加</w:t>
      </w:r>
      <w:r>
        <w:rPr>
          <w:rFonts w:ascii="仿宋" w:hAnsi="仿宋" w:eastAsia="仿宋"/>
          <w:sz w:val="32"/>
          <w:szCs w:val="32"/>
        </w:rPr>
        <w:t>；项目支出减少</w:t>
      </w:r>
      <w:r>
        <w:rPr>
          <w:rFonts w:hint="eastAsia" w:ascii="仿宋" w:hAnsi="仿宋" w:eastAsia="仿宋"/>
          <w:sz w:val="32"/>
          <w:szCs w:val="32"/>
        </w:rPr>
        <w:t>1315.6</w:t>
      </w:r>
      <w:r>
        <w:rPr>
          <w:rFonts w:ascii="仿宋" w:hAnsi="仿宋" w:eastAsia="仿宋"/>
          <w:sz w:val="32"/>
          <w:szCs w:val="32"/>
        </w:rPr>
        <w:t>万元，主要原因是</w:t>
      </w:r>
      <w:r>
        <w:rPr>
          <w:rFonts w:hint="eastAsia" w:ascii="仿宋" w:hAnsi="仿宋" w:eastAsia="仿宋"/>
          <w:sz w:val="32"/>
          <w:szCs w:val="32"/>
        </w:rPr>
        <w:t>项目校数量减少</w:t>
      </w:r>
      <w:r>
        <w:rPr>
          <w:rFonts w:ascii="仿宋" w:hAnsi="仿宋" w:eastAsia="仿宋"/>
          <w:sz w:val="32"/>
          <w:szCs w:val="32"/>
        </w:rPr>
        <w:t>。</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112.68</w:t>
      </w:r>
      <w:r>
        <w:rPr>
          <w:rFonts w:ascii="仿宋" w:hAnsi="仿宋" w:eastAsia="仿宋"/>
          <w:sz w:val="32"/>
          <w:szCs w:val="32"/>
        </w:rPr>
        <w:t>万元，其中办公费</w:t>
      </w:r>
      <w:r>
        <w:rPr>
          <w:rFonts w:hint="eastAsia" w:ascii="仿宋" w:hAnsi="仿宋" w:eastAsia="仿宋"/>
          <w:sz w:val="32"/>
          <w:szCs w:val="32"/>
        </w:rPr>
        <w:t>4.68</w:t>
      </w:r>
      <w:r>
        <w:rPr>
          <w:rFonts w:ascii="仿宋" w:hAnsi="仿宋" w:eastAsia="仿宋"/>
          <w:sz w:val="32"/>
          <w:szCs w:val="32"/>
        </w:rPr>
        <w:t>万元，邮电费0万元，工会经费</w:t>
      </w:r>
      <w:r>
        <w:rPr>
          <w:rFonts w:hint="eastAsia" w:ascii="仿宋" w:hAnsi="仿宋" w:eastAsia="仿宋"/>
          <w:sz w:val="32"/>
          <w:szCs w:val="32"/>
        </w:rPr>
        <w:t>47.85万元</w:t>
      </w:r>
      <w:r>
        <w:rPr>
          <w:rFonts w:ascii="仿宋" w:hAnsi="仿宋" w:eastAsia="仿宋"/>
          <w:sz w:val="32"/>
          <w:szCs w:val="32"/>
        </w:rPr>
        <w:t>、福利费</w:t>
      </w:r>
      <w:r>
        <w:rPr>
          <w:rFonts w:hint="eastAsia" w:ascii="仿宋" w:hAnsi="仿宋" w:eastAsia="仿宋"/>
          <w:sz w:val="32"/>
          <w:szCs w:val="32"/>
        </w:rPr>
        <w:t>34.09</w:t>
      </w:r>
      <w:r>
        <w:rPr>
          <w:rFonts w:ascii="仿宋" w:hAnsi="仿宋" w:eastAsia="仿宋"/>
          <w:sz w:val="32"/>
          <w:szCs w:val="32"/>
        </w:rPr>
        <w:t>万元，公务用车运行维护费0万元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26.06</w:t>
      </w:r>
      <w:r>
        <w:rPr>
          <w:rFonts w:ascii="仿宋" w:hAnsi="仿宋" w:eastAsia="仿宋"/>
          <w:sz w:val="32"/>
          <w:szCs w:val="32"/>
        </w:rPr>
        <w:t>万元。</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14"/>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14"/>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_GB2312" w:hAnsi="宋体" w:eastAsia="仿宋_GB2312" w:cs="宋体"/>
                      <w:kern w:val="0"/>
                      <w:sz w:val="24"/>
                      <w:szCs w:val="24"/>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tabs>
          <w:tab w:val="left" w:pos="810"/>
        </w:tabs>
        <w:outlineLvl w:val="0"/>
        <w:rPr>
          <w:rFonts w:ascii="方正小标宋_GBK" w:eastAsia="方正小标宋_GBK"/>
          <w:sz w:val="44"/>
        </w:rPr>
      </w:pPr>
      <w:r>
        <w:rPr>
          <w:rFonts w:ascii="方正小标宋_GBK" w:eastAsia="方正小标宋_GBK"/>
          <w:sz w:val="44"/>
        </w:rPr>
        <w:tab/>
      </w:r>
      <w:r>
        <w:rPr>
          <w:rFonts w:hint="eastAsia" w:ascii="方正小标宋_GBK" w:eastAsia="方正小标宋_GBK"/>
          <w:sz w:val="44"/>
        </w:rPr>
        <w:t>2021年我单位无三公经费。</w:t>
      </w: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一、总体绩效目标</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崔庄镇中心学校整体</w:t>
      </w:r>
      <w:r>
        <w:rPr>
          <w:rFonts w:ascii="仿宋" w:hAnsi="仿宋" w:eastAsia="仿宋"/>
          <w:sz w:val="32"/>
          <w:szCs w:val="32"/>
        </w:rPr>
        <w:t>目标是：</w:t>
      </w:r>
      <w:r>
        <w:rPr>
          <w:rFonts w:hint="eastAsia" w:ascii="仿宋" w:hAnsi="仿宋" w:eastAsia="仿宋"/>
          <w:sz w:val="32"/>
          <w:szCs w:val="32"/>
        </w:rPr>
        <w:t>提高教育公用经费保障水平，改善学校办学条件，美化校园环境，增加基础设施的投资，缩小城乡、校际之间办学差距，落实学生资助政策，强化校园安全，努力提高本校教师的职业幸福感，促进学校教育教学进一步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二、分项绩效目标</w:t>
      </w:r>
    </w:p>
    <w:p>
      <w:pPr>
        <w:spacing w:line="360" w:lineRule="auto"/>
        <w:ind w:firstLine="640" w:firstLineChars="200"/>
        <w:rPr>
          <w:rFonts w:ascii="仿宋" w:hAnsi="仿宋" w:eastAsia="仿宋"/>
          <w:sz w:val="32"/>
          <w:szCs w:val="32"/>
        </w:rPr>
      </w:pPr>
      <w:r>
        <w:rPr>
          <w:rFonts w:ascii="仿宋" w:hAnsi="仿宋" w:eastAsia="仿宋"/>
          <w:sz w:val="32"/>
          <w:szCs w:val="32"/>
        </w:rPr>
        <w:t>(一）全面加强思想政治建设。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绩效目标：把学习宣传贯彻习近平新时代中国特色社会主义思想作为首要政治任务，深入学习贯彻习近平总书记关于教育的重要论述。</w:t>
      </w:r>
      <w:r>
        <w:rPr>
          <w:rFonts w:ascii="仿宋" w:hAnsi="仿宋" w:eastAsia="仿宋"/>
          <w:sz w:val="32"/>
          <w:szCs w:val="32"/>
        </w:rPr>
        <w:t>把习近平新时代中国特色社会主义思想和党的十九大、十九届历次全会和二十大精神纳入理论</w:t>
      </w:r>
      <w:r>
        <w:rPr>
          <w:rFonts w:hint="eastAsia" w:ascii="仿宋" w:hAnsi="仿宋" w:eastAsia="仿宋"/>
          <w:sz w:val="32"/>
          <w:szCs w:val="32"/>
        </w:rPr>
        <w:t>学习</w:t>
      </w:r>
      <w:r>
        <w:rPr>
          <w:rFonts w:ascii="仿宋" w:hAnsi="仿宋" w:eastAsia="仿宋"/>
          <w:sz w:val="32"/>
          <w:szCs w:val="32"/>
        </w:rPr>
        <w:t>材料，切实把思想和行动统一到党中央、省委、市委、区委决策部署上来。开展师生迎接、学习、宣传党的二十大专项行动，抓实抓紧教职工政治</w:t>
      </w:r>
      <w:r>
        <w:rPr>
          <w:rFonts w:hint="eastAsia" w:ascii="仿宋" w:hAnsi="仿宋" w:eastAsia="仿宋"/>
          <w:sz w:val="32"/>
          <w:szCs w:val="32"/>
        </w:rPr>
        <w:t>理论学习，用党的创新理论武装头脑、指导实践、推动工作。加强思想政治工作，推动思想政治理论课改革创新，实现全员育人、全程育人、全方位育人，不断提高工作能力和思想政治工作水平。</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（二）推进学校体育深入开展。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w:t>
      </w:r>
      <w:r>
        <w:rPr>
          <w:rFonts w:ascii="仿宋" w:hAnsi="仿宋" w:eastAsia="仿宋"/>
          <w:sz w:val="32"/>
          <w:szCs w:val="32"/>
        </w:rPr>
        <w:t>1至2项运动技能。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绩效指标：落实学生“体育家庭作业”制度，确保参与体质健康测试率</w:t>
      </w:r>
      <w:r>
        <w:rPr>
          <w:rFonts w:ascii="仿宋" w:hAnsi="仿宋" w:eastAsia="仿宋"/>
          <w:sz w:val="32"/>
          <w:szCs w:val="32"/>
        </w:rPr>
        <w:t>95%以上，学校学生体检健康测试上报率100%。</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（三）落实贫困学生生活补助</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绩效目标：对我校贫困学生全部统计，并纳入补助范围，做到应补尽补。</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绩效指标：落实每名贫困学生每学年500元的补助标准，保障学生正常在校学习。</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三、工作保障措施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（二）加强支出管理。按年初预算加快项目执行进度，加快资金支出，按时保质完成上级资金支出任务。</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（四）规范财务资产管理。进一步完善财务管理制度，严格资产采购审批手续，加强固定资产登记、使用及报废处置管理，做到支出合理，物尽其用。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（五）加强内部自查。加强内部自查制度建设，对绩效运行情况、重大支出决策、资产处置及其他重要经济业务的决策和执行进行内部自查，确保财政资金安全有效。</w:t>
      </w: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p>
    <w:p>
      <w:pPr>
        <w:outlineLvl w:val="3"/>
        <w:rPr>
          <w:rFonts w:ascii="方正仿宋_GBK" w:hAnsi="方正仿宋_GBK" w:eastAsia="方正仿宋_GBK" w:cs="方正仿宋_GBK"/>
          <w:color w:val="000000"/>
          <w:sz w:val="28"/>
        </w:rPr>
      </w:pPr>
      <w:bookmarkStart w:id="0" w:name="_Toc_4_4_0000000235"/>
    </w:p>
    <w:p>
      <w:pPr>
        <w:outlineLvl w:val="3"/>
        <w:rPr>
          <w:rFonts w:ascii="方正仿宋_GBK" w:hAnsi="方正仿宋_GBK" w:eastAsia="方正仿宋_GBK" w:cs="方正仿宋_GBK"/>
          <w:color w:val="000000"/>
          <w:sz w:val="28"/>
        </w:rPr>
      </w:pPr>
    </w:p>
    <w:bookmarkEnd w:id="0"/>
    <w:p>
      <w:pPr>
        <w:ind w:firstLine="562" w:firstLineChars="200"/>
        <w:jc w:val="left"/>
        <w:outlineLvl w:val="3"/>
        <w:rPr>
          <w:rFonts w:ascii="Times New Roman" w:hAnsi="宋体" w:eastAsia="宋体"/>
          <w:b/>
          <w:sz w:val="28"/>
        </w:rPr>
      </w:pPr>
      <w:bookmarkStart w:id="1" w:name="_Toc71388538"/>
      <w:r>
        <w:rPr>
          <w:rFonts w:ascii="方正仿宋_GBK" w:eastAsia="方正仿宋_GBK"/>
          <w:b/>
          <w:sz w:val="28"/>
        </w:rPr>
        <w:t>235.关于提前下达2021年城乡义务教育中央补助经费预算（直达资金）-公用经费绩效目标表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235、关于提前下达2021年城乡义务教育中央补助经费预算（直达资金）-公用经费绩效目标表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2335095.00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2335095.00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3.减轻家长的经济负担</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539"/>
      <w:r>
        <w:rPr>
          <w:rFonts w:ascii="方正仿宋_GBK" w:eastAsia="方正仿宋_GBK"/>
          <w:b/>
          <w:sz w:val="28"/>
        </w:rPr>
        <w:t>236.义务教育公用经费区级配套-天源学校绩效目标表</w:t>
      </w:r>
      <w:bookmarkEnd w:id="2"/>
      <w:r>
        <w:rPr>
          <w:rFonts w:ascii="方正仿宋_GBK" w:eastAsia="方正仿宋_GBK"/>
          <w:b/>
          <w:sz w:val="28"/>
        </w:rPr>
        <w:fldChar w:fldCharType="begin"/>
      </w:r>
      <w:r>
        <w:rPr>
          <w:rFonts w:ascii="方正仿宋_GBK" w:eastAsia="方正仿宋_GBK"/>
          <w:b/>
          <w:sz w:val="28"/>
        </w:rPr>
        <w:instrText xml:space="preserve"> TC 236、义务教育公用经费区级配套-天源学校绩效目标表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1306252153UCTORX0WIZI</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义务教育公用经费区级配套-天源学校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3381554.00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3381554.00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40"/>
      <w:r>
        <w:rPr>
          <w:rFonts w:ascii="方正仿宋_GBK" w:eastAsia="方正仿宋_GBK"/>
          <w:b/>
          <w:sz w:val="28"/>
        </w:rPr>
        <w:t>237.提前下达2021年城乡义务教育省级补助资金-困难学生生活补助绩效目标表</w:t>
      </w:r>
      <w:bookmarkEnd w:id="3"/>
      <w:r>
        <w:rPr>
          <w:rFonts w:ascii="方正仿宋_GBK" w:eastAsia="方正仿宋_GBK"/>
          <w:b/>
          <w:sz w:val="28"/>
        </w:rPr>
        <w:fldChar w:fldCharType="begin"/>
      </w:r>
      <w:r>
        <w:rPr>
          <w:rFonts w:ascii="方正仿宋_GBK" w:eastAsia="方正仿宋_GBK"/>
          <w:b/>
          <w:sz w:val="28"/>
        </w:rPr>
        <w:instrText xml:space="preserve"> TC 237、提前下达2021年城乡义务教育省级补助资金-困难学生生活补助绩效目标表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3.切实解决家庭经济困难学生就学。</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按学年评价资金使用程度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保定市财政局、保定市教育局《关于提前下达2021年城乡义务教育省级补助资金预算的通知保财教【2020】103J号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保定市财政局、保定市教育局《关于提前下达2021年城乡义务教育省级补助资金预算的通知保财教【2020】103J号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保定市财政局、保定市教育局《关于提前下达2021年城乡义务教育省级补助资金预算的通知保财教【2020】103J号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保定市财政局、保定市教育局《关于提前下达2021年城乡义务教育省级补助资金预算的通知保财教【2020】103J号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对家庭经济困难学生进行生活补助，家长学生满意。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保定市财政局、保定市教育局《关于提前下达2021年城乡义务教育省级补助资金预算的通知保财教【2020】103J号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541"/>
      <w:r>
        <w:rPr>
          <w:rFonts w:ascii="方正仿宋_GBK" w:eastAsia="方正仿宋_GBK"/>
          <w:b/>
          <w:sz w:val="28"/>
        </w:rPr>
        <w:t>238.关于提前下达2021年城乡义务教育中央补助经费预算（直达资金）-公用经费（天源学校）绩效目标表</w:t>
      </w:r>
      <w:bookmarkEnd w:id="4"/>
      <w:r>
        <w:rPr>
          <w:rFonts w:ascii="方正仿宋_GBK" w:eastAsia="方正仿宋_GBK"/>
          <w:b/>
          <w:sz w:val="28"/>
        </w:rPr>
        <w:fldChar w:fldCharType="begin"/>
      </w:r>
      <w:r>
        <w:rPr>
          <w:rFonts w:ascii="方正仿宋_GBK" w:eastAsia="方正仿宋_GBK"/>
          <w:b/>
          <w:sz w:val="28"/>
        </w:rPr>
        <w:instrText xml:space="preserve"> TC 238、关于提前下达2021年城乡义务教育中央补助经费预算（直达资金）-公用经费（天源学校）绩效目标表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13062521EL6A1QMANT56G</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关于提前下达2021年城乡义务教育中央补助经费预算（直达资金）-公用经费（天源学校）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5072331.00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5072331.00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3.减轻家长的经济负担。</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542"/>
      <w:r>
        <w:rPr>
          <w:rFonts w:ascii="方正仿宋_GBK" w:eastAsia="方正仿宋_GBK"/>
          <w:b/>
          <w:sz w:val="28"/>
        </w:rPr>
        <w:t>239.关于提前下达2021年城乡义务教育中央补助经费预算（直达资金)校舍安全保障-徐水区崔庄镇南邵庄小学操场改造绩效目标表</w:t>
      </w:r>
      <w:bookmarkEnd w:id="5"/>
      <w:r>
        <w:rPr>
          <w:rFonts w:ascii="方正仿宋_GBK" w:eastAsia="方正仿宋_GBK"/>
          <w:b/>
          <w:sz w:val="28"/>
        </w:rPr>
        <w:fldChar w:fldCharType="begin"/>
      </w:r>
      <w:r>
        <w:rPr>
          <w:rFonts w:ascii="方正仿宋_GBK" w:eastAsia="方正仿宋_GBK"/>
          <w:b/>
          <w:sz w:val="28"/>
        </w:rPr>
        <w:instrText xml:space="preserve"> TC 239、关于提前下达2021年城乡义务教育中央补助经费预算（直达资金)校舍安全保障-徐水区崔庄镇南邵庄小学操场改造绩效目标表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13062521FKMQ8O81K7C35</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关于提前下达2021年城乡义务教育中央补助经费预算（直达资金)校舍安全保障-徐水区崔庄镇南邵庄小学操场改造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1.为改善学校办学条件，提升学校办学水平。</w:t>
            </w:r>
          </w:p>
          <w:p>
            <w:pPr>
              <w:spacing w:line="300" w:lineRule="exact"/>
              <w:jc w:val="left"/>
              <w:rPr>
                <w:rFonts w:ascii="方正书宋_GBK" w:eastAsia="方正书宋_GBK"/>
              </w:rPr>
            </w:pPr>
            <w:r>
              <w:rPr>
                <w:rFonts w:ascii="方正书宋_GBK" w:eastAsia="方正书宋_GBK"/>
              </w:rPr>
              <w:t>2.提高社会及师生对学校的满意度。</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维修项目数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预算安排维修改造项目数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保证安全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解决安全隐患</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确保按支出按计划完成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提高办学条件，改善学校环境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43"/>
      <w:r>
        <w:rPr>
          <w:rFonts w:ascii="方正仿宋_GBK" w:eastAsia="方正仿宋_GBK"/>
          <w:b/>
          <w:sz w:val="28"/>
        </w:rPr>
        <w:t>240.校园安保经费绩效目标表</w:t>
      </w:r>
      <w:bookmarkEnd w:id="6"/>
      <w:r>
        <w:rPr>
          <w:rFonts w:ascii="方正仿宋_GBK" w:eastAsia="方正仿宋_GBK"/>
          <w:b/>
          <w:sz w:val="28"/>
        </w:rPr>
        <w:fldChar w:fldCharType="begin"/>
      </w:r>
      <w:r>
        <w:rPr>
          <w:rFonts w:ascii="方正仿宋_GBK" w:eastAsia="方正仿宋_GBK"/>
          <w:b/>
          <w:sz w:val="28"/>
        </w:rPr>
        <w:instrText xml:space="preserve"> TC 240、校园安保经费绩效目标表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798000.00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798000.00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544"/>
      <w:r>
        <w:rPr>
          <w:rFonts w:ascii="方正仿宋_GBK" w:eastAsia="方正仿宋_GBK"/>
          <w:b/>
          <w:sz w:val="28"/>
        </w:rPr>
        <w:t>241.提前下达2021年城乡义务教育省级补助资金-公用经费绩效目标表</w:t>
      </w:r>
      <w:bookmarkEnd w:id="7"/>
      <w:r>
        <w:rPr>
          <w:rFonts w:ascii="方正仿宋_GBK" w:eastAsia="方正仿宋_GBK"/>
          <w:b/>
          <w:sz w:val="28"/>
        </w:rPr>
        <w:fldChar w:fldCharType="begin"/>
      </w:r>
      <w:r>
        <w:rPr>
          <w:rFonts w:ascii="方正仿宋_GBK" w:eastAsia="方正仿宋_GBK"/>
          <w:b/>
          <w:sz w:val="28"/>
        </w:rPr>
        <w:instrText xml:space="preserve"> TC 241、提前下达2021年城乡义务教育省级补助资金-公用经费绩效目标表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1556730.00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1556730.00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45"/>
      <w:r>
        <w:rPr>
          <w:rFonts w:ascii="方正仿宋_GBK" w:eastAsia="方正仿宋_GBK"/>
          <w:b/>
          <w:sz w:val="28"/>
        </w:rPr>
        <w:t>242.义务教育家庭经济困难学生生活补助区级配套-天源学校绩效目标表</w:t>
      </w:r>
      <w:bookmarkEnd w:id="8"/>
      <w:r>
        <w:rPr>
          <w:rFonts w:ascii="方正仿宋_GBK" w:eastAsia="方正仿宋_GBK"/>
          <w:b/>
          <w:sz w:val="28"/>
        </w:rPr>
        <w:fldChar w:fldCharType="begin"/>
      </w:r>
      <w:r>
        <w:rPr>
          <w:rFonts w:ascii="方正仿宋_GBK" w:eastAsia="方正仿宋_GBK"/>
          <w:b/>
          <w:sz w:val="28"/>
        </w:rPr>
        <w:instrText xml:space="preserve"> TC 242、义务教育家庭经济困难学生生活补助区级配套-天源学校绩效目标表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13062521I71I6BCDDGDMX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义务教育家庭经济困难学生生活补助区级配套-天源学校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134500.00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134500.00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546"/>
      <w:r>
        <w:rPr>
          <w:rFonts w:ascii="方正仿宋_GBK" w:eastAsia="方正仿宋_GBK"/>
          <w:b/>
          <w:sz w:val="28"/>
        </w:rPr>
        <w:t>243.关于提前下达2021年城乡义务教育中央补助经费预算（直达资金）-困难学生生活补助绩效目标表</w:t>
      </w:r>
      <w:bookmarkEnd w:id="9"/>
      <w:r>
        <w:rPr>
          <w:rFonts w:ascii="方正仿宋_GBK" w:eastAsia="方正仿宋_GBK"/>
          <w:b/>
          <w:sz w:val="28"/>
        </w:rPr>
        <w:fldChar w:fldCharType="begin"/>
      </w:r>
      <w:r>
        <w:rPr>
          <w:rFonts w:ascii="方正仿宋_GBK" w:eastAsia="方正仿宋_GBK"/>
          <w:b/>
          <w:sz w:val="28"/>
        </w:rPr>
        <w:instrText xml:space="preserve"> TC 243、关于提前下达2021年城乡义务教育中央补助经费预算（直达资金）-困难学生生活补助绩效目标表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547"/>
      <w:r>
        <w:rPr>
          <w:rFonts w:ascii="方正仿宋_GBK" w:eastAsia="方正仿宋_GBK"/>
          <w:b/>
          <w:sz w:val="28"/>
        </w:rPr>
        <w:t>244.义务教育阶段小学生营养改善计划地方试点区级资金绩效目标表</w:t>
      </w:r>
      <w:bookmarkEnd w:id="10"/>
      <w:r>
        <w:rPr>
          <w:rFonts w:ascii="方正仿宋_GBK" w:eastAsia="方正仿宋_GBK"/>
          <w:b/>
          <w:sz w:val="28"/>
        </w:rPr>
        <w:fldChar w:fldCharType="begin"/>
      </w:r>
      <w:r>
        <w:rPr>
          <w:rFonts w:ascii="方正仿宋_GBK" w:eastAsia="方正仿宋_GBK"/>
          <w:b/>
          <w:sz w:val="28"/>
        </w:rPr>
        <w:instrText xml:space="preserve"> TC 244、义务教育阶段小学生营养改善计划地方试点区级资金绩效目标表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360037崔庄镇中心学校（小学）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1965000.00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1965000.00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用于开展义务教育阶段小学生营养餐改善计划，计划2021年1-12月实施。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1.保障义务教育营养餐改善计划顺利实施。</w:t>
            </w:r>
          </w:p>
          <w:p>
            <w:pPr>
              <w:spacing w:line="300" w:lineRule="exact"/>
              <w:jc w:val="left"/>
              <w:rPr>
                <w:rFonts w:ascii="方正书宋_GBK" w:eastAsia="方正书宋_GBK"/>
              </w:rPr>
            </w:pPr>
            <w:r>
              <w:rPr>
                <w:rFonts w:ascii="方正书宋_GBK" w:eastAsia="方正书宋_GBK"/>
              </w:rPr>
              <w:t>2.促进学生身体健康发育。</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营养改善计划享受学生数。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农村义务教育阶段小学生享受营养餐改善计划学生数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7860人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农村小学生营养餐供餐质量达标率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农村义务教育学生营养餐改善计划供餐质量达标率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营养餐经费及时发放率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及时发放营养餐经费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农村小学生营养膳食生均补助标准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农村义务教育学生营养膳食生均补助标准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2.5元/天/人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促进学生身体健康发育，得到广大群众的充分认可。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548"/>
      <w:r>
        <w:rPr>
          <w:rFonts w:ascii="方正仿宋_GBK" w:eastAsia="方正仿宋_GBK"/>
          <w:b/>
          <w:sz w:val="28"/>
        </w:rPr>
        <w:t>245.普惠性民办幼儿园生均公用经费绩效目标表</w:t>
      </w:r>
      <w:bookmarkEnd w:id="11"/>
      <w:r>
        <w:rPr>
          <w:rFonts w:ascii="方正仿宋_GBK" w:eastAsia="方正仿宋_GBK"/>
          <w:b/>
          <w:sz w:val="28"/>
        </w:rPr>
        <w:fldChar w:fldCharType="begin"/>
      </w:r>
      <w:r>
        <w:rPr>
          <w:rFonts w:ascii="方正仿宋_GBK" w:eastAsia="方正仿宋_GBK"/>
          <w:b/>
          <w:sz w:val="28"/>
        </w:rPr>
        <w:instrText xml:space="preserve"> TC 245、普惠性民办幼儿园生均公用经费绩效目标表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360038崔庄镇中心学校（幼儿园）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737200.00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737200.00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为加强我区普惠性幼儿园的扶持和管理，不断扩充普惠性学前教育资源，建立和完善政府主导、社会参与、公办民办并举的办园体制，保障适龄儿童接受公益普惠、质量良好的学前教育。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3.提高教育水平，提升学前儿童的整体素质。</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1843100%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549"/>
      <w:r>
        <w:rPr>
          <w:rFonts w:ascii="方正仿宋_GBK" w:eastAsia="方正仿宋_GBK"/>
          <w:b/>
          <w:sz w:val="28"/>
        </w:rPr>
        <w:t>246.幼儿园生均公用经费绩效目标表</w:t>
      </w:r>
      <w:bookmarkEnd w:id="12"/>
      <w:r>
        <w:rPr>
          <w:rFonts w:ascii="方正仿宋_GBK" w:eastAsia="方正仿宋_GBK"/>
          <w:b/>
          <w:sz w:val="28"/>
        </w:rPr>
        <w:fldChar w:fldCharType="begin"/>
      </w:r>
      <w:r>
        <w:rPr>
          <w:rFonts w:ascii="方正仿宋_GBK" w:eastAsia="方正仿宋_GBK"/>
          <w:b/>
          <w:sz w:val="28"/>
        </w:rPr>
        <w:instrText xml:space="preserve"> TC 246、幼儿园生均公用经费绩效目标表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360038崔庄镇中心学校（幼儿园）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342800.00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342800.00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857人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550"/>
      <w:r>
        <w:rPr>
          <w:rFonts w:ascii="方正仿宋_GBK" w:eastAsia="方正仿宋_GBK"/>
          <w:b/>
          <w:sz w:val="28"/>
        </w:rPr>
        <w:t>247.崔庄镇幼儿园教育活动经费绩效目标表</w:t>
      </w:r>
      <w:bookmarkEnd w:id="13"/>
      <w:r>
        <w:rPr>
          <w:rFonts w:ascii="方正仿宋_GBK" w:eastAsia="方正仿宋_GBK"/>
          <w:b/>
          <w:sz w:val="28"/>
        </w:rPr>
        <w:fldChar w:fldCharType="begin"/>
      </w:r>
      <w:r>
        <w:rPr>
          <w:rFonts w:ascii="方正仿宋_GBK" w:eastAsia="方正仿宋_GBK"/>
          <w:b/>
          <w:sz w:val="28"/>
        </w:rPr>
        <w:instrText xml:space="preserve"> TC 247、崔庄镇幼儿园教育活动经费绩效目标表 \f C \l 1 </w:instrText>
      </w:r>
      <w:r>
        <w:rPr>
          <w:rFonts w:ascii="方正仿宋_GBK" w:eastAsia="方正仿宋_GBK"/>
          <w:b/>
          <w:sz w:val="28"/>
        </w:rPr>
        <w:fldChar w:fldCharType="end"/>
      </w: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360038崔庄镇中心学校（幼儿园）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13062521RKCK7RTC6MG69</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崔庄镇幼儿园教育活动经费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1662900.00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1662900.00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优先发展学前教育，努力为幼儿打造利于健康成长的环境.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1.大力发展学前教育,保障幼儿园日常运转。</w:t>
            </w:r>
          </w:p>
          <w:p>
            <w:pPr>
              <w:spacing w:line="300" w:lineRule="exact"/>
              <w:jc w:val="left"/>
              <w:rPr>
                <w:rFonts w:ascii="方正书宋_GBK" w:eastAsia="方正书宋_GBK"/>
              </w:rPr>
            </w:pPr>
            <w:r>
              <w:rPr>
                <w:rFonts w:ascii="方正书宋_GBK" w:eastAsia="方正书宋_GBK"/>
              </w:rPr>
              <w:t>2.改善教育教学条件，美化校园环境。</w:t>
            </w:r>
          </w:p>
        </w:tc>
      </w:tr>
    </w:tbl>
    <w:p>
      <w:pPr>
        <w:spacing w:line="14" w:lineRule="exact"/>
        <w:jc w:val="center"/>
        <w:rPr>
          <w:rFonts w:ascii="Times New Roman" w:hAnsi="宋体" w:eastAsia="宋体"/>
        </w:rPr>
      </w:pPr>
    </w:p>
    <w:tbl>
      <w:tblPr>
        <w:tblStyle w:val="1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学前教育活动经费覆盖情况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按季度支出计划测算各园支付优良率。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得到广大群众的充分认可。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jc w:val="cente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w:t>
      </w:r>
    </w:p>
    <w:tbl>
      <w:tblPr>
        <w:tblStyle w:val="14"/>
        <w:tblW w:w="1402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1"/>
        <w:gridCol w:w="709"/>
        <w:gridCol w:w="992"/>
        <w:gridCol w:w="1136"/>
        <w:gridCol w:w="709"/>
        <w:gridCol w:w="565"/>
        <w:gridCol w:w="709"/>
        <w:gridCol w:w="708"/>
        <w:gridCol w:w="1134"/>
        <w:gridCol w:w="993"/>
        <w:gridCol w:w="1417"/>
        <w:gridCol w:w="851"/>
        <w:gridCol w:w="708"/>
        <w:gridCol w:w="851"/>
        <w:gridCol w:w="1134"/>
        <w:gridCol w:w="7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5521" w:type="dxa"/>
            <w:gridSpan w:val="7"/>
            <w:tcBorders>
              <w:top w:val="single" w:color="FFFFFF" w:sz="6" w:space="0"/>
              <w:left w:val="single" w:color="FFFFFF" w:sz="6" w:space="0"/>
              <w:right w:val="single" w:color="FFFFFF" w:sz="6" w:space="0"/>
            </w:tcBorders>
            <w:vAlign w:val="center"/>
          </w:tcPr>
          <w:p>
            <w:pPr>
              <w:pStyle w:val="22"/>
              <w:rPr>
                <w:lang w:eastAsia="zh-CN"/>
              </w:rPr>
            </w:pPr>
          </w:p>
        </w:tc>
        <w:tc>
          <w:tcPr>
            <w:tcW w:w="8505" w:type="dxa"/>
            <w:gridSpan w:val="9"/>
            <w:tcBorders>
              <w:top w:val="single" w:color="FFFFFF" w:sz="6" w:space="0"/>
              <w:left w:val="single" w:color="FFFFFF" w:sz="6" w:space="0"/>
              <w:right w:val="single" w:color="FFFFFF" w:sz="6" w:space="0"/>
            </w:tcBorders>
            <w:vAlign w:val="center"/>
          </w:tcPr>
          <w:p>
            <w:pPr>
              <w:pStyle w:val="2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853" w:hRule="atLeast"/>
          <w:tblHeader/>
          <w:jc w:val="center"/>
        </w:trPr>
        <w:tc>
          <w:tcPr>
            <w:tcW w:w="1410" w:type="dxa"/>
            <w:gridSpan w:val="2"/>
            <w:vAlign w:val="center"/>
          </w:tcPr>
          <w:p>
            <w:pPr>
              <w:pStyle w:val="23"/>
            </w:pPr>
            <w:r>
              <w:t>政府采购项目来源</w:t>
            </w:r>
          </w:p>
        </w:tc>
        <w:tc>
          <w:tcPr>
            <w:tcW w:w="992" w:type="dxa"/>
            <w:vMerge w:val="restart"/>
            <w:vAlign w:val="center"/>
          </w:tcPr>
          <w:p>
            <w:pPr>
              <w:pStyle w:val="23"/>
            </w:pPr>
            <w:r>
              <w:t>采购物品名称</w:t>
            </w:r>
          </w:p>
        </w:tc>
        <w:tc>
          <w:tcPr>
            <w:tcW w:w="1136" w:type="dxa"/>
            <w:vMerge w:val="restart"/>
            <w:vAlign w:val="center"/>
          </w:tcPr>
          <w:p>
            <w:pPr>
              <w:pStyle w:val="23"/>
            </w:pPr>
            <w:r>
              <w:t>政府采购目录序号</w:t>
            </w:r>
          </w:p>
        </w:tc>
        <w:tc>
          <w:tcPr>
            <w:tcW w:w="709" w:type="dxa"/>
            <w:vMerge w:val="restart"/>
            <w:vAlign w:val="center"/>
          </w:tcPr>
          <w:p>
            <w:pPr>
              <w:pStyle w:val="23"/>
            </w:pPr>
            <w:r>
              <w:t>计量  单位</w:t>
            </w:r>
          </w:p>
        </w:tc>
        <w:tc>
          <w:tcPr>
            <w:tcW w:w="565" w:type="dxa"/>
            <w:vMerge w:val="restart"/>
            <w:vAlign w:val="center"/>
          </w:tcPr>
          <w:p>
            <w:pPr>
              <w:pStyle w:val="23"/>
            </w:pPr>
            <w:r>
              <w:t>数量</w:t>
            </w:r>
          </w:p>
        </w:tc>
        <w:tc>
          <w:tcPr>
            <w:tcW w:w="709" w:type="dxa"/>
            <w:vMerge w:val="restart"/>
            <w:vAlign w:val="center"/>
          </w:tcPr>
          <w:p>
            <w:pPr>
              <w:pStyle w:val="23"/>
            </w:pPr>
            <w:r>
              <w:t>单价</w:t>
            </w:r>
          </w:p>
        </w:tc>
        <w:tc>
          <w:tcPr>
            <w:tcW w:w="7796" w:type="dxa"/>
            <w:gridSpan w:val="8"/>
            <w:vAlign w:val="center"/>
          </w:tcPr>
          <w:p>
            <w:pPr>
              <w:pStyle w:val="23"/>
            </w:pPr>
            <w:r>
              <w:t>政府采购金额（当年部门预算安排资金）</w:t>
            </w:r>
          </w:p>
        </w:tc>
        <w:tc>
          <w:tcPr>
            <w:tcW w:w="709" w:type="dxa"/>
            <w:vMerge w:val="restart"/>
            <w:vAlign w:val="center"/>
          </w:tcPr>
          <w:p>
            <w:pPr>
              <w:pStyle w:val="23"/>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2275" w:hRule="atLeast"/>
          <w:tblHeader/>
          <w:jc w:val="center"/>
        </w:trPr>
        <w:tc>
          <w:tcPr>
            <w:tcW w:w="701" w:type="dxa"/>
            <w:vAlign w:val="center"/>
          </w:tcPr>
          <w:p>
            <w:pPr>
              <w:pStyle w:val="23"/>
            </w:pPr>
            <w:r>
              <w:t>项目名称</w:t>
            </w:r>
          </w:p>
        </w:tc>
        <w:tc>
          <w:tcPr>
            <w:tcW w:w="709" w:type="dxa"/>
            <w:vAlign w:val="center"/>
          </w:tcPr>
          <w:p>
            <w:pPr>
              <w:pStyle w:val="23"/>
            </w:pPr>
            <w:r>
              <w:t>预算    资金</w:t>
            </w:r>
          </w:p>
        </w:tc>
        <w:tc>
          <w:tcPr>
            <w:tcW w:w="992" w:type="dxa"/>
            <w:vMerge w:val="continue"/>
          </w:tcPr>
          <w:p/>
        </w:tc>
        <w:tc>
          <w:tcPr>
            <w:tcW w:w="1136" w:type="dxa"/>
            <w:vMerge w:val="continue"/>
          </w:tcPr>
          <w:p/>
        </w:tc>
        <w:tc>
          <w:tcPr>
            <w:tcW w:w="709" w:type="dxa"/>
            <w:vMerge w:val="continue"/>
          </w:tcPr>
          <w:p/>
        </w:tc>
        <w:tc>
          <w:tcPr>
            <w:tcW w:w="565" w:type="dxa"/>
            <w:vMerge w:val="continue"/>
          </w:tcPr>
          <w:p/>
        </w:tc>
        <w:tc>
          <w:tcPr>
            <w:tcW w:w="709" w:type="dxa"/>
            <w:vMerge w:val="continue"/>
          </w:tcPr>
          <w:p/>
        </w:tc>
        <w:tc>
          <w:tcPr>
            <w:tcW w:w="708" w:type="dxa"/>
            <w:vAlign w:val="center"/>
          </w:tcPr>
          <w:p>
            <w:pPr>
              <w:pStyle w:val="23"/>
            </w:pPr>
            <w:r>
              <w:t>合计</w:t>
            </w:r>
          </w:p>
        </w:tc>
        <w:tc>
          <w:tcPr>
            <w:tcW w:w="1134" w:type="dxa"/>
            <w:vAlign w:val="center"/>
          </w:tcPr>
          <w:p>
            <w:pPr>
              <w:pStyle w:val="23"/>
            </w:pPr>
            <w:r>
              <w:t>一般公共预算拨款</w:t>
            </w:r>
          </w:p>
        </w:tc>
        <w:tc>
          <w:tcPr>
            <w:tcW w:w="993" w:type="dxa"/>
            <w:vAlign w:val="center"/>
          </w:tcPr>
          <w:p>
            <w:pPr>
              <w:pStyle w:val="23"/>
            </w:pPr>
            <w:r>
              <w:t>基金预算拨款</w:t>
            </w:r>
          </w:p>
        </w:tc>
        <w:tc>
          <w:tcPr>
            <w:tcW w:w="1417" w:type="dxa"/>
            <w:vAlign w:val="center"/>
          </w:tcPr>
          <w:p>
            <w:pPr>
              <w:pStyle w:val="23"/>
            </w:pPr>
            <w:r>
              <w:t>国有资本经营预算拨款</w:t>
            </w:r>
          </w:p>
        </w:tc>
        <w:tc>
          <w:tcPr>
            <w:tcW w:w="851" w:type="dxa"/>
            <w:vAlign w:val="center"/>
          </w:tcPr>
          <w:p>
            <w:pPr>
              <w:pStyle w:val="23"/>
            </w:pPr>
            <w:r>
              <w:t>财政专户核拨</w:t>
            </w:r>
          </w:p>
        </w:tc>
        <w:tc>
          <w:tcPr>
            <w:tcW w:w="708" w:type="dxa"/>
            <w:vAlign w:val="center"/>
          </w:tcPr>
          <w:p>
            <w:pPr>
              <w:pStyle w:val="23"/>
            </w:pPr>
            <w:r>
              <w:t>单位    资金</w:t>
            </w:r>
          </w:p>
        </w:tc>
        <w:tc>
          <w:tcPr>
            <w:tcW w:w="851" w:type="dxa"/>
            <w:vAlign w:val="center"/>
          </w:tcPr>
          <w:p>
            <w:pPr>
              <w:pStyle w:val="23"/>
            </w:pPr>
            <w:r>
              <w:t>财政拨    款结转</w:t>
            </w:r>
          </w:p>
        </w:tc>
        <w:tc>
          <w:tcPr>
            <w:tcW w:w="1134" w:type="dxa"/>
            <w:vAlign w:val="center"/>
          </w:tcPr>
          <w:p>
            <w:pPr>
              <w:pStyle w:val="23"/>
            </w:pPr>
            <w:r>
              <w:t>非财政    拨款结    转结余</w:t>
            </w:r>
          </w:p>
        </w:tc>
        <w:tc>
          <w:tcPr>
            <w:tcW w:w="709"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77" w:hRule="atLeast"/>
          <w:jc w:val="center"/>
        </w:trPr>
        <w:tc>
          <w:tcPr>
            <w:tcW w:w="701" w:type="dxa"/>
            <w:vAlign w:val="center"/>
          </w:tcPr>
          <w:p>
            <w:pPr>
              <w:pStyle w:val="27"/>
            </w:pPr>
            <w:r>
              <w:t>合 计</w:t>
            </w:r>
          </w:p>
        </w:tc>
        <w:tc>
          <w:tcPr>
            <w:tcW w:w="709" w:type="dxa"/>
            <w:vAlign w:val="center"/>
          </w:tcPr>
          <w:p>
            <w:pPr>
              <w:pStyle w:val="28"/>
              <w:rPr>
                <w:lang w:eastAsia="zh-CN"/>
              </w:rPr>
            </w:pPr>
          </w:p>
        </w:tc>
        <w:tc>
          <w:tcPr>
            <w:tcW w:w="992" w:type="dxa"/>
            <w:vAlign w:val="center"/>
          </w:tcPr>
          <w:p>
            <w:pPr>
              <w:pStyle w:val="29"/>
            </w:pPr>
          </w:p>
        </w:tc>
        <w:tc>
          <w:tcPr>
            <w:tcW w:w="1136" w:type="dxa"/>
            <w:vAlign w:val="center"/>
          </w:tcPr>
          <w:p>
            <w:pPr>
              <w:pStyle w:val="29"/>
            </w:pPr>
          </w:p>
        </w:tc>
        <w:tc>
          <w:tcPr>
            <w:tcW w:w="709" w:type="dxa"/>
            <w:vAlign w:val="center"/>
          </w:tcPr>
          <w:p>
            <w:pPr>
              <w:pStyle w:val="27"/>
            </w:pPr>
          </w:p>
        </w:tc>
        <w:tc>
          <w:tcPr>
            <w:tcW w:w="565" w:type="dxa"/>
            <w:vAlign w:val="center"/>
          </w:tcPr>
          <w:p>
            <w:pPr>
              <w:pStyle w:val="28"/>
            </w:pPr>
          </w:p>
        </w:tc>
        <w:tc>
          <w:tcPr>
            <w:tcW w:w="709" w:type="dxa"/>
            <w:vAlign w:val="center"/>
          </w:tcPr>
          <w:p>
            <w:pPr>
              <w:pStyle w:val="28"/>
            </w:pPr>
          </w:p>
        </w:tc>
        <w:tc>
          <w:tcPr>
            <w:tcW w:w="708" w:type="dxa"/>
            <w:vAlign w:val="center"/>
          </w:tcPr>
          <w:p>
            <w:pPr>
              <w:pStyle w:val="28"/>
            </w:pPr>
          </w:p>
        </w:tc>
        <w:tc>
          <w:tcPr>
            <w:tcW w:w="1134" w:type="dxa"/>
            <w:vAlign w:val="center"/>
          </w:tcPr>
          <w:p>
            <w:pPr>
              <w:pStyle w:val="28"/>
            </w:pPr>
          </w:p>
        </w:tc>
        <w:tc>
          <w:tcPr>
            <w:tcW w:w="993" w:type="dxa"/>
            <w:vAlign w:val="center"/>
          </w:tcPr>
          <w:p>
            <w:pPr>
              <w:pStyle w:val="28"/>
            </w:pPr>
          </w:p>
        </w:tc>
        <w:tc>
          <w:tcPr>
            <w:tcW w:w="1417" w:type="dxa"/>
            <w:vAlign w:val="center"/>
          </w:tcPr>
          <w:p>
            <w:pPr>
              <w:pStyle w:val="28"/>
            </w:pPr>
          </w:p>
        </w:tc>
        <w:tc>
          <w:tcPr>
            <w:tcW w:w="851" w:type="dxa"/>
            <w:vAlign w:val="center"/>
          </w:tcPr>
          <w:p>
            <w:pPr>
              <w:pStyle w:val="28"/>
            </w:pPr>
          </w:p>
        </w:tc>
        <w:tc>
          <w:tcPr>
            <w:tcW w:w="708" w:type="dxa"/>
            <w:vAlign w:val="center"/>
          </w:tcPr>
          <w:p>
            <w:pPr>
              <w:pStyle w:val="28"/>
            </w:pPr>
          </w:p>
        </w:tc>
        <w:tc>
          <w:tcPr>
            <w:tcW w:w="851" w:type="dxa"/>
            <w:vAlign w:val="center"/>
          </w:tcPr>
          <w:p>
            <w:pPr>
              <w:pStyle w:val="28"/>
            </w:pPr>
          </w:p>
        </w:tc>
        <w:tc>
          <w:tcPr>
            <w:tcW w:w="1134" w:type="dxa"/>
            <w:vAlign w:val="center"/>
          </w:tcPr>
          <w:p>
            <w:pPr>
              <w:pStyle w:val="28"/>
            </w:pPr>
          </w:p>
        </w:tc>
        <w:tc>
          <w:tcPr>
            <w:tcW w:w="709" w:type="dxa"/>
            <w:vAlign w:val="center"/>
          </w:tcPr>
          <w:p>
            <w:pPr>
              <w:pStyle w:val="2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01" w:type="dxa"/>
            <w:vAlign w:val="center"/>
          </w:tcPr>
          <w:p>
            <w:pPr>
              <w:pStyle w:val="27"/>
            </w:pPr>
          </w:p>
        </w:tc>
        <w:tc>
          <w:tcPr>
            <w:tcW w:w="709" w:type="dxa"/>
            <w:vAlign w:val="center"/>
          </w:tcPr>
          <w:p>
            <w:pPr>
              <w:pStyle w:val="28"/>
            </w:pPr>
          </w:p>
        </w:tc>
        <w:tc>
          <w:tcPr>
            <w:tcW w:w="992" w:type="dxa"/>
            <w:vAlign w:val="center"/>
          </w:tcPr>
          <w:p>
            <w:pPr>
              <w:pStyle w:val="29"/>
            </w:pPr>
          </w:p>
        </w:tc>
        <w:tc>
          <w:tcPr>
            <w:tcW w:w="1136" w:type="dxa"/>
            <w:vAlign w:val="center"/>
          </w:tcPr>
          <w:p>
            <w:pPr>
              <w:pStyle w:val="29"/>
            </w:pPr>
          </w:p>
        </w:tc>
        <w:tc>
          <w:tcPr>
            <w:tcW w:w="709" w:type="dxa"/>
            <w:vAlign w:val="center"/>
          </w:tcPr>
          <w:p>
            <w:pPr>
              <w:pStyle w:val="27"/>
            </w:pPr>
          </w:p>
        </w:tc>
        <w:tc>
          <w:tcPr>
            <w:tcW w:w="565" w:type="dxa"/>
            <w:vAlign w:val="center"/>
          </w:tcPr>
          <w:p>
            <w:pPr>
              <w:pStyle w:val="28"/>
            </w:pPr>
          </w:p>
        </w:tc>
        <w:tc>
          <w:tcPr>
            <w:tcW w:w="709" w:type="dxa"/>
            <w:vAlign w:val="center"/>
          </w:tcPr>
          <w:p>
            <w:pPr>
              <w:pStyle w:val="28"/>
            </w:pPr>
          </w:p>
        </w:tc>
        <w:tc>
          <w:tcPr>
            <w:tcW w:w="708" w:type="dxa"/>
            <w:vAlign w:val="center"/>
          </w:tcPr>
          <w:p>
            <w:pPr>
              <w:pStyle w:val="28"/>
            </w:pPr>
          </w:p>
        </w:tc>
        <w:tc>
          <w:tcPr>
            <w:tcW w:w="1134" w:type="dxa"/>
            <w:vAlign w:val="center"/>
          </w:tcPr>
          <w:p>
            <w:pPr>
              <w:pStyle w:val="28"/>
            </w:pPr>
          </w:p>
        </w:tc>
        <w:tc>
          <w:tcPr>
            <w:tcW w:w="993" w:type="dxa"/>
            <w:vAlign w:val="center"/>
          </w:tcPr>
          <w:p>
            <w:pPr>
              <w:pStyle w:val="28"/>
            </w:pPr>
          </w:p>
        </w:tc>
        <w:tc>
          <w:tcPr>
            <w:tcW w:w="1417" w:type="dxa"/>
            <w:vAlign w:val="center"/>
          </w:tcPr>
          <w:p>
            <w:pPr>
              <w:pStyle w:val="28"/>
            </w:pPr>
          </w:p>
        </w:tc>
        <w:tc>
          <w:tcPr>
            <w:tcW w:w="851" w:type="dxa"/>
            <w:vAlign w:val="center"/>
          </w:tcPr>
          <w:p>
            <w:pPr>
              <w:pStyle w:val="28"/>
            </w:pPr>
          </w:p>
        </w:tc>
        <w:tc>
          <w:tcPr>
            <w:tcW w:w="708" w:type="dxa"/>
            <w:vAlign w:val="center"/>
          </w:tcPr>
          <w:p>
            <w:pPr>
              <w:pStyle w:val="28"/>
            </w:pPr>
          </w:p>
        </w:tc>
        <w:tc>
          <w:tcPr>
            <w:tcW w:w="851" w:type="dxa"/>
            <w:vAlign w:val="center"/>
          </w:tcPr>
          <w:p>
            <w:pPr>
              <w:pStyle w:val="28"/>
            </w:pPr>
          </w:p>
        </w:tc>
        <w:tc>
          <w:tcPr>
            <w:tcW w:w="1134" w:type="dxa"/>
            <w:vAlign w:val="center"/>
          </w:tcPr>
          <w:p>
            <w:pPr>
              <w:pStyle w:val="28"/>
            </w:pPr>
          </w:p>
        </w:tc>
        <w:tc>
          <w:tcPr>
            <w:tcW w:w="709" w:type="dxa"/>
            <w:vAlign w:val="center"/>
          </w:tcPr>
          <w:p>
            <w:pPr>
              <w:pStyle w:val="28"/>
            </w:pPr>
          </w:p>
        </w:tc>
      </w:tr>
    </w:tbl>
    <w:p>
      <w:pPr>
        <w:spacing w:line="360" w:lineRule="auto"/>
        <w:ind w:firstLine="640" w:firstLineChars="200"/>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r>
        <w:rPr>
          <w:rFonts w:hint="eastAsia" w:ascii="仿宋" w:hAnsi="仿宋" w:eastAsia="仿宋"/>
          <w:sz w:val="32"/>
          <w:szCs w:val="32"/>
        </w:rPr>
        <w:t>2021年我单位无政府采购预算。</w:t>
      </w: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w:t>
      </w:r>
      <w:r>
        <w:rPr>
          <w:rFonts w:ascii="仿宋" w:hAnsi="仿宋" w:eastAsia="仿宋"/>
          <w:sz w:val="32"/>
          <w:szCs w:val="32"/>
        </w:rPr>
        <w:t>289.32</w:t>
      </w:r>
      <w:r>
        <w:rPr>
          <w:rFonts w:hint="eastAsia" w:ascii="仿宋" w:hAnsi="仿宋" w:eastAsia="仿宋"/>
          <w:sz w:val="32"/>
          <w:szCs w:val="32"/>
        </w:rPr>
        <w:t>万元（详见下表）。</w:t>
      </w:r>
      <w:r>
        <w:rPr>
          <w:rFonts w:ascii="仿宋" w:hAnsi="仿宋" w:eastAsia="仿宋"/>
          <w:sz w:val="32"/>
          <w:szCs w:val="32"/>
        </w:rPr>
        <w:t xml:space="preserve"> 本年度拟购置固定资产总额为7万元。</w:t>
      </w:r>
    </w:p>
    <w:tbl>
      <w:tblPr>
        <w:tblStyle w:val="14"/>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2021</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kern w:val="0"/>
                <w:sz w:val="24"/>
                <w:szCs w:val="24"/>
              </w:rPr>
              <w:t>1407.25</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43919</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754.6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5186</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648.35</w:t>
            </w:r>
          </w:p>
        </w:tc>
      </w:tr>
    </w:tbl>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7"/>
          <w:jc w:val="center"/>
        </w:pPr>
        <w:r>
          <w:fldChar w:fldCharType="begin"/>
        </w:r>
        <w:r>
          <w:instrText xml:space="preserve">PAGE   \* MERGEFORMAT</w:instrText>
        </w:r>
        <w:r>
          <w:fldChar w:fldCharType="separate"/>
        </w:r>
        <w:r>
          <w:rPr>
            <w:lang w:val="zh-CN"/>
          </w:rPr>
          <w:t>23</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004B2"/>
    <w:rsid w:val="00013B8A"/>
    <w:rsid w:val="00044FBC"/>
    <w:rsid w:val="00055F1F"/>
    <w:rsid w:val="000577EF"/>
    <w:rsid w:val="00057F18"/>
    <w:rsid w:val="000A445D"/>
    <w:rsid w:val="000C178B"/>
    <w:rsid w:val="00101295"/>
    <w:rsid w:val="00131DEC"/>
    <w:rsid w:val="00136AB3"/>
    <w:rsid w:val="001462BD"/>
    <w:rsid w:val="00152380"/>
    <w:rsid w:val="001638BE"/>
    <w:rsid w:val="00164810"/>
    <w:rsid w:val="00170B59"/>
    <w:rsid w:val="00172C7A"/>
    <w:rsid w:val="00181777"/>
    <w:rsid w:val="001B4688"/>
    <w:rsid w:val="001B6235"/>
    <w:rsid w:val="001D4C54"/>
    <w:rsid w:val="001F4875"/>
    <w:rsid w:val="00212335"/>
    <w:rsid w:val="002918C6"/>
    <w:rsid w:val="00291EF3"/>
    <w:rsid w:val="00296524"/>
    <w:rsid w:val="002A2185"/>
    <w:rsid w:val="002E01F6"/>
    <w:rsid w:val="002F1ACB"/>
    <w:rsid w:val="002F530F"/>
    <w:rsid w:val="003002F9"/>
    <w:rsid w:val="00305E97"/>
    <w:rsid w:val="00310532"/>
    <w:rsid w:val="0032782B"/>
    <w:rsid w:val="00340B3D"/>
    <w:rsid w:val="0034253A"/>
    <w:rsid w:val="00351DC0"/>
    <w:rsid w:val="003669CF"/>
    <w:rsid w:val="00366D19"/>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5523C"/>
    <w:rsid w:val="00470736"/>
    <w:rsid w:val="00470BBB"/>
    <w:rsid w:val="0048611E"/>
    <w:rsid w:val="004B6929"/>
    <w:rsid w:val="004E2F43"/>
    <w:rsid w:val="004E3572"/>
    <w:rsid w:val="004F3C52"/>
    <w:rsid w:val="00510A1E"/>
    <w:rsid w:val="005158E2"/>
    <w:rsid w:val="00522A7C"/>
    <w:rsid w:val="00524204"/>
    <w:rsid w:val="00545BA2"/>
    <w:rsid w:val="00550049"/>
    <w:rsid w:val="00553F7E"/>
    <w:rsid w:val="00560F3A"/>
    <w:rsid w:val="00570142"/>
    <w:rsid w:val="005840E5"/>
    <w:rsid w:val="00586C35"/>
    <w:rsid w:val="0059505A"/>
    <w:rsid w:val="005B1B6F"/>
    <w:rsid w:val="005B6CCB"/>
    <w:rsid w:val="005C54AA"/>
    <w:rsid w:val="005C7B89"/>
    <w:rsid w:val="005D4A22"/>
    <w:rsid w:val="0062788A"/>
    <w:rsid w:val="00641F8A"/>
    <w:rsid w:val="00644A31"/>
    <w:rsid w:val="0066383B"/>
    <w:rsid w:val="00697B41"/>
    <w:rsid w:val="006A6FA2"/>
    <w:rsid w:val="006B5117"/>
    <w:rsid w:val="006C5D7A"/>
    <w:rsid w:val="006C62DF"/>
    <w:rsid w:val="006E26A3"/>
    <w:rsid w:val="006F5104"/>
    <w:rsid w:val="006F6549"/>
    <w:rsid w:val="00700B8A"/>
    <w:rsid w:val="00723AD8"/>
    <w:rsid w:val="00724AF8"/>
    <w:rsid w:val="00735B02"/>
    <w:rsid w:val="007657C8"/>
    <w:rsid w:val="00767A77"/>
    <w:rsid w:val="00771E49"/>
    <w:rsid w:val="00782208"/>
    <w:rsid w:val="00787CEA"/>
    <w:rsid w:val="00791938"/>
    <w:rsid w:val="007A270E"/>
    <w:rsid w:val="007A5999"/>
    <w:rsid w:val="007C79CB"/>
    <w:rsid w:val="007C7E98"/>
    <w:rsid w:val="007C7FD7"/>
    <w:rsid w:val="007E6869"/>
    <w:rsid w:val="007F3746"/>
    <w:rsid w:val="00833132"/>
    <w:rsid w:val="00845C67"/>
    <w:rsid w:val="008558FD"/>
    <w:rsid w:val="0086160E"/>
    <w:rsid w:val="0086454E"/>
    <w:rsid w:val="008672EA"/>
    <w:rsid w:val="00891680"/>
    <w:rsid w:val="00895FEE"/>
    <w:rsid w:val="008A0099"/>
    <w:rsid w:val="008A0B5F"/>
    <w:rsid w:val="008B5402"/>
    <w:rsid w:val="008C024E"/>
    <w:rsid w:val="008D11BC"/>
    <w:rsid w:val="008D31C2"/>
    <w:rsid w:val="008D6715"/>
    <w:rsid w:val="0090527E"/>
    <w:rsid w:val="00905BB7"/>
    <w:rsid w:val="0090620C"/>
    <w:rsid w:val="00912DA4"/>
    <w:rsid w:val="009302B8"/>
    <w:rsid w:val="009305C6"/>
    <w:rsid w:val="009752AE"/>
    <w:rsid w:val="00982F3D"/>
    <w:rsid w:val="00983232"/>
    <w:rsid w:val="009A278A"/>
    <w:rsid w:val="009B6368"/>
    <w:rsid w:val="009F63C4"/>
    <w:rsid w:val="00A04EB5"/>
    <w:rsid w:val="00A13751"/>
    <w:rsid w:val="00A16957"/>
    <w:rsid w:val="00A17311"/>
    <w:rsid w:val="00A6155C"/>
    <w:rsid w:val="00A63881"/>
    <w:rsid w:val="00A76D12"/>
    <w:rsid w:val="00A8079E"/>
    <w:rsid w:val="00A90328"/>
    <w:rsid w:val="00A92D66"/>
    <w:rsid w:val="00AA4262"/>
    <w:rsid w:val="00AB5A90"/>
    <w:rsid w:val="00AB7449"/>
    <w:rsid w:val="00AE4AA5"/>
    <w:rsid w:val="00AE7FA9"/>
    <w:rsid w:val="00B01AD1"/>
    <w:rsid w:val="00B147EB"/>
    <w:rsid w:val="00B22155"/>
    <w:rsid w:val="00B300CC"/>
    <w:rsid w:val="00B76AA9"/>
    <w:rsid w:val="00B80FAB"/>
    <w:rsid w:val="00B81C88"/>
    <w:rsid w:val="00BA4F22"/>
    <w:rsid w:val="00BA5C83"/>
    <w:rsid w:val="00BC6A7D"/>
    <w:rsid w:val="00BD4829"/>
    <w:rsid w:val="00BD6002"/>
    <w:rsid w:val="00BD719F"/>
    <w:rsid w:val="00BF5442"/>
    <w:rsid w:val="00C14875"/>
    <w:rsid w:val="00C177A5"/>
    <w:rsid w:val="00C30E98"/>
    <w:rsid w:val="00C35FEE"/>
    <w:rsid w:val="00C46C03"/>
    <w:rsid w:val="00C50535"/>
    <w:rsid w:val="00C6153C"/>
    <w:rsid w:val="00C906EF"/>
    <w:rsid w:val="00CC7D74"/>
    <w:rsid w:val="00CE75CC"/>
    <w:rsid w:val="00D02F97"/>
    <w:rsid w:val="00D24542"/>
    <w:rsid w:val="00D27DE1"/>
    <w:rsid w:val="00D45530"/>
    <w:rsid w:val="00D45A0E"/>
    <w:rsid w:val="00D45D23"/>
    <w:rsid w:val="00D723D1"/>
    <w:rsid w:val="00D80C60"/>
    <w:rsid w:val="00D8525F"/>
    <w:rsid w:val="00DA0C4D"/>
    <w:rsid w:val="00DA5DA7"/>
    <w:rsid w:val="00DD4D16"/>
    <w:rsid w:val="00DE3935"/>
    <w:rsid w:val="00DE6B32"/>
    <w:rsid w:val="00DF26B8"/>
    <w:rsid w:val="00DF4CF9"/>
    <w:rsid w:val="00E12C68"/>
    <w:rsid w:val="00E2325B"/>
    <w:rsid w:val="00E24075"/>
    <w:rsid w:val="00E270C9"/>
    <w:rsid w:val="00E35F38"/>
    <w:rsid w:val="00E46F27"/>
    <w:rsid w:val="00E509CC"/>
    <w:rsid w:val="00E56DC0"/>
    <w:rsid w:val="00E71A04"/>
    <w:rsid w:val="00E85A79"/>
    <w:rsid w:val="00E90DA6"/>
    <w:rsid w:val="00E96342"/>
    <w:rsid w:val="00E964BB"/>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E3F6F"/>
    <w:rsid w:val="00FE53AF"/>
    <w:rsid w:val="00FF61F3"/>
    <w:rsid w:val="0A214432"/>
    <w:rsid w:val="200110F5"/>
    <w:rsid w:val="27733670"/>
    <w:rsid w:val="2BC477F9"/>
    <w:rsid w:val="35C65872"/>
    <w:rsid w:val="4B4B2F6A"/>
    <w:rsid w:val="63BC74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unhideWhenUsed/>
    <w:uiPriority w:val="39"/>
    <w:pPr>
      <w:ind w:left="2520" w:leftChars="1200"/>
    </w:pPr>
    <w:rPr>
      <w:rFonts w:ascii="等线" w:hAnsi="等线" w:eastAsia="等线" w:cs="Times New Roman"/>
    </w:rPr>
  </w:style>
  <w:style w:type="paragraph" w:styleId="3">
    <w:name w:val="toc 5"/>
    <w:basedOn w:val="1"/>
    <w:next w:val="1"/>
    <w:unhideWhenUsed/>
    <w:uiPriority w:val="39"/>
    <w:pPr>
      <w:ind w:left="1680" w:leftChars="800"/>
    </w:pPr>
    <w:rPr>
      <w:rFonts w:ascii="等线" w:hAnsi="等线" w:eastAsia="等线" w:cs="Times New Roman"/>
    </w:rPr>
  </w:style>
  <w:style w:type="paragraph" w:styleId="4">
    <w:name w:val="toc 3"/>
    <w:basedOn w:val="1"/>
    <w:next w:val="1"/>
    <w:unhideWhenUsed/>
    <w:uiPriority w:val="39"/>
    <w:pPr>
      <w:ind w:left="840" w:leftChars="400"/>
    </w:pPr>
    <w:rPr>
      <w:rFonts w:ascii="等线" w:hAnsi="等线" w:eastAsia="等线" w:cs="Times New Roman"/>
    </w:rPr>
  </w:style>
  <w:style w:type="paragraph" w:styleId="5">
    <w:name w:val="toc 8"/>
    <w:basedOn w:val="1"/>
    <w:next w:val="1"/>
    <w:unhideWhenUsed/>
    <w:uiPriority w:val="39"/>
    <w:pPr>
      <w:ind w:left="2940" w:leftChars="1400"/>
    </w:pPr>
    <w:rPr>
      <w:rFonts w:ascii="等线" w:hAnsi="等线" w:eastAsia="等线" w:cs="Times New Roman"/>
    </w:rPr>
  </w:style>
  <w:style w:type="paragraph" w:styleId="6">
    <w:name w:val="Balloon Text"/>
    <w:basedOn w:val="1"/>
    <w:link w:val="18"/>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rPr>
      <w:rFonts w:ascii="等线" w:hAnsi="等线" w:eastAsia="等线" w:cs="Times New Roman"/>
    </w:rPr>
  </w:style>
  <w:style w:type="paragraph" w:styleId="10">
    <w:name w:val="toc 4"/>
    <w:basedOn w:val="1"/>
    <w:next w:val="1"/>
    <w:unhideWhenUsed/>
    <w:uiPriority w:val="39"/>
    <w:pPr>
      <w:ind w:left="1260" w:leftChars="600"/>
    </w:pPr>
    <w:rPr>
      <w:rFonts w:ascii="等线" w:hAnsi="等线" w:eastAsia="等线" w:cs="Times New Roman"/>
    </w:rPr>
  </w:style>
  <w:style w:type="paragraph" w:styleId="11">
    <w:name w:val="toc 6"/>
    <w:basedOn w:val="1"/>
    <w:next w:val="1"/>
    <w:unhideWhenUsed/>
    <w:uiPriority w:val="39"/>
    <w:pPr>
      <w:ind w:left="2100" w:leftChars="1000"/>
    </w:pPr>
    <w:rPr>
      <w:rFonts w:ascii="等线" w:hAnsi="等线" w:eastAsia="等线" w:cs="Times New Roman"/>
    </w:rPr>
  </w:style>
  <w:style w:type="paragraph" w:styleId="12">
    <w:name w:val="toc 2"/>
    <w:basedOn w:val="1"/>
    <w:next w:val="1"/>
    <w:unhideWhenUsed/>
    <w:uiPriority w:val="39"/>
    <w:pPr>
      <w:ind w:left="420" w:leftChars="200"/>
    </w:pPr>
    <w:rPr>
      <w:rFonts w:ascii="等线" w:hAnsi="等线" w:eastAsia="等线" w:cs="Times New Roman"/>
    </w:rPr>
  </w:style>
  <w:style w:type="paragraph" w:styleId="13">
    <w:name w:val="toc 9"/>
    <w:basedOn w:val="1"/>
    <w:next w:val="1"/>
    <w:unhideWhenUsed/>
    <w:uiPriority w:val="39"/>
    <w:pPr>
      <w:ind w:left="3360" w:leftChars="1600"/>
    </w:pPr>
    <w:rPr>
      <w:rFonts w:ascii="等线" w:hAnsi="等线" w:eastAsia="等线" w:cs="Times New Roman"/>
    </w:rPr>
  </w:style>
  <w:style w:type="character" w:styleId="16">
    <w:name w:val="page number"/>
    <w:semiHidden/>
    <w:unhideWhenUsed/>
    <w:uiPriority w:val="99"/>
  </w:style>
  <w:style w:type="character" w:styleId="17">
    <w:name w:val="Hyperlink"/>
    <w:unhideWhenUsed/>
    <w:uiPriority w:val="99"/>
    <w:rPr>
      <w:color w:val="0563C1"/>
      <w:u w:val="single"/>
    </w:rPr>
  </w:style>
  <w:style w:type="character" w:customStyle="1" w:styleId="18">
    <w:name w:val="批注框文本 Char"/>
    <w:basedOn w:val="15"/>
    <w:link w:val="6"/>
    <w:semiHidden/>
    <w:qFormat/>
    <w:uiPriority w:val="99"/>
    <w:rPr>
      <w:sz w:val="18"/>
      <w:szCs w:val="18"/>
    </w:rPr>
  </w:style>
  <w:style w:type="character" w:customStyle="1" w:styleId="19">
    <w:name w:val="页脚 Char"/>
    <w:basedOn w:val="15"/>
    <w:link w:val="7"/>
    <w:qFormat/>
    <w:uiPriority w:val="99"/>
    <w:rPr>
      <w:sz w:val="18"/>
      <w:szCs w:val="18"/>
    </w:rPr>
  </w:style>
  <w:style w:type="character" w:customStyle="1" w:styleId="20">
    <w:name w:val="页眉 Char"/>
    <w:basedOn w:val="15"/>
    <w:link w:val="8"/>
    <w:qFormat/>
    <w:uiPriority w:val="99"/>
    <w:rPr>
      <w:sz w:val="18"/>
      <w:szCs w:val="18"/>
    </w:rPr>
  </w:style>
  <w:style w:type="paragraph" w:customStyle="1" w:styleId="2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2">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3">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4">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25">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6">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character" w:customStyle="1" w:styleId="30">
    <w:name w:val="页眉 字符"/>
    <w:uiPriority w:val="99"/>
    <w:rPr>
      <w:kern w:val="2"/>
      <w:sz w:val="18"/>
      <w:szCs w:val="18"/>
    </w:rPr>
  </w:style>
  <w:style w:type="character" w:customStyle="1" w:styleId="31">
    <w:name w:val="页脚 字符"/>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8BFA07-13F2-4981-8E83-DD2D2B2EE043}">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1807</Words>
  <Characters>10300</Characters>
  <Lines>85</Lines>
  <Paragraphs>24</Paragraphs>
  <TotalTime>92</TotalTime>
  <ScaleCrop>false</ScaleCrop>
  <LinksUpToDate>false</LinksUpToDate>
  <CharactersWithSpaces>12083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2023-11-16T02:32:01Z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