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保定市徐水区遂城镇中心学校</w:t>
      </w:r>
    </w:p>
    <w:p>
      <w:pPr>
        <w:spacing w:line="360" w:lineRule="auto"/>
        <w:jc w:val="center"/>
        <w:rPr>
          <w:rFonts w:ascii="宋体" w:hAnsi="宋体" w:eastAsia="宋体"/>
          <w:b/>
          <w:sz w:val="44"/>
          <w:szCs w:val="44"/>
        </w:rPr>
      </w:pPr>
      <w:r>
        <w:rPr>
          <w:rFonts w:ascii="宋体" w:hAnsi="宋体" w:eastAsia="宋体"/>
          <w:b/>
          <w:sz w:val="44"/>
          <w:szCs w:val="44"/>
        </w:rPr>
        <w:t>2021年</w:t>
      </w:r>
      <w:r>
        <w:rPr>
          <w:rFonts w:hint="eastAsia" w:ascii="宋体" w:hAnsi="宋体" w:eastAsia="宋体"/>
          <w:b/>
          <w:sz w:val="44"/>
          <w:szCs w:val="44"/>
        </w:rPr>
        <w:t>单位</w:t>
      </w:r>
      <w:r>
        <w:rPr>
          <w:rFonts w:ascii="宋体" w:hAnsi="宋体" w:eastAsia="宋体"/>
          <w:b/>
          <w:sz w:val="44"/>
          <w:szCs w:val="44"/>
        </w:rPr>
        <w:t>预算公开说明</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bookmarkStart w:id="15" w:name="_GoBack"/>
      <w:bookmarkEnd w:id="15"/>
      <w:r>
        <w:rPr>
          <w:rFonts w:hint="eastAsia" w:ascii="仿宋" w:hAnsi="仿宋" w:eastAsia="仿宋"/>
          <w:sz w:val="32"/>
          <w:szCs w:val="32"/>
        </w:rPr>
        <w:t>预算法》、《地方预决算公开操作规程》等文件规定，现将我单位预算信息公开如下：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w:t>
      </w:r>
      <w:r>
        <w:rPr>
          <w:rFonts w:hint="eastAsia" w:ascii="方正小标宋_GBK" w:eastAsia="方正小标宋_GBK"/>
          <w:sz w:val="44"/>
        </w:rPr>
        <w:t>单位</w:t>
      </w:r>
      <w:r>
        <w:rPr>
          <w:rFonts w:ascii="方正小标宋_GBK" w:eastAsia="方正小标宋_GBK"/>
          <w:sz w:val="44"/>
        </w:rPr>
        <w:t>职责及机构设置情况</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一、单位职责</w:t>
      </w:r>
    </w:p>
    <w:p>
      <w:pPr>
        <w:spacing w:line="360" w:lineRule="auto"/>
        <w:ind w:firstLine="640" w:firstLineChars="200"/>
        <w:rPr>
          <w:rFonts w:ascii="仿宋" w:hAnsi="仿宋" w:eastAsia="仿宋"/>
          <w:sz w:val="32"/>
          <w:szCs w:val="32"/>
        </w:rPr>
      </w:pPr>
      <w:r>
        <w:rPr>
          <w:rFonts w:ascii="仿宋" w:hAnsi="仿宋" w:eastAsia="仿宋"/>
          <w:sz w:val="32"/>
          <w:szCs w:val="32"/>
        </w:rPr>
        <w:t>根据《保定市徐水区教育和体育局职能配置、内设机构和人员编制规定》，保定市徐水区</w:t>
      </w:r>
      <w:r>
        <w:rPr>
          <w:rFonts w:hint="eastAsia" w:ascii="仿宋" w:hAnsi="仿宋" w:eastAsia="仿宋"/>
          <w:sz w:val="32"/>
          <w:szCs w:val="32"/>
        </w:rPr>
        <w:t>遂城镇中心学校</w:t>
      </w:r>
      <w:r>
        <w:rPr>
          <w:rFonts w:ascii="仿宋" w:hAnsi="仿宋" w:eastAsia="仿宋"/>
          <w:sz w:val="32"/>
          <w:szCs w:val="32"/>
        </w:rPr>
        <w:t>的主要职责是：</w:t>
      </w:r>
    </w:p>
    <w:p>
      <w:pPr>
        <w:spacing w:line="360" w:lineRule="auto"/>
        <w:ind w:firstLine="640" w:firstLineChars="200"/>
        <w:rPr>
          <w:rFonts w:ascii="仿宋" w:hAnsi="仿宋" w:eastAsia="仿宋"/>
          <w:sz w:val="32"/>
          <w:szCs w:val="32"/>
        </w:rPr>
      </w:pPr>
      <w:r>
        <w:rPr>
          <w:rFonts w:ascii="仿宋" w:hAnsi="仿宋" w:eastAsia="仿宋"/>
          <w:sz w:val="32"/>
          <w:szCs w:val="32"/>
        </w:rPr>
        <w:t>（一）贯彻落实教育和体育工作方针、政策、法律、法规，负责教育体制、办学体制、学校管理体制及城乡教育综合改革的统筹规划和协调指导；落实教育优先发展的战略地位，推动全</w:t>
      </w:r>
      <w:r>
        <w:rPr>
          <w:rFonts w:hint="eastAsia" w:ascii="仿宋" w:hAnsi="仿宋" w:eastAsia="仿宋"/>
          <w:sz w:val="32"/>
          <w:szCs w:val="32"/>
        </w:rPr>
        <w:t>镇</w:t>
      </w:r>
      <w:r>
        <w:rPr>
          <w:rFonts w:ascii="仿宋" w:hAnsi="仿宋" w:eastAsia="仿宋"/>
          <w:sz w:val="32"/>
          <w:szCs w:val="32"/>
        </w:rPr>
        <w:t>教育和体育事业改革发展。</w:t>
      </w:r>
    </w:p>
    <w:p>
      <w:pPr>
        <w:spacing w:line="360" w:lineRule="auto"/>
        <w:ind w:firstLine="640" w:firstLineChars="200"/>
        <w:rPr>
          <w:rFonts w:ascii="仿宋" w:hAnsi="仿宋" w:eastAsia="仿宋"/>
          <w:sz w:val="32"/>
          <w:szCs w:val="32"/>
        </w:rPr>
      </w:pPr>
      <w:r>
        <w:rPr>
          <w:rFonts w:ascii="仿宋" w:hAnsi="仿宋" w:eastAsia="仿宋"/>
          <w:sz w:val="32"/>
          <w:szCs w:val="32"/>
        </w:rPr>
        <w:t>（二）研究制定全</w:t>
      </w:r>
      <w:r>
        <w:rPr>
          <w:rFonts w:hint="eastAsia" w:ascii="仿宋" w:hAnsi="仿宋" w:eastAsia="仿宋"/>
          <w:sz w:val="32"/>
          <w:szCs w:val="32"/>
        </w:rPr>
        <w:t>镇</w:t>
      </w:r>
      <w:r>
        <w:rPr>
          <w:rFonts w:ascii="仿宋" w:hAnsi="仿宋" w:eastAsia="仿宋"/>
          <w:sz w:val="32"/>
          <w:szCs w:val="32"/>
        </w:rPr>
        <w:t>教育和体育工作的发展规划，统筹规划学枃布局和体育事业发展，在</w:t>
      </w:r>
      <w:r>
        <w:rPr>
          <w:rFonts w:hint="eastAsia" w:ascii="仿宋" w:hAnsi="仿宋" w:eastAsia="仿宋"/>
          <w:sz w:val="32"/>
          <w:szCs w:val="32"/>
        </w:rPr>
        <w:t>市、区</w:t>
      </w:r>
      <w:r>
        <w:rPr>
          <w:rFonts w:ascii="仿宋" w:hAnsi="仿宋" w:eastAsia="仿宋"/>
          <w:sz w:val="32"/>
          <w:szCs w:val="32"/>
        </w:rPr>
        <w:t>规定的权限内承担各级各类学校设立、撤销、调整的上报工作。</w:t>
      </w:r>
    </w:p>
    <w:p>
      <w:pPr>
        <w:spacing w:line="360" w:lineRule="auto"/>
        <w:ind w:firstLine="640" w:firstLineChars="200"/>
        <w:rPr>
          <w:rFonts w:ascii="仿宋" w:hAnsi="仿宋" w:eastAsia="仿宋"/>
          <w:sz w:val="32"/>
          <w:szCs w:val="32"/>
        </w:rPr>
      </w:pPr>
      <w:r>
        <w:rPr>
          <w:rFonts w:ascii="仿宋" w:hAnsi="仿宋" w:eastAsia="仿宋"/>
          <w:sz w:val="32"/>
          <w:szCs w:val="32"/>
        </w:rPr>
        <w:t>（三）全面实施素质教育，指导推动教育教学和教育科研工作；负责全</w:t>
      </w:r>
      <w:r>
        <w:rPr>
          <w:rFonts w:hint="eastAsia" w:ascii="仿宋" w:hAnsi="仿宋" w:eastAsia="仿宋"/>
          <w:sz w:val="32"/>
          <w:szCs w:val="32"/>
        </w:rPr>
        <w:t>镇</w:t>
      </w:r>
      <w:r>
        <w:rPr>
          <w:rFonts w:ascii="仿宋" w:hAnsi="仿宋" w:eastAsia="仿宋"/>
          <w:sz w:val="32"/>
          <w:szCs w:val="32"/>
        </w:rPr>
        <w:t>义务教育、学前教育、成人教育的宏观指导、综合管理与服务，对全</w:t>
      </w:r>
      <w:r>
        <w:rPr>
          <w:rFonts w:hint="eastAsia" w:ascii="仿宋" w:hAnsi="仿宋" w:eastAsia="仿宋"/>
          <w:sz w:val="32"/>
          <w:szCs w:val="32"/>
        </w:rPr>
        <w:t>镇</w:t>
      </w:r>
      <w:r>
        <w:rPr>
          <w:rFonts w:ascii="仿宋" w:hAnsi="仿宋" w:eastAsia="仿宋"/>
          <w:sz w:val="32"/>
          <w:szCs w:val="32"/>
        </w:rPr>
        <w:t>教育工作状况及办学水平进行监督、检查、评估、验收；</w:t>
      </w:r>
    </w:p>
    <w:p>
      <w:pPr>
        <w:spacing w:line="360" w:lineRule="auto"/>
        <w:ind w:firstLine="321" w:firstLineChars="100"/>
        <w:rPr>
          <w:rFonts w:ascii="仿宋" w:hAnsi="仿宋" w:eastAsia="仿宋"/>
          <w:b/>
          <w:sz w:val="32"/>
          <w:szCs w:val="32"/>
        </w:rPr>
      </w:pPr>
      <w:r>
        <w:rPr>
          <w:rFonts w:hint="eastAsia" w:ascii="仿宋" w:hAnsi="仿宋" w:eastAsia="仿宋"/>
          <w:b/>
          <w:sz w:val="32"/>
          <w:szCs w:val="32"/>
        </w:rPr>
        <w:t>二、机构设置</w:t>
      </w:r>
    </w:p>
    <w:tbl>
      <w:tblPr>
        <w:tblStyle w:val="8"/>
        <w:tblW w:w="9634"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04"/>
        <w:gridCol w:w="3402"/>
        <w:gridCol w:w="1279"/>
        <w:gridCol w:w="1698"/>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trPr>
        <w:tc>
          <w:tcPr>
            <w:tcW w:w="704"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340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279"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单位基本性质</w:t>
            </w:r>
          </w:p>
        </w:tc>
        <w:tc>
          <w:tcPr>
            <w:tcW w:w="1698" w:type="dxa"/>
            <w:tcBorders>
              <w:bottom w:val="single" w:color="000000" w:sz="6" w:space="0"/>
            </w:tcBorders>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w:t>
            </w:r>
            <w:r>
              <w:rPr>
                <w:rFonts w:ascii="仿宋_GB2312" w:hAnsi="仿宋" w:eastAsia="仿宋_GB2312" w:cs="宋体"/>
                <w:kern w:val="0"/>
                <w:sz w:val="24"/>
                <w:szCs w:val="24"/>
              </w:rPr>
              <w:t>规格</w:t>
            </w:r>
          </w:p>
        </w:tc>
        <w:tc>
          <w:tcPr>
            <w:tcW w:w="255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704"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340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遂城镇中心学校</w:t>
            </w:r>
          </w:p>
        </w:tc>
        <w:tc>
          <w:tcPr>
            <w:tcW w:w="1279"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98"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255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第二部分：单位预算安排的总体情况</w:t>
      </w:r>
      <w:r>
        <w:rPr>
          <w:rFonts w:ascii="方正小标宋_GBK" w:eastAsia="方正小标宋_GBK"/>
          <w:sz w:val="44"/>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按照预算管理有关规定，目前我镇单位预算的编制实行综合预算制度，即全部收入和支出都反映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2021年预算收入为4665.62万元,其中：一般公共预算收入4665.62万元，基金预算收入0万元，财政专户收入</w:t>
      </w:r>
      <w:r>
        <w:rPr>
          <w:rFonts w:hint="eastAsia" w:ascii="仿宋" w:hAnsi="仿宋" w:eastAsia="仿宋"/>
          <w:sz w:val="32"/>
          <w:szCs w:val="32"/>
        </w:rPr>
        <w:t>0</w:t>
      </w:r>
      <w:r>
        <w:rPr>
          <w:rFonts w:ascii="仿宋" w:hAnsi="仿宋" w:eastAsia="仿宋"/>
          <w:sz w:val="32"/>
          <w:szCs w:val="32"/>
        </w:rPr>
        <w:t>万元，其他来源收入0万</w:t>
      </w:r>
      <w:r>
        <w:rPr>
          <w:rFonts w:hint="eastAsia" w:ascii="仿宋" w:hAnsi="仿宋" w:eastAsia="仿宋"/>
          <w:sz w:val="32"/>
          <w:szCs w:val="32"/>
        </w:rPr>
        <w:t>元</w:t>
      </w:r>
      <w:r>
        <w:rPr>
          <w:rFonts w:ascii="仿宋" w:hAnsi="仿宋" w:eastAsia="仿宋"/>
          <w:sz w:val="32"/>
          <w:szCs w:val="32"/>
        </w:rPr>
        <w:t>，</w:t>
      </w:r>
      <w:r>
        <w:rPr>
          <w:rFonts w:hint="eastAsia" w:ascii="仿宋" w:hAnsi="仿宋" w:eastAsia="仿宋"/>
          <w:sz w:val="32"/>
          <w:szCs w:val="32"/>
        </w:rPr>
        <w:t>上</w:t>
      </w:r>
      <w:r>
        <w:rPr>
          <w:rFonts w:ascii="仿宋" w:hAnsi="仿宋" w:eastAsia="仿宋"/>
          <w:sz w:val="32"/>
          <w:szCs w:val="32"/>
        </w:rPr>
        <w:t>年结转结余资金0</w:t>
      </w:r>
      <w:r>
        <w:rPr>
          <w:rFonts w:hint="eastAsia" w:ascii="仿宋" w:hAnsi="仿宋" w:eastAsia="仿宋"/>
          <w:sz w:val="32"/>
          <w:szCs w:val="32"/>
        </w:rPr>
        <w:t>万</w:t>
      </w:r>
      <w:r>
        <w:rPr>
          <w:rFonts w:ascii="仿宋" w:hAnsi="仿宋" w:eastAsia="仿宋"/>
          <w:sz w:val="32"/>
          <w:szCs w:val="32"/>
        </w:rPr>
        <w:t>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2021年部门支出预算：4665.62万元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w:t>
      </w:r>
      <w:r>
        <w:rPr>
          <w:rFonts w:ascii="仿宋" w:hAnsi="仿宋" w:eastAsia="仿宋"/>
          <w:sz w:val="32"/>
          <w:szCs w:val="32"/>
        </w:rPr>
        <w:t>3897.00</w:t>
      </w:r>
      <w:r>
        <w:rPr>
          <w:rFonts w:hint="eastAsia"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其中：人员经费3803.65万元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日常公用经费93.35万元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768.62万元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其中：本级支出372.60万元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w:t>
      </w:r>
      <w:r>
        <w:rPr>
          <w:rFonts w:ascii="仿宋" w:hAnsi="仿宋" w:eastAsia="仿宋"/>
          <w:sz w:val="32"/>
          <w:szCs w:val="32"/>
        </w:rPr>
        <w:t>4665.62</w:t>
      </w:r>
      <w:r>
        <w:rPr>
          <w:rFonts w:hint="eastAsia" w:ascii="仿宋" w:hAnsi="仿宋" w:eastAsia="仿宋"/>
          <w:sz w:val="32"/>
          <w:szCs w:val="32"/>
        </w:rPr>
        <w:t>万元，较上年增加</w:t>
      </w:r>
      <w:r>
        <w:rPr>
          <w:rFonts w:ascii="仿宋" w:hAnsi="仿宋" w:eastAsia="仿宋"/>
          <w:sz w:val="32"/>
          <w:szCs w:val="32"/>
        </w:rPr>
        <w:t>296.81万元。其中:基本支出增加52.14万元，主要原因是</w:t>
      </w:r>
      <w:r>
        <w:rPr>
          <w:rFonts w:hint="eastAsia" w:ascii="仿宋" w:hAnsi="仿宋" w:eastAsia="仿宋"/>
          <w:sz w:val="32"/>
          <w:szCs w:val="32"/>
        </w:rPr>
        <w:t>有新招聘</w:t>
      </w:r>
      <w:r>
        <w:rPr>
          <w:rFonts w:ascii="仿宋" w:hAnsi="仿宋" w:eastAsia="仿宋"/>
          <w:sz w:val="32"/>
          <w:szCs w:val="32"/>
        </w:rPr>
        <w:t>教师</w:t>
      </w:r>
      <w:r>
        <w:rPr>
          <w:rFonts w:hint="eastAsia" w:ascii="仿宋" w:hAnsi="仿宋" w:eastAsia="仿宋"/>
          <w:sz w:val="32"/>
          <w:szCs w:val="32"/>
        </w:rPr>
        <w:t>、教师工资结构发生变化，</w:t>
      </w:r>
      <w:r>
        <w:rPr>
          <w:rFonts w:ascii="仿宋" w:hAnsi="仿宋" w:eastAsia="仿宋"/>
          <w:sz w:val="32"/>
          <w:szCs w:val="32"/>
        </w:rPr>
        <w:t>导致人员经费增加；项目支出</w:t>
      </w:r>
      <w:r>
        <w:rPr>
          <w:rFonts w:hint="eastAsia" w:ascii="仿宋" w:hAnsi="仿宋" w:eastAsia="仿宋"/>
          <w:sz w:val="32"/>
          <w:szCs w:val="32"/>
        </w:rPr>
        <w:t>增加</w:t>
      </w:r>
      <w:r>
        <w:rPr>
          <w:rFonts w:ascii="仿宋" w:hAnsi="仿宋" w:eastAsia="仿宋"/>
          <w:sz w:val="32"/>
          <w:szCs w:val="32"/>
        </w:rPr>
        <w:t>244.67万元，主要原因</w:t>
      </w:r>
      <w:r>
        <w:rPr>
          <w:rFonts w:hint="eastAsia" w:ascii="仿宋" w:hAnsi="仿宋" w:eastAsia="仿宋"/>
          <w:sz w:val="32"/>
          <w:szCs w:val="32"/>
        </w:rPr>
        <w:t>是年</w:t>
      </w:r>
      <w:r>
        <w:rPr>
          <w:rFonts w:ascii="仿宋" w:hAnsi="仿宋" w:eastAsia="仿宋"/>
          <w:sz w:val="32"/>
          <w:szCs w:val="32"/>
        </w:rPr>
        <w:t>初预算校舍建设</w:t>
      </w:r>
      <w:r>
        <w:rPr>
          <w:rFonts w:hint="eastAsia" w:ascii="仿宋" w:hAnsi="仿宋" w:eastAsia="仿宋"/>
          <w:sz w:val="32"/>
          <w:szCs w:val="32"/>
        </w:rPr>
        <w:t>等</w:t>
      </w:r>
      <w:r>
        <w:rPr>
          <w:rFonts w:ascii="仿宋" w:hAnsi="仿宋" w:eastAsia="仿宋"/>
          <w:sz w:val="32"/>
          <w:szCs w:val="32"/>
        </w:rPr>
        <w:t>资金</w:t>
      </w:r>
      <w:r>
        <w:rPr>
          <w:rFonts w:hint="eastAsia" w:ascii="仿宋" w:hAnsi="仿宋" w:eastAsia="仿宋"/>
          <w:sz w:val="32"/>
          <w:szCs w:val="32"/>
        </w:rPr>
        <w:t>较</w:t>
      </w:r>
      <w:r>
        <w:rPr>
          <w:rFonts w:ascii="仿宋" w:hAnsi="仿宋" w:eastAsia="仿宋"/>
          <w:sz w:val="32"/>
          <w:szCs w:val="32"/>
        </w:rPr>
        <w:t>上年</w:t>
      </w:r>
      <w:r>
        <w:rPr>
          <w:rFonts w:hint="eastAsia" w:ascii="仿宋" w:hAnsi="仿宋" w:eastAsia="仿宋"/>
          <w:sz w:val="32"/>
          <w:szCs w:val="32"/>
        </w:rPr>
        <w:t>增加</w:t>
      </w:r>
      <w:r>
        <w:rPr>
          <w:rFonts w:ascii="仿宋" w:hAnsi="仿宋" w:eastAsia="仿宋"/>
          <w:sz w:val="32"/>
          <w:szCs w:val="32"/>
        </w:rPr>
        <w:t>。</w:t>
      </w: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pPr>
        <w:spacing w:line="360" w:lineRule="auto"/>
        <w:ind w:firstLine="640" w:firstLineChars="200"/>
        <w:rPr>
          <w:rFonts w:ascii="仿宋" w:hAnsi="仿宋" w:eastAsia="仿宋"/>
          <w:b/>
          <w:sz w:val="32"/>
          <w:szCs w:val="32"/>
        </w:rPr>
      </w:pPr>
      <w:r>
        <w:rPr>
          <w:rFonts w:ascii="仿宋" w:hAnsi="仿宋" w:eastAsia="仿宋"/>
          <w:sz w:val="32"/>
          <w:szCs w:val="32"/>
        </w:rPr>
        <w:t>2021年我</w:t>
      </w:r>
      <w:r>
        <w:rPr>
          <w:rFonts w:hint="eastAsia" w:ascii="仿宋" w:hAnsi="仿宋" w:eastAsia="仿宋"/>
          <w:sz w:val="32"/>
          <w:szCs w:val="32"/>
        </w:rPr>
        <w:t>单位</w:t>
      </w:r>
      <w:r>
        <w:rPr>
          <w:rFonts w:ascii="仿宋" w:hAnsi="仿宋" w:eastAsia="仿宋"/>
          <w:sz w:val="32"/>
          <w:szCs w:val="32"/>
        </w:rPr>
        <w:t>机关运行经费安排93.35万元，其中办公费4.68万元，工会经费</w:t>
      </w:r>
      <w:r>
        <w:rPr>
          <w:rFonts w:hint="eastAsia" w:ascii="仿宋" w:hAnsi="仿宋" w:eastAsia="仿宋"/>
          <w:sz w:val="32"/>
          <w:szCs w:val="32"/>
        </w:rPr>
        <w:t>35.11万</w:t>
      </w:r>
      <w:r>
        <w:rPr>
          <w:rFonts w:ascii="仿宋" w:hAnsi="仿宋" w:eastAsia="仿宋"/>
          <w:sz w:val="32"/>
          <w:szCs w:val="32"/>
        </w:rPr>
        <w:t>元</w:t>
      </w:r>
      <w:r>
        <w:rPr>
          <w:rFonts w:hint="eastAsia" w:ascii="仿宋" w:hAnsi="仿宋" w:eastAsia="仿宋"/>
          <w:sz w:val="32"/>
          <w:szCs w:val="32"/>
        </w:rPr>
        <w:t>、</w:t>
      </w:r>
      <w:r>
        <w:rPr>
          <w:rFonts w:ascii="仿宋" w:hAnsi="仿宋" w:eastAsia="仿宋"/>
          <w:sz w:val="32"/>
          <w:szCs w:val="32"/>
        </w:rPr>
        <w:t>福利费25.56万元，</w:t>
      </w:r>
      <w:r>
        <w:rPr>
          <w:rFonts w:hint="eastAsia" w:ascii="仿宋" w:hAnsi="仿宋" w:eastAsia="仿宋"/>
          <w:sz w:val="32"/>
          <w:szCs w:val="32"/>
        </w:rPr>
        <w:t>离</w:t>
      </w:r>
      <w:r>
        <w:rPr>
          <w:rFonts w:ascii="仿宋" w:hAnsi="仿宋" w:eastAsia="仿宋"/>
          <w:sz w:val="32"/>
          <w:szCs w:val="32"/>
        </w:rPr>
        <w:t>退休干部经费</w:t>
      </w:r>
      <w:r>
        <w:rPr>
          <w:rFonts w:hint="eastAsia" w:ascii="仿宋" w:hAnsi="仿宋" w:eastAsia="仿宋"/>
          <w:sz w:val="32"/>
          <w:szCs w:val="32"/>
        </w:rPr>
        <w:t>28万</w:t>
      </w:r>
      <w:r>
        <w:rPr>
          <w:rFonts w:ascii="仿宋" w:hAnsi="仿宋" w:eastAsia="仿宋"/>
          <w:sz w:val="32"/>
          <w:szCs w:val="32"/>
        </w:rPr>
        <w:t>元。</w:t>
      </w: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8"/>
        <w:tblW w:w="5000" w:type="pct"/>
        <w:tblInd w:w="0" w:type="dxa"/>
        <w:tblLayout w:type="autofit"/>
        <w:tblCellMar>
          <w:top w:w="0" w:type="dxa"/>
          <w:left w:w="108" w:type="dxa"/>
          <w:bottom w:w="0" w:type="dxa"/>
          <w:right w:w="108" w:type="dxa"/>
        </w:tblCellMar>
      </w:tblPr>
      <w:tblGrid>
        <w:gridCol w:w="9963"/>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8"/>
              <w:tblW w:w="0" w:type="auto"/>
              <w:jc w:val="center"/>
              <w:tblLayout w:type="autofit"/>
              <w:tblCellMar>
                <w:top w:w="0" w:type="dxa"/>
                <w:left w:w="108" w:type="dxa"/>
                <w:bottom w:w="0" w:type="dxa"/>
                <w:right w:w="108" w:type="dxa"/>
              </w:tblCellMar>
            </w:tblPr>
            <w:tblGrid>
              <w:gridCol w:w="2163"/>
              <w:gridCol w:w="1276"/>
              <w:gridCol w:w="1418"/>
              <w:gridCol w:w="1272"/>
              <w:gridCol w:w="1961"/>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ascii="仿宋" w:hAnsi="仿宋" w:eastAsia="仿宋" w:cs="宋体"/>
                      <w:kern w:val="0"/>
                      <w:sz w:val="28"/>
                      <w:szCs w:val="28"/>
                    </w:rPr>
                  </w:pPr>
                  <w:r>
                    <w:rPr>
                      <w:rFonts w:hint="eastAsia" w:ascii="仿宋" w:hAnsi="仿宋" w:eastAsia="仿宋" w:cs="宋体"/>
                      <w:kern w:val="0"/>
                      <w:sz w:val="28"/>
                      <w:szCs w:val="28"/>
                    </w:rPr>
                    <w:t>2021年</w:t>
                  </w:r>
                  <w:r>
                    <w:rPr>
                      <w:rFonts w:ascii="仿宋" w:hAnsi="仿宋" w:eastAsia="仿宋" w:cs="宋体"/>
                      <w:kern w:val="0"/>
                      <w:sz w:val="28"/>
                      <w:szCs w:val="28"/>
                    </w:rPr>
                    <w:t>，我单位无三公经费，空表列示。</w:t>
                  </w: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1272" w:type="dxa"/>
                  <w:tcBorders>
                    <w:top w:val="nil"/>
                    <w:left w:val="nil"/>
                    <w:bottom w:val="nil"/>
                    <w:right w:val="nil"/>
                  </w:tcBorders>
                  <w:vAlign w:val="center"/>
                </w:tcPr>
                <w:p>
                  <w:pPr>
                    <w:widowControl/>
                    <w:jc w:val="left"/>
                    <w:rPr>
                      <w:rFonts w:ascii="宋体" w:hAnsi="宋体" w:cs="宋体"/>
                      <w:kern w:val="0"/>
                      <w:sz w:val="24"/>
                      <w:szCs w:val="24"/>
                    </w:rPr>
                  </w:pPr>
                </w:p>
              </w:tc>
              <w:tc>
                <w:tcPr>
                  <w:tcW w:w="1961"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127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196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27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9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27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9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23"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rPr>
                    <w:t>0</w:t>
                  </w:r>
                </w:p>
              </w:tc>
              <w:tc>
                <w:tcPr>
                  <w:tcW w:w="127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9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34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rPr>
                    <w:t>0</w:t>
                  </w:r>
                </w:p>
              </w:tc>
              <w:tc>
                <w:tcPr>
                  <w:tcW w:w="127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9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393"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27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9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1272" w:type="dxa"/>
                  <w:tcBorders>
                    <w:top w:val="nil"/>
                    <w:left w:val="nil"/>
                    <w:bottom w:val="nil"/>
                    <w:right w:val="nil"/>
                  </w:tcBorders>
                  <w:vAlign w:val="center"/>
                </w:tcPr>
                <w:p>
                  <w:pPr>
                    <w:widowControl/>
                    <w:jc w:val="left"/>
                    <w:rPr>
                      <w:rFonts w:ascii="宋体" w:hAnsi="宋体" w:cs="宋体"/>
                      <w:kern w:val="0"/>
                      <w:sz w:val="24"/>
                      <w:szCs w:val="24"/>
                    </w:rPr>
                  </w:pPr>
                </w:p>
              </w:tc>
              <w:tc>
                <w:tcPr>
                  <w:tcW w:w="1961"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jc w:val="center"/>
        <w:outlineLvl w:val="0"/>
        <w:rPr>
          <w:rFonts w:ascii="方正小标宋_GBK" w:eastAsia="方正小标宋_GBK"/>
          <w:sz w:val="44"/>
        </w:rPr>
      </w:pPr>
      <w:r>
        <w:rPr>
          <w:rFonts w:hint="eastAsia" w:ascii="方正小标宋_GBK" w:eastAsia="方正小标宋_GBK"/>
          <w:sz w:val="44"/>
        </w:rPr>
        <w:t>部门整体</w:t>
      </w:r>
      <w:r>
        <w:rPr>
          <w:rFonts w:ascii="方正小标宋_GBK" w:eastAsia="方正小标宋_GBK"/>
          <w:sz w:val="44"/>
        </w:rPr>
        <w:t>绩效目标</w:t>
      </w:r>
    </w:p>
    <w:p>
      <w:pPr>
        <w:spacing w:before="156" w:beforeLines="50" w:after="156" w:afterLines="50"/>
        <w:ind w:firstLine="560" w:firstLineChars="200"/>
        <w:jc w:val="left"/>
        <w:outlineLvl w:val="1"/>
        <w:rPr>
          <w:rFonts w:ascii="Times New Roman" w:hAnsi="宋体" w:eastAsia="宋体"/>
          <w:sz w:val="28"/>
        </w:rPr>
      </w:pPr>
      <w:bookmarkStart w:id="0" w:name="_Toc71388300"/>
      <w:r>
        <w:rPr>
          <w:rFonts w:hint="eastAsia" w:ascii="方正黑体_GBK" w:eastAsia="方正黑体_GBK"/>
          <w:sz w:val="28"/>
        </w:rPr>
        <w:t>一、总体绩效目标</w:t>
      </w:r>
      <w:bookmarkEnd w:id="0"/>
      <w:r>
        <w:rPr>
          <w:rFonts w:ascii="方正黑体_GBK" w:eastAsia="方正黑体_GBK"/>
          <w:sz w:val="28"/>
        </w:rPr>
        <w:fldChar w:fldCharType="begin"/>
      </w:r>
      <w:r>
        <w:rPr>
          <w:rFonts w:ascii="方正黑体_GBK" w:eastAsia="方正黑体_GBK"/>
          <w:sz w:val="28"/>
        </w:rPr>
        <w:instrText xml:space="preserve"> </w:instrText>
      </w:r>
      <w:r>
        <w:rPr>
          <w:rFonts w:hint="eastAsia" w:ascii="方正黑体_GBK" w:eastAsia="方正黑体_GBK"/>
          <w:sz w:val="28"/>
        </w:rPr>
        <w:instrText xml:space="preserve">TC 总体绩效目标 \f A \l 1</w:instrText>
      </w:r>
      <w:r>
        <w:rPr>
          <w:rFonts w:ascii="方正黑体_GBK" w:eastAsia="方正黑体_GBK"/>
          <w:sz w:val="28"/>
        </w:rPr>
        <w:instrText xml:space="preserve"> </w:instrText>
      </w:r>
      <w:r>
        <w:rPr>
          <w:rFonts w:ascii="方正黑体_GBK" w:eastAsia="方正黑体_GBK"/>
          <w:sz w:val="28"/>
        </w:rPr>
        <w:fldChar w:fldCharType="end"/>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以习近平新时代中国特色社会主义思想为指导，深入贯彻党的十九大和十九届二中、三中、四中、五中全会精神，立足新发展阶段，贯彻新发展理念，构建新发展格局，以推动高质量发展为主题，以改革创新为根本动力，全面贯彻党的教育方针，落实立德树人根本任务，坚持</w:t>
      </w:r>
      <w:r>
        <w:rPr>
          <w:rFonts w:ascii="Times New Roman" w:eastAsia="方正仿宋_GBK"/>
          <w:sz w:val="28"/>
        </w:rPr>
        <w:t>“</w:t>
      </w:r>
      <w:r>
        <w:rPr>
          <w:rFonts w:hint="eastAsia" w:ascii="Times New Roman" w:hAnsi="微软雅黑" w:eastAsia="方正仿宋_GBK" w:cs="微软雅黑"/>
          <w:sz w:val="28"/>
        </w:rPr>
        <w:t>四个激活</w:t>
      </w:r>
      <w:r>
        <w:rPr>
          <w:rFonts w:ascii="Times New Roman" w:eastAsia="方正仿宋_GBK"/>
          <w:sz w:val="28"/>
        </w:rPr>
        <w:t>”</w:t>
      </w:r>
      <w:r>
        <w:rPr>
          <w:rFonts w:hint="eastAsia" w:ascii="Times New Roman" w:hAnsi="微软雅黑" w:eastAsia="方正仿宋_GBK" w:cs="微软雅黑"/>
          <w:sz w:val="28"/>
        </w:rPr>
        <w:t>工作思路，巩固拓展疫情防控和教育改革发展成果，为推进教育现代化，建设教育强区，办好人民满意教育开好局、起好步，以优异成绩庆祝建党</w:t>
      </w:r>
      <w:r>
        <w:rPr>
          <w:rFonts w:ascii="Times New Roman" w:eastAsia="方正仿宋_GBK"/>
          <w:sz w:val="28"/>
        </w:rPr>
        <w:t>100</w:t>
      </w:r>
      <w:r>
        <w:rPr>
          <w:rFonts w:hint="eastAsia" w:ascii="Times New Roman" w:hAnsi="微软雅黑" w:eastAsia="方正仿宋_GBK" w:cs="微软雅黑"/>
          <w:sz w:val="28"/>
        </w:rPr>
        <w:t>周年。</w:t>
      </w:r>
    </w:p>
    <w:p>
      <w:pPr>
        <w:spacing w:line="500" w:lineRule="exact"/>
        <w:ind w:firstLine="560" w:firstLineChars="200"/>
        <w:jc w:val="left"/>
        <w:rPr>
          <w:rFonts w:ascii="Times New Roman" w:eastAsia="方正仿宋_GBK"/>
          <w:sz w:val="28"/>
        </w:rPr>
      </w:pPr>
    </w:p>
    <w:p>
      <w:pPr>
        <w:spacing w:before="156" w:beforeLines="50" w:after="156" w:afterLines="50" w:line="500" w:lineRule="exact"/>
        <w:ind w:firstLine="560" w:firstLineChars="200"/>
        <w:jc w:val="left"/>
        <w:outlineLvl w:val="1"/>
        <w:rPr>
          <w:rFonts w:ascii="Times New Roman" w:hAnsi="宋体" w:eastAsia="宋体"/>
          <w:sz w:val="28"/>
        </w:rPr>
      </w:pPr>
      <w:bookmarkStart w:id="1" w:name="_Toc71388301"/>
      <w:r>
        <w:rPr>
          <w:rFonts w:ascii="方正黑体_GBK" w:eastAsia="方正黑体_GBK"/>
          <w:sz w:val="28"/>
        </w:rPr>
        <w:t>二、分项绩效目标</w:t>
      </w:r>
      <w:bookmarkEnd w:id="1"/>
      <w:r>
        <w:rPr>
          <w:rFonts w:ascii="方正黑体_GBK" w:eastAsia="方正黑体_GBK"/>
          <w:sz w:val="28"/>
        </w:rPr>
        <w:fldChar w:fldCharType="begin"/>
      </w:r>
      <w:r>
        <w:rPr>
          <w:rFonts w:ascii="方正黑体_GBK" w:eastAsia="方正黑体_GBK"/>
          <w:sz w:val="28"/>
        </w:rPr>
        <w:instrText xml:space="preserve"> TC 分项绩效目标 \f A \l 1 </w:instrText>
      </w:r>
      <w:r>
        <w:rPr>
          <w:rFonts w:ascii="方正黑体_GBK" w:eastAsia="方正黑体_GBK"/>
          <w:sz w:val="28"/>
        </w:rPr>
        <w:fldChar w:fldCharType="end"/>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（一）全面加强党的政治建设</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目标：把深入学习宣传贯彻习近平新时代中国特色社会主义思想作为重大政治任务，把党的政治建设放在首位。严格落实全面从严治党主体责任、监督责任和党风廉政建设责任制，压紧压实教体系统意识形态风险防控主体责任，加强作风纪律建设，强化监督执纪问责，加强源头治理，深化整改落实，推进教体系统政治生态持续优化。</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（二）提高学前教育普及普惠水平</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绩效目标：多渠道扩大普惠性学前教育资源，健全学前教育保障机制，提高保教质量。</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绩效指标：在园幼儿数达到</w:t>
      </w:r>
      <w:r>
        <w:rPr>
          <w:rFonts w:ascii="Times New Roman" w:eastAsia="方正仿宋_GBK"/>
          <w:sz w:val="28"/>
        </w:rPr>
        <w:t>20000</w:t>
      </w:r>
      <w:r>
        <w:rPr>
          <w:rFonts w:hint="eastAsia" w:ascii="Times New Roman" w:hAnsi="微软雅黑" w:eastAsia="方正仿宋_GBK" w:cs="微软雅黑"/>
          <w:sz w:val="28"/>
        </w:rPr>
        <w:t>人，学前三年毛入园率达到</w:t>
      </w:r>
      <w:r>
        <w:rPr>
          <w:rFonts w:ascii="Times New Roman" w:eastAsia="方正仿宋_GBK"/>
          <w:sz w:val="28"/>
        </w:rPr>
        <w:t>90%</w:t>
      </w:r>
      <w:r>
        <w:rPr>
          <w:rFonts w:hint="eastAsia" w:ascii="Times New Roman" w:hAnsi="微软雅黑" w:eastAsia="方正仿宋_GBK" w:cs="微软雅黑"/>
          <w:sz w:val="28"/>
        </w:rPr>
        <w:t>，应享受学前教育资助政策的幼儿全部得到资助，受益幼儿园、家长满意度达到</w:t>
      </w:r>
      <w:r>
        <w:rPr>
          <w:rFonts w:ascii="Times New Roman" w:eastAsia="方正仿宋_GBK"/>
          <w:sz w:val="28"/>
        </w:rPr>
        <w:t>85%</w:t>
      </w:r>
      <w:r>
        <w:rPr>
          <w:rFonts w:hint="eastAsia" w:ascii="Times New Roman" w:hAnsi="微软雅黑" w:eastAsia="方正仿宋_GBK" w:cs="微软雅黑"/>
          <w:sz w:val="28"/>
        </w:rPr>
        <w:t>以上。</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（三）加快义务教育优质均衡发展</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绩效目标：构建优质均衡基本公共教育服务体系，巩固控辍保学成果，不断提高义务教育巩固水平。加强管理，促进中小学招生秩序更加规范。</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绩效指标：统一城乡义务教育年生均公用经费标准：小学</w:t>
      </w:r>
      <w:r>
        <w:rPr>
          <w:rFonts w:ascii="Times New Roman" w:eastAsia="方正仿宋_GBK"/>
          <w:sz w:val="28"/>
        </w:rPr>
        <w:t>735</w:t>
      </w:r>
      <w:r>
        <w:rPr>
          <w:rFonts w:hint="eastAsia" w:ascii="Times New Roman" w:hAnsi="微软雅黑" w:eastAsia="方正仿宋_GBK" w:cs="微软雅黑"/>
          <w:sz w:val="28"/>
        </w:rPr>
        <w:t>元、初中</w:t>
      </w:r>
      <w:r>
        <w:rPr>
          <w:rFonts w:ascii="Times New Roman" w:eastAsia="方正仿宋_GBK"/>
          <w:sz w:val="28"/>
        </w:rPr>
        <w:t>935</w:t>
      </w:r>
      <w:r>
        <w:rPr>
          <w:rFonts w:hint="eastAsia" w:ascii="Times New Roman" w:hAnsi="微软雅黑" w:eastAsia="方正仿宋_GBK" w:cs="微软雅黑"/>
          <w:sz w:val="28"/>
        </w:rPr>
        <w:t>元（均含取暖费</w:t>
      </w:r>
      <w:r>
        <w:rPr>
          <w:rFonts w:ascii="Times New Roman" w:eastAsia="方正仿宋_GBK"/>
          <w:sz w:val="28"/>
        </w:rPr>
        <w:t>85</w:t>
      </w:r>
      <w:r>
        <w:rPr>
          <w:rFonts w:hint="eastAsia" w:ascii="Times New Roman" w:hAnsi="微软雅黑" w:eastAsia="方正仿宋_GBK" w:cs="微软雅黑"/>
          <w:sz w:val="28"/>
        </w:rPr>
        <w:t>元），特教</w:t>
      </w:r>
      <w:r>
        <w:rPr>
          <w:rFonts w:ascii="Times New Roman" w:eastAsia="方正仿宋_GBK"/>
          <w:sz w:val="28"/>
        </w:rPr>
        <w:t>6000</w:t>
      </w:r>
      <w:r>
        <w:rPr>
          <w:rFonts w:hint="eastAsia" w:ascii="Times New Roman" w:hAnsi="微软雅黑" w:eastAsia="方正仿宋_GBK" w:cs="微软雅黑"/>
          <w:sz w:val="28"/>
        </w:rPr>
        <w:t>元。为农村义务教育学生和城市区家庭经济困难学生免费提供教科书。所有城乡义务教育阶段学生免费发放教科书，教师、学生对保障机制的综合满意度</w:t>
      </w:r>
      <w:r>
        <w:rPr>
          <w:rFonts w:ascii="Times New Roman" w:eastAsia="方正仿宋_GBK"/>
          <w:sz w:val="28"/>
        </w:rPr>
        <w:t>≥90%</w:t>
      </w:r>
      <w:r>
        <w:rPr>
          <w:rFonts w:hint="eastAsia" w:ascii="Times New Roman" w:hAnsi="微软雅黑" w:eastAsia="方正仿宋_GBK" w:cs="微软雅黑"/>
          <w:sz w:val="28"/>
        </w:rPr>
        <w:t>。</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（四）推进普通高中健康快速发展</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绩效目标：围绕普通高中新课程改革和新高考改革，落实好高水平普及与高质量发展两大新任务。</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绩效指标：建档立卡贫困学生全部享受助学金。高中阶段毛入学率达到</w:t>
      </w:r>
      <w:r>
        <w:rPr>
          <w:rFonts w:ascii="Times New Roman" w:eastAsia="方正仿宋_GBK"/>
          <w:sz w:val="28"/>
        </w:rPr>
        <w:t>90%</w:t>
      </w:r>
      <w:r>
        <w:rPr>
          <w:rFonts w:hint="eastAsia" w:ascii="Times New Roman" w:hAnsi="微软雅黑" w:eastAsia="方正仿宋_GBK" w:cs="微软雅黑"/>
          <w:sz w:val="28"/>
        </w:rPr>
        <w:t>，受益普通高中的教师、学生综合满意度</w:t>
      </w:r>
      <w:r>
        <w:rPr>
          <w:rFonts w:ascii="Times New Roman" w:eastAsia="方正仿宋_GBK"/>
          <w:sz w:val="28"/>
        </w:rPr>
        <w:t>≥98%</w:t>
      </w:r>
      <w:r>
        <w:rPr>
          <w:rFonts w:hint="eastAsia" w:ascii="Times New Roman" w:hAnsi="微软雅黑" w:eastAsia="方正仿宋_GBK" w:cs="微软雅黑"/>
          <w:sz w:val="28"/>
        </w:rPr>
        <w:t>。</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（五）健全完善新时代职业教育体系</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绩效目标：完善新时代职业教育体系，深化产教融合、校企合作，促进职业教育提质培优，提升职业教育服务发展能力。</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绩效指标：足额落实中等职业学校免学费、助学金政策和生均公用经费标准；建档立卡贫困学生全部享受助学金。中职学生家长、学生综合满意度</w:t>
      </w:r>
      <w:r>
        <w:rPr>
          <w:rFonts w:ascii="Times New Roman" w:eastAsia="方正仿宋_GBK"/>
          <w:sz w:val="28"/>
        </w:rPr>
        <w:t>≥95%</w:t>
      </w:r>
      <w:r>
        <w:rPr>
          <w:rFonts w:hint="eastAsia" w:ascii="Times New Roman" w:hAnsi="微软雅黑" w:eastAsia="方正仿宋_GBK" w:cs="微软雅黑"/>
          <w:sz w:val="28"/>
        </w:rPr>
        <w:t>；农村劳动者年培训参与率</w:t>
      </w:r>
      <w:r>
        <w:rPr>
          <w:rFonts w:ascii="Times New Roman" w:eastAsia="方正仿宋_GBK"/>
          <w:sz w:val="28"/>
        </w:rPr>
        <w:t>≥35%</w:t>
      </w:r>
      <w:r>
        <w:rPr>
          <w:rFonts w:hint="eastAsia" w:ascii="Times New Roman" w:hAnsi="微软雅黑" w:eastAsia="方正仿宋_GBK" w:cs="微软雅黑"/>
          <w:sz w:val="28"/>
        </w:rPr>
        <w:t>。</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（六）加强教师队伍建设，提升教师核心竞争力</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绩效目标：落实师德师风第一标准，强化师德建设主体责任，深化拓展师德师风治理成果。</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绩效指标：每年参加培训的教师人数</w:t>
      </w:r>
      <w:r>
        <w:rPr>
          <w:rFonts w:ascii="Times New Roman" w:eastAsia="方正仿宋_GBK"/>
          <w:sz w:val="28"/>
        </w:rPr>
        <w:t>≥400</w:t>
      </w:r>
      <w:r>
        <w:rPr>
          <w:rFonts w:hint="eastAsia" w:ascii="Times New Roman" w:hAnsi="微软雅黑" w:eastAsia="方正仿宋_GBK" w:cs="微软雅黑"/>
          <w:sz w:val="28"/>
        </w:rPr>
        <w:t>人，选派</w:t>
      </w:r>
      <w:r>
        <w:rPr>
          <w:rFonts w:ascii="Times New Roman" w:eastAsia="方正仿宋_GBK"/>
          <w:sz w:val="28"/>
        </w:rPr>
        <w:t>“</w:t>
      </w:r>
      <w:r>
        <w:rPr>
          <w:rFonts w:hint="eastAsia" w:ascii="Times New Roman" w:hAnsi="微软雅黑" w:eastAsia="方正仿宋_GBK" w:cs="微软雅黑"/>
          <w:sz w:val="28"/>
        </w:rPr>
        <w:t>三区</w:t>
      </w:r>
      <w:r>
        <w:rPr>
          <w:rFonts w:ascii="Times New Roman" w:eastAsia="方正仿宋_GBK"/>
          <w:sz w:val="28"/>
        </w:rPr>
        <w:t>”</w:t>
      </w:r>
      <w:r>
        <w:rPr>
          <w:rFonts w:hint="eastAsia" w:ascii="Times New Roman" w:hAnsi="微软雅黑" w:eastAsia="方正仿宋_GBK" w:cs="微软雅黑"/>
          <w:sz w:val="28"/>
        </w:rPr>
        <w:t>支教教师人数</w:t>
      </w:r>
      <w:r>
        <w:rPr>
          <w:rFonts w:ascii="Times New Roman" w:eastAsia="方正仿宋_GBK"/>
          <w:sz w:val="28"/>
        </w:rPr>
        <w:t>≥10</w:t>
      </w:r>
      <w:r>
        <w:rPr>
          <w:rFonts w:hint="eastAsia" w:ascii="Times New Roman" w:hAnsi="微软雅黑" w:eastAsia="方正仿宋_GBK" w:cs="微软雅黑"/>
          <w:sz w:val="28"/>
        </w:rPr>
        <w:t>人，</w:t>
      </w:r>
      <w:r>
        <w:rPr>
          <w:rFonts w:ascii="Times New Roman" w:eastAsia="方正仿宋_GBK"/>
          <w:sz w:val="28"/>
        </w:rPr>
        <w:t>“</w:t>
      </w:r>
      <w:r>
        <w:rPr>
          <w:rFonts w:hint="eastAsia" w:ascii="Times New Roman" w:hAnsi="微软雅黑" w:eastAsia="方正仿宋_GBK" w:cs="微软雅黑"/>
          <w:sz w:val="28"/>
        </w:rPr>
        <w:t>三区</w:t>
      </w:r>
      <w:r>
        <w:rPr>
          <w:rFonts w:ascii="Times New Roman" w:eastAsia="方正仿宋_GBK"/>
          <w:sz w:val="28"/>
        </w:rPr>
        <w:t>”</w:t>
      </w:r>
      <w:r>
        <w:rPr>
          <w:rFonts w:hint="eastAsia" w:ascii="Times New Roman" w:hAnsi="微软雅黑" w:eastAsia="方正仿宋_GBK" w:cs="微软雅黑"/>
          <w:sz w:val="28"/>
        </w:rPr>
        <w:t>支教地区学生、家长满意度情况</w:t>
      </w:r>
      <w:r>
        <w:rPr>
          <w:rFonts w:ascii="Times New Roman" w:eastAsia="方正仿宋_GBK"/>
          <w:sz w:val="28"/>
        </w:rPr>
        <w:t>≥90%</w:t>
      </w:r>
      <w:r>
        <w:rPr>
          <w:rFonts w:hint="eastAsia" w:ascii="Times New Roman" w:hAnsi="微软雅黑" w:eastAsia="方正仿宋_GBK" w:cs="微软雅黑"/>
          <w:sz w:val="28"/>
        </w:rPr>
        <w:t>。</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（七）科学开展群众体育活动，蓬勃发展社会体育</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绩效目标：深入实施全民健身战略，在群众体育、体育设施、体育产业、民生工程等方面稳步推进，力争取得实效。</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绩效指标：扩建提升现有滑冰馆。完成</w:t>
      </w:r>
      <w:r>
        <w:rPr>
          <w:rFonts w:ascii="Times New Roman" w:eastAsia="方正仿宋_GBK"/>
          <w:sz w:val="28"/>
        </w:rPr>
        <w:t>64</w:t>
      </w:r>
      <w:r>
        <w:rPr>
          <w:rFonts w:hint="eastAsia" w:ascii="Times New Roman" w:hAnsi="微软雅黑" w:eastAsia="方正仿宋_GBK" w:cs="微软雅黑"/>
          <w:sz w:val="28"/>
        </w:rPr>
        <w:t>块全民健身场地建设。加快推进冰雪</w:t>
      </w:r>
      <w:r>
        <w:rPr>
          <w:rFonts w:ascii="Times New Roman" w:eastAsia="方正仿宋_GBK"/>
          <w:sz w:val="28"/>
        </w:rPr>
        <w:t>“</w:t>
      </w:r>
      <w:r>
        <w:rPr>
          <w:rFonts w:hint="eastAsia" w:ascii="Times New Roman" w:hAnsi="微软雅黑" w:eastAsia="方正仿宋_GBK" w:cs="微软雅黑"/>
          <w:sz w:val="28"/>
        </w:rPr>
        <w:t>六进</w:t>
      </w:r>
      <w:r>
        <w:rPr>
          <w:rFonts w:ascii="Times New Roman" w:eastAsia="方正仿宋_GBK"/>
          <w:sz w:val="28"/>
        </w:rPr>
        <w:t>”</w:t>
      </w:r>
      <w:r>
        <w:rPr>
          <w:rFonts w:hint="eastAsia" w:ascii="Times New Roman" w:hAnsi="微软雅黑" w:eastAsia="方正仿宋_GBK" w:cs="微软雅黑"/>
          <w:sz w:val="28"/>
        </w:rPr>
        <w:t>（进机关、进企业、进学校、进社区、进乡村、进家庭）工作，完成参与人数达</w:t>
      </w:r>
      <w:r>
        <w:rPr>
          <w:rFonts w:ascii="Times New Roman" w:eastAsia="方正仿宋_GBK"/>
          <w:sz w:val="28"/>
        </w:rPr>
        <w:t>18.3</w:t>
      </w:r>
      <w:r>
        <w:rPr>
          <w:rFonts w:hint="eastAsia" w:ascii="Times New Roman" w:hAnsi="微软雅黑" w:eastAsia="方正仿宋_GBK" w:cs="微软雅黑"/>
          <w:sz w:val="28"/>
        </w:rPr>
        <w:t>万人的目标。</w:t>
      </w:r>
    </w:p>
    <w:p>
      <w:pPr>
        <w:spacing w:before="156" w:beforeLines="50" w:after="156" w:afterLines="50" w:line="500" w:lineRule="exact"/>
        <w:ind w:firstLine="560" w:firstLineChars="200"/>
        <w:jc w:val="left"/>
        <w:outlineLvl w:val="1"/>
        <w:rPr>
          <w:rFonts w:ascii="Times New Roman" w:hAnsi="宋体" w:eastAsia="宋体"/>
          <w:sz w:val="28"/>
        </w:rPr>
      </w:pPr>
      <w:bookmarkStart w:id="2" w:name="_Toc71388302"/>
      <w:r>
        <w:rPr>
          <w:rFonts w:ascii="方正黑体_GBK" w:eastAsia="方正黑体_GBK"/>
          <w:sz w:val="28"/>
        </w:rPr>
        <w:t>三、工作保障措施</w:t>
      </w:r>
      <w:bookmarkEnd w:id="2"/>
      <w:r>
        <w:rPr>
          <w:rFonts w:ascii="方正黑体_GBK" w:eastAsia="方正黑体_GBK"/>
          <w:sz w:val="28"/>
        </w:rPr>
        <w:fldChar w:fldCharType="begin"/>
      </w:r>
      <w:r>
        <w:rPr>
          <w:rFonts w:ascii="方正黑体_GBK" w:eastAsia="方正黑体_GBK"/>
          <w:sz w:val="28"/>
        </w:rPr>
        <w:instrText xml:space="preserve"> TC 工作保障措施 \f A \l 1 </w:instrText>
      </w:r>
      <w:r>
        <w:rPr>
          <w:rFonts w:ascii="方正黑体_GBK" w:eastAsia="方正黑体_GBK"/>
          <w:sz w:val="28"/>
        </w:rPr>
        <w:fldChar w:fldCharType="end"/>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（一）加强组织领导。建立健全教育领域预算绩效管理制度体系。围绕年度总体绩效目标和分项绩效目标，明确责任主体，细化落实措施，确保绩效目标年内全部完成。</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二）完善制度建设。继续完善财政资金绩效综合评价办法。开展专项资金和重点项目绩效自评工作，加强预算绩效评价结果应用，将绩效目标和绩效结果与预算安排有机衔接，作为安排下年度项目预算资金数额的一项重要依据，切实提高财政资金使用效益。</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（三）加强支出管理。督促指导下属单位加快项目执行进度，加快资金支出。严格按照年初预算支出计划加快履行政府采购手续，尽快启动项目，进行资金支付。</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（四）加强绩效运行监控。强化资金监管，指导各单位建立健全内控组织机构、机制建设和内部管理制度，加强对关键岗位人员管理，保证单位各项经济活动合法合规。</w:t>
      </w:r>
      <w:r>
        <w:rPr>
          <w:rFonts w:ascii="Times New Roman" w:eastAsia="方正仿宋_GBK"/>
          <w:sz w:val="28"/>
        </w:rPr>
        <w:t xml:space="preserve">      </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五）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（六）规范财务资产管理。进一步完善财务管理制度，严格资产采购审批手续，加强固定资产登记、使用及报废处置管理，做到支出合理，物尽其用。</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七）加强内部监督。加强内部监督制度建设，对绩效运行情况、重大支出决策、资产处置及其他重要经济业务的决算和执行进行督导，对会计资料进行内部审计，并配合做好审计、财政监督等外部监督工作，确保财政资金安全有效。</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（八）加强宣传培训力度。加强教育系统人员培训，提高全区教育业务素养；加大宣传力度，强化绩效预算管理意识，促进绩效预算管理水平进一步提升。</w:t>
      </w:r>
    </w:p>
    <w:p>
      <w:pPr>
        <w:widowControl/>
        <w:jc w:val="left"/>
        <w:rPr>
          <w:rFonts w:ascii="仿宋" w:hAnsi="仿宋" w:eastAsia="仿宋"/>
          <w:sz w:val="32"/>
          <w:szCs w:val="32"/>
        </w:rPr>
      </w:pPr>
      <w:r>
        <w:rPr>
          <w:rFonts w:ascii="仿宋" w:hAnsi="仿宋" w:eastAsia="仿宋"/>
          <w:sz w:val="32"/>
          <w:szCs w:val="32"/>
        </w:rPr>
        <w:br w:type="page"/>
      </w:r>
    </w:p>
    <w:p>
      <w:pPr>
        <w:jc w:val="center"/>
        <w:outlineLvl w:val="0"/>
        <w:rPr>
          <w:rFonts w:ascii="方正书宋_GBK" w:eastAsia="方正书宋_GBK"/>
        </w:rPr>
      </w:pPr>
      <w:r>
        <w:rPr>
          <w:rFonts w:hint="eastAsia" w:ascii="方正小标宋_GBK" w:eastAsia="方正小标宋_GBK"/>
          <w:sz w:val="44"/>
        </w:rPr>
        <w:t>预算项目绩效目标</w:t>
      </w:r>
      <w:r>
        <w:rPr>
          <w:rFonts w:ascii="方正书宋_GBK" w:eastAsia="方正书宋_GBK"/>
        </w:rPr>
        <w:t xml:space="preserve"> </w:t>
      </w:r>
    </w:p>
    <w:p>
      <w:pPr>
        <w:jc w:val="center"/>
      </w:pPr>
      <w:r>
        <w:rPr>
          <w:rFonts w:ascii="方正仿宋_GBK" w:hAnsi="方正仿宋_GBK" w:eastAsia="方正仿宋_GBK" w:cs="方正仿宋_GBK"/>
          <w:color w:val="000000"/>
          <w:sz w:val="28"/>
        </w:rPr>
        <w:t xml:space="preserve"> </w:t>
      </w:r>
    </w:p>
    <w:p>
      <w:pPr>
        <w:ind w:firstLine="562" w:firstLineChars="200"/>
        <w:jc w:val="left"/>
        <w:outlineLvl w:val="3"/>
        <w:rPr>
          <w:rFonts w:ascii="Times New Roman" w:hAnsi="宋体" w:eastAsia="宋体"/>
          <w:b/>
          <w:sz w:val="28"/>
        </w:rPr>
      </w:pPr>
      <w:bookmarkStart w:id="3" w:name="_Toc71388468"/>
      <w:r>
        <w:rPr>
          <w:rFonts w:ascii="方正仿宋_GBK" w:eastAsia="方正仿宋_GBK"/>
          <w:b/>
          <w:sz w:val="28"/>
        </w:rPr>
        <w:t>165.提前下达2021年城乡义务教育保障机制改革市级资金-困难学生生活补助绩效目标表</w:t>
      </w:r>
      <w:bookmarkEnd w:id="3"/>
      <w:r>
        <w:rPr>
          <w:rFonts w:ascii="方正仿宋_GBK" w:eastAsia="方正仿宋_GBK"/>
          <w:b/>
          <w:sz w:val="28"/>
        </w:rPr>
        <w:fldChar w:fldCharType="begin"/>
      </w:r>
      <w:r>
        <w:rPr>
          <w:rFonts w:ascii="方正仿宋_GBK" w:eastAsia="方正仿宋_GBK"/>
          <w:b/>
          <w:sz w:val="28"/>
        </w:rPr>
        <w:instrText xml:space="preserve"> TC 165、提前下达2021年城乡义务教育保障机制改革市级资金-困难学生生活补助绩效目标表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360023遂城镇中心学校（小学）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1306252109NWAGTHFPYXP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提前下达2021年城乡义务教育保障机制改革市级资金-困难学生生活补助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13000.00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13000.00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促进城乡义务教育均衡发展，对家庭经济困难学生进行生活补助。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1.响应国家号召，实现精准服贫。</w:t>
            </w:r>
          </w:p>
          <w:p>
            <w:pPr>
              <w:spacing w:line="300" w:lineRule="exact"/>
              <w:jc w:val="left"/>
              <w:rPr>
                <w:rFonts w:ascii="方正书宋_GBK" w:eastAsia="方正书宋_GBK"/>
              </w:rPr>
            </w:pPr>
            <w:r>
              <w:rPr>
                <w:rFonts w:ascii="方正书宋_GBK" w:eastAsia="方正书宋_GBK"/>
              </w:rPr>
              <w:t>2.对家庭经济困难学生进行生活补助。</w:t>
            </w:r>
          </w:p>
          <w:p>
            <w:pPr>
              <w:spacing w:line="300" w:lineRule="exact"/>
              <w:jc w:val="left"/>
              <w:rPr>
                <w:rFonts w:ascii="方正书宋_GBK" w:eastAsia="方正书宋_GBK"/>
              </w:rPr>
            </w:pPr>
            <w:r>
              <w:rPr>
                <w:rFonts w:ascii="方正书宋_GBK" w:eastAsia="方正书宋_GBK"/>
              </w:rPr>
              <w:t>3.资金及时支出到位。</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家族经济困难学生覆盖率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覆盖率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保定市财政局、保定市教育局《关于提前下达2021年城乡义务教育经费保障机制改革市级资金的通知》保财教[2020]77号。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家庭经济困难寄宿生补助率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对困难学生实施补助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保定市财政局、保定市教育局《关于提前下达2021年城乡义务教育经费保障机制改革市级资金的通知》保财教[2020]77号。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按照要求和计划完成研究任务的项目在所有立项项目中的比例（百分比）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保定市财政局、保定市教育局《关于提前下达2021年城乡义务教育经费保障机制改革市级资金的通知》保财教[2020]77号。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资金能足额发放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保定市财政局、保定市教育局《关于提前下达2021年城乡义务教育经费保障机制改革市级资金的通知》保财教[2020]77号。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经济效益指标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学生思想表现优良率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学生在校思想表现优良</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保定市财政局、保定市教育局《关于提前下达2021年城乡义务教育经费保障机制改革市级资金的通知》保财教[2020]77号。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生态效益指标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困难学生顺利完成学业</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困难学生顺利完成学习。</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保定市财政局、保定市教育局《关于提前下达2021年城乡义务教育经费保障机制改革市级资金的通知》保财教[2020]77号。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可持续影响指标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困难家庭学生负担得到缓解情况</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有效缓解学生经济负担</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保定市财政局、保定市教育局《关于提前下达2021年城乡义务教育经费保障机制改革市级资金的通知》保财教[2020]77号。</w:t>
            </w:r>
          </w:p>
        </w:tc>
      </w:tr>
    </w:tbl>
    <w:p>
      <w:pPr>
        <w:spacing w:line="300" w:lineRule="exact"/>
        <w:jc w:val="left"/>
        <w:sectPr>
          <w:pgSz w:w="11907" w:h="16839"/>
          <w:pgMar w:top="1440" w:right="1080" w:bottom="1440" w:left="1080"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4" w:name="_Toc71388469"/>
      <w:r>
        <w:rPr>
          <w:rFonts w:ascii="方正仿宋_GBK" w:eastAsia="方正仿宋_GBK"/>
          <w:b/>
          <w:sz w:val="28"/>
        </w:rPr>
        <w:t>166.关于提前下达2021年城乡义务教育中央补助经费预算（直达资金）-公用经费绩效目标表</w:t>
      </w:r>
      <w:bookmarkEnd w:id="4"/>
      <w:r>
        <w:rPr>
          <w:rFonts w:ascii="方正仿宋_GBK" w:eastAsia="方正仿宋_GBK"/>
          <w:b/>
          <w:sz w:val="28"/>
        </w:rPr>
        <w:fldChar w:fldCharType="begin"/>
      </w:r>
      <w:r>
        <w:rPr>
          <w:rFonts w:ascii="方正仿宋_GBK" w:eastAsia="方正仿宋_GBK"/>
          <w:b/>
          <w:sz w:val="28"/>
        </w:rPr>
        <w:instrText xml:space="preserve"> TC 166、关于提前下达2021年城乡义务教育中央补助经费预算（直达资金）-公用经费绩效目标表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360023遂城镇中心学校（小学）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130625210HQT2NM8GO6UP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1479114.00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1479114.00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该项目用于保障义务教育阶段学校正常运转，提升义务教育学校办学水平。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1.保障义务教育阶段学校能够正常运转。</w:t>
            </w:r>
          </w:p>
          <w:p>
            <w:pPr>
              <w:spacing w:line="300" w:lineRule="exact"/>
              <w:jc w:val="left"/>
              <w:rPr>
                <w:rFonts w:ascii="方正书宋_GBK" w:eastAsia="方正书宋_GBK"/>
              </w:rPr>
            </w:pPr>
            <w:r>
              <w:rPr>
                <w:rFonts w:ascii="方正书宋_GBK" w:eastAsia="方正书宋_GBK"/>
              </w:rPr>
              <w:t>2.保证所有义务教育学校均能享受义务教育公用经费。</w:t>
            </w:r>
          </w:p>
          <w:p>
            <w:pPr>
              <w:spacing w:line="300" w:lineRule="exact"/>
              <w:jc w:val="left"/>
              <w:rPr>
                <w:rFonts w:ascii="方正书宋_GBK" w:eastAsia="方正书宋_GBK"/>
              </w:rPr>
            </w:pPr>
            <w:r>
              <w:rPr>
                <w:rFonts w:ascii="方正书宋_GBK" w:eastAsia="方正书宋_GBK"/>
              </w:rPr>
              <w:t>3.保证各项支出完成及时率。</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保证所有义务教育阶段学校全部享受公用经费保障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义务教育阶段学校能够正常运转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各项支出完成及时率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各项支出完成及时率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保障义务教育阶段学校正常运转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提高办学水平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保障了学校的运转，提高了办学水平</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5" w:name="_Toc71388470"/>
      <w:r>
        <w:rPr>
          <w:rFonts w:ascii="方正仿宋_GBK" w:eastAsia="方正仿宋_GBK"/>
          <w:b/>
          <w:sz w:val="28"/>
        </w:rPr>
        <w:t>167.区自建乡村学校少年宫日常运转经费绩效目标表</w:t>
      </w:r>
      <w:bookmarkEnd w:id="5"/>
      <w:r>
        <w:rPr>
          <w:rFonts w:ascii="方正仿宋_GBK" w:eastAsia="方正仿宋_GBK"/>
          <w:b/>
          <w:sz w:val="28"/>
        </w:rPr>
        <w:fldChar w:fldCharType="begin"/>
      </w:r>
      <w:r>
        <w:rPr>
          <w:rFonts w:ascii="方正仿宋_GBK" w:eastAsia="方正仿宋_GBK"/>
          <w:b/>
          <w:sz w:val="28"/>
        </w:rPr>
        <w:instrText xml:space="preserve"> TC 167、区自建乡村学校少年宫日常运转经费绩效目标表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360023遂城镇中心学校（小学）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1306252165EFGR7WNEUG8</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区自建乡村学校少年宫日常运转经费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为了丰富学生的课余文化生活，促进学生职能的全面发展。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20.00%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1.促进学生全方面发展，丰富学生课余文化生活。</w:t>
            </w:r>
          </w:p>
          <w:p>
            <w:pPr>
              <w:spacing w:line="300" w:lineRule="exact"/>
              <w:jc w:val="left"/>
              <w:rPr>
                <w:rFonts w:ascii="方正书宋_GBK" w:eastAsia="方正书宋_GBK"/>
              </w:rPr>
            </w:pPr>
            <w:r>
              <w:rPr>
                <w:rFonts w:ascii="方正书宋_GBK" w:eastAsia="方正书宋_GBK"/>
              </w:rPr>
              <w:t>2.调动农村教师积极性。</w:t>
            </w:r>
          </w:p>
          <w:p>
            <w:pPr>
              <w:spacing w:line="300" w:lineRule="exact"/>
              <w:jc w:val="left"/>
              <w:rPr>
                <w:rFonts w:ascii="方正书宋_GBK" w:eastAsia="方正书宋_GBK"/>
              </w:rPr>
            </w:pPr>
            <w:r>
              <w:rPr>
                <w:rFonts w:ascii="方正书宋_GBK" w:eastAsia="方正书宋_GBK"/>
              </w:rPr>
              <w:t>3.提高学生学习兴趣。</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保障少年宫全部享受资金保障。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经费保障效果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少年宫日常能够正常运转。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提高社会整体素质</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学生的整体素质提高将影响社会的整体素质提高。</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学校少年宫项目日常运转经费。</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提高办学水平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保障少年宫项目日常运转。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6" w:name="_Toc71388471"/>
      <w:r>
        <w:rPr>
          <w:rFonts w:ascii="方正仿宋_GBK" w:eastAsia="方正仿宋_GBK"/>
          <w:b/>
          <w:sz w:val="28"/>
        </w:rPr>
        <w:t>168.校园安保经费绩效目标表</w:t>
      </w:r>
      <w:bookmarkEnd w:id="6"/>
      <w:r>
        <w:rPr>
          <w:rFonts w:ascii="方正仿宋_GBK" w:eastAsia="方正仿宋_GBK"/>
          <w:b/>
          <w:sz w:val="28"/>
        </w:rPr>
        <w:fldChar w:fldCharType="begin"/>
      </w:r>
      <w:r>
        <w:rPr>
          <w:rFonts w:ascii="方正仿宋_GBK" w:eastAsia="方正仿宋_GBK"/>
          <w:b/>
          <w:sz w:val="28"/>
        </w:rPr>
        <w:instrText xml:space="preserve"> TC 168、校园安保经费绩效目标表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360023遂城镇中心学校（小学）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13062521G1T3OGG6GSLQA</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661200.00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661200.00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为加强中小学安全保卫工作，维持正常教育教学秩序，切实保障师生生命财产安全。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22.00%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46.00%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82.00%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1.加强中小学安全保卫工作，维持正常教学秩序。</w:t>
            </w:r>
          </w:p>
          <w:p>
            <w:pPr>
              <w:spacing w:line="300" w:lineRule="exact"/>
              <w:jc w:val="left"/>
              <w:rPr>
                <w:rFonts w:ascii="方正书宋_GBK" w:eastAsia="方正书宋_GBK"/>
              </w:rPr>
            </w:pPr>
            <w:r>
              <w:rPr>
                <w:rFonts w:ascii="方正书宋_GBK" w:eastAsia="方正书宋_GBK"/>
              </w:rPr>
              <w:t>2.保障师生生命财产安全。</w:t>
            </w:r>
          </w:p>
          <w:p>
            <w:pPr>
              <w:spacing w:line="300" w:lineRule="exact"/>
              <w:jc w:val="left"/>
              <w:rPr>
                <w:rFonts w:ascii="方正书宋_GBK" w:eastAsia="方正书宋_GBK"/>
              </w:rPr>
            </w:pPr>
            <w:r>
              <w:rPr>
                <w:rFonts w:ascii="方正书宋_GBK" w:eastAsia="方正书宋_GBK"/>
              </w:rPr>
              <w:t>3.缓解学校经济压力</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安保工作覆盖率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全校安全保障工作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安保工作完成情况</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较好完成校园安保工作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安保工作认真负责</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保证师生安全</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预算控制数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不超年初预算数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保证安保工作正常进行</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能够保障校园日常工作安全</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7" w:name="_Toc71388472"/>
      <w:r>
        <w:rPr>
          <w:rFonts w:ascii="方正仿宋_GBK" w:eastAsia="方正仿宋_GBK"/>
          <w:b/>
          <w:sz w:val="28"/>
        </w:rPr>
        <w:t>169.提前下达2021年城乡义务教育省级补助资金-公用经费绩效目标表</w:t>
      </w:r>
      <w:bookmarkEnd w:id="7"/>
      <w:r>
        <w:rPr>
          <w:rFonts w:ascii="方正仿宋_GBK" w:eastAsia="方正仿宋_GBK"/>
          <w:b/>
          <w:sz w:val="28"/>
        </w:rPr>
        <w:fldChar w:fldCharType="begin"/>
      </w:r>
      <w:r>
        <w:rPr>
          <w:rFonts w:ascii="方正仿宋_GBK" w:eastAsia="方正仿宋_GBK"/>
          <w:b/>
          <w:sz w:val="28"/>
        </w:rPr>
        <w:instrText xml:space="preserve"> TC 169、提前下达2021年城乡义务教育省级补助资金-公用经费绩效目标表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360023遂城镇中心学校（小学）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13062521GBEXYTILDY6T2</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986076.00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986076.00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该项目用于保障义务教育阶段学校正常运转，提升义务教育学校办学水平。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20.00%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1.保障义务教育阶段学校能够正常运转。</w:t>
            </w:r>
          </w:p>
          <w:p>
            <w:pPr>
              <w:spacing w:line="300" w:lineRule="exact"/>
              <w:jc w:val="left"/>
              <w:rPr>
                <w:rFonts w:ascii="方正书宋_GBK" w:eastAsia="方正书宋_GBK"/>
              </w:rPr>
            </w:pPr>
            <w:r>
              <w:rPr>
                <w:rFonts w:ascii="方正书宋_GBK" w:eastAsia="方正书宋_GBK"/>
              </w:rPr>
              <w:t>2.保证所有义务教育学校均能享受义务教育公用经费。</w:t>
            </w:r>
          </w:p>
          <w:p>
            <w:pPr>
              <w:spacing w:line="300" w:lineRule="exact"/>
              <w:jc w:val="left"/>
              <w:rPr>
                <w:rFonts w:ascii="方正书宋_GBK" w:eastAsia="方正书宋_GBK"/>
              </w:rPr>
            </w:pPr>
            <w:r>
              <w:rPr>
                <w:rFonts w:ascii="方正书宋_GBK" w:eastAsia="方正书宋_GBK"/>
              </w:rPr>
              <w:t>3.保证各项支出完成及时率</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保证所有义务教育阶段学校全部享受公用经费保障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义务教育阶段学校能够正常运转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各项支出完成及时率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各项支出完成及时率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保障义务教育阶段学校正常运转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提高办学水平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保障了学校的运转，提高了办学水平</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8" w:name="_Toc71388473"/>
      <w:r>
        <w:rPr>
          <w:rFonts w:ascii="方正仿宋_GBK" w:eastAsia="方正仿宋_GBK"/>
          <w:b/>
          <w:sz w:val="28"/>
        </w:rPr>
        <w:t>170.提前下达2021年城乡义务教育省级补助资金-校舍安全保障（徐水区遂城镇南曲城小学操场改造）绩效目标表</w:t>
      </w:r>
      <w:bookmarkEnd w:id="8"/>
      <w:r>
        <w:rPr>
          <w:rFonts w:ascii="方正仿宋_GBK" w:eastAsia="方正仿宋_GBK"/>
          <w:b/>
          <w:sz w:val="28"/>
        </w:rPr>
        <w:fldChar w:fldCharType="begin"/>
      </w:r>
      <w:r>
        <w:rPr>
          <w:rFonts w:ascii="方正仿宋_GBK" w:eastAsia="方正仿宋_GBK"/>
          <w:b/>
          <w:sz w:val="28"/>
        </w:rPr>
        <w:instrText xml:space="preserve"> TC 170、提前下达2021年城乡义务教育省级补助资金-校舍安全保障（徐水区遂城镇南曲城小学操场改造）绩效目标表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360023遂城镇中心学校（小学）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13062521R8SE6GEM5LHIK</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提前下达2021年城乡义务教育省级补助资金-校舍安全保障（徐水区遂城镇南曲城小学操场改造）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1460000.00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1460000.00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资金用于徐水区遂城镇曲城小学操场改造。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1.改善办学条件</w:t>
            </w:r>
          </w:p>
          <w:p>
            <w:pPr>
              <w:spacing w:line="300" w:lineRule="exact"/>
              <w:jc w:val="left"/>
              <w:rPr>
                <w:rFonts w:ascii="方正书宋_GBK" w:eastAsia="方正书宋_GBK"/>
              </w:rPr>
            </w:pPr>
            <w:r>
              <w:rPr>
                <w:rFonts w:ascii="方正书宋_GBK" w:eastAsia="方正书宋_GBK"/>
              </w:rPr>
              <w:t>2.美化校园环境</w:t>
            </w:r>
          </w:p>
          <w:p>
            <w:pPr>
              <w:spacing w:line="300" w:lineRule="exact"/>
              <w:jc w:val="left"/>
              <w:rPr>
                <w:rFonts w:ascii="方正书宋_GBK" w:eastAsia="方正书宋_GBK"/>
              </w:rPr>
            </w:pPr>
            <w:r>
              <w:rPr>
                <w:rFonts w:ascii="方正书宋_GBK" w:eastAsia="方正书宋_GBK"/>
              </w:rPr>
              <w:t>3.资金及时支出</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保证义务教育阶段学校经费保障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保定市财政局、保定市教育局《关于提前下达2021年城乡义务教育省级补助资金预算的通知》保财教[2020]103号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义务教育阶段学校能够正常运转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保定市财政局、保定市教育局《关于提前下达2021年城乡义务教育省级补助资金预算的通知》保财教[2020]103号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各项支出完成及时率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各项支出完成及时率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保定市财政局、保定市教育局《关于提前下达2021年城乡义务教育省级补助资金预算的通知》保财教[2020]103号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保障义务教育阶段学校正常运转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保定市财政局、保定市教育局《关于提前下达2021年城乡义务教育省级补助资金预算的通知》保财教[2020]103号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提高办学水平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保障了学校的运转，提高了办学水平</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保定市财政局、保定市教育局《关于提前下达2021年城乡义务教育省级补助资金预算的通知》保财教[2020]103号</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9" w:name="_Toc71388474"/>
      <w:r>
        <w:rPr>
          <w:rFonts w:ascii="方正仿宋_GBK" w:eastAsia="方正仿宋_GBK"/>
          <w:b/>
          <w:sz w:val="28"/>
        </w:rPr>
        <w:t>171.关于提前下达2021年城乡义务教育中央补助经费预算（直达资金）-困难学生生活补助绩效目标表</w:t>
      </w:r>
      <w:bookmarkEnd w:id="9"/>
      <w:r>
        <w:rPr>
          <w:rFonts w:ascii="方正仿宋_GBK" w:eastAsia="方正仿宋_GBK"/>
          <w:b/>
          <w:sz w:val="28"/>
        </w:rPr>
        <w:fldChar w:fldCharType="begin"/>
      </w:r>
      <w:r>
        <w:rPr>
          <w:rFonts w:ascii="方正仿宋_GBK" w:eastAsia="方正仿宋_GBK"/>
          <w:b/>
          <w:sz w:val="28"/>
        </w:rPr>
        <w:instrText xml:space="preserve"> TC 171、关于提前下达2021年城乡义务教育中央补助经费预算（直达资金）-困难学生生活补助绩效目标表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360023遂城镇中心学校（小学）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13062521SI302W2XDZ75X</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22000.00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22000.00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促进城乡义务教育均衡发展，对家庭经济困难学生进行生活补助。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30.00%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1.响应国家号召，实现精准服贫。</w:t>
            </w:r>
          </w:p>
          <w:p>
            <w:pPr>
              <w:spacing w:line="300" w:lineRule="exact"/>
              <w:jc w:val="left"/>
              <w:rPr>
                <w:rFonts w:ascii="方正书宋_GBK" w:eastAsia="方正书宋_GBK"/>
              </w:rPr>
            </w:pPr>
            <w:r>
              <w:rPr>
                <w:rFonts w:ascii="方正书宋_GBK" w:eastAsia="方正书宋_GBK"/>
              </w:rPr>
              <w:t>2.对家庭经济困难学生进行生活补助。</w:t>
            </w:r>
          </w:p>
          <w:p>
            <w:pPr>
              <w:spacing w:line="300" w:lineRule="exact"/>
              <w:jc w:val="left"/>
              <w:rPr>
                <w:rFonts w:ascii="方正书宋_GBK" w:eastAsia="方正书宋_GBK"/>
              </w:rPr>
            </w:pPr>
            <w:r>
              <w:rPr>
                <w:rFonts w:ascii="方正书宋_GBK" w:eastAsia="方正书宋_GBK"/>
              </w:rPr>
              <w:t>3.保证救助金额及时完成率。</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家族经济困难学生覆盖率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覆盖率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家庭经济困难寄宿生补助率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对困难学生实施补助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按照要求和计划完成研究任务的项目在所有立项项目中的比例（百分比）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资金能足额发放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有效的改善学生身体素质，有利于提高学习效率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0" w:name="_Toc71388475"/>
      <w:r>
        <w:rPr>
          <w:rFonts w:ascii="方正仿宋_GBK" w:eastAsia="方正仿宋_GBK"/>
          <w:b/>
          <w:sz w:val="28"/>
        </w:rPr>
        <w:t>172.义务教育阶段小学生营养改善计划地方试点区级资金绩效目标表</w:t>
      </w:r>
      <w:bookmarkEnd w:id="10"/>
      <w:r>
        <w:rPr>
          <w:rFonts w:ascii="方正仿宋_GBK" w:eastAsia="方正仿宋_GBK"/>
          <w:b/>
          <w:sz w:val="28"/>
        </w:rPr>
        <w:fldChar w:fldCharType="begin"/>
      </w:r>
      <w:r>
        <w:rPr>
          <w:rFonts w:ascii="方正仿宋_GBK" w:eastAsia="方正仿宋_GBK"/>
          <w:b/>
          <w:sz w:val="28"/>
        </w:rPr>
        <w:instrText xml:space="preserve"> TC 172、义务教育阶段小学生营养改善计划地方试点区级资金绩效目标表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360023遂城镇中心学校（小学）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13062521T0C4H4QASDIIQ</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义务教育阶段小学生营养改善计划地方试点区级资金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812500.00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812500.00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通过营养餐改善计划，让学生合理健康饮食，保障身体营养供应。提高学生身体素质的同时，促进教育均衡发展。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1.通过营养餐改善计划，让学生合理健康饮食，保障身体营养供应。</w:t>
            </w:r>
          </w:p>
          <w:p>
            <w:pPr>
              <w:spacing w:line="300" w:lineRule="exact"/>
              <w:jc w:val="left"/>
              <w:rPr>
                <w:rFonts w:ascii="方正书宋_GBK" w:eastAsia="方正书宋_GBK"/>
              </w:rPr>
            </w:pPr>
            <w:r>
              <w:rPr>
                <w:rFonts w:ascii="方正书宋_GBK" w:eastAsia="方正书宋_GBK"/>
              </w:rPr>
              <w:t>2.提高学生身体素质的同时。</w:t>
            </w:r>
          </w:p>
          <w:p>
            <w:pPr>
              <w:spacing w:line="300" w:lineRule="exact"/>
              <w:jc w:val="left"/>
              <w:rPr>
                <w:rFonts w:ascii="方正书宋_GBK" w:eastAsia="方正书宋_GBK"/>
              </w:rPr>
            </w:pPr>
            <w:r>
              <w:rPr>
                <w:rFonts w:ascii="方正书宋_GBK" w:eastAsia="方正书宋_GBK"/>
              </w:rPr>
              <w:t>3.促进教育均衡发展。</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享受营养餐学生达标率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营养餐覆盖情况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合格率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质量合格</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及时性</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及时性</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农村义务教育学生营养餐补助标准</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每个小学生每天(工作日）一盒学生奶，一枚熟鸡蛋。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2.5元/天/人</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长期实施性</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能够长期较好地完成计划，长期满足学生的需求。</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1" w:name="_Toc71388476"/>
      <w:r>
        <w:rPr>
          <w:rFonts w:ascii="方正仿宋_GBK" w:eastAsia="方正仿宋_GBK"/>
          <w:b/>
          <w:sz w:val="28"/>
        </w:rPr>
        <w:t>173.遂城镇幼儿园教育教学活动经费绩效目标表</w:t>
      </w:r>
      <w:bookmarkEnd w:id="11"/>
      <w:r>
        <w:rPr>
          <w:rFonts w:ascii="方正仿宋_GBK" w:eastAsia="方正仿宋_GBK"/>
          <w:b/>
          <w:sz w:val="28"/>
        </w:rPr>
        <w:fldChar w:fldCharType="begin"/>
      </w:r>
      <w:r>
        <w:rPr>
          <w:rFonts w:ascii="方正仿宋_GBK" w:eastAsia="方正仿宋_GBK"/>
          <w:b/>
          <w:sz w:val="28"/>
        </w:rPr>
        <w:instrText xml:space="preserve"> TC 173、遂城镇幼儿园教育教学活动经费绩效目标表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360024遂城镇中心学校（幼儿园）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1306252117RA2VNAUH2I6</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遂城镇幼儿园教育教学活动经费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1383500.00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1383500.00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保障学前教育学校正常运转、完成教育教学活动和其他日常工作任务等。</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30.00%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1.通过实施学前教育经费项目，保障学前教育学校正常运转。</w:t>
            </w:r>
          </w:p>
          <w:p>
            <w:pPr>
              <w:spacing w:line="300" w:lineRule="exact"/>
              <w:jc w:val="left"/>
              <w:rPr>
                <w:rFonts w:ascii="方正书宋_GBK" w:eastAsia="方正书宋_GBK"/>
              </w:rPr>
            </w:pPr>
            <w:r>
              <w:rPr>
                <w:rFonts w:ascii="方正书宋_GBK" w:eastAsia="方正书宋_GBK"/>
              </w:rPr>
              <w:t>2.完成教育教学活动和其他日常工作任务。</w:t>
            </w:r>
          </w:p>
          <w:p>
            <w:pPr>
              <w:spacing w:line="300" w:lineRule="exact"/>
              <w:jc w:val="left"/>
              <w:rPr>
                <w:rFonts w:ascii="方正书宋_GBK" w:eastAsia="方正书宋_GBK"/>
              </w:rPr>
            </w:pPr>
            <w:r>
              <w:rPr>
                <w:rFonts w:ascii="方正书宋_GBK" w:eastAsia="方正书宋_GBK"/>
              </w:rPr>
              <w:t>3.保障幼儿园日常运转，改善教育教学条件，美化校园环境。</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幼儿园收费人数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按收费人数完成全年预算。</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≥90百分比</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优秀率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通过开展教育教学活动，提高幼儿素质，提高幼儿优秀率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≥90百分比</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按照要求和计划完成的项目在本项目中的比例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≥90百分比</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农村幼儿园收费标准</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根据幼儿园等级，按照本园等级按标准收费</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≥90百分比</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推进学前教育均衡发展率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学前教育均衡发展程度。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≥90百分比</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2" w:name="_Toc71388477"/>
      <w:r>
        <w:rPr>
          <w:rFonts w:ascii="方正仿宋_GBK" w:eastAsia="方正仿宋_GBK"/>
          <w:b/>
          <w:sz w:val="28"/>
        </w:rPr>
        <w:t>174.普惠性民办幼儿园生均公用经费绩效目标表</w:t>
      </w:r>
      <w:bookmarkEnd w:id="12"/>
      <w:r>
        <w:rPr>
          <w:rFonts w:ascii="方正仿宋_GBK" w:eastAsia="方正仿宋_GBK"/>
          <w:b/>
          <w:sz w:val="28"/>
        </w:rPr>
        <w:fldChar w:fldCharType="begin"/>
      </w:r>
      <w:r>
        <w:rPr>
          <w:rFonts w:ascii="方正仿宋_GBK" w:eastAsia="方正仿宋_GBK"/>
          <w:b/>
          <w:sz w:val="28"/>
        </w:rPr>
        <w:instrText xml:space="preserve"> TC 174、普惠性民办幼儿园生均公用经费绩效目标表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360024遂城镇中心学校（幼儿园）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130625219I5GLUIXF7YXU</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普惠性民办幼儿园生均公用经费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494000.00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494000.00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保障幼儿健康发展，用于幼儿园日常运转经费。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30.00%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1.促进学前教育健康快速发展，提高幼儿园经费保障水平。</w:t>
            </w:r>
          </w:p>
          <w:p>
            <w:pPr>
              <w:spacing w:line="300" w:lineRule="exact"/>
              <w:jc w:val="left"/>
              <w:rPr>
                <w:rFonts w:ascii="方正书宋_GBK" w:eastAsia="方正书宋_GBK"/>
              </w:rPr>
            </w:pPr>
            <w:r>
              <w:rPr>
                <w:rFonts w:ascii="方正书宋_GBK" w:eastAsia="方正书宋_GBK"/>
              </w:rPr>
              <w:t>2.提高教育水平。</w:t>
            </w:r>
          </w:p>
          <w:p>
            <w:pPr>
              <w:spacing w:line="300" w:lineRule="exact"/>
              <w:jc w:val="left"/>
              <w:rPr>
                <w:rFonts w:ascii="方正书宋_GBK" w:eastAsia="方正书宋_GBK"/>
              </w:rPr>
            </w:pPr>
            <w:r>
              <w:rPr>
                <w:rFonts w:ascii="方正书宋_GBK" w:eastAsia="方正书宋_GBK"/>
              </w:rPr>
              <w:t>3.提升教育质量。</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幼儿园足额落实</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全区幼儿园足额落实每生400元。</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幼儿园足额保障率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全区幼儿园足额保障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按照要求和计划完成研究任务的项目在所有立项项目中的比例（百分比）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农村幼儿园收费标准</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根据幼儿园等级，按照本园等级按标准收费</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受益人数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全校学生和教职工受益情况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≥1235%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3" w:name="_Toc71388478"/>
      <w:r>
        <w:rPr>
          <w:rFonts w:ascii="方正仿宋_GBK" w:eastAsia="方正仿宋_GBK"/>
          <w:b/>
          <w:sz w:val="28"/>
        </w:rPr>
        <w:t>175.幼儿园生均公用经费绩效目标表</w:t>
      </w:r>
      <w:bookmarkEnd w:id="13"/>
      <w:r>
        <w:rPr>
          <w:rFonts w:ascii="方正仿宋_GBK" w:eastAsia="方正仿宋_GBK"/>
          <w:b/>
          <w:sz w:val="28"/>
        </w:rPr>
        <w:fldChar w:fldCharType="begin"/>
      </w:r>
      <w:r>
        <w:rPr>
          <w:rFonts w:ascii="方正仿宋_GBK" w:eastAsia="方正仿宋_GBK"/>
          <w:b/>
          <w:sz w:val="28"/>
        </w:rPr>
        <w:instrText xml:space="preserve"> TC 175、幼儿园生均公用经费绩效目标表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360024遂城镇中心学校（幼儿园）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13062521OSS9KAWH4K9ZT</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幼儿园生均公用经费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344800.00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344800.00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保障幼儿健康发展，用于幼儿园日常运转经费。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30.00%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1.促进学前教育健康快速发展，提高幼儿园经费保障水平。</w:t>
            </w:r>
          </w:p>
          <w:p>
            <w:pPr>
              <w:spacing w:line="300" w:lineRule="exact"/>
              <w:jc w:val="left"/>
              <w:rPr>
                <w:rFonts w:ascii="方正书宋_GBK" w:eastAsia="方正书宋_GBK"/>
              </w:rPr>
            </w:pPr>
            <w:r>
              <w:rPr>
                <w:rFonts w:ascii="方正书宋_GBK" w:eastAsia="方正书宋_GBK"/>
              </w:rPr>
              <w:t>2.提高教育水平。</w:t>
            </w:r>
          </w:p>
          <w:p>
            <w:pPr>
              <w:spacing w:line="300" w:lineRule="exact"/>
              <w:jc w:val="left"/>
              <w:rPr>
                <w:rFonts w:ascii="方正书宋_GBK" w:eastAsia="方正书宋_GBK"/>
              </w:rPr>
            </w:pPr>
            <w:r>
              <w:rPr>
                <w:rFonts w:ascii="方正书宋_GBK" w:eastAsia="方正书宋_GBK"/>
              </w:rPr>
              <w:t>3.提升教育质量。</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幼儿园足额落实</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全区幼儿园足额落实每生400元。</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幼儿园足额保障率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全区幼儿园足额保障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按照要求和计划完成研究任务的项目在所有立项项目中的比例（百分比）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农村幼儿园收费标准</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根据幼儿园等级，按照本园等级按标准收费</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受益人数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全校学生和教职工受益情况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≥862百分比</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spacing w:line="360" w:lineRule="auto"/>
        <w:ind w:firstLine="640" w:firstLineChars="200"/>
        <w:rPr>
          <w:rFonts w:ascii="仿宋" w:hAnsi="仿宋" w:eastAsia="仿宋"/>
          <w:sz w:val="32"/>
          <w:szCs w:val="32"/>
        </w:rPr>
      </w:pPr>
      <w:r>
        <w:rPr>
          <w:rFonts w:ascii="仿宋" w:hAnsi="仿宋" w:eastAsia="仿宋"/>
          <w:sz w:val="32"/>
          <w:szCs w:val="32"/>
        </w:rPr>
        <w:t>2021年，我</w:t>
      </w:r>
      <w:r>
        <w:rPr>
          <w:rFonts w:hint="eastAsia" w:ascii="仿宋" w:hAnsi="仿宋" w:eastAsia="仿宋"/>
          <w:sz w:val="32"/>
          <w:szCs w:val="32"/>
        </w:rPr>
        <w:t>单位无</w:t>
      </w:r>
      <w:r>
        <w:rPr>
          <w:rFonts w:ascii="仿宋" w:hAnsi="仿宋" w:eastAsia="仿宋"/>
          <w:sz w:val="32"/>
          <w:szCs w:val="32"/>
        </w:rPr>
        <w:t>政府采购预算，</w:t>
      </w:r>
      <w:r>
        <w:rPr>
          <w:rFonts w:hint="eastAsia" w:ascii="仿宋" w:hAnsi="仿宋" w:eastAsia="仿宋"/>
          <w:sz w:val="32"/>
          <w:szCs w:val="32"/>
        </w:rPr>
        <w:t>空表列示</w:t>
      </w:r>
      <w:r>
        <w:rPr>
          <w:rFonts w:ascii="仿宋" w:hAnsi="仿宋" w:eastAsia="仿宋"/>
          <w:sz w:val="32"/>
          <w:szCs w:val="32"/>
        </w:rPr>
        <w:t>：</w:t>
      </w:r>
    </w:p>
    <w:p>
      <w:pPr>
        <w:jc w:val="center"/>
        <w:outlineLvl w:val="1"/>
      </w:pPr>
      <w:bookmarkStart w:id="14" w:name="_Toc_2_2_0000000007"/>
      <w:r>
        <w:rPr>
          <w:rFonts w:ascii="方正小标宋_GBK" w:hAnsi="方正小标宋_GBK" w:eastAsia="方正小标宋_GBK" w:cs="方正小标宋_GBK"/>
          <w:color w:val="000000"/>
          <w:sz w:val="32"/>
        </w:rPr>
        <w:t>部门政府采购预算</w:t>
      </w:r>
      <w:bookmarkEnd w:id="14"/>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1"/>
        <w:gridCol w:w="964"/>
        <w:gridCol w:w="1134"/>
        <w:gridCol w:w="1134"/>
        <w:gridCol w:w="709"/>
        <w:gridCol w:w="850"/>
        <w:gridCol w:w="850"/>
        <w:gridCol w:w="964"/>
        <w:gridCol w:w="964"/>
        <w:gridCol w:w="964"/>
        <w:gridCol w:w="964"/>
        <w:gridCol w:w="964"/>
        <w:gridCol w:w="964"/>
        <w:gridCol w:w="964"/>
        <w:gridCol w:w="964"/>
        <w:gridCol w:w="9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pStyle w:val="16"/>
              <w:rPr>
                <w:lang w:eastAsia="zh-CN"/>
              </w:rPr>
            </w:pPr>
            <w:r>
              <w:t>360</w:t>
            </w:r>
            <w:r>
              <w:rPr>
                <w:rFonts w:hint="eastAsia"/>
                <w:lang w:eastAsia="zh-CN"/>
              </w:rPr>
              <w:t>023</w:t>
            </w:r>
            <w:r>
              <w:t>保定市徐水区</w:t>
            </w:r>
            <w:r>
              <w:rPr>
                <w:rFonts w:hint="eastAsia"/>
                <w:lang w:eastAsia="zh-CN"/>
              </w:rPr>
              <w:t>遂城镇中心学校</w:t>
            </w:r>
          </w:p>
        </w:tc>
        <w:tc>
          <w:tcPr>
            <w:tcW w:w="8674" w:type="dxa"/>
            <w:gridSpan w:val="9"/>
            <w:tcBorders>
              <w:top w:val="single" w:color="FFFFFF" w:sz="6" w:space="0"/>
              <w:left w:val="single" w:color="FFFFFF" w:sz="6" w:space="0"/>
              <w:right w:val="single" w:color="FFFFFF" w:sz="6" w:space="0"/>
            </w:tcBorders>
            <w:vAlign w:val="center"/>
          </w:tcPr>
          <w:p>
            <w:pPr>
              <w:pStyle w:val="15"/>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665" w:type="dxa"/>
            <w:gridSpan w:val="2"/>
            <w:vAlign w:val="center"/>
          </w:tcPr>
          <w:p>
            <w:pPr>
              <w:pStyle w:val="17"/>
            </w:pPr>
            <w:r>
              <w:t>政府采购项目来源</w:t>
            </w:r>
          </w:p>
        </w:tc>
        <w:tc>
          <w:tcPr>
            <w:tcW w:w="1134" w:type="dxa"/>
            <w:vMerge w:val="restart"/>
            <w:vAlign w:val="center"/>
          </w:tcPr>
          <w:p>
            <w:pPr>
              <w:pStyle w:val="17"/>
            </w:pPr>
            <w:r>
              <w:t>采购物品名称</w:t>
            </w:r>
          </w:p>
        </w:tc>
        <w:tc>
          <w:tcPr>
            <w:tcW w:w="1134" w:type="dxa"/>
            <w:vMerge w:val="restart"/>
            <w:vAlign w:val="center"/>
          </w:tcPr>
          <w:p>
            <w:pPr>
              <w:pStyle w:val="17"/>
            </w:pPr>
            <w:r>
              <w:t>政府采购目录序号</w:t>
            </w:r>
          </w:p>
        </w:tc>
        <w:tc>
          <w:tcPr>
            <w:tcW w:w="709" w:type="dxa"/>
            <w:vMerge w:val="restart"/>
            <w:vAlign w:val="center"/>
          </w:tcPr>
          <w:p>
            <w:pPr>
              <w:pStyle w:val="17"/>
            </w:pPr>
            <w:r>
              <w:t>计量  单位</w:t>
            </w:r>
          </w:p>
        </w:tc>
        <w:tc>
          <w:tcPr>
            <w:tcW w:w="850" w:type="dxa"/>
            <w:vMerge w:val="restart"/>
            <w:vAlign w:val="center"/>
          </w:tcPr>
          <w:p>
            <w:pPr>
              <w:pStyle w:val="17"/>
            </w:pPr>
            <w:r>
              <w:t>数量</w:t>
            </w:r>
          </w:p>
        </w:tc>
        <w:tc>
          <w:tcPr>
            <w:tcW w:w="850" w:type="dxa"/>
            <w:vMerge w:val="restart"/>
            <w:vAlign w:val="center"/>
          </w:tcPr>
          <w:p>
            <w:pPr>
              <w:pStyle w:val="17"/>
            </w:pPr>
            <w:r>
              <w:t>单价</w:t>
            </w:r>
          </w:p>
        </w:tc>
        <w:tc>
          <w:tcPr>
            <w:tcW w:w="7710" w:type="dxa"/>
            <w:gridSpan w:val="8"/>
            <w:vAlign w:val="center"/>
          </w:tcPr>
          <w:p>
            <w:pPr>
              <w:pStyle w:val="17"/>
            </w:pPr>
            <w:r>
              <w:t>政府采购金额（当年部门预算安排资金）</w:t>
            </w:r>
          </w:p>
        </w:tc>
        <w:tc>
          <w:tcPr>
            <w:tcW w:w="964" w:type="dxa"/>
            <w:vMerge w:val="restart"/>
            <w:vAlign w:val="center"/>
          </w:tcPr>
          <w:p>
            <w:pPr>
              <w:pStyle w:val="17"/>
            </w:pPr>
            <w:r>
              <w:t>2022年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701" w:type="dxa"/>
            <w:vAlign w:val="center"/>
          </w:tcPr>
          <w:p>
            <w:pPr>
              <w:pStyle w:val="17"/>
            </w:pPr>
            <w:r>
              <w:t>项目名称</w:t>
            </w:r>
          </w:p>
        </w:tc>
        <w:tc>
          <w:tcPr>
            <w:tcW w:w="964" w:type="dxa"/>
            <w:vAlign w:val="center"/>
          </w:tcPr>
          <w:p>
            <w:pPr>
              <w:pStyle w:val="17"/>
            </w:pPr>
            <w:r>
              <w:t>预算    资金</w:t>
            </w:r>
          </w:p>
        </w:tc>
        <w:tc>
          <w:tcPr>
            <w:tcW w:w="1134" w:type="dxa"/>
            <w:vMerge w:val="continue"/>
          </w:tcPr>
          <w:p/>
        </w:tc>
        <w:tc>
          <w:tcPr>
            <w:tcW w:w="1134" w:type="dxa"/>
            <w:vMerge w:val="continue"/>
          </w:tcPr>
          <w:p/>
        </w:tc>
        <w:tc>
          <w:tcPr>
            <w:tcW w:w="709" w:type="dxa"/>
            <w:vMerge w:val="continue"/>
          </w:tcPr>
          <w:p/>
        </w:tc>
        <w:tc>
          <w:tcPr>
            <w:tcW w:w="850" w:type="dxa"/>
            <w:vMerge w:val="continue"/>
          </w:tcPr>
          <w:p/>
        </w:tc>
        <w:tc>
          <w:tcPr>
            <w:tcW w:w="850" w:type="dxa"/>
            <w:vMerge w:val="continue"/>
          </w:tcPr>
          <w:p/>
        </w:tc>
        <w:tc>
          <w:tcPr>
            <w:tcW w:w="964" w:type="dxa"/>
            <w:vAlign w:val="center"/>
          </w:tcPr>
          <w:p>
            <w:pPr>
              <w:pStyle w:val="17"/>
            </w:pPr>
            <w:r>
              <w:t>合计</w:t>
            </w:r>
          </w:p>
        </w:tc>
        <w:tc>
          <w:tcPr>
            <w:tcW w:w="964" w:type="dxa"/>
            <w:vAlign w:val="center"/>
          </w:tcPr>
          <w:p>
            <w:pPr>
              <w:pStyle w:val="17"/>
            </w:pPr>
            <w:r>
              <w:t>一般公共预算拨款</w:t>
            </w:r>
          </w:p>
        </w:tc>
        <w:tc>
          <w:tcPr>
            <w:tcW w:w="964" w:type="dxa"/>
            <w:vAlign w:val="center"/>
          </w:tcPr>
          <w:p>
            <w:pPr>
              <w:pStyle w:val="17"/>
            </w:pPr>
            <w:r>
              <w:t>基金预算拨款</w:t>
            </w:r>
          </w:p>
        </w:tc>
        <w:tc>
          <w:tcPr>
            <w:tcW w:w="964" w:type="dxa"/>
            <w:vAlign w:val="center"/>
          </w:tcPr>
          <w:p>
            <w:pPr>
              <w:pStyle w:val="17"/>
            </w:pPr>
            <w:r>
              <w:t>国有资本经营预算拨款</w:t>
            </w:r>
          </w:p>
        </w:tc>
        <w:tc>
          <w:tcPr>
            <w:tcW w:w="964" w:type="dxa"/>
            <w:vAlign w:val="center"/>
          </w:tcPr>
          <w:p>
            <w:pPr>
              <w:pStyle w:val="17"/>
            </w:pPr>
            <w:r>
              <w:t>财政专户核拨</w:t>
            </w:r>
          </w:p>
        </w:tc>
        <w:tc>
          <w:tcPr>
            <w:tcW w:w="964" w:type="dxa"/>
            <w:vAlign w:val="center"/>
          </w:tcPr>
          <w:p>
            <w:pPr>
              <w:pStyle w:val="17"/>
            </w:pPr>
            <w:r>
              <w:t>单位    资金</w:t>
            </w:r>
          </w:p>
        </w:tc>
        <w:tc>
          <w:tcPr>
            <w:tcW w:w="964" w:type="dxa"/>
            <w:vAlign w:val="center"/>
          </w:tcPr>
          <w:p>
            <w:pPr>
              <w:pStyle w:val="17"/>
            </w:pPr>
            <w:r>
              <w:t>财政拨    款结转</w:t>
            </w:r>
          </w:p>
        </w:tc>
        <w:tc>
          <w:tcPr>
            <w:tcW w:w="964" w:type="dxa"/>
            <w:vAlign w:val="center"/>
          </w:tcPr>
          <w:p>
            <w:pPr>
              <w:pStyle w:val="17"/>
            </w:pPr>
            <w:r>
              <w:t>非财政    拨款结    转结余</w:t>
            </w:r>
          </w:p>
        </w:tc>
        <w:tc>
          <w:tcPr>
            <w:tcW w:w="96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21"/>
            </w:pPr>
            <w:r>
              <w:t>合  计</w:t>
            </w:r>
          </w:p>
        </w:tc>
        <w:tc>
          <w:tcPr>
            <w:tcW w:w="964" w:type="dxa"/>
            <w:vAlign w:val="center"/>
          </w:tcPr>
          <w:p>
            <w:pPr>
              <w:pStyle w:val="22"/>
            </w:pPr>
          </w:p>
        </w:tc>
        <w:tc>
          <w:tcPr>
            <w:tcW w:w="1134" w:type="dxa"/>
            <w:vAlign w:val="center"/>
          </w:tcPr>
          <w:p>
            <w:pPr>
              <w:pStyle w:val="23"/>
            </w:pPr>
          </w:p>
        </w:tc>
        <w:tc>
          <w:tcPr>
            <w:tcW w:w="1134" w:type="dxa"/>
            <w:vAlign w:val="center"/>
          </w:tcPr>
          <w:p>
            <w:pPr>
              <w:pStyle w:val="23"/>
            </w:pPr>
          </w:p>
        </w:tc>
        <w:tc>
          <w:tcPr>
            <w:tcW w:w="709" w:type="dxa"/>
            <w:vAlign w:val="center"/>
          </w:tcPr>
          <w:p>
            <w:pPr>
              <w:pStyle w:val="21"/>
            </w:pPr>
          </w:p>
        </w:tc>
        <w:tc>
          <w:tcPr>
            <w:tcW w:w="850" w:type="dxa"/>
            <w:vAlign w:val="center"/>
          </w:tcPr>
          <w:p>
            <w:pPr>
              <w:pStyle w:val="22"/>
            </w:pPr>
          </w:p>
        </w:tc>
        <w:tc>
          <w:tcPr>
            <w:tcW w:w="850"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21"/>
            </w:pPr>
          </w:p>
        </w:tc>
        <w:tc>
          <w:tcPr>
            <w:tcW w:w="964" w:type="dxa"/>
            <w:vAlign w:val="center"/>
          </w:tcPr>
          <w:p>
            <w:pPr>
              <w:pStyle w:val="22"/>
            </w:pPr>
          </w:p>
        </w:tc>
        <w:tc>
          <w:tcPr>
            <w:tcW w:w="1134" w:type="dxa"/>
            <w:vAlign w:val="center"/>
          </w:tcPr>
          <w:p>
            <w:pPr>
              <w:pStyle w:val="23"/>
            </w:pPr>
          </w:p>
        </w:tc>
        <w:tc>
          <w:tcPr>
            <w:tcW w:w="1134" w:type="dxa"/>
            <w:vAlign w:val="center"/>
          </w:tcPr>
          <w:p>
            <w:pPr>
              <w:pStyle w:val="23"/>
            </w:pPr>
          </w:p>
        </w:tc>
        <w:tc>
          <w:tcPr>
            <w:tcW w:w="709" w:type="dxa"/>
            <w:vAlign w:val="center"/>
          </w:tcPr>
          <w:p>
            <w:pPr>
              <w:pStyle w:val="21"/>
            </w:pPr>
          </w:p>
        </w:tc>
        <w:tc>
          <w:tcPr>
            <w:tcW w:w="850" w:type="dxa"/>
            <w:vAlign w:val="center"/>
          </w:tcPr>
          <w:p>
            <w:pPr>
              <w:pStyle w:val="22"/>
            </w:pPr>
          </w:p>
        </w:tc>
        <w:tc>
          <w:tcPr>
            <w:tcW w:w="850"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19"/>
            </w:pPr>
          </w:p>
        </w:tc>
        <w:tc>
          <w:tcPr>
            <w:tcW w:w="964" w:type="dxa"/>
            <w:vAlign w:val="center"/>
          </w:tcPr>
          <w:p>
            <w:pPr>
              <w:pStyle w:val="18"/>
            </w:pPr>
          </w:p>
        </w:tc>
        <w:tc>
          <w:tcPr>
            <w:tcW w:w="1134" w:type="dxa"/>
            <w:vAlign w:val="center"/>
          </w:tcPr>
          <w:p>
            <w:pPr>
              <w:pStyle w:val="19"/>
            </w:pPr>
          </w:p>
        </w:tc>
        <w:tc>
          <w:tcPr>
            <w:tcW w:w="1134" w:type="dxa"/>
            <w:vAlign w:val="center"/>
          </w:tcPr>
          <w:p>
            <w:pPr>
              <w:pStyle w:val="19"/>
            </w:pPr>
          </w:p>
        </w:tc>
        <w:tc>
          <w:tcPr>
            <w:tcW w:w="709" w:type="dxa"/>
            <w:vAlign w:val="center"/>
          </w:tcPr>
          <w:p>
            <w:pPr>
              <w:pStyle w:val="20"/>
            </w:pPr>
          </w:p>
        </w:tc>
        <w:tc>
          <w:tcPr>
            <w:tcW w:w="850" w:type="dxa"/>
            <w:vAlign w:val="center"/>
          </w:tcPr>
          <w:p>
            <w:pPr>
              <w:pStyle w:val="18"/>
            </w:pPr>
          </w:p>
        </w:tc>
        <w:tc>
          <w:tcPr>
            <w:tcW w:w="850"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r>
    </w:tbl>
    <w:p>
      <w:pPr>
        <w:spacing w:line="360" w:lineRule="auto"/>
        <w:rPr>
          <w:rFonts w:ascii="仿宋" w:hAnsi="仿宋" w:eastAsia="仿宋"/>
          <w:sz w:val="32"/>
          <w:szCs w:val="32"/>
        </w:rPr>
        <w:sectPr>
          <w:footerReference r:id="rId3" w:type="default"/>
          <w:pgSz w:w="16838" w:h="11906" w:orient="landscape"/>
          <w:pgMar w:top="1797" w:right="1440" w:bottom="1797" w:left="1440" w:header="851" w:footer="992" w:gutter="0"/>
          <w:cols w:space="425" w:num="1"/>
          <w:docGrid w:type="linesAndChars" w:linePitch="312" w:charSpace="0"/>
        </w:sectPr>
      </w:pPr>
    </w:p>
    <w:p>
      <w:pPr>
        <w:spacing w:line="360" w:lineRule="auto"/>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上年末我单位固定资产总金额为</w:t>
      </w:r>
      <w:r>
        <w:rPr>
          <w:rFonts w:ascii="仿宋" w:hAnsi="仿宋" w:eastAsia="仿宋"/>
          <w:sz w:val="32"/>
          <w:szCs w:val="32"/>
        </w:rPr>
        <w:t>2140.82</w:t>
      </w:r>
      <w:r>
        <w:rPr>
          <w:rFonts w:hint="eastAsia" w:ascii="仿宋" w:hAnsi="仿宋" w:eastAsia="仿宋"/>
          <w:sz w:val="32"/>
          <w:szCs w:val="32"/>
        </w:rPr>
        <w:t>万元</w:t>
      </w:r>
      <w:r>
        <w:rPr>
          <w:rFonts w:ascii="仿宋" w:hAnsi="仿宋" w:eastAsia="仿宋"/>
          <w:sz w:val="32"/>
          <w:szCs w:val="32"/>
        </w:rPr>
        <w:t xml:space="preserve"> </w:t>
      </w:r>
    </w:p>
    <w:tbl>
      <w:tblPr>
        <w:tblStyle w:val="8"/>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w:t>
            </w:r>
            <w:r>
              <w:rPr>
                <w:rFonts w:ascii="仿宋_GB2312" w:hAnsi="仿宋" w:eastAsia="仿宋_GB2312" w:cs="宋体"/>
                <w:bCs/>
                <w:kern w:val="0"/>
                <w:sz w:val="28"/>
                <w:szCs w:val="28"/>
              </w:rPr>
              <w:t>2020</w:t>
            </w:r>
            <w:r>
              <w:rPr>
                <w:rFonts w:hint="eastAsia" w:ascii="仿宋_GB2312" w:hAnsi="仿宋" w:eastAsia="仿宋_GB2312" w:cs="宋体"/>
                <w:bCs/>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ascii="仿宋_GB2312" w:hAnsi="仿宋" w:eastAsia="仿宋_GB2312" w:cs="宋体"/>
                <w:b/>
                <w:kern w:val="0"/>
                <w:sz w:val="24"/>
                <w:szCs w:val="24"/>
              </w:rPr>
              <w:t>2140.82</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42290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727.05</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42290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727.05</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b/>
                <w:kern w:val="0"/>
                <w:sz w:val="24"/>
                <w:szCs w:val="24"/>
              </w:rPr>
              <w:t>--</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14</w:t>
            </w:r>
            <w:r>
              <w:rPr>
                <w:rFonts w:ascii="仿宋_GB2312" w:hAnsi="仿宋" w:eastAsia="仿宋_GB2312" w:cs="宋体"/>
                <w:kern w:val="0"/>
                <w:sz w:val="24"/>
                <w:szCs w:val="24"/>
              </w:rPr>
              <w:t>13.77</w:t>
            </w: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部门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我单位无其他需要说明的事项。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 w:name="方正小标宋_GBK">
    <w:altName w:val="宋体"/>
    <w:panose1 w:val="00000000000000000000"/>
    <w:charset w:val="86"/>
    <w:family w:val="roma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宋体"/>
    <w:panose1 w:val="00000000000000000000"/>
    <w:charset w:val="86"/>
    <w:family w:val="roma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sdtPr>
    <w:sdtContent>
      <w:p>
        <w:pPr>
          <w:pStyle w:val="3"/>
          <w:jc w:val="center"/>
        </w:pPr>
        <w:r>
          <w:fldChar w:fldCharType="begin"/>
        </w:r>
        <w:r>
          <w:instrText xml:space="preserve">PAGE   \* MERGEFORMAT</w:instrText>
        </w:r>
        <w:r>
          <w:fldChar w:fldCharType="separate"/>
        </w:r>
        <w:r>
          <w:rPr>
            <w:lang w:val="zh-CN"/>
          </w:rPr>
          <w:t>21</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55F1F"/>
    <w:rsid w:val="00000D64"/>
    <w:rsid w:val="000075D6"/>
    <w:rsid w:val="00013B8A"/>
    <w:rsid w:val="00022349"/>
    <w:rsid w:val="00024CB9"/>
    <w:rsid w:val="00027649"/>
    <w:rsid w:val="000407B2"/>
    <w:rsid w:val="00044FBC"/>
    <w:rsid w:val="00055F1F"/>
    <w:rsid w:val="000567D5"/>
    <w:rsid w:val="000577EF"/>
    <w:rsid w:val="00057F18"/>
    <w:rsid w:val="00063EDF"/>
    <w:rsid w:val="000868D3"/>
    <w:rsid w:val="000A1F88"/>
    <w:rsid w:val="000A445D"/>
    <w:rsid w:val="000C16D2"/>
    <w:rsid w:val="000C178B"/>
    <w:rsid w:val="000C5358"/>
    <w:rsid w:val="000F6270"/>
    <w:rsid w:val="00112441"/>
    <w:rsid w:val="00112D7F"/>
    <w:rsid w:val="00131DEC"/>
    <w:rsid w:val="00135036"/>
    <w:rsid w:val="001367B7"/>
    <w:rsid w:val="00136AB3"/>
    <w:rsid w:val="00142827"/>
    <w:rsid w:val="001462BD"/>
    <w:rsid w:val="00152380"/>
    <w:rsid w:val="001627D6"/>
    <w:rsid w:val="001638BE"/>
    <w:rsid w:val="00164810"/>
    <w:rsid w:val="00172C7A"/>
    <w:rsid w:val="00176C69"/>
    <w:rsid w:val="00181777"/>
    <w:rsid w:val="001B4688"/>
    <w:rsid w:val="001B6235"/>
    <w:rsid w:val="001C0277"/>
    <w:rsid w:val="001F4875"/>
    <w:rsid w:val="00202F83"/>
    <w:rsid w:val="00212335"/>
    <w:rsid w:val="00225010"/>
    <w:rsid w:val="00225B8B"/>
    <w:rsid w:val="00261DED"/>
    <w:rsid w:val="00280B1F"/>
    <w:rsid w:val="00281E52"/>
    <w:rsid w:val="002918C6"/>
    <w:rsid w:val="00291EF3"/>
    <w:rsid w:val="0029444D"/>
    <w:rsid w:val="00296524"/>
    <w:rsid w:val="002A2805"/>
    <w:rsid w:val="002B7E1D"/>
    <w:rsid w:val="002C05D6"/>
    <w:rsid w:val="002E01F6"/>
    <w:rsid w:val="002F1ACB"/>
    <w:rsid w:val="002F530F"/>
    <w:rsid w:val="00305E97"/>
    <w:rsid w:val="00306DD1"/>
    <w:rsid w:val="00310532"/>
    <w:rsid w:val="00312A73"/>
    <w:rsid w:val="00312E60"/>
    <w:rsid w:val="0032782B"/>
    <w:rsid w:val="00340B3D"/>
    <w:rsid w:val="00341953"/>
    <w:rsid w:val="0034253A"/>
    <w:rsid w:val="003669CF"/>
    <w:rsid w:val="00367A30"/>
    <w:rsid w:val="00375B9C"/>
    <w:rsid w:val="003A06D2"/>
    <w:rsid w:val="003A4557"/>
    <w:rsid w:val="003A6366"/>
    <w:rsid w:val="003A7000"/>
    <w:rsid w:val="003B03AB"/>
    <w:rsid w:val="003C0551"/>
    <w:rsid w:val="003C2317"/>
    <w:rsid w:val="003C442E"/>
    <w:rsid w:val="003D1092"/>
    <w:rsid w:val="003D37CD"/>
    <w:rsid w:val="003E5531"/>
    <w:rsid w:val="003E555C"/>
    <w:rsid w:val="003E6AF3"/>
    <w:rsid w:val="003F37EB"/>
    <w:rsid w:val="0040243C"/>
    <w:rsid w:val="00406BD1"/>
    <w:rsid w:val="00426C19"/>
    <w:rsid w:val="00450FD9"/>
    <w:rsid w:val="00453CE0"/>
    <w:rsid w:val="00455668"/>
    <w:rsid w:val="0046716F"/>
    <w:rsid w:val="00470736"/>
    <w:rsid w:val="00470BBB"/>
    <w:rsid w:val="0048611E"/>
    <w:rsid w:val="004B6929"/>
    <w:rsid w:val="004D1A6E"/>
    <w:rsid w:val="004D6B38"/>
    <w:rsid w:val="004D7936"/>
    <w:rsid w:val="004E2F43"/>
    <w:rsid w:val="004E3572"/>
    <w:rsid w:val="004F3C52"/>
    <w:rsid w:val="00510A1E"/>
    <w:rsid w:val="005158E2"/>
    <w:rsid w:val="00524204"/>
    <w:rsid w:val="00546F32"/>
    <w:rsid w:val="00550049"/>
    <w:rsid w:val="00553F7E"/>
    <w:rsid w:val="00570142"/>
    <w:rsid w:val="00586175"/>
    <w:rsid w:val="00586922"/>
    <w:rsid w:val="00586C35"/>
    <w:rsid w:val="005B1B6F"/>
    <w:rsid w:val="005B6CCB"/>
    <w:rsid w:val="005C54AA"/>
    <w:rsid w:val="005C7B89"/>
    <w:rsid w:val="005F2E18"/>
    <w:rsid w:val="005F5834"/>
    <w:rsid w:val="005F71BB"/>
    <w:rsid w:val="00602E8C"/>
    <w:rsid w:val="00615995"/>
    <w:rsid w:val="0062788A"/>
    <w:rsid w:val="006317D6"/>
    <w:rsid w:val="00635312"/>
    <w:rsid w:val="00641F8A"/>
    <w:rsid w:val="0066383B"/>
    <w:rsid w:val="00671DCA"/>
    <w:rsid w:val="00682135"/>
    <w:rsid w:val="006A6FA2"/>
    <w:rsid w:val="006B5117"/>
    <w:rsid w:val="006C62DF"/>
    <w:rsid w:val="006E6C01"/>
    <w:rsid w:val="006F5104"/>
    <w:rsid w:val="006F6549"/>
    <w:rsid w:val="007207A8"/>
    <w:rsid w:val="00735B02"/>
    <w:rsid w:val="00736F87"/>
    <w:rsid w:val="007657C8"/>
    <w:rsid w:val="00766B1B"/>
    <w:rsid w:val="00767A77"/>
    <w:rsid w:val="00771E49"/>
    <w:rsid w:val="00771F35"/>
    <w:rsid w:val="00782208"/>
    <w:rsid w:val="00791938"/>
    <w:rsid w:val="007A5999"/>
    <w:rsid w:val="007C7FD7"/>
    <w:rsid w:val="007D3889"/>
    <w:rsid w:val="007F3746"/>
    <w:rsid w:val="00802A4B"/>
    <w:rsid w:val="0083095F"/>
    <w:rsid w:val="00833132"/>
    <w:rsid w:val="00845C67"/>
    <w:rsid w:val="0086454E"/>
    <w:rsid w:val="008672EA"/>
    <w:rsid w:val="00872B30"/>
    <w:rsid w:val="00891680"/>
    <w:rsid w:val="008A0099"/>
    <w:rsid w:val="008A0B5F"/>
    <w:rsid w:val="008A619C"/>
    <w:rsid w:val="008B50F5"/>
    <w:rsid w:val="008B5402"/>
    <w:rsid w:val="008B7673"/>
    <w:rsid w:val="008B7928"/>
    <w:rsid w:val="008C7695"/>
    <w:rsid w:val="008D11BC"/>
    <w:rsid w:val="008E35D4"/>
    <w:rsid w:val="008F3D5C"/>
    <w:rsid w:val="0090527E"/>
    <w:rsid w:val="00905BB7"/>
    <w:rsid w:val="0090620C"/>
    <w:rsid w:val="00912DA4"/>
    <w:rsid w:val="009302B8"/>
    <w:rsid w:val="009305C6"/>
    <w:rsid w:val="00934332"/>
    <w:rsid w:val="00935162"/>
    <w:rsid w:val="00963B90"/>
    <w:rsid w:val="0097201E"/>
    <w:rsid w:val="009752AE"/>
    <w:rsid w:val="00982F3D"/>
    <w:rsid w:val="00983232"/>
    <w:rsid w:val="0098716D"/>
    <w:rsid w:val="009A278A"/>
    <w:rsid w:val="009A3E78"/>
    <w:rsid w:val="009B0B15"/>
    <w:rsid w:val="009B6368"/>
    <w:rsid w:val="009F63C4"/>
    <w:rsid w:val="00A07CAE"/>
    <w:rsid w:val="00A13021"/>
    <w:rsid w:val="00A16957"/>
    <w:rsid w:val="00A25560"/>
    <w:rsid w:val="00A522AF"/>
    <w:rsid w:val="00A6155C"/>
    <w:rsid w:val="00A8079E"/>
    <w:rsid w:val="00A90328"/>
    <w:rsid w:val="00A92D66"/>
    <w:rsid w:val="00A9784D"/>
    <w:rsid w:val="00AA4262"/>
    <w:rsid w:val="00AB5A90"/>
    <w:rsid w:val="00AB7449"/>
    <w:rsid w:val="00AE0C6D"/>
    <w:rsid w:val="00AE4AA5"/>
    <w:rsid w:val="00AE7FA9"/>
    <w:rsid w:val="00AF3E30"/>
    <w:rsid w:val="00B147EB"/>
    <w:rsid w:val="00B22155"/>
    <w:rsid w:val="00B23744"/>
    <w:rsid w:val="00B253DA"/>
    <w:rsid w:val="00B41606"/>
    <w:rsid w:val="00B41C95"/>
    <w:rsid w:val="00B64475"/>
    <w:rsid w:val="00B76AA9"/>
    <w:rsid w:val="00B77837"/>
    <w:rsid w:val="00B80FAB"/>
    <w:rsid w:val="00B81C88"/>
    <w:rsid w:val="00B9097F"/>
    <w:rsid w:val="00BA5C83"/>
    <w:rsid w:val="00BB00A4"/>
    <w:rsid w:val="00BC6A7D"/>
    <w:rsid w:val="00BD4829"/>
    <w:rsid w:val="00BD6002"/>
    <w:rsid w:val="00BD719F"/>
    <w:rsid w:val="00BE38CF"/>
    <w:rsid w:val="00BF5442"/>
    <w:rsid w:val="00C026B2"/>
    <w:rsid w:val="00C0681D"/>
    <w:rsid w:val="00C06E04"/>
    <w:rsid w:val="00C177A5"/>
    <w:rsid w:val="00C357B0"/>
    <w:rsid w:val="00C35FEE"/>
    <w:rsid w:val="00C50535"/>
    <w:rsid w:val="00C6153C"/>
    <w:rsid w:val="00C742CA"/>
    <w:rsid w:val="00C828CA"/>
    <w:rsid w:val="00C906EF"/>
    <w:rsid w:val="00CB0594"/>
    <w:rsid w:val="00CB21F0"/>
    <w:rsid w:val="00CC5A12"/>
    <w:rsid w:val="00CC6797"/>
    <w:rsid w:val="00CC7D74"/>
    <w:rsid w:val="00D02AB2"/>
    <w:rsid w:val="00D02F97"/>
    <w:rsid w:val="00D058CA"/>
    <w:rsid w:val="00D45530"/>
    <w:rsid w:val="00D45A0E"/>
    <w:rsid w:val="00D45D23"/>
    <w:rsid w:val="00D47FEC"/>
    <w:rsid w:val="00D64338"/>
    <w:rsid w:val="00D723D1"/>
    <w:rsid w:val="00D80C60"/>
    <w:rsid w:val="00D8525F"/>
    <w:rsid w:val="00D878F4"/>
    <w:rsid w:val="00D93314"/>
    <w:rsid w:val="00DA0C4D"/>
    <w:rsid w:val="00DA5DA7"/>
    <w:rsid w:val="00DD4DA3"/>
    <w:rsid w:val="00DE3935"/>
    <w:rsid w:val="00DE6B32"/>
    <w:rsid w:val="00DF26B8"/>
    <w:rsid w:val="00E12C68"/>
    <w:rsid w:val="00E2325B"/>
    <w:rsid w:val="00E23472"/>
    <w:rsid w:val="00E24075"/>
    <w:rsid w:val="00E270C9"/>
    <w:rsid w:val="00E35F38"/>
    <w:rsid w:val="00E4143A"/>
    <w:rsid w:val="00E46F27"/>
    <w:rsid w:val="00E509CC"/>
    <w:rsid w:val="00E5193B"/>
    <w:rsid w:val="00E56DC0"/>
    <w:rsid w:val="00E7049E"/>
    <w:rsid w:val="00E71A04"/>
    <w:rsid w:val="00E90DA6"/>
    <w:rsid w:val="00E96342"/>
    <w:rsid w:val="00EA2FEA"/>
    <w:rsid w:val="00EA56CB"/>
    <w:rsid w:val="00EA7853"/>
    <w:rsid w:val="00ED4EC1"/>
    <w:rsid w:val="00ED516F"/>
    <w:rsid w:val="00EF166F"/>
    <w:rsid w:val="00F000B1"/>
    <w:rsid w:val="00F012D3"/>
    <w:rsid w:val="00F044C3"/>
    <w:rsid w:val="00F10D04"/>
    <w:rsid w:val="00F169E3"/>
    <w:rsid w:val="00F35D4B"/>
    <w:rsid w:val="00F3746B"/>
    <w:rsid w:val="00F572CB"/>
    <w:rsid w:val="00F621AF"/>
    <w:rsid w:val="00F8024E"/>
    <w:rsid w:val="00F82447"/>
    <w:rsid w:val="00F868E5"/>
    <w:rsid w:val="00F9529F"/>
    <w:rsid w:val="00FB2F32"/>
    <w:rsid w:val="00FC1902"/>
    <w:rsid w:val="00FC3191"/>
    <w:rsid w:val="00FC418B"/>
    <w:rsid w:val="00FD7A5B"/>
    <w:rsid w:val="00FE0F1F"/>
    <w:rsid w:val="00FE28E0"/>
    <w:rsid w:val="00FF3683"/>
    <w:rsid w:val="00FF61F3"/>
    <w:rsid w:val="0A214432"/>
    <w:rsid w:val="27733670"/>
    <w:rsid w:val="7AFA787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qFormat/>
    <w:uiPriority w:val="0"/>
    <w:pPr>
      <w:widowControl/>
      <w:spacing w:before="120"/>
      <w:jc w:val="left"/>
    </w:pPr>
    <w:rPr>
      <w:rFonts w:ascii="Times New Roman" w:hAnsi="Times New Roman" w:eastAsia="方正仿宋_GBK" w:cs="Times New Roman"/>
      <w:color w:val="000000"/>
      <w:kern w:val="0"/>
      <w:sz w:val="28"/>
      <w:szCs w:val="24"/>
      <w:lang w:eastAsia="uk-UA"/>
    </w:rPr>
  </w:style>
  <w:style w:type="paragraph" w:styleId="6">
    <w:name w:val="toc 4"/>
    <w:basedOn w:val="1"/>
    <w:next w:val="1"/>
    <w:qFormat/>
    <w:uiPriority w:val="0"/>
    <w:pPr>
      <w:widowControl/>
      <w:ind w:left="720"/>
      <w:jc w:val="left"/>
    </w:pPr>
    <w:rPr>
      <w:rFonts w:ascii="Times New Roman" w:hAnsi="Times New Roman" w:eastAsia="Times New Roman" w:cs="Times New Roman"/>
      <w:kern w:val="0"/>
      <w:sz w:val="24"/>
      <w:szCs w:val="24"/>
      <w:lang w:eastAsia="uk-UA"/>
    </w:rPr>
  </w:style>
  <w:style w:type="paragraph" w:styleId="7">
    <w:name w:val="toc 2"/>
    <w:basedOn w:val="1"/>
    <w:next w:val="1"/>
    <w:qFormat/>
    <w:uiPriority w:val="0"/>
    <w:pPr>
      <w:widowControl/>
      <w:ind w:left="240"/>
      <w:jc w:val="left"/>
    </w:pPr>
    <w:rPr>
      <w:rFonts w:ascii="Times New Roman" w:hAnsi="Times New Roman" w:eastAsia="Times New Roman" w:cs="Times New Roman"/>
      <w:kern w:val="0"/>
      <w:sz w:val="24"/>
      <w:szCs w:val="24"/>
      <w:lang w:eastAsia="uk-UA"/>
    </w:rPr>
  </w:style>
  <w:style w:type="table" w:styleId="9">
    <w:name w:val="Table Grid"/>
    <w:basedOn w:val="8"/>
    <w:uiPriority w:val="0"/>
    <w:rPr>
      <w:rFonts w:ascii="Times New Roman" w:hAnsi="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11">
    <w:name w:val="页眉 Char"/>
    <w:basedOn w:val="10"/>
    <w:link w:val="4"/>
    <w:qFormat/>
    <w:uiPriority w:val="99"/>
    <w:rPr>
      <w:sz w:val="18"/>
      <w:szCs w:val="18"/>
    </w:rPr>
  </w:style>
  <w:style w:type="character" w:customStyle="1" w:styleId="12">
    <w:name w:val="页脚 Char"/>
    <w:basedOn w:val="10"/>
    <w:link w:val="3"/>
    <w:qFormat/>
    <w:uiPriority w:val="99"/>
    <w:rPr>
      <w:sz w:val="18"/>
      <w:szCs w:val="18"/>
    </w:rPr>
  </w:style>
  <w:style w:type="character" w:customStyle="1" w:styleId="13">
    <w:name w:val="批注框文本 Char"/>
    <w:basedOn w:val="10"/>
    <w:link w:val="2"/>
    <w:semiHidden/>
    <w:qFormat/>
    <w:uiPriority w:val="99"/>
    <w:rPr>
      <w:sz w:val="18"/>
      <w:szCs w:val="18"/>
    </w:rPr>
  </w:style>
  <w:style w:type="paragraph" w:customStyle="1" w:styleId="14">
    <w:name w:val="插入文本样式-插入部门职责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5">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16">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17">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8">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19">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20">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21">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22">
    <w:name w:val="单元格样式7"/>
    <w:basedOn w:val="1"/>
    <w:qFormat/>
    <w:uiPriority w:val="0"/>
    <w:pPr>
      <w:widowControl/>
      <w:jc w:val="right"/>
    </w:pPr>
    <w:rPr>
      <w:rFonts w:ascii="方正书宋_GBK" w:hAnsi="方正书宋_GBK" w:eastAsia="方正书宋_GBK" w:cs="方正书宋_GBK"/>
      <w:b/>
      <w:kern w:val="0"/>
      <w:szCs w:val="24"/>
      <w:lang w:eastAsia="uk-UA"/>
    </w:rPr>
  </w:style>
  <w:style w:type="paragraph" w:customStyle="1" w:styleId="23">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24">
    <w:name w:val="插入文本样式-插入总体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25">
    <w:name w:val="插入文本样式-插入职责分类绩效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26">
    <w:name w:val="插入文本样式-插入实现年度发展规划目标的保障措施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A7BAA7-F87C-47F3-A269-801DD4902D5F}">
  <ds:schemaRefs/>
</ds:datastoreItem>
</file>

<file path=docProps/app.xml><?xml version="1.0" encoding="utf-8"?>
<Properties xmlns="http://schemas.openxmlformats.org/officeDocument/2006/extended-properties" xmlns:vt="http://schemas.openxmlformats.org/officeDocument/2006/docPropsVTypes">
  <Template>Normal</Template>
  <Pages>22</Pages>
  <Words>1773</Words>
  <Characters>10111</Characters>
  <Lines>84</Lines>
  <Paragraphs>23</Paragraphs>
  <TotalTime>862</TotalTime>
  <ScaleCrop>false</ScaleCrop>
  <LinksUpToDate>false</LinksUpToDate>
  <CharactersWithSpaces>11861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lenovo</cp:lastModifiedBy>
  <cp:lastPrinted>2021-04-14T02:06:00Z</cp:lastPrinted>
  <dcterms:modified xsi:type="dcterms:W3CDTF">2023-11-16T02:34:35Z</dcterms:modified>
  <cp:revision>336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76EAFEA3433E47EF9BBEB116C4FC5C2C</vt:lpwstr>
  </property>
</Properties>
</file>