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widowControl/>
        <w:spacing w:line="578" w:lineRule="exact"/>
        <w:jc w:val="center"/>
        <w:rPr>
          <w:rFonts w:ascii="宋体" w:hAnsi="宋体" w:eastAsia="宋体"/>
          <w:b/>
          <w:sz w:val="36"/>
          <w:szCs w:val="36"/>
        </w:rPr>
      </w:pPr>
      <w:r>
        <w:rPr>
          <w:rFonts w:hint="eastAsia" w:ascii="宋体" w:hAnsi="宋体" w:eastAsia="宋体"/>
          <w:b/>
          <w:sz w:val="36"/>
          <w:szCs w:val="36"/>
        </w:rPr>
        <w:t>保定市徐水区正村中学</w:t>
      </w:r>
      <w:r>
        <w:rPr>
          <w:rFonts w:ascii="宋体" w:hAnsi="宋体" w:eastAsia="宋体"/>
          <w:b/>
          <w:sz w:val="36"/>
          <w:szCs w:val="36"/>
        </w:rPr>
        <w:t>2021年</w:t>
      </w:r>
      <w:r>
        <w:rPr>
          <w:rFonts w:hint="eastAsia" w:ascii="宋体" w:hAnsi="宋体" w:eastAsia="宋体"/>
          <w:b/>
          <w:sz w:val="36"/>
          <w:szCs w:val="36"/>
        </w:rPr>
        <w:t>单位</w:t>
      </w:r>
      <w:r>
        <w:rPr>
          <w:rFonts w:ascii="宋体" w:hAnsi="宋体" w:eastAsia="宋体"/>
          <w:b/>
          <w:sz w:val="36"/>
          <w:szCs w:val="36"/>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numPr>
          <w:ilvl w:val="0"/>
          <w:numId w:val="1"/>
        </w:numPr>
        <w:spacing w:line="360" w:lineRule="auto"/>
        <w:ind w:firstLine="643" w:firstLineChars="200"/>
        <w:rPr>
          <w:rFonts w:ascii="仿宋" w:hAnsi="仿宋" w:eastAsia="仿宋"/>
          <w:b/>
          <w:sz w:val="32"/>
          <w:szCs w:val="32"/>
        </w:rPr>
      </w:pPr>
      <w:r>
        <w:rPr>
          <w:rFonts w:hint="eastAsia" w:ascii="仿宋" w:hAnsi="仿宋" w:eastAsia="仿宋"/>
          <w:b/>
          <w:sz w:val="32"/>
          <w:szCs w:val="32"/>
        </w:rPr>
        <w:t>单位职责</w:t>
      </w:r>
    </w:p>
    <w:p>
      <w:pPr>
        <w:spacing w:line="360" w:lineRule="auto"/>
        <w:ind w:firstLine="640" w:firstLineChars="200"/>
        <w:rPr>
          <w:rFonts w:ascii="仿宋" w:hAnsi="仿宋" w:eastAsia="仿宋"/>
          <w:sz w:val="32"/>
          <w:szCs w:val="32"/>
        </w:rPr>
      </w:pPr>
      <w:r>
        <w:rPr>
          <w:rFonts w:ascii="仿宋" w:hAnsi="仿宋" w:eastAsia="仿宋"/>
          <w:sz w:val="32"/>
          <w:szCs w:val="32"/>
        </w:rPr>
        <w:t>1、办好教育教学工作，为国家的义务教育培养人才打好基础。</w:t>
      </w:r>
    </w:p>
    <w:p>
      <w:pPr>
        <w:spacing w:line="360" w:lineRule="auto"/>
        <w:ind w:firstLine="640" w:firstLineChars="200"/>
        <w:rPr>
          <w:rFonts w:ascii="仿宋" w:hAnsi="仿宋" w:eastAsia="仿宋"/>
          <w:sz w:val="32"/>
          <w:szCs w:val="32"/>
        </w:rPr>
      </w:pPr>
      <w:r>
        <w:rPr>
          <w:rFonts w:ascii="仿宋" w:hAnsi="仿宋" w:eastAsia="仿宋"/>
          <w:sz w:val="32"/>
          <w:szCs w:val="32"/>
        </w:rPr>
        <w:t>2、提高义务教育公用经费保障水平，改善办学条件，</w:t>
      </w:r>
      <w:r>
        <w:rPr>
          <w:rFonts w:hint="eastAsia" w:ascii="仿宋" w:hAnsi="仿宋" w:eastAsia="仿宋"/>
          <w:sz w:val="32"/>
          <w:szCs w:val="32"/>
        </w:rPr>
        <w:t>努力提升</w:t>
      </w:r>
      <w:r>
        <w:rPr>
          <w:rFonts w:ascii="仿宋" w:hAnsi="仿宋" w:eastAsia="仿宋"/>
          <w:sz w:val="32"/>
          <w:szCs w:val="32"/>
        </w:rPr>
        <w:t>基础教育</w:t>
      </w:r>
      <w:r>
        <w:rPr>
          <w:rFonts w:hint="eastAsia" w:ascii="仿宋" w:hAnsi="仿宋" w:eastAsia="仿宋"/>
          <w:sz w:val="32"/>
          <w:szCs w:val="32"/>
        </w:rPr>
        <w:t>装备及资源</w:t>
      </w:r>
      <w:r>
        <w:rPr>
          <w:rFonts w:ascii="仿宋" w:hAnsi="仿宋" w:eastAsia="仿宋"/>
          <w:sz w:val="32"/>
          <w:szCs w:val="32"/>
        </w:rPr>
        <w:t>，缩小城乡、区域、校际之间办学差距</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3、提高农村中学公用经费</w:t>
      </w:r>
      <w:r>
        <w:rPr>
          <w:rFonts w:hint="eastAsia" w:ascii="仿宋" w:hAnsi="仿宋" w:eastAsia="仿宋"/>
          <w:sz w:val="32"/>
          <w:szCs w:val="32"/>
        </w:rPr>
        <w:t>的使用</w:t>
      </w:r>
      <w:r>
        <w:rPr>
          <w:rFonts w:ascii="仿宋" w:hAnsi="仿宋" w:eastAsia="仿宋"/>
          <w:sz w:val="32"/>
          <w:szCs w:val="32"/>
        </w:rPr>
        <w:t>水平，落实</w:t>
      </w:r>
      <w:r>
        <w:rPr>
          <w:rFonts w:hint="eastAsia" w:ascii="仿宋" w:hAnsi="仿宋" w:eastAsia="仿宋"/>
          <w:sz w:val="32"/>
          <w:szCs w:val="32"/>
        </w:rPr>
        <w:t>贫困</w:t>
      </w:r>
      <w:r>
        <w:rPr>
          <w:rFonts w:ascii="仿宋" w:hAnsi="仿宋" w:eastAsia="仿宋"/>
          <w:sz w:val="32"/>
          <w:szCs w:val="32"/>
        </w:rPr>
        <w:t>学生资助政策</w:t>
      </w:r>
      <w:r>
        <w:rPr>
          <w:rFonts w:hint="eastAsia" w:ascii="仿宋" w:hAnsi="仿宋" w:eastAsia="仿宋"/>
          <w:sz w:val="32"/>
          <w:szCs w:val="32"/>
        </w:rPr>
        <w:t>，</w:t>
      </w:r>
      <w:r>
        <w:rPr>
          <w:rFonts w:ascii="仿宋" w:hAnsi="仿宋" w:eastAsia="仿宋"/>
          <w:sz w:val="32"/>
          <w:szCs w:val="32"/>
        </w:rPr>
        <w:t>为农村学生免费提供教</w:t>
      </w:r>
      <w:bookmarkStart w:id="6" w:name="_GoBack"/>
      <w:bookmarkEnd w:id="6"/>
      <w:r>
        <w:rPr>
          <w:rFonts w:ascii="仿宋" w:hAnsi="仿宋" w:eastAsia="仿宋"/>
          <w:sz w:val="32"/>
          <w:szCs w:val="32"/>
        </w:rPr>
        <w:t>科书</w:t>
      </w:r>
      <w:r>
        <w:rPr>
          <w:rFonts w:hint="eastAsia" w:ascii="仿宋" w:hAnsi="仿宋" w:eastAsia="仿宋"/>
          <w:sz w:val="32"/>
          <w:szCs w:val="32"/>
        </w:rPr>
        <w:t>，普及九年义务教育</w:t>
      </w:r>
      <w:r>
        <w:rPr>
          <w:rFonts w:ascii="仿宋" w:hAnsi="仿宋" w:eastAsia="仿宋"/>
          <w:sz w:val="32"/>
          <w:szCs w:val="32"/>
        </w:rPr>
        <w:t>。</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415"/>
        <w:gridCol w:w="1704"/>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415"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70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default" w:ascii="仿宋_GB2312" w:hAnsi="仿宋" w:eastAsia="仿宋_GB2312"/>
                <w:bCs/>
                <w:sz w:val="24"/>
                <w:szCs w:val="24"/>
                <w:lang w:val="en-US"/>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保定市徐水区正村中学</w:t>
            </w:r>
          </w:p>
        </w:tc>
        <w:tc>
          <w:tcPr>
            <w:tcW w:w="1415"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704"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741.91</w:t>
      </w:r>
      <w:r>
        <w:rPr>
          <w:rFonts w:ascii="仿宋" w:hAnsi="仿宋" w:eastAsia="仿宋"/>
          <w:sz w:val="32"/>
          <w:szCs w:val="32"/>
        </w:rPr>
        <w:t>万元,其中：一般公共预算收入</w:t>
      </w:r>
      <w:r>
        <w:rPr>
          <w:rFonts w:hint="eastAsia" w:ascii="仿宋" w:hAnsi="仿宋" w:eastAsia="仿宋"/>
          <w:sz w:val="32"/>
          <w:szCs w:val="32"/>
        </w:rPr>
        <w:t>741.91</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741.91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基本支出519.01万元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507.92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11.09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项目支出222.9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4.56</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本年度预算收支安排741.91万元，较上年增加135.31</w:t>
      </w:r>
      <w:r>
        <w:rPr>
          <w:rFonts w:ascii="仿宋" w:hAnsi="仿宋" w:eastAsia="仿宋"/>
          <w:sz w:val="32"/>
          <w:szCs w:val="32"/>
        </w:rPr>
        <w:t>万元。其中:基本支出减少</w:t>
      </w:r>
      <w:r>
        <w:rPr>
          <w:rFonts w:hint="eastAsia" w:ascii="仿宋" w:hAnsi="仿宋" w:eastAsia="仿宋"/>
          <w:sz w:val="32"/>
          <w:szCs w:val="32"/>
        </w:rPr>
        <w:t>39.1</w:t>
      </w:r>
      <w:r>
        <w:rPr>
          <w:rFonts w:ascii="仿宋" w:hAnsi="仿宋" w:eastAsia="仿宋"/>
          <w:sz w:val="32"/>
          <w:szCs w:val="32"/>
        </w:rPr>
        <w:t>万元，主要原因是</w:t>
      </w:r>
      <w:r>
        <w:rPr>
          <w:rFonts w:hint="eastAsia" w:ascii="仿宋" w:hAnsi="仿宋" w:eastAsia="仿宋"/>
          <w:sz w:val="32"/>
          <w:szCs w:val="32"/>
        </w:rPr>
        <w:t>人员经费增加了年初结转</w:t>
      </w:r>
      <w:r>
        <w:rPr>
          <w:rFonts w:ascii="仿宋" w:hAnsi="仿宋" w:eastAsia="仿宋"/>
          <w:sz w:val="32"/>
          <w:szCs w:val="32"/>
        </w:rPr>
        <w:t>；项目支出增加</w:t>
      </w:r>
      <w:r>
        <w:rPr>
          <w:rFonts w:hint="eastAsia" w:ascii="仿宋" w:hAnsi="仿宋" w:eastAsia="仿宋"/>
          <w:sz w:val="32"/>
          <w:szCs w:val="32"/>
        </w:rPr>
        <w:t>174.41</w:t>
      </w:r>
      <w:r>
        <w:rPr>
          <w:rFonts w:ascii="仿宋" w:hAnsi="仿宋" w:eastAsia="仿宋"/>
          <w:sz w:val="32"/>
          <w:szCs w:val="32"/>
        </w:rPr>
        <w:t>万元，主要原因是</w:t>
      </w:r>
      <w:r>
        <w:rPr>
          <w:rFonts w:hint="eastAsia" w:ascii="仿宋" w:hAnsi="仿宋" w:eastAsia="仿宋"/>
          <w:sz w:val="32"/>
          <w:szCs w:val="32"/>
        </w:rPr>
        <w:t>学校操场改造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7.62</w:t>
      </w:r>
      <w:r>
        <w:rPr>
          <w:rFonts w:ascii="仿宋" w:hAnsi="仿宋" w:eastAsia="仿宋"/>
          <w:sz w:val="32"/>
          <w:szCs w:val="32"/>
        </w:rPr>
        <w:t>万元，其中</w:t>
      </w:r>
      <w:r>
        <w:rPr>
          <w:rFonts w:hint="eastAsia" w:ascii="仿宋" w:hAnsi="仿宋" w:eastAsia="仿宋"/>
          <w:sz w:val="32"/>
          <w:szCs w:val="32"/>
        </w:rPr>
        <w:t>离退休干部经费2.7</w:t>
      </w:r>
      <w:r>
        <w:rPr>
          <w:rFonts w:ascii="仿宋" w:hAnsi="仿宋" w:eastAsia="仿宋"/>
          <w:sz w:val="32"/>
          <w:szCs w:val="32"/>
        </w:rPr>
        <w:t>万元，工会经费</w:t>
      </w:r>
      <w:r>
        <w:rPr>
          <w:rFonts w:hint="eastAsia" w:ascii="仿宋" w:hAnsi="仿宋" w:eastAsia="仿宋"/>
          <w:sz w:val="32"/>
          <w:szCs w:val="32"/>
        </w:rPr>
        <w:t>4.92万元，</w:t>
      </w:r>
      <w:r>
        <w:rPr>
          <w:rFonts w:ascii="仿宋" w:hAnsi="仿宋" w:eastAsia="仿宋"/>
          <w:sz w:val="32"/>
          <w:szCs w:val="32"/>
        </w:rPr>
        <w:t>福利费</w:t>
      </w:r>
      <w:r>
        <w:rPr>
          <w:rFonts w:hint="eastAsia" w:ascii="仿宋" w:hAnsi="仿宋" w:eastAsia="仿宋"/>
          <w:sz w:val="32"/>
          <w:szCs w:val="32"/>
        </w:rPr>
        <w:t>3.47</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ascii="黑体" w:hAnsi="黑体" w:eastAsia="黑体" w:cs="宋体"/>
                      <w:kern w:val="0"/>
                      <w:sz w:val="32"/>
                      <w:szCs w:val="32"/>
                    </w:rPr>
                    <w:t>202</w:t>
                  </w:r>
                  <w:r>
                    <w:rPr>
                      <w:rFonts w:hint="eastAsia" w:ascii="黑体" w:hAnsi="黑体" w:eastAsia="黑体" w:cs="宋体"/>
                      <w:kern w:val="0"/>
                      <w:sz w:val="32"/>
                      <w:szCs w:val="32"/>
                    </w:rPr>
                    <w:t>1年</w:t>
                  </w:r>
                  <w:r>
                    <w:rPr>
                      <w:rFonts w:ascii="黑体" w:hAnsi="黑体" w:eastAsia="黑体" w:cs="宋体"/>
                      <w:kern w:val="0"/>
                      <w:sz w:val="32"/>
                      <w:szCs w:val="32"/>
                    </w:rPr>
                    <w:t>我单位无三公经费</w:t>
                  </w:r>
                  <w:r>
                    <w:rPr>
                      <w:rFonts w:hint="eastAsia" w:ascii="黑体" w:hAnsi="黑体" w:eastAsia="黑体" w:cs="宋体"/>
                      <w:kern w:val="0"/>
                      <w:sz w:val="32"/>
                      <w:szCs w:val="32"/>
                    </w:rPr>
                    <w:t>，</w:t>
                  </w:r>
                  <w:r>
                    <w:rPr>
                      <w:rFonts w:ascii="黑体" w:hAnsi="黑体" w:eastAsia="黑体" w:cs="宋体"/>
                      <w:kern w:val="0"/>
                      <w:sz w:val="32"/>
                      <w:szCs w:val="32"/>
                    </w:rPr>
                    <w:t>空表列示</w:t>
                  </w:r>
                  <w:r>
                    <w:rPr>
                      <w:rFonts w:hint="eastAsia" w:ascii="黑体" w:hAnsi="黑体" w:eastAsia="黑体" w:cs="宋体"/>
                      <w:kern w:val="0"/>
                      <w:sz w:val="32"/>
                      <w:szCs w:val="32"/>
                    </w:rPr>
                    <w:t>。</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一、</w:t>
      </w:r>
      <w:r>
        <w:rPr>
          <w:rFonts w:ascii="仿宋" w:hAnsi="仿宋" w:eastAsia="仿宋"/>
          <w:sz w:val="30"/>
          <w:szCs w:val="30"/>
        </w:rPr>
        <w:t>2021年</w:t>
      </w:r>
      <w:r>
        <w:rPr>
          <w:rFonts w:hint="eastAsia" w:ascii="仿宋" w:hAnsi="仿宋" w:eastAsia="仿宋"/>
          <w:sz w:val="30"/>
          <w:szCs w:val="30"/>
        </w:rPr>
        <w:t>正村中学整体</w:t>
      </w:r>
      <w:r>
        <w:rPr>
          <w:rFonts w:ascii="仿宋" w:hAnsi="仿宋" w:eastAsia="仿宋"/>
          <w:sz w:val="30"/>
          <w:szCs w:val="30"/>
        </w:rPr>
        <w:t>目标是：</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提高义务教育公用经费保障水平，改善学校办学条件，美化校园环境，增加基础设施的投资，缩小城乡、校际之间办学差距，落实学生资助政策，强化校园安全，努力提高本校教师的职业幸福感，促进学校教育教学进一步发展。</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二、分项绩效目标</w:t>
      </w:r>
    </w:p>
    <w:p>
      <w:pPr>
        <w:spacing w:line="360" w:lineRule="auto"/>
        <w:ind w:firstLine="600" w:firstLineChars="200"/>
        <w:rPr>
          <w:rFonts w:ascii="仿宋" w:hAnsi="仿宋" w:eastAsia="仿宋"/>
          <w:sz w:val="30"/>
          <w:szCs w:val="30"/>
        </w:rPr>
      </w:pPr>
      <w:r>
        <w:rPr>
          <w:rFonts w:ascii="仿宋" w:hAnsi="仿宋" w:eastAsia="仿宋"/>
          <w:sz w:val="30"/>
          <w:szCs w:val="30"/>
        </w:rPr>
        <w:t>(一）全面加强思想政治建设。</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绩效目标：把学习宣传贯彻习近平新时代中国特色社会主义思想作为首要政治任务，深入学习贯彻习近平总书记关于教育的重要论述。</w:t>
      </w:r>
      <w:r>
        <w:rPr>
          <w:rFonts w:ascii="仿宋" w:hAnsi="仿宋" w:eastAsia="仿宋"/>
          <w:sz w:val="30"/>
          <w:szCs w:val="30"/>
        </w:rPr>
        <w:t>开展师生迎接、学习、宣传党的二十大专项行动，抓实抓紧教职工政治</w:t>
      </w:r>
      <w:r>
        <w:rPr>
          <w:rFonts w:hint="eastAsia" w:ascii="仿宋" w:hAnsi="仿宋" w:eastAsia="仿宋"/>
          <w:sz w:val="30"/>
          <w:szCs w:val="30"/>
        </w:rPr>
        <w:t>理论学习，用党的创新理论武装头脑、指导实践、推动工作。加强思想政治工作，推动思想政治理论课改革创新，实现全员育人、全程育人、全方位育人，不断提高工作能力和思想政治工作水平。</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（二）落实贫困学生生活补助</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绩效目标：对我校贫困学生全部统计，并纳入补助范围，做到应补尽补。</w:t>
      </w:r>
    </w:p>
    <w:p>
      <w:pPr>
        <w:spacing w:line="360" w:lineRule="auto"/>
        <w:ind w:firstLine="600" w:firstLineChars="200"/>
        <w:rPr>
          <w:rFonts w:ascii="仿宋" w:hAnsi="仿宋" w:eastAsia="仿宋"/>
          <w:sz w:val="30"/>
          <w:szCs w:val="30"/>
        </w:rPr>
      </w:pPr>
      <w:r>
        <w:rPr>
          <w:rFonts w:hint="eastAsia" w:ascii="仿宋" w:hAnsi="仿宋" w:eastAsia="仿宋"/>
          <w:sz w:val="30"/>
          <w:szCs w:val="30"/>
        </w:rPr>
        <w:t>绩效指标：落实每名贫困学生每学年6</w:t>
      </w:r>
      <w:r>
        <w:rPr>
          <w:rFonts w:ascii="仿宋" w:hAnsi="仿宋" w:eastAsia="仿宋"/>
          <w:sz w:val="30"/>
          <w:szCs w:val="30"/>
        </w:rPr>
        <w:t>25</w:t>
      </w:r>
      <w:r>
        <w:rPr>
          <w:rFonts w:hint="eastAsia" w:ascii="仿宋" w:hAnsi="仿宋" w:eastAsia="仿宋"/>
          <w:sz w:val="30"/>
          <w:szCs w:val="30"/>
        </w:rPr>
        <w:t>元的补助标准，保障学生正常在校学习。</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三、工作保障措施</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（一）加强组织领导。建立健全教育领域预算绩效管理制度体系。围绕年度总体绩效目标和分项绩效目标，明确责任主体，细化落实措施，确保绩效目标年内全部完成。</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（二）加强支出管理。按年初预算加快项目执行进度，加快资金支出，按时保质完成上级资金支出任务。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（四）规范财务资产管理。进一步完善财务管理制度，严格资产采购审批手续，加强固定资产登记、使用及报废处置管理，做到支出合理，物尽其用。</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（五）加强内部自查。加强内部自查制度建设，对绩效运行情况、重大支出决策、资产处置及其他重要经济业务的决策和执行进行内部自查，确保财政资金安全有效。</w:t>
      </w:r>
    </w:p>
    <w:p>
      <w:pPr>
        <w:jc w:val="center"/>
        <w:outlineLvl w:val="0"/>
        <w:rPr>
          <w:rFonts w:ascii="方正小标宋_GBK" w:eastAsia="方正小标宋_GBK"/>
          <w:sz w:val="44"/>
        </w:rPr>
      </w:pPr>
      <w:r>
        <w:rPr>
          <w:rFonts w:hint="eastAsia" w:ascii="方正小标宋_GBK" w:eastAsia="方正小标宋_GBK"/>
          <w:sz w:val="44"/>
        </w:rPr>
        <w:t>预算项目绩效目标</w:t>
      </w:r>
    </w:p>
    <w:p>
      <w:pPr>
        <w:ind w:firstLine="562" w:firstLineChars="200"/>
        <w:jc w:val="left"/>
        <w:outlineLvl w:val="3"/>
        <w:rPr>
          <w:rFonts w:ascii="Times New Roman" w:hAnsi="宋体" w:eastAsia="宋体"/>
          <w:b/>
          <w:sz w:val="28"/>
        </w:rPr>
      </w:pPr>
      <w:bookmarkStart w:id="0" w:name="_Toc71388623"/>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0"/>
      <w:r>
        <w:fldChar w:fldCharType="begin"/>
      </w:r>
      <w:r>
        <w:rPr>
          <w:rFonts w:ascii="方正仿宋_GBK" w:eastAsia="方正仿宋_GBK"/>
          <w:b/>
          <w:sz w:val="28"/>
        </w:rPr>
        <w:instrText xml:space="preserve"> TC 320、关于提前下达2021年城乡义务教育中央补助经费预算（直达资金）-公用经费绩效目标表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218790.00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218790.00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624"/>
      <w:r>
        <w:rPr>
          <w:rFonts w:hint="eastAsia" w:ascii="方正仿宋_GBK" w:eastAsia="方正仿宋_GBK"/>
          <w:b/>
          <w:sz w:val="28"/>
        </w:rPr>
        <w:t>2</w:t>
      </w:r>
      <w:r>
        <w:rPr>
          <w:rFonts w:ascii="方正仿宋_GBK" w:eastAsia="方正仿宋_GBK"/>
          <w:b/>
          <w:sz w:val="28"/>
        </w:rPr>
        <w:t>.提前下达2021年城乡义务教育保障机制改革市级资金-公用经费绩效目标表</w:t>
      </w:r>
      <w:bookmarkEnd w:id="1"/>
      <w:r>
        <w:fldChar w:fldCharType="begin"/>
      </w:r>
      <w:r>
        <w:rPr>
          <w:rFonts w:ascii="方正仿宋_GBK" w:eastAsia="方正仿宋_GBK"/>
          <w:b/>
          <w:sz w:val="28"/>
        </w:rPr>
        <w:instrText xml:space="preserve"> TC 321、提前下达2021年城乡义务教育保障机制改革市级资金-公用经费绩效目标表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145860.00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145860.00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625"/>
      <w:r>
        <w:rPr>
          <w:rFonts w:hint="eastAsia" w:ascii="方正仿宋_GBK" w:eastAsia="方正仿宋_GBK"/>
          <w:b/>
          <w:sz w:val="28"/>
        </w:rPr>
        <w:t>3</w:t>
      </w:r>
      <w:r>
        <w:rPr>
          <w:rFonts w:ascii="方正仿宋_GBK" w:eastAsia="方正仿宋_GBK"/>
          <w:b/>
          <w:sz w:val="28"/>
        </w:rPr>
        <w:t>.提前下达2021年城乡义务教育省级补助资金-困难学生生活补助绩效目标表</w:t>
      </w:r>
      <w:bookmarkEnd w:id="2"/>
      <w:r>
        <w:fldChar w:fldCharType="begin"/>
      </w:r>
      <w:r>
        <w:rPr>
          <w:rFonts w:ascii="方正仿宋_GBK" w:eastAsia="方正仿宋_GBK"/>
          <w:b/>
          <w:sz w:val="28"/>
        </w:rPr>
        <w:instrText xml:space="preserve"> TC 322、提前下达2021年城乡义务教育省级补助资金-困难学生生活补助绩效目标表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10625.00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10625.00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3.确保学生能按时完成学业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626"/>
      <w:r>
        <w:rPr>
          <w:rFonts w:hint="eastAsia" w:ascii="方正仿宋_GBK" w:eastAsia="方正仿宋_GBK"/>
          <w:b/>
          <w:sz w:val="28"/>
        </w:rPr>
        <w:t>4</w:t>
      </w:r>
      <w:r>
        <w:rPr>
          <w:rFonts w:ascii="方正仿宋_GBK" w:eastAsia="方正仿宋_GBK"/>
          <w:b/>
          <w:sz w:val="28"/>
        </w:rPr>
        <w:t>.校园安保经费绩效目标表</w:t>
      </w:r>
      <w:bookmarkEnd w:id="3"/>
      <w:r>
        <w:fldChar w:fldCharType="begin"/>
      </w:r>
      <w:r>
        <w:rPr>
          <w:rFonts w:ascii="方正仿宋_GBK" w:eastAsia="方正仿宋_GBK"/>
          <w:b/>
          <w:sz w:val="28"/>
        </w:rPr>
        <w:instrText xml:space="preserve"> TC 323、校园安保经费绩效目标表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为加强中小学（幼儿园）安全保卫工作，维持正常教育教学秩序，自2014年经县政府批示将中小学(幼儿园)安保经费单独列入预算，切实保障了师生生命、财产安全，有效的缓解了学校经济压力。</w:t>
            </w:r>
          </w:p>
          <w:p>
            <w:pPr>
              <w:spacing w:line="300" w:lineRule="exact"/>
              <w:jc w:val="left"/>
              <w:rPr>
                <w:rFonts w:ascii="方正书宋_GBK" w:eastAsia="方正书宋_GBK"/>
              </w:rPr>
            </w:pPr>
            <w:r>
              <w:rPr>
                <w:rFonts w:ascii="方正书宋_GBK" w:eastAsia="方正书宋_GBK"/>
              </w:rPr>
              <w:t>用于学校的校园安保人员经费45600元。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1.维持正常教育教学秩序</w:t>
            </w:r>
          </w:p>
          <w:p>
            <w:pPr>
              <w:spacing w:line="300" w:lineRule="exact"/>
              <w:jc w:val="left"/>
              <w:rPr>
                <w:rFonts w:ascii="方正书宋_GBK" w:eastAsia="方正书宋_GBK"/>
              </w:rPr>
            </w:pPr>
            <w:r>
              <w:rPr>
                <w:rFonts w:ascii="方正书宋_GBK" w:eastAsia="方正书宋_GBK"/>
              </w:rPr>
              <w:t>2.切实保障了师生生命、财产安全</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627"/>
      <w:r>
        <w:rPr>
          <w:rFonts w:hint="eastAsia" w:ascii="方正仿宋_GBK" w:eastAsia="方正仿宋_GBK"/>
          <w:b/>
          <w:sz w:val="28"/>
        </w:rPr>
        <w:t>5</w:t>
      </w:r>
      <w:r>
        <w:rPr>
          <w:rFonts w:ascii="方正仿宋_GBK" w:eastAsia="方正仿宋_GBK"/>
          <w:b/>
          <w:sz w:val="28"/>
        </w:rPr>
        <w:t>.关于提前下达2021年城乡义务教育中央补助经费预算（直达资金)校舍安全保障-徐水区正村中学操场改造绩效目标表</w:t>
      </w:r>
      <w:bookmarkEnd w:id="4"/>
      <w:r>
        <w:fldChar w:fldCharType="begin"/>
      </w:r>
      <w:r>
        <w:rPr>
          <w:rFonts w:ascii="方正仿宋_GBK" w:eastAsia="方正仿宋_GBK"/>
          <w:b/>
          <w:sz w:val="28"/>
        </w:rPr>
        <w:instrText xml:space="preserve"> TC 324、关于提前下达2021年城乡义务教育中央补助经费预算（直达资金)校舍安全保障-徐水区正村中学操场改造绩效目标表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13062521LC3G2VKGDQCIW</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关于提前下达2021年城乡义务教育中央补助经费预算（直达资金)校舍安全保障-徐水区正村中学操场改造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该资金180万元，用于学校操场改造项目。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1.改善学校办学条件</w:t>
            </w:r>
          </w:p>
          <w:p>
            <w:pPr>
              <w:spacing w:line="300" w:lineRule="exact"/>
              <w:jc w:val="left"/>
              <w:rPr>
                <w:rFonts w:ascii="方正书宋_GBK" w:eastAsia="方正书宋_GBK"/>
              </w:rPr>
            </w:pPr>
            <w:r>
              <w:rPr>
                <w:rFonts w:ascii="方正书宋_GBK" w:eastAsia="方正书宋_GBK"/>
              </w:rPr>
              <w:t>2.美化校园环境</w:t>
            </w:r>
          </w:p>
          <w:p>
            <w:pPr>
              <w:spacing w:line="300" w:lineRule="exact"/>
              <w:jc w:val="left"/>
              <w:rPr>
                <w:rFonts w:ascii="方正书宋_GBK" w:eastAsia="方正书宋_GBK"/>
              </w:rPr>
            </w:pPr>
            <w:r>
              <w:rPr>
                <w:rFonts w:ascii="方正书宋_GBK" w:eastAsia="方正书宋_GBK"/>
              </w:rPr>
              <w:t>3.提高师生对学校的满意度。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保证义务教育学校全部享受公用经费保障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义务教育阶段学校能够正常运转，校园环境美化。</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改善办学条件</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有效地改善办学条件，美化校园环境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628"/>
      <w:r>
        <w:rPr>
          <w:rFonts w:hint="eastAsia" w:ascii="方正仿宋_GBK" w:eastAsia="方正仿宋_GBK"/>
          <w:b/>
          <w:sz w:val="28"/>
        </w:rPr>
        <w:t>6</w:t>
      </w:r>
      <w:r>
        <w:rPr>
          <w:rFonts w:ascii="方正仿宋_GBK" w:eastAsia="方正仿宋_GBK"/>
          <w:b/>
          <w:sz w:val="28"/>
        </w:rPr>
        <w:t>.关于提前下达2021年城乡义务教育中央补助经费预算（直达资金）-困难学生生活补助绩效目标表</w:t>
      </w:r>
      <w:bookmarkEnd w:id="5"/>
      <w:r>
        <w:fldChar w:fldCharType="begin"/>
      </w:r>
      <w:r>
        <w:rPr>
          <w:rFonts w:ascii="方正仿宋_GBK" w:eastAsia="方正仿宋_GBK"/>
          <w:b/>
          <w:sz w:val="28"/>
        </w:rPr>
        <w:instrText xml:space="preserve"> TC 325、关于提前下达2021年城乡义务教育中央补助经费预算（直达资金）-困难学生生活补助绩效目标表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360052正村中学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8125.00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8125.00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切实解决家庭经济困难学生就学，确保国家资助政策到位，计划支出资金8125元。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60" w:lineRule="auto"/>
        <w:rPr>
          <w:rFonts w:ascii="仿宋" w:hAnsi="仿宋" w:eastAsia="仿宋"/>
          <w:sz w:val="32"/>
          <w:szCs w:val="32"/>
        </w:rPr>
        <w:sectPr>
          <w:pgSz w:w="11907" w:h="16839"/>
          <w:pgMar w:top="1984" w:right="1304" w:bottom="1134" w:left="1304" w:header="851" w:footer="992" w:gutter="0"/>
          <w:cols w:space="425" w:num="1"/>
          <w:docGrid w:type="lines" w:linePitch="312" w:charSpace="0"/>
        </w:sectPr>
      </w:pPr>
      <w:r>
        <w:rPr>
          <w:rFonts w:hint="eastAsia" w:ascii="仿宋" w:hAnsi="仿宋" w:eastAsia="仿宋"/>
          <w:sz w:val="32"/>
          <w:szCs w:val="32"/>
        </w:rPr>
        <w:t xml:space="preserve"> </w:t>
      </w:r>
    </w:p>
    <w:p>
      <w:pPr>
        <w:ind w:firstLine="880" w:firstLineChars="200"/>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我单位无政府采购预算，空表列示。</w:t>
      </w:r>
    </w:p>
    <w:tbl>
      <w:tblPr>
        <w:tblStyle w:val="5"/>
        <w:tblW w:w="1402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1"/>
        <w:gridCol w:w="709"/>
        <w:gridCol w:w="992"/>
        <w:gridCol w:w="1136"/>
        <w:gridCol w:w="709"/>
        <w:gridCol w:w="565"/>
        <w:gridCol w:w="709"/>
        <w:gridCol w:w="708"/>
        <w:gridCol w:w="1134"/>
        <w:gridCol w:w="993"/>
        <w:gridCol w:w="1417"/>
        <w:gridCol w:w="851"/>
        <w:gridCol w:w="708"/>
        <w:gridCol w:w="851"/>
        <w:gridCol w:w="1134"/>
        <w:gridCol w:w="7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5521" w:type="dxa"/>
            <w:gridSpan w:val="7"/>
            <w:tcBorders>
              <w:top w:val="single" w:color="FFFFFF" w:sz="6" w:space="0"/>
              <w:left w:val="single" w:color="FFFFFF" w:sz="6" w:space="0"/>
              <w:right w:val="single" w:color="FFFFFF" w:sz="6" w:space="0"/>
            </w:tcBorders>
            <w:vAlign w:val="center"/>
          </w:tcPr>
          <w:p>
            <w:pPr>
              <w:pStyle w:val="10"/>
            </w:pPr>
            <w:r>
              <w:t>3600</w:t>
            </w:r>
            <w:r>
              <w:rPr>
                <w:rFonts w:hint="eastAsia"/>
                <w:lang w:eastAsia="zh-CN"/>
              </w:rPr>
              <w:t>52</w:t>
            </w:r>
            <w:r>
              <w:t>保定市徐水区</w:t>
            </w:r>
            <w:r>
              <w:rPr>
                <w:rFonts w:hint="eastAsia"/>
                <w:lang w:eastAsia="zh-CN"/>
              </w:rPr>
              <w:t>正村中学</w:t>
            </w:r>
          </w:p>
        </w:tc>
        <w:tc>
          <w:tcPr>
            <w:tcW w:w="8505" w:type="dxa"/>
            <w:gridSpan w:val="9"/>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53" w:hRule="atLeast"/>
          <w:tblHeader/>
          <w:jc w:val="center"/>
        </w:trPr>
        <w:tc>
          <w:tcPr>
            <w:tcW w:w="1410" w:type="dxa"/>
            <w:gridSpan w:val="2"/>
            <w:vAlign w:val="center"/>
          </w:tcPr>
          <w:p>
            <w:pPr>
              <w:pStyle w:val="12"/>
            </w:pPr>
            <w:r>
              <w:t>政府采购项目来源</w:t>
            </w:r>
          </w:p>
        </w:tc>
        <w:tc>
          <w:tcPr>
            <w:tcW w:w="992" w:type="dxa"/>
            <w:vMerge w:val="restart"/>
            <w:vAlign w:val="center"/>
          </w:tcPr>
          <w:p>
            <w:pPr>
              <w:pStyle w:val="12"/>
            </w:pPr>
            <w:r>
              <w:t>采购物品名称</w:t>
            </w:r>
          </w:p>
        </w:tc>
        <w:tc>
          <w:tcPr>
            <w:tcW w:w="1136" w:type="dxa"/>
            <w:vMerge w:val="restart"/>
            <w:vAlign w:val="center"/>
          </w:tcPr>
          <w:p>
            <w:pPr>
              <w:pStyle w:val="12"/>
            </w:pPr>
            <w:r>
              <w:t>政府采购目录序号</w:t>
            </w:r>
          </w:p>
        </w:tc>
        <w:tc>
          <w:tcPr>
            <w:tcW w:w="709" w:type="dxa"/>
            <w:vMerge w:val="restart"/>
            <w:vAlign w:val="center"/>
          </w:tcPr>
          <w:p>
            <w:pPr>
              <w:pStyle w:val="12"/>
            </w:pPr>
            <w:r>
              <w:t>计量  单位</w:t>
            </w:r>
          </w:p>
        </w:tc>
        <w:tc>
          <w:tcPr>
            <w:tcW w:w="565" w:type="dxa"/>
            <w:vMerge w:val="restart"/>
            <w:vAlign w:val="center"/>
          </w:tcPr>
          <w:p>
            <w:pPr>
              <w:pStyle w:val="12"/>
            </w:pPr>
            <w:r>
              <w:t>数量</w:t>
            </w:r>
          </w:p>
        </w:tc>
        <w:tc>
          <w:tcPr>
            <w:tcW w:w="709" w:type="dxa"/>
            <w:vMerge w:val="restart"/>
            <w:vAlign w:val="center"/>
          </w:tcPr>
          <w:p>
            <w:pPr>
              <w:pStyle w:val="12"/>
            </w:pPr>
            <w:r>
              <w:t>单价</w:t>
            </w:r>
          </w:p>
        </w:tc>
        <w:tc>
          <w:tcPr>
            <w:tcW w:w="7796" w:type="dxa"/>
            <w:gridSpan w:val="8"/>
            <w:vAlign w:val="center"/>
          </w:tcPr>
          <w:p>
            <w:pPr>
              <w:pStyle w:val="12"/>
            </w:pPr>
            <w:r>
              <w:t>政府采购金额（当年部门预算安排资金）</w:t>
            </w:r>
          </w:p>
        </w:tc>
        <w:tc>
          <w:tcPr>
            <w:tcW w:w="709" w:type="dxa"/>
            <w:vMerge w:val="restart"/>
            <w:vAlign w:val="center"/>
          </w:tcPr>
          <w:p>
            <w:pPr>
              <w:pStyle w:val="1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75" w:hRule="atLeast"/>
          <w:tblHeader/>
          <w:jc w:val="center"/>
        </w:trPr>
        <w:tc>
          <w:tcPr>
            <w:tcW w:w="701" w:type="dxa"/>
            <w:vAlign w:val="center"/>
          </w:tcPr>
          <w:p>
            <w:pPr>
              <w:pStyle w:val="12"/>
            </w:pPr>
            <w:r>
              <w:t>项目名称</w:t>
            </w:r>
          </w:p>
        </w:tc>
        <w:tc>
          <w:tcPr>
            <w:tcW w:w="709" w:type="dxa"/>
            <w:vAlign w:val="center"/>
          </w:tcPr>
          <w:p>
            <w:pPr>
              <w:pStyle w:val="12"/>
            </w:pPr>
            <w:r>
              <w:t>预算    资金</w:t>
            </w:r>
          </w:p>
        </w:tc>
        <w:tc>
          <w:tcPr>
            <w:tcW w:w="992" w:type="dxa"/>
            <w:vMerge w:val="continue"/>
          </w:tcPr>
          <w:p/>
        </w:tc>
        <w:tc>
          <w:tcPr>
            <w:tcW w:w="1136" w:type="dxa"/>
            <w:vMerge w:val="continue"/>
          </w:tcPr>
          <w:p/>
        </w:tc>
        <w:tc>
          <w:tcPr>
            <w:tcW w:w="709" w:type="dxa"/>
            <w:vMerge w:val="continue"/>
          </w:tcPr>
          <w:p/>
        </w:tc>
        <w:tc>
          <w:tcPr>
            <w:tcW w:w="565" w:type="dxa"/>
            <w:vMerge w:val="continue"/>
          </w:tcPr>
          <w:p/>
        </w:tc>
        <w:tc>
          <w:tcPr>
            <w:tcW w:w="709" w:type="dxa"/>
            <w:vMerge w:val="continue"/>
          </w:tcPr>
          <w:p/>
        </w:tc>
        <w:tc>
          <w:tcPr>
            <w:tcW w:w="708" w:type="dxa"/>
            <w:vAlign w:val="center"/>
          </w:tcPr>
          <w:p>
            <w:pPr>
              <w:pStyle w:val="12"/>
            </w:pPr>
            <w:r>
              <w:t>合计</w:t>
            </w:r>
          </w:p>
        </w:tc>
        <w:tc>
          <w:tcPr>
            <w:tcW w:w="1134" w:type="dxa"/>
            <w:vAlign w:val="center"/>
          </w:tcPr>
          <w:p>
            <w:pPr>
              <w:pStyle w:val="12"/>
            </w:pPr>
            <w:r>
              <w:t>一般公共预算拨款</w:t>
            </w:r>
          </w:p>
        </w:tc>
        <w:tc>
          <w:tcPr>
            <w:tcW w:w="993" w:type="dxa"/>
            <w:vAlign w:val="center"/>
          </w:tcPr>
          <w:p>
            <w:pPr>
              <w:pStyle w:val="12"/>
            </w:pPr>
            <w:r>
              <w:t>基金预算拨款</w:t>
            </w:r>
          </w:p>
        </w:tc>
        <w:tc>
          <w:tcPr>
            <w:tcW w:w="1417" w:type="dxa"/>
            <w:vAlign w:val="center"/>
          </w:tcPr>
          <w:p>
            <w:pPr>
              <w:pStyle w:val="12"/>
            </w:pPr>
            <w:r>
              <w:t>国有资本经营预算拨款</w:t>
            </w:r>
          </w:p>
        </w:tc>
        <w:tc>
          <w:tcPr>
            <w:tcW w:w="851" w:type="dxa"/>
            <w:vAlign w:val="center"/>
          </w:tcPr>
          <w:p>
            <w:pPr>
              <w:pStyle w:val="12"/>
            </w:pPr>
            <w:r>
              <w:t>财政专户核拨</w:t>
            </w:r>
          </w:p>
        </w:tc>
        <w:tc>
          <w:tcPr>
            <w:tcW w:w="708" w:type="dxa"/>
            <w:vAlign w:val="center"/>
          </w:tcPr>
          <w:p>
            <w:pPr>
              <w:pStyle w:val="12"/>
            </w:pPr>
            <w:r>
              <w:t>单位    资金</w:t>
            </w:r>
          </w:p>
        </w:tc>
        <w:tc>
          <w:tcPr>
            <w:tcW w:w="851" w:type="dxa"/>
            <w:vAlign w:val="center"/>
          </w:tcPr>
          <w:p>
            <w:pPr>
              <w:pStyle w:val="12"/>
            </w:pPr>
            <w:r>
              <w:t>财政拨    款结转</w:t>
            </w:r>
          </w:p>
        </w:tc>
        <w:tc>
          <w:tcPr>
            <w:tcW w:w="1134" w:type="dxa"/>
            <w:vAlign w:val="center"/>
          </w:tcPr>
          <w:p>
            <w:pPr>
              <w:pStyle w:val="12"/>
            </w:pPr>
            <w:r>
              <w:t>非财政    拨款结    转结余</w:t>
            </w:r>
          </w:p>
        </w:tc>
        <w:tc>
          <w:tcPr>
            <w:tcW w:w="709"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77" w:hRule="atLeast"/>
          <w:jc w:val="center"/>
        </w:trPr>
        <w:tc>
          <w:tcPr>
            <w:tcW w:w="701" w:type="dxa"/>
            <w:vAlign w:val="center"/>
          </w:tcPr>
          <w:p>
            <w:pPr>
              <w:pStyle w:val="13"/>
            </w:pPr>
            <w:r>
              <w:t>合 计</w:t>
            </w:r>
          </w:p>
        </w:tc>
        <w:tc>
          <w:tcPr>
            <w:tcW w:w="709" w:type="dxa"/>
            <w:vAlign w:val="center"/>
          </w:tcPr>
          <w:p>
            <w:pPr>
              <w:pStyle w:val="14"/>
              <w:rPr>
                <w:lang w:eastAsia="zh-CN"/>
              </w:rPr>
            </w:pPr>
          </w:p>
        </w:tc>
        <w:tc>
          <w:tcPr>
            <w:tcW w:w="992" w:type="dxa"/>
            <w:vAlign w:val="center"/>
          </w:tcPr>
          <w:p>
            <w:pPr>
              <w:pStyle w:val="15"/>
            </w:pPr>
          </w:p>
        </w:tc>
        <w:tc>
          <w:tcPr>
            <w:tcW w:w="1136" w:type="dxa"/>
            <w:vAlign w:val="center"/>
          </w:tcPr>
          <w:p>
            <w:pPr>
              <w:pStyle w:val="15"/>
            </w:pPr>
          </w:p>
        </w:tc>
        <w:tc>
          <w:tcPr>
            <w:tcW w:w="709" w:type="dxa"/>
            <w:vAlign w:val="center"/>
          </w:tcPr>
          <w:p>
            <w:pPr>
              <w:pStyle w:val="13"/>
            </w:pPr>
          </w:p>
        </w:tc>
        <w:tc>
          <w:tcPr>
            <w:tcW w:w="565" w:type="dxa"/>
            <w:vAlign w:val="center"/>
          </w:tcPr>
          <w:p>
            <w:pPr>
              <w:pStyle w:val="14"/>
            </w:pPr>
          </w:p>
        </w:tc>
        <w:tc>
          <w:tcPr>
            <w:tcW w:w="709" w:type="dxa"/>
            <w:vAlign w:val="center"/>
          </w:tcPr>
          <w:p>
            <w:pPr>
              <w:pStyle w:val="14"/>
            </w:pPr>
          </w:p>
        </w:tc>
        <w:tc>
          <w:tcPr>
            <w:tcW w:w="708" w:type="dxa"/>
            <w:vAlign w:val="center"/>
          </w:tcPr>
          <w:p>
            <w:pPr>
              <w:pStyle w:val="14"/>
            </w:pPr>
          </w:p>
        </w:tc>
        <w:tc>
          <w:tcPr>
            <w:tcW w:w="1134" w:type="dxa"/>
            <w:vAlign w:val="center"/>
          </w:tcPr>
          <w:p>
            <w:pPr>
              <w:pStyle w:val="14"/>
            </w:pPr>
          </w:p>
        </w:tc>
        <w:tc>
          <w:tcPr>
            <w:tcW w:w="993" w:type="dxa"/>
            <w:vAlign w:val="center"/>
          </w:tcPr>
          <w:p>
            <w:pPr>
              <w:pStyle w:val="14"/>
            </w:pPr>
          </w:p>
        </w:tc>
        <w:tc>
          <w:tcPr>
            <w:tcW w:w="1417" w:type="dxa"/>
            <w:vAlign w:val="center"/>
          </w:tcPr>
          <w:p>
            <w:pPr>
              <w:pStyle w:val="14"/>
            </w:pPr>
          </w:p>
        </w:tc>
        <w:tc>
          <w:tcPr>
            <w:tcW w:w="851" w:type="dxa"/>
            <w:vAlign w:val="center"/>
          </w:tcPr>
          <w:p>
            <w:pPr>
              <w:pStyle w:val="14"/>
            </w:pPr>
          </w:p>
        </w:tc>
        <w:tc>
          <w:tcPr>
            <w:tcW w:w="708" w:type="dxa"/>
            <w:vAlign w:val="center"/>
          </w:tcPr>
          <w:p>
            <w:pPr>
              <w:pStyle w:val="14"/>
            </w:pPr>
          </w:p>
        </w:tc>
        <w:tc>
          <w:tcPr>
            <w:tcW w:w="851" w:type="dxa"/>
            <w:vAlign w:val="center"/>
          </w:tcPr>
          <w:p>
            <w:pPr>
              <w:pStyle w:val="14"/>
            </w:pPr>
          </w:p>
        </w:tc>
        <w:tc>
          <w:tcPr>
            <w:tcW w:w="1134" w:type="dxa"/>
            <w:vAlign w:val="center"/>
          </w:tcPr>
          <w:p>
            <w:pPr>
              <w:pStyle w:val="14"/>
            </w:pPr>
          </w:p>
        </w:tc>
        <w:tc>
          <w:tcPr>
            <w:tcW w:w="709" w:type="dxa"/>
            <w:vAlign w:val="center"/>
          </w:tcPr>
          <w:p>
            <w:pPr>
              <w:pStyle w:val="14"/>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01" w:type="dxa"/>
            <w:vAlign w:val="center"/>
          </w:tcPr>
          <w:p>
            <w:pPr>
              <w:pStyle w:val="13"/>
            </w:pPr>
          </w:p>
        </w:tc>
        <w:tc>
          <w:tcPr>
            <w:tcW w:w="709" w:type="dxa"/>
            <w:vAlign w:val="center"/>
          </w:tcPr>
          <w:p>
            <w:pPr>
              <w:pStyle w:val="14"/>
            </w:pPr>
          </w:p>
        </w:tc>
        <w:tc>
          <w:tcPr>
            <w:tcW w:w="992" w:type="dxa"/>
            <w:vAlign w:val="center"/>
          </w:tcPr>
          <w:p>
            <w:pPr>
              <w:pStyle w:val="15"/>
            </w:pPr>
          </w:p>
        </w:tc>
        <w:tc>
          <w:tcPr>
            <w:tcW w:w="1136" w:type="dxa"/>
            <w:vAlign w:val="center"/>
          </w:tcPr>
          <w:p>
            <w:pPr>
              <w:pStyle w:val="15"/>
            </w:pPr>
          </w:p>
        </w:tc>
        <w:tc>
          <w:tcPr>
            <w:tcW w:w="709" w:type="dxa"/>
            <w:vAlign w:val="center"/>
          </w:tcPr>
          <w:p>
            <w:pPr>
              <w:pStyle w:val="13"/>
            </w:pPr>
          </w:p>
        </w:tc>
        <w:tc>
          <w:tcPr>
            <w:tcW w:w="565" w:type="dxa"/>
            <w:vAlign w:val="center"/>
          </w:tcPr>
          <w:p>
            <w:pPr>
              <w:pStyle w:val="14"/>
            </w:pPr>
          </w:p>
        </w:tc>
        <w:tc>
          <w:tcPr>
            <w:tcW w:w="709" w:type="dxa"/>
            <w:vAlign w:val="center"/>
          </w:tcPr>
          <w:p>
            <w:pPr>
              <w:pStyle w:val="14"/>
            </w:pPr>
          </w:p>
        </w:tc>
        <w:tc>
          <w:tcPr>
            <w:tcW w:w="708" w:type="dxa"/>
            <w:vAlign w:val="center"/>
          </w:tcPr>
          <w:p>
            <w:pPr>
              <w:pStyle w:val="14"/>
            </w:pPr>
          </w:p>
        </w:tc>
        <w:tc>
          <w:tcPr>
            <w:tcW w:w="1134" w:type="dxa"/>
            <w:vAlign w:val="center"/>
          </w:tcPr>
          <w:p>
            <w:pPr>
              <w:pStyle w:val="14"/>
            </w:pPr>
          </w:p>
        </w:tc>
        <w:tc>
          <w:tcPr>
            <w:tcW w:w="993" w:type="dxa"/>
            <w:vAlign w:val="center"/>
          </w:tcPr>
          <w:p>
            <w:pPr>
              <w:pStyle w:val="14"/>
            </w:pPr>
          </w:p>
        </w:tc>
        <w:tc>
          <w:tcPr>
            <w:tcW w:w="1417" w:type="dxa"/>
            <w:vAlign w:val="center"/>
          </w:tcPr>
          <w:p>
            <w:pPr>
              <w:pStyle w:val="14"/>
            </w:pPr>
          </w:p>
        </w:tc>
        <w:tc>
          <w:tcPr>
            <w:tcW w:w="851" w:type="dxa"/>
            <w:vAlign w:val="center"/>
          </w:tcPr>
          <w:p>
            <w:pPr>
              <w:pStyle w:val="14"/>
            </w:pPr>
          </w:p>
        </w:tc>
        <w:tc>
          <w:tcPr>
            <w:tcW w:w="708" w:type="dxa"/>
            <w:vAlign w:val="center"/>
          </w:tcPr>
          <w:p>
            <w:pPr>
              <w:pStyle w:val="14"/>
            </w:pPr>
          </w:p>
        </w:tc>
        <w:tc>
          <w:tcPr>
            <w:tcW w:w="851" w:type="dxa"/>
            <w:vAlign w:val="center"/>
          </w:tcPr>
          <w:p>
            <w:pPr>
              <w:pStyle w:val="14"/>
            </w:pPr>
          </w:p>
        </w:tc>
        <w:tc>
          <w:tcPr>
            <w:tcW w:w="1134" w:type="dxa"/>
            <w:vAlign w:val="center"/>
          </w:tcPr>
          <w:p>
            <w:pPr>
              <w:pStyle w:val="14"/>
            </w:pPr>
          </w:p>
        </w:tc>
        <w:tc>
          <w:tcPr>
            <w:tcW w:w="709" w:type="dxa"/>
            <w:vAlign w:val="center"/>
          </w:tcPr>
          <w:p>
            <w:pPr>
              <w:pStyle w:val="14"/>
            </w:pPr>
          </w:p>
        </w:tc>
      </w:tr>
    </w:tbl>
    <w:p>
      <w:pPr>
        <w:spacing w:line="360" w:lineRule="auto"/>
        <w:ind w:firstLine="640" w:firstLineChars="200"/>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上年末我单位固定资产总金额为827.8万元（详见下表）。</w:t>
      </w:r>
      <w:r>
        <w:rPr>
          <w:rFonts w:ascii="仿宋" w:hAnsi="仿宋" w:eastAsia="仿宋"/>
          <w:sz w:val="32"/>
          <w:szCs w:val="32"/>
        </w:rPr>
        <w:t xml:space="preserve"> 本年度拟购置固定资产总额为</w:t>
      </w:r>
      <w:r>
        <w:rPr>
          <w:rFonts w:hint="eastAsia" w:ascii="仿宋" w:hAnsi="仿宋" w:eastAsia="仿宋"/>
          <w:sz w:val="32"/>
          <w:szCs w:val="32"/>
        </w:rPr>
        <w:t>16.63</w:t>
      </w:r>
      <w:r>
        <w:rPr>
          <w:rFonts w:ascii="仿宋" w:hAnsi="仿宋" w:eastAsia="仿宋"/>
          <w:sz w:val="32"/>
          <w:szCs w:val="32"/>
        </w:rPr>
        <w:t>万元。</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827.8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5566</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433.8</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568</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44.27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394</w:t>
            </w:r>
          </w:p>
        </w:tc>
      </w:tr>
    </w:tbl>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3177873"/>
    </w:sdtPr>
    <w:sdtContent>
      <w:p>
        <w:pPr>
          <w:pStyle w:val="3"/>
          <w:jc w:val="center"/>
        </w:pPr>
        <w:r>
          <w:fldChar w:fldCharType="begin"/>
        </w:r>
        <w:r>
          <w:instrText xml:space="preserve">PAGE   \* MERGEFORMAT</w:instrText>
        </w:r>
        <w:r>
          <w:fldChar w:fldCharType="separate"/>
        </w:r>
        <w:r>
          <w:rPr>
            <w:lang w:val="zh-CN"/>
          </w:rPr>
          <w:t>13</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2328B1"/>
    <w:multiLevelType w:val="singleLevel"/>
    <w:tmpl w:val="702328B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ZiY2M5NjM3Y2YwMmU1YjUzN2U2YzlhNGYyNDgxOTMifQ=="/>
  </w:docVars>
  <w:rsids>
    <w:rsidRoot w:val="00055F1F"/>
    <w:rsid w:val="00013B8A"/>
    <w:rsid w:val="00044FBC"/>
    <w:rsid w:val="00055F1F"/>
    <w:rsid w:val="000577EF"/>
    <w:rsid w:val="00057F18"/>
    <w:rsid w:val="000A445D"/>
    <w:rsid w:val="000C178B"/>
    <w:rsid w:val="001054C1"/>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D6039"/>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19D8"/>
    <w:rsid w:val="00833132"/>
    <w:rsid w:val="008343DE"/>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72E2F"/>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617C0"/>
    <w:rsid w:val="00E71A04"/>
    <w:rsid w:val="00E7364C"/>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8606EE9"/>
    <w:rsid w:val="16D33B7E"/>
    <w:rsid w:val="196327C9"/>
    <w:rsid w:val="202854EF"/>
    <w:rsid w:val="21B038B6"/>
    <w:rsid w:val="23E53B31"/>
    <w:rsid w:val="31691B0E"/>
    <w:rsid w:val="3C882763"/>
    <w:rsid w:val="3DD26209"/>
    <w:rsid w:val="42C143CD"/>
    <w:rsid w:val="452E333E"/>
    <w:rsid w:val="4C8615E2"/>
    <w:rsid w:val="647C3D75"/>
    <w:rsid w:val="74656D65"/>
    <w:rsid w:val="7A186171"/>
    <w:rsid w:val="7A513882"/>
    <w:rsid w:val="7D782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5">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85A966-07A2-4556-802A-798F82E87D0E}">
  <ds:schemaRefs/>
</ds:datastoreItem>
</file>

<file path=docProps/app.xml><?xml version="1.0" encoding="utf-8"?>
<Properties xmlns="http://schemas.openxmlformats.org/officeDocument/2006/extended-properties" xmlns:vt="http://schemas.openxmlformats.org/officeDocument/2006/docPropsVTypes">
  <Template>Normal</Template>
  <Pages>15</Pages>
  <Words>1058</Words>
  <Characters>6034</Characters>
  <Lines>50</Lines>
  <Paragraphs>14</Paragraphs>
  <TotalTime>30</TotalTime>
  <ScaleCrop>false</ScaleCrop>
  <LinksUpToDate>false</LinksUpToDate>
  <CharactersWithSpaces>7078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2023-11-16T02:37:27Z</dcterms:modified>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CAD15377C36E4A57BB49293CCE0DA44B</vt:lpwstr>
  </property>
</Properties>
</file>