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sz w:val="44"/>
          <w:szCs w:val="44"/>
        </w:rPr>
      </w:pPr>
      <w:r>
        <w:rPr>
          <w:rFonts w:hint="eastAsia" w:ascii="宋体" w:hAnsi="宋体" w:eastAsia="宋体"/>
          <w:sz w:val="44"/>
          <w:szCs w:val="44"/>
        </w:rPr>
        <w:t>保定市徐水区大王店镇中心学校</w:t>
      </w:r>
    </w:p>
    <w:p>
      <w:pPr>
        <w:spacing w:line="360" w:lineRule="auto"/>
        <w:jc w:val="center"/>
        <w:rPr>
          <w:rFonts w:ascii="宋体" w:hAnsi="宋体" w:eastAsia="宋体"/>
          <w:sz w:val="44"/>
          <w:szCs w:val="44"/>
        </w:rPr>
      </w:pPr>
      <w:r>
        <w:rPr>
          <w:rFonts w:ascii="宋体" w:hAnsi="宋体" w:eastAsia="宋体"/>
          <w:sz w:val="44"/>
          <w:szCs w:val="44"/>
        </w:rPr>
        <w:t>2021年部门预算公开说明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仿宋" w:hAnsi="仿宋" w:eastAsia="仿宋"/>
          <w:sz w:val="24"/>
          <w:szCs w:val="24"/>
        </w:rPr>
      </w:pPr>
      <w:r>
        <w:rPr>
          <w:rFonts w:hint="eastAsia" w:ascii="方正小标宋_GBK" w:eastAsia="方正小标宋_GBK"/>
          <w:sz w:val="36"/>
          <w:szCs w:val="20"/>
        </w:rPr>
        <w:t>第一部分</w:t>
      </w:r>
      <w:r>
        <w:rPr>
          <w:rFonts w:ascii="方正小标宋_GBK" w:eastAsia="方正小标宋_GBK"/>
          <w:sz w:val="36"/>
          <w:szCs w:val="20"/>
        </w:rPr>
        <w:t>:部门职责及机构设置情况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大王店镇中心学校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w:t>
      </w:r>
      <w:bookmarkStart w:id="16" w:name="_GoBack"/>
      <w:bookmarkEnd w:id="16"/>
      <w:r>
        <w:rPr>
          <w:rFonts w:ascii="仿宋" w:hAnsi="仿宋" w:eastAsia="仿宋"/>
          <w:sz w:val="32"/>
          <w:szCs w:val="32"/>
        </w:rPr>
        <w:t>贯彻落实教育和体育工作方针、政策、法律、法规，落实教育优先发展的战略地位，推动全</w:t>
      </w:r>
      <w:r>
        <w:rPr>
          <w:rFonts w:hint="eastAsia" w:ascii="仿宋" w:hAnsi="仿宋" w:eastAsia="仿宋"/>
          <w:sz w:val="32"/>
          <w:szCs w:val="32"/>
        </w:rPr>
        <w:t>镇</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（二）全面实施素质教育，指导推动教育教学和教育科研工作；负责全</w:t>
      </w:r>
      <w:r>
        <w:rPr>
          <w:rFonts w:hint="eastAsia" w:ascii="仿宋" w:hAnsi="仿宋" w:eastAsia="仿宋"/>
          <w:sz w:val="32"/>
          <w:szCs w:val="32"/>
        </w:rPr>
        <w:t>镇</w:t>
      </w:r>
      <w:r>
        <w:rPr>
          <w:rFonts w:ascii="仿宋" w:hAnsi="仿宋" w:eastAsia="仿宋"/>
          <w:sz w:val="32"/>
          <w:szCs w:val="32"/>
        </w:rPr>
        <w:t>义务教育、学前教育的宏观指导、综合管理与服务，对全</w:t>
      </w:r>
      <w:r>
        <w:rPr>
          <w:rFonts w:hint="eastAsia" w:ascii="仿宋" w:hAnsi="仿宋" w:eastAsia="仿宋"/>
          <w:sz w:val="32"/>
          <w:szCs w:val="32"/>
        </w:rPr>
        <w:t>镇</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）负责全</w:t>
      </w:r>
      <w:r>
        <w:rPr>
          <w:rFonts w:hint="eastAsia" w:ascii="仿宋" w:hAnsi="仿宋" w:eastAsia="仿宋"/>
          <w:sz w:val="32"/>
          <w:szCs w:val="32"/>
        </w:rPr>
        <w:t>镇</w:t>
      </w:r>
      <w:r>
        <w:rPr>
          <w:rFonts w:ascii="仿宋" w:hAnsi="仿宋" w:eastAsia="仿宋"/>
          <w:sz w:val="32"/>
          <w:szCs w:val="32"/>
        </w:rPr>
        <w:t>教育和体育系统队伍建设工作，负责人员招聘录用、工作调配、教育培训、职称评聘、评优评模、考核奖惩等工作；负责实施教师资格制度工作。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）负责教育经费统筹管理；</w:t>
      </w:r>
      <w:r>
        <w:rPr>
          <w:rFonts w:hint="eastAsia" w:ascii="仿宋" w:hAnsi="仿宋" w:eastAsia="仿宋"/>
          <w:sz w:val="32"/>
          <w:szCs w:val="32"/>
        </w:rPr>
        <w:t>负责</w:t>
      </w:r>
      <w:r>
        <w:rPr>
          <w:rFonts w:ascii="仿宋" w:hAnsi="仿宋" w:eastAsia="仿宋"/>
          <w:sz w:val="32"/>
          <w:szCs w:val="32"/>
        </w:rPr>
        <w:t>全</w:t>
      </w:r>
      <w:r>
        <w:rPr>
          <w:rFonts w:hint="eastAsia" w:ascii="仿宋" w:hAnsi="仿宋" w:eastAsia="仿宋"/>
          <w:sz w:val="32"/>
          <w:szCs w:val="32"/>
        </w:rPr>
        <w:t>镇</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）指导全</w:t>
      </w:r>
      <w:r>
        <w:rPr>
          <w:rFonts w:hint="eastAsia" w:ascii="仿宋" w:hAnsi="仿宋" w:eastAsia="仿宋"/>
          <w:sz w:val="32"/>
          <w:szCs w:val="32"/>
        </w:rPr>
        <w:t>镇</w:t>
      </w:r>
      <w:r>
        <w:rPr>
          <w:rFonts w:ascii="仿宋" w:hAnsi="仿宋" w:eastAsia="仿宋"/>
          <w:sz w:val="32"/>
          <w:szCs w:val="32"/>
        </w:rPr>
        <w:t>学校的德育、智育、体育、美育、劳动、国防和安全教育工作；负责教育和体育系统党的建设工作，指导工会、妇女工作；负责</w:t>
      </w:r>
      <w:r>
        <w:rPr>
          <w:rFonts w:hint="eastAsia" w:ascii="仿宋" w:hAnsi="仿宋" w:eastAsia="仿宋"/>
          <w:sz w:val="32"/>
          <w:szCs w:val="32"/>
        </w:rPr>
        <w:t>全镇</w:t>
      </w:r>
      <w:r>
        <w:rPr>
          <w:rFonts w:ascii="仿宋" w:hAnsi="仿宋" w:eastAsia="仿宋"/>
          <w:sz w:val="32"/>
          <w:szCs w:val="32"/>
        </w:rPr>
        <w:t>教育系统的安全稳定及综合治理工作。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）负责全</w:t>
      </w:r>
      <w:r>
        <w:rPr>
          <w:rFonts w:hint="eastAsia" w:ascii="仿宋" w:hAnsi="仿宋" w:eastAsia="仿宋"/>
          <w:sz w:val="32"/>
          <w:szCs w:val="32"/>
        </w:rPr>
        <w:t>镇</w:t>
      </w:r>
      <w:r>
        <w:rPr>
          <w:rFonts w:ascii="仿宋" w:hAnsi="仿宋" w:eastAsia="仿宋"/>
          <w:sz w:val="32"/>
          <w:szCs w:val="32"/>
        </w:rPr>
        <w:t>体育竞赛、竞技运动项目的设置和布局；统筹规划全</w:t>
      </w:r>
      <w:r>
        <w:rPr>
          <w:rFonts w:hint="eastAsia" w:ascii="仿宋" w:hAnsi="仿宋" w:eastAsia="仿宋"/>
          <w:sz w:val="32"/>
          <w:szCs w:val="32"/>
        </w:rPr>
        <w:t>镇</w:t>
      </w:r>
      <w:r>
        <w:rPr>
          <w:rFonts w:ascii="仿宋" w:hAnsi="仿宋" w:eastAsia="仿宋"/>
          <w:sz w:val="32"/>
          <w:szCs w:val="32"/>
        </w:rPr>
        <w:t>青少年体育发展，指导和推进青少年体育工作；指导体育管理人员、教练员、运动员队伍建设</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七</w:t>
      </w:r>
      <w:r>
        <w:rPr>
          <w:rFonts w:ascii="仿宋" w:hAnsi="仿宋" w:eastAsia="仿宋"/>
          <w:sz w:val="32"/>
          <w:szCs w:val="32"/>
        </w:rPr>
        <w:t>）负责全</w:t>
      </w:r>
      <w:r>
        <w:rPr>
          <w:rFonts w:hint="eastAsia" w:ascii="仿宋" w:hAnsi="仿宋" w:eastAsia="仿宋"/>
          <w:sz w:val="32"/>
          <w:szCs w:val="32"/>
        </w:rPr>
        <w:t>镇</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八</w:t>
      </w:r>
      <w:r>
        <w:rPr>
          <w:rFonts w:ascii="仿宋" w:hAnsi="仿宋" w:eastAsia="仿宋"/>
          <w:sz w:val="32"/>
          <w:szCs w:val="32"/>
        </w:rPr>
        <w:t>）承办</w:t>
      </w:r>
      <w:r>
        <w:rPr>
          <w:rFonts w:hint="eastAsia" w:ascii="仿宋" w:hAnsi="仿宋" w:eastAsia="仿宋"/>
          <w:sz w:val="32"/>
          <w:szCs w:val="32"/>
        </w:rPr>
        <w:t>镇</w:t>
      </w:r>
      <w:r>
        <w:rPr>
          <w:rFonts w:ascii="仿宋" w:hAnsi="仿宋" w:eastAsia="仿宋"/>
          <w:sz w:val="32"/>
          <w:szCs w:val="32"/>
        </w:rPr>
        <w:t>委、</w:t>
      </w:r>
      <w:r>
        <w:rPr>
          <w:rFonts w:hint="eastAsia" w:ascii="仿宋" w:hAnsi="仿宋" w:eastAsia="仿宋"/>
          <w:sz w:val="32"/>
          <w:szCs w:val="32"/>
        </w:rPr>
        <w:t>镇</w:t>
      </w:r>
      <w:r>
        <w:rPr>
          <w:rFonts w:ascii="仿宋" w:hAnsi="仿宋" w:eastAsia="仿宋"/>
          <w:sz w:val="32"/>
          <w:szCs w:val="32"/>
        </w:rPr>
        <w:t>政府和上级教育行政单位交办的其他事</w:t>
      </w:r>
      <w:r>
        <w:rPr>
          <w:rFonts w:hint="eastAsia" w:ascii="仿宋" w:hAnsi="仿宋" w:eastAsia="仿宋"/>
          <w:sz w:val="32"/>
          <w:szCs w:val="32"/>
        </w:rPr>
        <w:t>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二、机构设置</w:t>
      </w:r>
    </w:p>
    <w:tbl>
      <w:tblPr>
        <w:tblStyle w:val="5"/>
        <w:tblW w:w="9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6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66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sz w:val="24"/>
                <w:szCs w:val="24"/>
              </w:rPr>
            </w:pPr>
            <w:r>
              <w:rPr>
                <w:rFonts w:hint="eastAsia" w:ascii="仿宋_GB2312" w:hAnsi="仿宋" w:eastAsia="仿宋_GB2312"/>
                <w:sz w:val="24"/>
                <w:szCs w:val="24"/>
              </w:rPr>
              <w:t>1</w:t>
            </w:r>
          </w:p>
        </w:tc>
        <w:tc>
          <w:tcPr>
            <w:tcW w:w="3402" w:type="dxa"/>
            <w:tcBorders>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大王店镇中心学</w:t>
            </w:r>
            <w:r>
              <w:rPr>
                <w:rFonts w:hint="eastAsia" w:ascii="宋体" w:hAnsi="宋体" w:eastAsia="宋体" w:cs="宋体"/>
                <w:sz w:val="24"/>
                <w:szCs w:val="24"/>
              </w:rPr>
              <w:t>校</w:t>
            </w:r>
          </w:p>
        </w:tc>
        <w:tc>
          <w:tcPr>
            <w:tcW w:w="1279" w:type="dxa"/>
            <w:vAlign w:val="center"/>
          </w:tcPr>
          <w:p>
            <w:pPr>
              <w:jc w:val="center"/>
              <w:rPr>
                <w:rFonts w:ascii="仿宋_GB2312" w:hAnsi="仿宋" w:eastAsia="仿宋_GB2312"/>
                <w:sz w:val="24"/>
                <w:szCs w:val="24"/>
              </w:rPr>
            </w:pPr>
            <w:r>
              <w:rPr>
                <w:rFonts w:hint="eastAsia" w:ascii="仿宋_GB2312" w:hAnsi="仿宋" w:eastAsia="仿宋_GB2312"/>
                <w:sz w:val="24"/>
                <w:szCs w:val="24"/>
              </w:rPr>
              <w:t>全</w:t>
            </w:r>
            <w:r>
              <w:rPr>
                <w:rFonts w:ascii="仿宋_GB2312" w:hAnsi="仿宋" w:eastAsia="仿宋_GB2312"/>
                <w:sz w:val="24"/>
                <w:szCs w:val="24"/>
              </w:rPr>
              <w:t>额</w:t>
            </w:r>
            <w:r>
              <w:rPr>
                <w:rFonts w:hint="eastAsia" w:ascii="仿宋_GB2312" w:hAnsi="仿宋" w:eastAsia="仿宋_GB2312"/>
                <w:sz w:val="24"/>
                <w:szCs w:val="24"/>
              </w:rPr>
              <w:t>事业</w:t>
            </w:r>
          </w:p>
        </w:tc>
        <w:tc>
          <w:tcPr>
            <w:tcW w:w="1698" w:type="dxa"/>
          </w:tcPr>
          <w:p>
            <w:pPr>
              <w:jc w:val="center"/>
              <w:rPr>
                <w:rFonts w:ascii="仿宋_GB2312" w:hAnsi="仿宋" w:eastAsia="仿宋_GB2312"/>
                <w:sz w:val="24"/>
                <w:szCs w:val="24"/>
              </w:rPr>
            </w:pPr>
            <w:r>
              <w:rPr>
                <w:rFonts w:hint="eastAsia" w:ascii="仿宋_GB2312" w:hAnsi="仿宋" w:eastAsia="仿宋_GB2312"/>
                <w:sz w:val="24"/>
                <w:szCs w:val="24"/>
              </w:rPr>
              <w:t>未</w:t>
            </w:r>
            <w:r>
              <w:rPr>
                <w:rFonts w:ascii="仿宋_GB2312" w:hAnsi="仿宋" w:eastAsia="仿宋_GB2312"/>
                <w:sz w:val="24"/>
                <w:szCs w:val="24"/>
              </w:rPr>
              <w:t>定行政级别</w:t>
            </w:r>
          </w:p>
        </w:tc>
        <w:tc>
          <w:tcPr>
            <w:tcW w:w="2664" w:type="dxa"/>
            <w:vAlign w:val="center"/>
          </w:tcPr>
          <w:p>
            <w:pPr>
              <w:jc w:val="center"/>
              <w:rPr>
                <w:rFonts w:ascii="仿宋_GB2312" w:hAnsi="仿宋" w:eastAsia="仿宋_GB2312"/>
                <w:sz w:val="24"/>
                <w:szCs w:val="24"/>
              </w:rPr>
            </w:pPr>
            <w:r>
              <w:rPr>
                <w:rFonts w:hint="eastAsia" w:ascii="仿宋_GB2312" w:hAnsi="仿宋" w:eastAsia="仿宋_GB2312"/>
                <w:sz w:val="24"/>
                <w:szCs w:val="24"/>
              </w:rPr>
              <w:t>财政性资金基本保证</w:t>
            </w:r>
          </w:p>
        </w:tc>
      </w:tr>
    </w:tbl>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36"/>
          <w:szCs w:val="20"/>
        </w:rPr>
        <w:t>第二部分：部门预算安排的总体情况</w:t>
      </w:r>
      <w:r>
        <w:rPr>
          <w:rFonts w:ascii="方正小标宋_GBK" w:eastAsia="方正小标宋_GBK"/>
          <w:sz w:val="36"/>
          <w:szCs w:val="20"/>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4708.3965</w:t>
      </w:r>
      <w:r>
        <w:rPr>
          <w:rFonts w:ascii="仿宋" w:hAnsi="仿宋" w:eastAsia="仿宋"/>
          <w:sz w:val="32"/>
          <w:szCs w:val="32"/>
        </w:rPr>
        <w:t>万元,其中：一般公共预算收入</w:t>
      </w:r>
      <w:r>
        <w:rPr>
          <w:rFonts w:hint="eastAsia" w:ascii="仿宋" w:hAnsi="仿宋" w:eastAsia="仿宋"/>
          <w:sz w:val="32"/>
          <w:szCs w:val="32"/>
        </w:rPr>
        <w:t>4708.3965</w:t>
      </w:r>
      <w:r>
        <w:rPr>
          <w:rFonts w:ascii="仿宋" w:hAnsi="仿宋" w:eastAsia="仿宋"/>
          <w:sz w:val="32"/>
          <w:szCs w:val="32"/>
        </w:rPr>
        <w:t>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4708.3965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基本支出3757.73万元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3669.72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88.01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950.6665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950.6665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本年度预算收支安排4708.3965万元，较上年增加543.6765</w:t>
      </w:r>
      <w:r>
        <w:rPr>
          <w:rFonts w:ascii="仿宋" w:hAnsi="仿宋" w:eastAsia="仿宋"/>
          <w:sz w:val="32"/>
          <w:szCs w:val="32"/>
        </w:rPr>
        <w:t>万元。其中:基本支出增加</w:t>
      </w:r>
      <w:r>
        <w:rPr>
          <w:rFonts w:hint="eastAsia" w:ascii="仿宋" w:hAnsi="仿宋" w:eastAsia="仿宋"/>
          <w:sz w:val="32"/>
          <w:szCs w:val="32"/>
        </w:rPr>
        <w:t>194.86</w:t>
      </w:r>
      <w:r>
        <w:rPr>
          <w:rFonts w:ascii="仿宋" w:hAnsi="仿宋" w:eastAsia="仿宋"/>
          <w:sz w:val="32"/>
          <w:szCs w:val="32"/>
        </w:rPr>
        <w:t>万元，主要原因是</w:t>
      </w:r>
      <w:r>
        <w:rPr>
          <w:rFonts w:hint="eastAsia" w:ascii="仿宋" w:hAnsi="仿宋" w:eastAsia="仿宋"/>
          <w:sz w:val="32"/>
          <w:szCs w:val="32"/>
        </w:rPr>
        <w:t>新招聘教师及调资</w:t>
      </w:r>
      <w:r>
        <w:rPr>
          <w:rFonts w:ascii="仿宋" w:hAnsi="仿宋" w:eastAsia="仿宋"/>
          <w:sz w:val="32"/>
          <w:szCs w:val="32"/>
        </w:rPr>
        <w:t>；项目支出增加</w:t>
      </w:r>
      <w:r>
        <w:rPr>
          <w:rFonts w:hint="eastAsia" w:ascii="仿宋" w:hAnsi="仿宋" w:eastAsia="仿宋"/>
          <w:sz w:val="32"/>
          <w:szCs w:val="32"/>
        </w:rPr>
        <w:t>348.8165</w:t>
      </w:r>
      <w:r>
        <w:rPr>
          <w:rFonts w:ascii="仿宋" w:hAnsi="仿宋" w:eastAsia="仿宋"/>
          <w:sz w:val="32"/>
          <w:szCs w:val="32"/>
        </w:rPr>
        <w:t>万元，主要原因是</w:t>
      </w:r>
      <w:r>
        <w:rPr>
          <w:rFonts w:hint="eastAsia" w:ascii="仿宋" w:hAnsi="仿宋" w:eastAsia="仿宋"/>
          <w:sz w:val="32"/>
          <w:szCs w:val="32"/>
        </w:rPr>
        <w:t>新建项目校较多</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36"/>
          <w:szCs w:val="20"/>
        </w:rPr>
      </w:pPr>
      <w:r>
        <w:rPr>
          <w:rFonts w:hint="eastAsia" w:ascii="方正小标宋_GBK" w:eastAsia="方正小标宋_GBK"/>
          <w:sz w:val="36"/>
          <w:szCs w:val="20"/>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2021年我部门机关运行经费安排</w:t>
      </w:r>
      <w:r>
        <w:rPr>
          <w:rFonts w:hint="eastAsia" w:ascii="仿宋" w:hAnsi="仿宋" w:eastAsia="仿宋"/>
          <w:sz w:val="32"/>
          <w:szCs w:val="32"/>
        </w:rPr>
        <w:t>88.01</w:t>
      </w:r>
      <w:r>
        <w:rPr>
          <w:rFonts w:ascii="仿宋" w:hAnsi="仿宋" w:eastAsia="仿宋"/>
          <w:sz w:val="32"/>
          <w:szCs w:val="32"/>
        </w:rPr>
        <w:t>万元，其中办公费</w:t>
      </w:r>
      <w:r>
        <w:rPr>
          <w:rFonts w:hint="eastAsia" w:ascii="仿宋" w:hAnsi="仿宋" w:eastAsia="仿宋"/>
          <w:sz w:val="32"/>
          <w:szCs w:val="32"/>
        </w:rPr>
        <w:t>5.04</w:t>
      </w:r>
      <w:r>
        <w:rPr>
          <w:rFonts w:ascii="仿宋" w:hAnsi="仿宋" w:eastAsia="仿宋"/>
          <w:sz w:val="32"/>
          <w:szCs w:val="32"/>
        </w:rPr>
        <w:t>万元，工会经费</w:t>
      </w:r>
      <w:r>
        <w:rPr>
          <w:rFonts w:hint="eastAsia" w:ascii="仿宋" w:hAnsi="仿宋" w:eastAsia="仿宋"/>
          <w:sz w:val="32"/>
          <w:szCs w:val="32"/>
        </w:rPr>
        <w:t>33.96万元，</w:t>
      </w:r>
      <w:r>
        <w:rPr>
          <w:rFonts w:ascii="仿宋" w:hAnsi="仿宋" w:eastAsia="仿宋"/>
          <w:sz w:val="32"/>
          <w:szCs w:val="32"/>
        </w:rPr>
        <w:t>福利费</w:t>
      </w:r>
      <w:r>
        <w:rPr>
          <w:rFonts w:hint="eastAsia" w:ascii="仿宋" w:hAnsi="仿宋" w:eastAsia="仿宋"/>
          <w:sz w:val="32"/>
          <w:szCs w:val="32"/>
        </w:rPr>
        <w:t>24.06</w:t>
      </w:r>
      <w:r>
        <w:rPr>
          <w:rFonts w:ascii="仿宋" w:hAnsi="仿宋" w:eastAsia="仿宋"/>
          <w:sz w:val="32"/>
          <w:szCs w:val="32"/>
        </w:rPr>
        <w:t>万元，</w:t>
      </w:r>
      <w:r>
        <w:rPr>
          <w:rFonts w:hint="eastAsia" w:ascii="仿宋" w:hAnsi="仿宋" w:eastAsia="仿宋"/>
          <w:sz w:val="32"/>
          <w:szCs w:val="32"/>
        </w:rPr>
        <w:t>离退休干部公用经费24.95</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36"/>
          <w:szCs w:val="20"/>
        </w:rPr>
      </w:pPr>
    </w:p>
    <w:p>
      <w:pPr>
        <w:jc w:val="center"/>
        <w:outlineLvl w:val="0"/>
        <w:rPr>
          <w:rFonts w:ascii="方正小标宋_GBK" w:eastAsia="方正小标宋_GBK"/>
          <w:sz w:val="36"/>
          <w:szCs w:val="20"/>
        </w:rPr>
      </w:pPr>
      <w:r>
        <w:rPr>
          <w:rFonts w:hint="eastAsia" w:ascii="方正小标宋_GBK" w:eastAsia="方正小标宋_GBK"/>
          <w:sz w:val="36"/>
          <w:szCs w:val="20"/>
        </w:rPr>
        <w:t>第四部分：财政拨款“三公”经费预算情况及增</w:t>
      </w:r>
    </w:p>
    <w:p>
      <w:pPr>
        <w:jc w:val="center"/>
        <w:outlineLvl w:val="0"/>
        <w:rPr>
          <w:rFonts w:ascii="方正小标宋_GBK" w:eastAsia="方正小标宋_GBK"/>
          <w:sz w:val="36"/>
          <w:szCs w:val="20"/>
        </w:rPr>
      </w:pPr>
      <w:r>
        <w:rPr>
          <w:rFonts w:hint="eastAsia" w:ascii="方正小标宋_GBK" w:eastAsia="方正小标宋_GBK"/>
          <w:sz w:val="36"/>
          <w:szCs w:val="20"/>
        </w:rPr>
        <w:t>减变化原因</w:t>
      </w:r>
    </w:p>
    <w:tbl>
      <w:tblPr>
        <w:tblStyle w:val="5"/>
        <w:tblW w:w="5000" w:type="pct"/>
        <w:tblInd w:w="0" w:type="dxa"/>
        <w:tblLayout w:type="autofit"/>
        <w:tblCellMar>
          <w:top w:w="0" w:type="dxa"/>
          <w:left w:w="108" w:type="dxa"/>
          <w:bottom w:w="0" w:type="dxa"/>
          <w:right w:w="108" w:type="dxa"/>
        </w:tblCellMar>
      </w:tblPr>
      <w:tblGrid>
        <w:gridCol w:w="9515"/>
      </w:tblGrid>
      <w:tr>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202</w:t>
                  </w:r>
                  <w:r>
                    <w:rPr>
                      <w:rFonts w:hint="eastAsia" w:ascii="仿宋_GB2312" w:hAnsi="宋体" w:eastAsia="仿宋_GB2312" w:cs="宋体"/>
                      <w:kern w:val="0"/>
                      <w:sz w:val="24"/>
                      <w:szCs w:val="24"/>
                    </w:rPr>
                    <w:t>0年度预算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2021年</w:t>
                  </w:r>
                  <w:r>
                    <w:rPr>
                      <w:rFonts w:hint="eastAsia" w:ascii="仿宋_GB2312" w:hAnsi="宋体" w:eastAsia="仿宋_GB2312" w:cs="宋体"/>
                      <w:kern w:val="0"/>
                      <w:sz w:val="24"/>
                      <w:szCs w:val="24"/>
                    </w:rPr>
                    <w:t>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r>
        <w:rPr>
          <w:rFonts w:hint="eastAsia" w:ascii="黑体" w:hAnsi="黑体" w:eastAsia="黑体" w:cs="Times New Roman"/>
          <w:sz w:val="32"/>
          <w:szCs w:val="32"/>
        </w:rPr>
        <w:t>　</w:t>
      </w:r>
      <w:r>
        <w:rPr>
          <w:rFonts w:ascii="黑体" w:hAnsi="黑体" w:eastAsia="黑体" w:cs="Times New Roman"/>
          <w:sz w:val="32"/>
          <w:szCs w:val="32"/>
        </w:rPr>
        <w:t>　我单位无三公经费支出，空表列示。</w:t>
      </w:r>
    </w:p>
    <w:p>
      <w:pPr>
        <w:spacing w:line="360" w:lineRule="auto"/>
        <w:rPr>
          <w:rFonts w:ascii="黑体" w:hAnsi="黑体" w:eastAsia="黑体" w:cs="Times New Roman"/>
          <w:sz w:val="32"/>
          <w:szCs w:val="32"/>
        </w:rPr>
      </w:pPr>
    </w:p>
    <w:p>
      <w:pPr>
        <w:jc w:val="center"/>
        <w:outlineLvl w:val="0"/>
        <w:rPr>
          <w:rFonts w:ascii="黑体" w:hAnsi="黑体" w:eastAsia="黑体" w:cs="Times New Roman"/>
          <w:sz w:val="24"/>
          <w:szCs w:val="24"/>
        </w:rPr>
      </w:pPr>
      <w:r>
        <w:rPr>
          <w:rFonts w:hint="eastAsia" w:ascii="方正小标宋_GBK" w:eastAsia="方正小标宋_GBK"/>
          <w:sz w:val="36"/>
          <w:szCs w:val="20"/>
        </w:rPr>
        <w:t>第五部分：预算绩效信息</w:t>
      </w:r>
    </w:p>
    <w:p>
      <w:pPr>
        <w:jc w:val="center"/>
        <w:outlineLvl w:val="0"/>
        <w:rPr>
          <w:rFonts w:ascii="方正小标宋_GBK" w:eastAsia="方正小标宋_GBK"/>
          <w:sz w:val="44"/>
        </w:rPr>
      </w:pPr>
      <w:r>
        <w:rPr>
          <w:rFonts w:hint="eastAsia" w:ascii="方正小标宋_GBK" w:eastAsia="方正小标宋_GBK"/>
          <w:sz w:val="36"/>
          <w:szCs w:val="20"/>
        </w:rPr>
        <w:t>单位整体</w:t>
      </w:r>
      <w:r>
        <w:rPr>
          <w:rFonts w:ascii="方正小标宋_GBK" w:eastAsia="方正小标宋_GBK"/>
          <w:sz w:val="36"/>
          <w:szCs w:val="20"/>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1" w:name="_Toc71388301"/>
      <w:r>
        <w:rPr>
          <w:rFonts w:ascii="方正黑体_GBK" w:eastAsia="方正黑体_GBK"/>
          <w:sz w:val="28"/>
        </w:rPr>
        <w:t>二、分项绩效目标</w:t>
      </w:r>
      <w:bookmarkEnd w:id="1"/>
      <w:r>
        <w:fldChar w:fldCharType="begin"/>
      </w:r>
      <w:r>
        <w:rPr>
          <w:rFonts w:ascii="方正黑体_GBK" w:eastAsia="方正黑体_GBK"/>
          <w:sz w:val="28"/>
        </w:rPr>
        <w:instrText xml:space="preserve"> TC 分项绩效目标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（一）全面加强党的政治建设</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（二）提高学前教育普及普惠水平</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绩效目标：多渠道扩大普惠性学前教育资源，健全学前教育保障机制，提高保教质量。</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绩效指标：在园幼儿数达到1200人，学前三年毛入园率达到</w:t>
      </w:r>
      <w:r>
        <w:rPr>
          <w:rFonts w:ascii="Times New Roman" w:eastAsia="方正仿宋_GBK"/>
          <w:sz w:val="28"/>
        </w:rPr>
        <w:t>90%</w:t>
      </w:r>
      <w:r>
        <w:rPr>
          <w:rFonts w:hint="eastAsia" w:ascii="Times New Roman" w:hAnsi="微软雅黑" w:eastAsia="方正仿宋_GBK" w:cs="微软雅黑"/>
          <w:sz w:val="28"/>
        </w:rPr>
        <w:t>，应享受学前教育资助政策的幼儿全部得到资助，受益幼儿园、家长满意度达到</w:t>
      </w:r>
      <w:r>
        <w:rPr>
          <w:rFonts w:ascii="Times New Roman" w:eastAsia="方正仿宋_GBK"/>
          <w:sz w:val="28"/>
        </w:rPr>
        <w:t>85%</w:t>
      </w:r>
      <w:r>
        <w:rPr>
          <w:rFonts w:hint="eastAsia" w:ascii="Times New Roman" w:hAnsi="微软雅黑" w:eastAsia="方正仿宋_GBK" w:cs="微软雅黑"/>
          <w:sz w:val="28"/>
        </w:rPr>
        <w:t>以上。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（三）加快义务教育优质均衡发展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绩效目标：构建优质均衡基本公共教育服务体系，巩固控辍保学成果，不断提高义务教育巩固水平。加强管理，促进中小学招生秩序更加规范。</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绩效指标：统一城乡义务教育年生均公用经费标准：小学</w:t>
      </w:r>
      <w:r>
        <w:rPr>
          <w:rFonts w:ascii="Times New Roman" w:eastAsia="方正仿宋_GBK"/>
          <w:sz w:val="28"/>
        </w:rPr>
        <w:t>735</w:t>
      </w:r>
      <w:r>
        <w:rPr>
          <w:rFonts w:hint="eastAsia" w:ascii="Times New Roman" w:hAnsi="微软雅黑" w:eastAsia="方正仿宋_GBK" w:cs="微软雅黑"/>
          <w:sz w:val="28"/>
        </w:rPr>
        <w:t>元、初中</w:t>
      </w:r>
      <w:r>
        <w:rPr>
          <w:rFonts w:ascii="Times New Roman" w:eastAsia="方正仿宋_GBK"/>
          <w:sz w:val="28"/>
        </w:rPr>
        <w:t>935</w:t>
      </w:r>
      <w:r>
        <w:rPr>
          <w:rFonts w:hint="eastAsia" w:ascii="Times New Roman" w:hAnsi="微软雅黑" w:eastAsia="方正仿宋_GBK" w:cs="微软雅黑"/>
          <w:sz w:val="28"/>
        </w:rPr>
        <w:t>元（均含取暖费</w:t>
      </w:r>
      <w:r>
        <w:rPr>
          <w:rFonts w:ascii="Times New Roman" w:eastAsia="方正仿宋_GBK"/>
          <w:sz w:val="28"/>
        </w:rPr>
        <w:t>85</w:t>
      </w:r>
      <w:r>
        <w:rPr>
          <w:rFonts w:hint="eastAsia" w:ascii="Times New Roman" w:hAnsi="微软雅黑" w:eastAsia="方正仿宋_GBK" w:cs="微软雅黑"/>
          <w:sz w:val="28"/>
        </w:rPr>
        <w:t>元），特教</w:t>
      </w:r>
      <w:r>
        <w:rPr>
          <w:rFonts w:ascii="Times New Roman" w:eastAsia="方正仿宋_GBK"/>
          <w:sz w:val="28"/>
        </w:rPr>
        <w:t>6000</w:t>
      </w:r>
      <w:r>
        <w:rPr>
          <w:rFonts w:hint="eastAsia" w:ascii="Times New Roman" w:hAnsi="微软雅黑" w:eastAsia="方正仿宋_GBK" w:cs="微软雅黑"/>
          <w:sz w:val="28"/>
        </w:rPr>
        <w:t>元。为农村义务教育学生和城市区家庭经济困难学生免费提供教科书。所有城乡义务教育阶段学生免费发放教科书，教师、学生对保障机制的综合满意度</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（四）推进普通高中健康快速发展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绩效目标：围绕普通高中新课程改革和新高考改革，落实好高水平普及与高质量发展两大新任务。</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绩效指标：建档立卡贫困学生全部享受助学金。高中阶段毛入学率达到</w:t>
      </w:r>
      <w:r>
        <w:rPr>
          <w:rFonts w:ascii="Times New Roman" w:eastAsia="方正仿宋_GBK"/>
          <w:sz w:val="28"/>
        </w:rPr>
        <w:t>90%</w:t>
      </w:r>
      <w:r>
        <w:rPr>
          <w:rFonts w:hint="eastAsia" w:ascii="Times New Roman" w:hAnsi="微软雅黑" w:eastAsia="方正仿宋_GBK" w:cs="微软雅黑"/>
          <w:sz w:val="28"/>
        </w:rPr>
        <w:t>，受益普通高中的教师、学生综合满意度</w:t>
      </w:r>
      <w:r>
        <w:rPr>
          <w:rFonts w:ascii="Times New Roman" w:eastAsia="方正仿宋_GBK"/>
          <w:sz w:val="28"/>
        </w:rPr>
        <w:t>≥98%</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（五）健全完善新时代职业教育体系</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绩效目标：完善新时代职业教育体系，深化产教融合、校企合作，促进职业教育提质培优，提升职业教育服务发展能力。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绩效指标：足额落实中等职业学校免学费、助学金政策和生均公用经费标准；建档立卡贫困学生全部享受助学金。中职学生家长、学生综合满意度</w:t>
      </w:r>
      <w:r>
        <w:rPr>
          <w:rFonts w:ascii="Times New Roman" w:eastAsia="方正仿宋_GBK"/>
          <w:sz w:val="28"/>
        </w:rPr>
        <w:t>≥95%</w:t>
      </w:r>
      <w:r>
        <w:rPr>
          <w:rFonts w:hint="eastAsia" w:ascii="Times New Roman" w:hAnsi="微软雅黑" w:eastAsia="方正仿宋_GBK" w:cs="微软雅黑"/>
          <w:sz w:val="28"/>
        </w:rPr>
        <w:t>；农村劳动者年培训参与率</w:t>
      </w:r>
      <w:r>
        <w:rPr>
          <w:rFonts w:ascii="Times New Roman" w:eastAsia="方正仿宋_GBK"/>
          <w:sz w:val="28"/>
        </w:rPr>
        <w:t>≥35%</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（六）加强教师队伍建设，提升教师核心竞争力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绩效目标：落实师德师风第一标准，强化师德建设主体责任，深化拓展师德师风治理成果。</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绩效指标：每年参加培训的教师人数</w:t>
      </w:r>
      <w:r>
        <w:rPr>
          <w:rFonts w:ascii="Times New Roman" w:eastAsia="方正仿宋_GBK"/>
          <w:sz w:val="28"/>
        </w:rPr>
        <w:t>≥</w:t>
      </w:r>
      <w:r>
        <w:rPr>
          <w:rFonts w:hint="eastAsia" w:ascii="Times New Roman" w:eastAsia="方正仿宋_GBK"/>
          <w:sz w:val="28"/>
        </w:rPr>
        <w:t>5</w:t>
      </w:r>
      <w:r>
        <w:rPr>
          <w:rFonts w:ascii="Times New Roman" w:eastAsia="方正仿宋_GBK"/>
          <w:sz w:val="28"/>
        </w:rPr>
        <w:t>0</w:t>
      </w:r>
      <w:r>
        <w:rPr>
          <w:rFonts w:hint="eastAsia" w:ascii="Times New Roman" w:hAnsi="微软雅黑" w:eastAsia="方正仿宋_GBK" w:cs="微软雅黑"/>
          <w:sz w:val="28"/>
        </w:rPr>
        <w:t>人，选派</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支教教师人数</w:t>
      </w:r>
      <w:r>
        <w:rPr>
          <w:rFonts w:ascii="Times New Roman" w:eastAsia="方正仿宋_GBK"/>
          <w:sz w:val="28"/>
        </w:rPr>
        <w:t>≥1</w:t>
      </w:r>
      <w:r>
        <w:rPr>
          <w:rFonts w:hint="eastAsia" w:ascii="Times New Roman" w:hAnsi="微软雅黑" w:eastAsia="方正仿宋_GBK" w:cs="微软雅黑"/>
          <w:sz w:val="28"/>
        </w:rPr>
        <w:t>人，</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支教地区学生、家长满意度情况</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（七）科学开展群众体育活动，蓬勃发展社会体育</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绩效目标：深入实施全民健身战略，在群众体育、体育设施、体育产业、民生工程等方面稳步推进，力争取得实效。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绩效指标：扩建提升现有滑冰馆。完成</w:t>
      </w:r>
      <w:r>
        <w:rPr>
          <w:rFonts w:hint="eastAsia" w:ascii="Times New Roman" w:eastAsia="方正仿宋_GBK"/>
          <w:sz w:val="28"/>
        </w:rPr>
        <w:t>2</w:t>
      </w:r>
      <w:r>
        <w:rPr>
          <w:rFonts w:hint="eastAsia" w:ascii="Times New Roman" w:hAnsi="微软雅黑" w:eastAsia="方正仿宋_GBK" w:cs="微软雅黑"/>
          <w:sz w:val="28"/>
        </w:rPr>
        <w:t>块全民健身场地建设。加快推进冰雪</w:t>
      </w:r>
      <w:r>
        <w:rPr>
          <w:rFonts w:ascii="Times New Roman" w:eastAsia="方正仿宋_GBK"/>
          <w:sz w:val="28"/>
        </w:rPr>
        <w:t>“</w:t>
      </w:r>
      <w:r>
        <w:rPr>
          <w:rFonts w:hint="eastAsia" w:ascii="Times New Roman" w:hAnsi="微软雅黑" w:eastAsia="方正仿宋_GBK" w:cs="微软雅黑"/>
          <w:sz w:val="28"/>
        </w:rPr>
        <w:t>六进</w:t>
      </w:r>
      <w:r>
        <w:rPr>
          <w:rFonts w:ascii="Times New Roman" w:eastAsia="方正仿宋_GBK"/>
          <w:sz w:val="28"/>
        </w:rPr>
        <w:t>”</w:t>
      </w:r>
      <w:r>
        <w:rPr>
          <w:rFonts w:hint="eastAsia" w:ascii="Times New Roman" w:hAnsi="微软雅黑" w:eastAsia="方正仿宋_GBK" w:cs="微软雅黑"/>
          <w:sz w:val="28"/>
        </w:rPr>
        <w:t>（进机关、进企业、进学校、进社区、进乡村、进家庭）工作，完成参与人数达</w:t>
      </w:r>
      <w:r>
        <w:rPr>
          <w:rFonts w:hint="eastAsia" w:ascii="Times New Roman" w:eastAsia="方正仿宋_GBK"/>
          <w:sz w:val="28"/>
        </w:rPr>
        <w:t>0.7</w:t>
      </w:r>
      <w:r>
        <w:rPr>
          <w:rFonts w:hint="eastAsia" w:ascii="Times New Roman" w:hAnsi="微软雅黑" w:eastAsia="方正仿宋_GBK" w:cs="微软雅黑"/>
          <w:sz w:val="28"/>
        </w:rPr>
        <w:t>万人的目标。</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2" w:name="_Toc71388302"/>
      <w:r>
        <w:rPr>
          <w:rFonts w:ascii="方正黑体_GBK" w:eastAsia="方正黑体_GBK"/>
          <w:sz w:val="28"/>
        </w:rPr>
        <w:t>三、工作保障措施</w:t>
      </w:r>
      <w:bookmarkEnd w:id="2"/>
      <w:r>
        <w:fldChar w:fldCharType="begin"/>
      </w:r>
      <w:r>
        <w:rPr>
          <w:rFonts w:ascii="方正黑体_GBK" w:eastAsia="方正黑体_GBK"/>
          <w:sz w:val="28"/>
        </w:rPr>
        <w:instrText xml:space="preserve"> TC 工作保障措施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（一）加强组织领导。建立健全教育领域预算绩效管理制度体系。围绕年度总体绩效目标和分项绩效目标，明确责任主体，细化落实措施，确保绩效目标年内全部完成。</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（三）加强支出管理。督促指导下属单位加快项目执行进度，加快资金支出。严格按照年初预算支出计划加快履行政府采购手续，尽快启动项目，进行资金支付。</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（四）加强绩效运行监控。强化资金监管，指导各单位建立健全内控组织机构、机制建设和内部管理制度，加强对关键岗位人员管理，保证单位各项经济活动合法合规。</w:t>
      </w:r>
      <w:r>
        <w:rPr>
          <w:rFonts w:ascii="Times New Roman" w:eastAsia="方正仿宋_GBK"/>
          <w:sz w:val="28"/>
        </w:rPr>
        <w:t xml:space="preserve">      </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（六）规范财务资产管理。进一步完善财务管理制度，严格资产采购审批手续，加强固定资产登记、使用及报废处置管理，做到支出合理，物尽其用。</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（八）加强宣传培训力度。加强教育系统人员培训，提高全区教育业务素养；加大宣传力度，强化绩效预算管理意识，促进绩效预算管理水平进一步提升。</w:t>
      </w:r>
    </w:p>
    <w:p>
      <w:pPr>
        <w:jc w:val="center"/>
        <w:outlineLvl w:val="0"/>
        <w:rPr>
          <w:rFonts w:ascii="方正书宋_GBK" w:eastAsia="方正书宋_GBK"/>
        </w:rPr>
      </w:pPr>
    </w:p>
    <w:p>
      <w:pPr>
        <w:jc w:val="center"/>
        <w:outlineLvl w:val="0"/>
        <w:rPr>
          <w:rFonts w:ascii="方正书宋_GBK" w:eastAsia="方正书宋_GBK"/>
        </w:rPr>
      </w:pPr>
      <w:r>
        <w:rPr>
          <w:rFonts w:ascii="方正书宋_GBK" w:eastAsia="方正书宋_GBK"/>
        </w:rPr>
        <w:t xml:space="preserve"> </w:t>
      </w:r>
    </w:p>
    <w:p>
      <w:pPr>
        <w:widowControl/>
        <w:jc w:val="center"/>
        <w:rPr>
          <w:rFonts w:ascii="方正书宋_GBK" w:eastAsia="方正书宋_GBK"/>
          <w:sz w:val="20"/>
          <w:szCs w:val="21"/>
        </w:rPr>
      </w:pPr>
      <w:r>
        <w:rPr>
          <w:rFonts w:hint="eastAsia" w:ascii="方正小标宋_GBK" w:eastAsia="方正小标宋_GBK"/>
          <w:sz w:val="40"/>
          <w:szCs w:val="21"/>
        </w:rPr>
        <w:t>预算项目绩效目标</w:t>
      </w:r>
      <w:r>
        <w:rPr>
          <w:rFonts w:ascii="方正书宋_GBK" w:eastAsia="方正书宋_GBK"/>
          <w:sz w:val="20"/>
          <w:szCs w:val="21"/>
        </w:rPr>
        <w:t xml:space="preserve"> </w:t>
      </w:r>
    </w:p>
    <w:p>
      <w:pPr>
        <w:widowControl/>
        <w:jc w:val="center"/>
        <w:rPr>
          <w:rFonts w:ascii="方正书宋_GBK" w:eastAsia="方正书宋_GBK"/>
        </w:rPr>
      </w:pPr>
    </w:p>
    <w:p>
      <w:pPr>
        <w:ind w:firstLine="560" w:firstLineChars="200"/>
        <w:jc w:val="left"/>
        <w:outlineLvl w:val="3"/>
        <w:rPr>
          <w:rFonts w:ascii="Times New Roman" w:hAnsi="宋体" w:eastAsia="宋体"/>
          <w:sz w:val="28"/>
        </w:rPr>
      </w:pPr>
      <w:bookmarkStart w:id="3" w:name="_Toc71388438"/>
      <w:r>
        <w:rPr>
          <w:rFonts w:hint="eastAsia" w:ascii="方正仿宋_GBK" w:eastAsia="方正仿宋_GBK"/>
          <w:sz w:val="28"/>
        </w:rPr>
        <w:t>1、</w:t>
      </w:r>
      <w:r>
        <w:rPr>
          <w:rFonts w:ascii="方正仿宋_GBK" w:eastAsia="方正仿宋_GBK"/>
          <w:sz w:val="28"/>
        </w:rPr>
        <w:t>提前下达2021年城乡义务教育保障机制改革市级资金-困难学生生活补助绩效目标表</w:t>
      </w:r>
      <w:bookmarkEnd w:id="3"/>
      <w:r>
        <w:fldChar w:fldCharType="begin"/>
      </w:r>
      <w:r>
        <w:rPr>
          <w:rFonts w:ascii="方正仿宋_GBK" w:eastAsia="方正仿宋_GBK"/>
          <w:sz w:val="28"/>
        </w:rPr>
        <w:instrText xml:space="preserve"> TC 135、提前下达2021年城乡义务教育保障机制改革市级资金-困难学生生活补助绩效目标表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4" w:name="_Toc71388439"/>
      <w:r>
        <w:rPr>
          <w:rFonts w:hint="eastAsia" w:ascii="方正仿宋_GBK" w:eastAsia="方正仿宋_GBK"/>
          <w:sz w:val="28"/>
        </w:rPr>
        <w:t>2、</w:t>
      </w:r>
      <w:r>
        <w:rPr>
          <w:rFonts w:ascii="方正仿宋_GBK" w:eastAsia="方正仿宋_GBK"/>
          <w:sz w:val="28"/>
        </w:rPr>
        <w:t>关于提前下达2021年城乡义务教育中央补助经费预算（直达资金）-公用经费绩效目标表</w:t>
      </w:r>
      <w:bookmarkEnd w:id="4"/>
      <w:r>
        <w:fldChar w:fldCharType="begin"/>
      </w:r>
      <w:r>
        <w:rPr>
          <w:rFonts w:ascii="方正仿宋_GBK" w:eastAsia="方正仿宋_GBK"/>
          <w:sz w:val="28"/>
        </w:rPr>
        <w:instrText xml:space="preserve"> TC 136、关于提前下达2021年城乡义务教育中央补助经费预算（直达资金）-公用经费绩效目标表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1321236.00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1321236.00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p>
            <w:pPr>
              <w:spacing w:line="300" w:lineRule="exact"/>
              <w:jc w:val="left"/>
              <w:rPr>
                <w:rFonts w:ascii="方正书宋_GBK" w:eastAsia="方正书宋_GBK"/>
              </w:rPr>
            </w:pPr>
            <w:r>
              <w:rPr>
                <w:rFonts w:ascii="方正书宋_GBK" w:eastAsia="方正书宋_GBK"/>
              </w:rPr>
              <w:t>4.三级指标</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5" w:name="_Toc71388440"/>
      <w:r>
        <w:rPr>
          <w:rFonts w:hint="eastAsia" w:ascii="方正仿宋_GBK" w:eastAsia="方正仿宋_GBK"/>
          <w:sz w:val="28"/>
        </w:rPr>
        <w:t>3、</w:t>
      </w:r>
      <w:r>
        <w:rPr>
          <w:rFonts w:ascii="方正仿宋_GBK" w:eastAsia="方正仿宋_GBK"/>
          <w:sz w:val="28"/>
        </w:rPr>
        <w:t>关于提前下达2021年城乡义务教育中央补助经费预算（直达资金）-公用经费（长城学校）绩效目标表</w:t>
      </w:r>
      <w:bookmarkEnd w:id="5"/>
      <w:r>
        <w:fldChar w:fldCharType="begin"/>
      </w:r>
      <w:r>
        <w:rPr>
          <w:rFonts w:ascii="方正仿宋_GBK" w:eastAsia="方正仿宋_GBK"/>
          <w:sz w:val="28"/>
        </w:rPr>
        <w:instrText xml:space="preserve"> TC 137、关于提前下达2021年城乡义务教育中央补助经费预算（直达资金）-公用经费（长城学校）绩效目标表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13062521CY4OZ1D25SEAE</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关于提前下达2021年城乡义务教育中央补助经费预算（直达资金）-公用经费（长城学校）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737205.00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737205.00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用于学校开展教育教学活动。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3.按时完成教育教学任务</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足额保障义务教育阶段学校公用经费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≥92%</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经费使用率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公用经费全部用于教育教学工作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6" w:name="_Toc71388441"/>
      <w:r>
        <w:rPr>
          <w:rFonts w:hint="eastAsia" w:ascii="方正仿宋_GBK" w:eastAsia="方正仿宋_GBK"/>
          <w:sz w:val="28"/>
        </w:rPr>
        <w:t>4、</w:t>
      </w:r>
      <w:r>
        <w:rPr>
          <w:rFonts w:ascii="方正仿宋_GBK" w:eastAsia="方正仿宋_GBK"/>
          <w:sz w:val="28"/>
        </w:rPr>
        <w:t>关于提前下达2021年城乡义务教育中央补助经费预算（直达资金)校舍安全保障-徐水区大王店镇大王店小学操场改造绩效目标表</w:t>
      </w:r>
      <w:bookmarkEnd w:id="6"/>
      <w:r>
        <w:fldChar w:fldCharType="begin"/>
      </w:r>
      <w:r>
        <w:rPr>
          <w:rFonts w:ascii="方正仿宋_GBK" w:eastAsia="方正仿宋_GBK"/>
          <w:sz w:val="28"/>
        </w:rPr>
        <w:instrText xml:space="preserve"> TC 138、关于提前下达2021年城乡义务教育中央补助经费预算（直达资金)校舍安全保障-徐水区大王店镇大王店小学操场改造绩效目标表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13062521F8NOPTTMQU0F3</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关于提前下达2021年城乡义务教育中央补助经费预算（直达资金)校舍安全保障-徐水区大王店镇大王店小学操场改造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1800000.00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1800000.00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白塔铺小学操场改造，改善学校的办学条件，美化校园环境，促进学校体育健康教育。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1.改善办学条件，美化校园环境。</w:t>
            </w:r>
          </w:p>
          <w:p>
            <w:pPr>
              <w:spacing w:line="300" w:lineRule="exact"/>
              <w:jc w:val="left"/>
              <w:rPr>
                <w:rFonts w:ascii="方正书宋_GBK" w:eastAsia="方正书宋_GBK"/>
              </w:rPr>
            </w:pPr>
            <w:r>
              <w:rPr>
                <w:rFonts w:ascii="方正书宋_GBK" w:eastAsia="方正书宋_GBK"/>
              </w:rPr>
              <w:t>2.更有利的进行体育健康教育。</w:t>
            </w:r>
          </w:p>
          <w:p>
            <w:pPr>
              <w:spacing w:line="300" w:lineRule="exact"/>
              <w:jc w:val="left"/>
              <w:rPr>
                <w:rFonts w:ascii="方正书宋_GBK" w:eastAsia="方正书宋_GBK"/>
              </w:rPr>
            </w:pPr>
            <w:r>
              <w:rPr>
                <w:rFonts w:ascii="方正书宋_GBK" w:eastAsia="方正书宋_GBK"/>
              </w:rPr>
              <w:t>3.提高学生身体素质。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按项目资金使用程度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7" w:name="_Toc71388442"/>
      <w:r>
        <w:rPr>
          <w:rFonts w:hint="eastAsia" w:ascii="方正仿宋_GBK" w:eastAsia="方正仿宋_GBK"/>
          <w:sz w:val="28"/>
        </w:rPr>
        <w:t>5、</w:t>
      </w:r>
      <w:r>
        <w:rPr>
          <w:rFonts w:ascii="方正仿宋_GBK" w:eastAsia="方正仿宋_GBK"/>
          <w:sz w:val="28"/>
        </w:rPr>
        <w:t>校园安保经费绩效目标表</w:t>
      </w:r>
      <w:bookmarkEnd w:id="7"/>
      <w:r>
        <w:fldChar w:fldCharType="begin"/>
      </w:r>
      <w:r>
        <w:rPr>
          <w:rFonts w:ascii="方正仿宋_GBK" w:eastAsia="方正仿宋_GBK"/>
          <w:sz w:val="28"/>
        </w:rPr>
        <w:instrText xml:space="preserve"> TC 139、校园安保经费绩效目标表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615600.00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615600.00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加强中小学（幼儿园）安全保卫工作，维持正常教育教学秩序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1.切实保障安保人员基本权益，提高校园安全度</w:t>
            </w:r>
          </w:p>
          <w:p>
            <w:pPr>
              <w:spacing w:line="300" w:lineRule="exact"/>
              <w:jc w:val="left"/>
              <w:rPr>
                <w:rFonts w:ascii="方正书宋_GBK" w:eastAsia="方正书宋_GBK"/>
              </w:rPr>
            </w:pPr>
            <w:r>
              <w:rPr>
                <w:rFonts w:ascii="方正书宋_GBK" w:eastAsia="方正书宋_GBK"/>
              </w:rPr>
              <w:t>2.提升学校的安全度，扩大学校的影响力</w:t>
            </w:r>
          </w:p>
          <w:p>
            <w:pPr>
              <w:spacing w:line="300" w:lineRule="exact"/>
              <w:jc w:val="left"/>
              <w:rPr>
                <w:rFonts w:ascii="方正书宋_GBK" w:eastAsia="方正书宋_GBK"/>
              </w:rPr>
            </w:pPr>
            <w:r>
              <w:rPr>
                <w:rFonts w:ascii="方正书宋_GBK" w:eastAsia="方正书宋_GBK"/>
              </w:rPr>
              <w:t>3.加强中小学（幼儿园）安全保卫工作，维持正常教育教学秩序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安保人员覆盖情况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校园安保工作运行情况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按预算计划，及时发放安保人员工资</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校园安全保障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保障学校师生安全，校园财产安全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8" w:name="_Toc71388443"/>
      <w:r>
        <w:rPr>
          <w:rFonts w:hint="eastAsia" w:ascii="方正仿宋_GBK" w:eastAsia="方正仿宋_GBK"/>
          <w:sz w:val="28"/>
        </w:rPr>
        <w:t>6、</w:t>
      </w:r>
      <w:r>
        <w:rPr>
          <w:rFonts w:ascii="方正仿宋_GBK" w:eastAsia="方正仿宋_GBK"/>
          <w:sz w:val="28"/>
        </w:rPr>
        <w:t>提前下达2021年城乡义务教育省级补助资金-公用经费绩效目标表</w:t>
      </w:r>
      <w:bookmarkEnd w:id="8"/>
      <w:r>
        <w:fldChar w:fldCharType="begin"/>
      </w:r>
      <w:r>
        <w:rPr>
          <w:rFonts w:ascii="方正仿宋_GBK" w:eastAsia="方正仿宋_GBK"/>
          <w:sz w:val="28"/>
        </w:rPr>
        <w:instrText xml:space="preserve"> TC 140、提前下达2021年城乡义务教育省级补助资金-公用经费绩效目标表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880824.00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880824.00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9" w:name="_Toc71388444"/>
      <w:r>
        <w:rPr>
          <w:rFonts w:hint="eastAsia" w:ascii="方正仿宋_GBK" w:eastAsia="方正仿宋_GBK"/>
          <w:sz w:val="28"/>
        </w:rPr>
        <w:t>7、</w:t>
      </w:r>
      <w:r>
        <w:rPr>
          <w:rFonts w:ascii="方正仿宋_GBK" w:eastAsia="方正仿宋_GBK"/>
          <w:sz w:val="28"/>
        </w:rPr>
        <w:t>义务教育家庭经济困难学生生活补助区级配套-长城学校绩效目标表</w:t>
      </w:r>
      <w:bookmarkEnd w:id="9"/>
      <w:r>
        <w:fldChar w:fldCharType="begin"/>
      </w:r>
      <w:r>
        <w:rPr>
          <w:rFonts w:ascii="方正仿宋_GBK" w:eastAsia="方正仿宋_GBK"/>
          <w:sz w:val="28"/>
        </w:rPr>
        <w:instrText xml:space="preserve"> TC 141、义务教育家庭经济困难学生生活补助区级配套-长城学校绩效目标表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13062521LL7N2VO0IIYYA</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义务教育家庭经济困难学生生活补助区级配套-长城学校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10" w:name="_Toc71388445"/>
      <w:r>
        <w:rPr>
          <w:rFonts w:hint="eastAsia" w:ascii="方正仿宋_GBK" w:eastAsia="方正仿宋_GBK"/>
          <w:sz w:val="28"/>
        </w:rPr>
        <w:t>8、</w:t>
      </w:r>
      <w:r>
        <w:rPr>
          <w:rFonts w:ascii="方正仿宋_GBK" w:eastAsia="方正仿宋_GBK"/>
          <w:sz w:val="28"/>
        </w:rPr>
        <w:t>关于提前下达2021年城乡义务教育中央补助经费预算（直达资金）-困难学生生活补助绩效目标表</w:t>
      </w:r>
      <w:bookmarkEnd w:id="10"/>
      <w:r>
        <w:fldChar w:fldCharType="begin"/>
      </w:r>
      <w:r>
        <w:rPr>
          <w:rFonts w:ascii="方正仿宋_GBK" w:eastAsia="方正仿宋_GBK"/>
          <w:sz w:val="28"/>
        </w:rPr>
        <w:instrText xml:space="preserve"> TC 142、关于提前下达2021年城乡义务教育中央补助经费预算（直达资金）-困难学生生活补助绩效目标表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18000.00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18000.00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3.及时发放困生学生资金。</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家庭经济困难学生数量</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保证家庭经济困难学生享受生活补助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按时支付贫困生补助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学生思想表现优良率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学生在校思想表现优良</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11" w:name="_Toc71388446"/>
      <w:r>
        <w:rPr>
          <w:rFonts w:hint="eastAsia" w:ascii="方正仿宋_GBK" w:eastAsia="方正仿宋_GBK"/>
          <w:sz w:val="28"/>
        </w:rPr>
        <w:t>9、</w:t>
      </w:r>
      <w:r>
        <w:rPr>
          <w:rFonts w:ascii="方正仿宋_GBK" w:eastAsia="方正仿宋_GBK"/>
          <w:sz w:val="28"/>
        </w:rPr>
        <w:t>义务教育阶段小学生营养改善计划地方试点区级资金绩效目标表</w:t>
      </w:r>
      <w:bookmarkEnd w:id="11"/>
      <w:r>
        <w:fldChar w:fldCharType="begin"/>
      </w:r>
      <w:r>
        <w:rPr>
          <w:rFonts w:ascii="方正仿宋_GBK" w:eastAsia="方正仿宋_GBK"/>
          <w:sz w:val="28"/>
        </w:rPr>
        <w:instrText xml:space="preserve"> TC 143、义务教育阶段小学生营养改善计划地方试点区级资金绩效目标表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360017大王店镇中心学校（小学）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983000.00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983000.00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用于开展义务教育阶段小学生营养改善计划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1.保障义务教育阶段小学生营养改善计划顺利实施</w:t>
            </w:r>
          </w:p>
          <w:p>
            <w:pPr>
              <w:spacing w:line="300" w:lineRule="exact"/>
              <w:jc w:val="left"/>
              <w:rPr>
                <w:rFonts w:ascii="方正书宋_GBK" w:eastAsia="方正书宋_GBK"/>
              </w:rPr>
            </w:pPr>
            <w:r>
              <w:rPr>
                <w:rFonts w:ascii="方正书宋_GBK" w:eastAsia="方正书宋_GBK"/>
              </w:rPr>
              <w:t>2.提高义务教育阶段小学生体质</w:t>
            </w:r>
          </w:p>
          <w:p>
            <w:pPr>
              <w:spacing w:line="300" w:lineRule="exact"/>
              <w:jc w:val="left"/>
              <w:rPr>
                <w:rFonts w:ascii="方正书宋_GBK" w:eastAsia="方正书宋_GBK"/>
              </w:rPr>
            </w:pPr>
            <w:r>
              <w:rPr>
                <w:rFonts w:ascii="方正书宋_GBK" w:eastAsia="方正书宋_GBK"/>
              </w:rPr>
              <w:t>3.义务教育阶段营养改善计划按标准执行</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营养改善计划享受学生数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农村义务教育阶段小学生享受营养餐改善计划学生数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≤1588人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供餐质量达标率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义务教育学生营养改善计划供餐质量达标率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按时实施营养改善计划</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义务教育小学生营养改善计划生均补助标准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对小学生健康的贡献率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通过提高学生营养健康水平促进全民健康水平。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12" w:name="_Toc71388447"/>
      <w:r>
        <w:rPr>
          <w:rFonts w:hint="eastAsia" w:ascii="方正仿宋_GBK" w:eastAsia="方正仿宋_GBK"/>
          <w:sz w:val="28"/>
        </w:rPr>
        <w:t>10、</w:t>
      </w:r>
      <w:r>
        <w:rPr>
          <w:rFonts w:ascii="方正仿宋_GBK" w:eastAsia="方正仿宋_GBK"/>
          <w:sz w:val="28"/>
        </w:rPr>
        <w:t>普惠性民办幼儿园生均公用经费绩效目标表</w:t>
      </w:r>
      <w:bookmarkEnd w:id="12"/>
      <w:r>
        <w:fldChar w:fldCharType="begin"/>
      </w:r>
      <w:r>
        <w:rPr>
          <w:rFonts w:ascii="方正仿宋_GBK" w:eastAsia="方正仿宋_GBK"/>
          <w:sz w:val="28"/>
        </w:rPr>
        <w:instrText xml:space="preserve"> TC 144、普惠性民办幼儿园生均公用经费绩效目标表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360018大王店镇中心学校（幼儿园）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471200.00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471200.00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为加强普惠性幼儿园的扶持和管理，不断扩充普惠性学前教育资源，保障适龄儿童接受公益普惠、质量良好的学前教育。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3.保障适龄儿童接受公益普惠、质量良好的学前教育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全镇幼儿园足额落实每生400元。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全镇幼儿园足额保障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普惠性民办园幼儿受益情况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1178人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13" w:name="_Toc71388448"/>
      <w:r>
        <w:rPr>
          <w:rFonts w:hint="eastAsia" w:ascii="方正仿宋_GBK" w:eastAsia="方正仿宋_GBK"/>
          <w:sz w:val="28"/>
        </w:rPr>
        <w:t>11、</w:t>
      </w:r>
      <w:r>
        <w:rPr>
          <w:rFonts w:ascii="方正仿宋_GBK" w:eastAsia="方正仿宋_GBK"/>
          <w:sz w:val="28"/>
        </w:rPr>
        <w:t>大王店镇幼儿园教育教学活动经费绩效目标表</w:t>
      </w:r>
      <w:bookmarkEnd w:id="13"/>
      <w:r>
        <w:fldChar w:fldCharType="begin"/>
      </w:r>
      <w:r>
        <w:rPr>
          <w:rFonts w:ascii="方正仿宋_GBK" w:eastAsia="方正仿宋_GBK"/>
          <w:sz w:val="28"/>
        </w:rPr>
        <w:instrText xml:space="preserve"> TC 145、大王店镇幼儿园教育教学活动经费绩效目标表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360018大王店镇中心学校（幼儿园）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13062521AVE7DYOQ19I1Z</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大王店镇幼儿园教育教学活动经费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2151600.00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2151600.00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为在园幼儿提供保育和教育服务，保障幼儿园正常运转。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40.00%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学前教育活动经费覆盖情况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按照时间进度要求和计划完成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sz w:val="28"/>
        </w:rPr>
      </w:pPr>
      <w:bookmarkStart w:id="14" w:name="_Toc71388449"/>
      <w:r>
        <w:rPr>
          <w:rFonts w:hint="eastAsia" w:ascii="方正仿宋_GBK" w:eastAsia="方正仿宋_GBK"/>
          <w:sz w:val="28"/>
        </w:rPr>
        <w:t>12、</w:t>
      </w:r>
      <w:r>
        <w:rPr>
          <w:rFonts w:ascii="方正仿宋_GBK" w:eastAsia="方正仿宋_GBK"/>
          <w:sz w:val="28"/>
        </w:rPr>
        <w:t>幼儿园生均公用经费绩效目标表</w:t>
      </w:r>
      <w:bookmarkEnd w:id="14"/>
      <w:r>
        <w:fldChar w:fldCharType="begin"/>
      </w:r>
      <w:r>
        <w:rPr>
          <w:rFonts w:ascii="方正仿宋_GBK" w:eastAsia="方正仿宋_GBK"/>
          <w:sz w:val="28"/>
        </w:rPr>
        <w:instrText xml:space="preserve"> TC 146、幼儿园生均公用经费绩效目标表 \f C \l 1 </w:instrText>
      </w:r>
      <w:r>
        <w:rPr>
          <w:rFonts w:ascii="方正仿宋_GBK" w:eastAsia="方正仿宋_GBK"/>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rPr>
            </w:pPr>
            <w:r>
              <w:rPr>
                <w:rFonts w:ascii="方正书宋_GBK" w:eastAsia="方正书宋_GBK"/>
              </w:rPr>
              <w:t>360018大王店镇中心学校（幼儿园）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预算规模及资金用途</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516000.00</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516000.00</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促进学前教育健康快速发展，提高幼儿园经费保障水平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资金支出计划（%）</w:t>
            </w:r>
          </w:p>
        </w:tc>
        <w:tc>
          <w:tcPr>
            <w:tcW w:w="2410"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3月底</w:t>
            </w:r>
          </w:p>
        </w:tc>
        <w:tc>
          <w:tcPr>
            <w:tcW w:w="1587" w:type="dxa"/>
            <w:shd w:val="clear" w:color="auto" w:fill="auto"/>
            <w:vAlign w:val="center"/>
          </w:tcPr>
          <w:p>
            <w:pPr>
              <w:spacing w:line="300" w:lineRule="exact"/>
              <w:jc w:val="center"/>
              <w:rPr>
                <w:rFonts w:ascii="方正书宋_GBK" w:eastAsia="方正书宋_GBK"/>
              </w:rPr>
            </w:pPr>
            <w:r>
              <w:rPr>
                <w:rFonts w:ascii="方正书宋_GBK" w:eastAsia="方正书宋_GBK"/>
              </w:rPr>
              <w:t>6月底</w:t>
            </w:r>
          </w:p>
        </w:tc>
        <w:tc>
          <w:tcPr>
            <w:tcW w:w="1304" w:type="dxa"/>
            <w:shd w:val="clear" w:color="auto" w:fill="auto"/>
            <w:vAlign w:val="center"/>
          </w:tcPr>
          <w:p>
            <w:pPr>
              <w:spacing w:line="300" w:lineRule="exact"/>
              <w:jc w:val="center"/>
              <w:rPr>
                <w:rFonts w:ascii="方正书宋_GBK" w:eastAsia="方正书宋_GBK"/>
              </w:rPr>
            </w:pPr>
            <w:r>
              <w:rPr>
                <w:rFonts w:ascii="方正书宋_GBK" w:eastAsia="方正书宋_GBK"/>
              </w:rPr>
              <w:t>10月底</w:t>
            </w:r>
          </w:p>
        </w:tc>
        <w:tc>
          <w:tcPr>
            <w:tcW w:w="2977" w:type="dxa"/>
            <w:gridSpan w:val="2"/>
            <w:shd w:val="clear" w:color="auto" w:fill="auto"/>
            <w:vAlign w:val="center"/>
          </w:tcPr>
          <w:p>
            <w:pPr>
              <w:spacing w:line="300" w:lineRule="exact"/>
              <w:jc w:val="center"/>
              <w:rPr>
                <w:rFonts w:ascii="方正书宋_GBK" w:eastAsia="方正书宋_GBK"/>
              </w:rPr>
            </w:pPr>
            <w:r>
              <w:rPr>
                <w:rFonts w:ascii="方正书宋_GBK" w:eastAsia="方正书宋_GBK"/>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rPr>
            </w:pPr>
            <w:r>
              <w:rPr>
                <w:rFonts w:ascii="方正书宋_GBK" w:eastAsia="方正书宋_GBK"/>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3.保障适龄儿童接受质量良好的学前教育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一级指标</w:t>
            </w:r>
          </w:p>
        </w:tc>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二级指标</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三级指标</w:t>
            </w:r>
          </w:p>
        </w:tc>
        <w:tc>
          <w:tcPr>
            <w:tcW w:w="2891" w:type="dxa"/>
            <w:shd w:val="clear" w:color="auto" w:fill="auto"/>
            <w:vAlign w:val="center"/>
          </w:tcPr>
          <w:p>
            <w:pPr>
              <w:spacing w:line="300" w:lineRule="exact"/>
              <w:jc w:val="center"/>
              <w:rPr>
                <w:rFonts w:ascii="方正书宋_GBK" w:eastAsia="方正书宋_GBK"/>
              </w:rPr>
            </w:pPr>
            <w:r>
              <w:rPr>
                <w:rFonts w:ascii="方正书宋_GBK" w:eastAsia="方正书宋_GBK"/>
              </w:rPr>
              <w:t>绩效指标描述</w:t>
            </w:r>
          </w:p>
        </w:tc>
        <w:tc>
          <w:tcPr>
            <w:tcW w:w="1276"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w:t>
            </w:r>
          </w:p>
        </w:tc>
        <w:tc>
          <w:tcPr>
            <w:tcW w:w="1701" w:type="dxa"/>
            <w:shd w:val="clear" w:color="auto" w:fill="auto"/>
            <w:vAlign w:val="center"/>
          </w:tcPr>
          <w:p>
            <w:pPr>
              <w:spacing w:line="300" w:lineRule="exact"/>
              <w:jc w:val="center"/>
              <w:rPr>
                <w:rFonts w:ascii="方正书宋_GBK" w:eastAsia="方正书宋_GBK"/>
              </w:rPr>
            </w:pPr>
            <w:r>
              <w:rPr>
                <w:rFonts w:ascii="方正书宋_GBK" w:eastAsia="方正书宋_GBK"/>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公办幼儿园生均公用经费落实情况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学前教育工作运行情况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按预算保障公办园生均公用经费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按照支出进度要求和预算构成执行指标完成率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入园率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幼儿园入园率较上一年度提高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tabs>
          <w:tab w:val="left" w:pos="8024"/>
        </w:tabs>
        <w:jc w:val="left"/>
        <w:sectPr>
          <w:pgSz w:w="11907" w:h="16839"/>
          <w:pgMar w:top="1984" w:right="1304" w:bottom="1134" w:left="1304" w:header="851" w:footer="992" w:gutter="0"/>
          <w:cols w:space="425" w:num="1"/>
          <w:docGrid w:type="lines" w:linePitch="312" w:charSpace="0"/>
        </w:sectPr>
      </w:pPr>
    </w:p>
    <w:p>
      <w:pPr>
        <w:jc w:val="center"/>
        <w:rPr>
          <w:rFonts w:ascii="方正小标宋_GBK" w:eastAsia="方正小标宋_GBK"/>
          <w:sz w:val="36"/>
          <w:szCs w:val="20"/>
        </w:rPr>
      </w:pPr>
      <w:r>
        <w:rPr>
          <w:rFonts w:hint="eastAsia" w:ascii="方正小标宋_GBK" w:eastAsia="方正小标宋_GBK"/>
          <w:sz w:val="36"/>
          <w:szCs w:val="20"/>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jc w:val="center"/>
        <w:outlineLvl w:val="1"/>
      </w:pPr>
      <w:bookmarkStart w:id="15" w:name="_Toc_2_2_0000000007"/>
      <w:r>
        <w:rPr>
          <w:rFonts w:ascii="方正小标宋_GBK" w:hAnsi="方正小标宋_GBK" w:eastAsia="方正小标宋_GBK" w:cs="方正小标宋_GBK"/>
          <w:color w:val="000000"/>
          <w:sz w:val="32"/>
        </w:rPr>
        <w:t>单位政府采购预算</w:t>
      </w:r>
      <w:bookmarkEnd w:id="15"/>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0"/>
              <w:rPr>
                <w:lang w:eastAsia="zh-CN"/>
              </w:rPr>
            </w:pPr>
            <w:r>
              <w:t>360</w:t>
            </w:r>
            <w:r>
              <w:rPr>
                <w:rFonts w:hint="eastAsia"/>
                <w:lang w:eastAsia="zh-CN"/>
              </w:rPr>
              <w:t>021</w:t>
            </w:r>
            <w:r>
              <w:t>保定市徐水区</w:t>
            </w:r>
            <w:r>
              <w:rPr>
                <w:rFonts w:hint="eastAsia"/>
                <w:lang w:eastAsia="zh-CN"/>
              </w:rPr>
              <w:t>大王店镇中心学校</w:t>
            </w:r>
          </w:p>
        </w:tc>
        <w:tc>
          <w:tcPr>
            <w:tcW w:w="8676" w:type="dxa"/>
            <w:gridSpan w:val="9"/>
            <w:tcBorders>
              <w:top w:val="single" w:color="FFFFFF" w:sz="6" w:space="0"/>
              <w:left w:val="single" w:color="FFFFFF" w:sz="6" w:space="0"/>
              <w:right w:val="single" w:color="FFFFFF" w:sz="6" w:space="0"/>
            </w:tcBorders>
            <w:vAlign w:val="center"/>
          </w:tcPr>
          <w:p>
            <w:pPr>
              <w:pStyle w:val="11"/>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2"/>
              <w:rPr>
                <w:b w:val="0"/>
              </w:rPr>
            </w:pPr>
            <w:r>
              <w:rPr>
                <w:b w:val="0"/>
              </w:rPr>
              <w:t>政府采购项目来源</w:t>
            </w:r>
          </w:p>
        </w:tc>
        <w:tc>
          <w:tcPr>
            <w:tcW w:w="1134" w:type="dxa"/>
            <w:vMerge w:val="restart"/>
            <w:vAlign w:val="center"/>
          </w:tcPr>
          <w:p>
            <w:pPr>
              <w:pStyle w:val="12"/>
              <w:rPr>
                <w:b w:val="0"/>
              </w:rPr>
            </w:pPr>
            <w:r>
              <w:rPr>
                <w:b w:val="0"/>
              </w:rPr>
              <w:t>采购物品名称</w:t>
            </w:r>
          </w:p>
        </w:tc>
        <w:tc>
          <w:tcPr>
            <w:tcW w:w="1134" w:type="dxa"/>
            <w:vMerge w:val="restart"/>
            <w:vAlign w:val="center"/>
          </w:tcPr>
          <w:p>
            <w:pPr>
              <w:pStyle w:val="12"/>
              <w:rPr>
                <w:b w:val="0"/>
              </w:rPr>
            </w:pPr>
            <w:r>
              <w:rPr>
                <w:b w:val="0"/>
              </w:rPr>
              <w:t>政府采购目录序号</w:t>
            </w:r>
          </w:p>
        </w:tc>
        <w:tc>
          <w:tcPr>
            <w:tcW w:w="709" w:type="dxa"/>
            <w:vMerge w:val="restart"/>
            <w:vAlign w:val="center"/>
          </w:tcPr>
          <w:p>
            <w:pPr>
              <w:pStyle w:val="12"/>
              <w:rPr>
                <w:b w:val="0"/>
              </w:rPr>
            </w:pPr>
            <w:r>
              <w:rPr>
                <w:b w:val="0"/>
              </w:rPr>
              <w:t>计量  单位</w:t>
            </w:r>
          </w:p>
        </w:tc>
        <w:tc>
          <w:tcPr>
            <w:tcW w:w="850" w:type="dxa"/>
            <w:vMerge w:val="restart"/>
            <w:vAlign w:val="center"/>
          </w:tcPr>
          <w:p>
            <w:pPr>
              <w:pStyle w:val="12"/>
              <w:rPr>
                <w:b w:val="0"/>
              </w:rPr>
            </w:pPr>
            <w:r>
              <w:rPr>
                <w:b w:val="0"/>
              </w:rPr>
              <w:t>数量</w:t>
            </w:r>
          </w:p>
        </w:tc>
        <w:tc>
          <w:tcPr>
            <w:tcW w:w="850" w:type="dxa"/>
            <w:vMerge w:val="restart"/>
            <w:vAlign w:val="center"/>
          </w:tcPr>
          <w:p>
            <w:pPr>
              <w:pStyle w:val="12"/>
              <w:rPr>
                <w:b w:val="0"/>
              </w:rPr>
            </w:pPr>
            <w:r>
              <w:rPr>
                <w:b w:val="0"/>
              </w:rPr>
              <w:t>单价</w:t>
            </w:r>
          </w:p>
        </w:tc>
        <w:tc>
          <w:tcPr>
            <w:tcW w:w="7712" w:type="dxa"/>
            <w:gridSpan w:val="8"/>
            <w:vAlign w:val="center"/>
          </w:tcPr>
          <w:p>
            <w:pPr>
              <w:pStyle w:val="12"/>
              <w:rPr>
                <w:b w:val="0"/>
              </w:rPr>
            </w:pPr>
            <w:r>
              <w:rPr>
                <w:b w:val="0"/>
              </w:rPr>
              <w:t>政府采购金额（当年单位预算安排资金）</w:t>
            </w:r>
          </w:p>
        </w:tc>
        <w:tc>
          <w:tcPr>
            <w:tcW w:w="964" w:type="dxa"/>
            <w:vMerge w:val="restart"/>
            <w:vAlign w:val="center"/>
          </w:tcPr>
          <w:p>
            <w:pPr>
              <w:pStyle w:val="12"/>
              <w:rPr>
                <w:b w:val="0"/>
              </w:rPr>
            </w:pPr>
            <w:r>
              <w:rPr>
                <w:b w:val="0"/>
              </w:rP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55" w:hRule="atLeast"/>
          <w:tblHeader/>
          <w:jc w:val="center"/>
        </w:trPr>
        <w:tc>
          <w:tcPr>
            <w:tcW w:w="1701" w:type="dxa"/>
            <w:vAlign w:val="center"/>
          </w:tcPr>
          <w:p>
            <w:pPr>
              <w:pStyle w:val="12"/>
              <w:rPr>
                <w:b w:val="0"/>
              </w:rPr>
            </w:pPr>
            <w:r>
              <w:rPr>
                <w:b w:val="0"/>
              </w:rPr>
              <w:t>项目名称</w:t>
            </w:r>
          </w:p>
        </w:tc>
        <w:tc>
          <w:tcPr>
            <w:tcW w:w="964" w:type="dxa"/>
            <w:vAlign w:val="center"/>
          </w:tcPr>
          <w:p>
            <w:pPr>
              <w:pStyle w:val="12"/>
              <w:rPr>
                <w:b w:val="0"/>
              </w:rPr>
            </w:pPr>
            <w:r>
              <w:rPr>
                <w:b w:val="0"/>
              </w:rP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2"/>
              <w:rPr>
                <w:b w:val="0"/>
              </w:rPr>
            </w:pPr>
            <w:r>
              <w:rPr>
                <w:b w:val="0"/>
              </w:rPr>
              <w:t>合计</w:t>
            </w:r>
          </w:p>
        </w:tc>
        <w:tc>
          <w:tcPr>
            <w:tcW w:w="964" w:type="dxa"/>
            <w:vAlign w:val="center"/>
          </w:tcPr>
          <w:p>
            <w:pPr>
              <w:pStyle w:val="12"/>
              <w:rPr>
                <w:b w:val="0"/>
              </w:rPr>
            </w:pPr>
            <w:r>
              <w:rPr>
                <w:b w:val="0"/>
              </w:rPr>
              <w:t>一般公共预算拨款</w:t>
            </w:r>
          </w:p>
        </w:tc>
        <w:tc>
          <w:tcPr>
            <w:tcW w:w="964" w:type="dxa"/>
            <w:vAlign w:val="center"/>
          </w:tcPr>
          <w:p>
            <w:pPr>
              <w:pStyle w:val="12"/>
              <w:rPr>
                <w:b w:val="0"/>
              </w:rPr>
            </w:pPr>
            <w:r>
              <w:rPr>
                <w:b w:val="0"/>
              </w:rPr>
              <w:t>基金预算拨款</w:t>
            </w:r>
          </w:p>
        </w:tc>
        <w:tc>
          <w:tcPr>
            <w:tcW w:w="964" w:type="dxa"/>
            <w:vAlign w:val="center"/>
          </w:tcPr>
          <w:p>
            <w:pPr>
              <w:pStyle w:val="12"/>
              <w:rPr>
                <w:b w:val="0"/>
              </w:rPr>
            </w:pPr>
            <w:r>
              <w:rPr>
                <w:b w:val="0"/>
              </w:rPr>
              <w:t>国有资本经营预算拨款</w:t>
            </w:r>
          </w:p>
        </w:tc>
        <w:tc>
          <w:tcPr>
            <w:tcW w:w="964" w:type="dxa"/>
            <w:vAlign w:val="center"/>
          </w:tcPr>
          <w:p>
            <w:pPr>
              <w:pStyle w:val="12"/>
              <w:rPr>
                <w:b w:val="0"/>
              </w:rPr>
            </w:pPr>
            <w:r>
              <w:rPr>
                <w:b w:val="0"/>
              </w:rPr>
              <w:t>财政专户核拨</w:t>
            </w:r>
          </w:p>
        </w:tc>
        <w:tc>
          <w:tcPr>
            <w:tcW w:w="964" w:type="dxa"/>
            <w:vAlign w:val="center"/>
          </w:tcPr>
          <w:p>
            <w:pPr>
              <w:pStyle w:val="12"/>
              <w:rPr>
                <w:b w:val="0"/>
              </w:rPr>
            </w:pPr>
            <w:r>
              <w:rPr>
                <w:b w:val="0"/>
              </w:rPr>
              <w:t>单位    资金</w:t>
            </w:r>
          </w:p>
        </w:tc>
        <w:tc>
          <w:tcPr>
            <w:tcW w:w="964" w:type="dxa"/>
            <w:vAlign w:val="center"/>
          </w:tcPr>
          <w:p>
            <w:pPr>
              <w:pStyle w:val="12"/>
              <w:rPr>
                <w:b w:val="0"/>
              </w:rPr>
            </w:pPr>
            <w:r>
              <w:rPr>
                <w:b w:val="0"/>
              </w:rPr>
              <w:t>财政拨    款结转</w:t>
            </w:r>
          </w:p>
        </w:tc>
        <w:tc>
          <w:tcPr>
            <w:tcW w:w="964" w:type="dxa"/>
            <w:vAlign w:val="center"/>
          </w:tcPr>
          <w:p>
            <w:pPr>
              <w:pStyle w:val="12"/>
              <w:rPr>
                <w:b w:val="0"/>
              </w:rPr>
            </w:pPr>
            <w:r>
              <w:rPr>
                <w:b w:val="0"/>
              </w:rP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3"/>
              <w:rPr>
                <w:b w:val="0"/>
                <w:lang w:eastAsia="zh-CN"/>
              </w:rPr>
            </w:pPr>
            <w:r>
              <w:rPr>
                <w:rFonts w:hint="eastAsia"/>
                <w:b w:val="0"/>
                <w:lang w:eastAsia="zh-CN"/>
              </w:rPr>
              <w:t>徐水区大王店中心学校</w:t>
            </w:r>
          </w:p>
        </w:tc>
        <w:tc>
          <w:tcPr>
            <w:tcW w:w="964" w:type="dxa"/>
            <w:vAlign w:val="center"/>
          </w:tcPr>
          <w:p>
            <w:pPr>
              <w:pStyle w:val="14"/>
              <w:rPr>
                <w:b w:val="0"/>
              </w:rPr>
            </w:pPr>
          </w:p>
        </w:tc>
        <w:tc>
          <w:tcPr>
            <w:tcW w:w="1134" w:type="dxa"/>
            <w:vAlign w:val="center"/>
          </w:tcPr>
          <w:p>
            <w:pPr>
              <w:pStyle w:val="15"/>
              <w:rPr>
                <w:b w:val="0"/>
              </w:rPr>
            </w:pPr>
          </w:p>
        </w:tc>
        <w:tc>
          <w:tcPr>
            <w:tcW w:w="1134" w:type="dxa"/>
            <w:vAlign w:val="center"/>
          </w:tcPr>
          <w:p>
            <w:pPr>
              <w:pStyle w:val="15"/>
              <w:rPr>
                <w:b w:val="0"/>
              </w:rPr>
            </w:pPr>
          </w:p>
        </w:tc>
        <w:tc>
          <w:tcPr>
            <w:tcW w:w="709" w:type="dxa"/>
            <w:vAlign w:val="center"/>
          </w:tcPr>
          <w:p>
            <w:pPr>
              <w:pStyle w:val="13"/>
              <w:rPr>
                <w:b w:val="0"/>
              </w:rPr>
            </w:pPr>
          </w:p>
        </w:tc>
        <w:tc>
          <w:tcPr>
            <w:tcW w:w="850" w:type="dxa"/>
            <w:vAlign w:val="center"/>
          </w:tcPr>
          <w:p>
            <w:pPr>
              <w:pStyle w:val="14"/>
              <w:rPr>
                <w:b w:val="0"/>
              </w:rPr>
            </w:pPr>
          </w:p>
        </w:tc>
        <w:tc>
          <w:tcPr>
            <w:tcW w:w="850"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c>
          <w:tcPr>
            <w:tcW w:w="964" w:type="dxa"/>
            <w:vAlign w:val="center"/>
          </w:tcPr>
          <w:p>
            <w:pPr>
              <w:pStyle w:val="14"/>
              <w:rPr>
                <w:b w:val="0"/>
              </w:rPr>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jc w:val="center"/>
        <w:outlineLvl w:val="0"/>
        <w:rPr>
          <w:rFonts w:ascii="方正小标宋_GBK" w:eastAsia="方正小标宋_GBK"/>
          <w:sz w:val="36"/>
          <w:szCs w:val="20"/>
        </w:rPr>
      </w:pPr>
      <w:r>
        <w:rPr>
          <w:rFonts w:hint="eastAsia" w:ascii="方正小标宋_GBK" w:eastAsia="方正小标宋_GBK"/>
          <w:sz w:val="36"/>
          <w:szCs w:val="20"/>
        </w:rPr>
        <w:t>第七部分：国有资产信息</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spacing w:line="360" w:lineRule="auto"/>
              <w:ind w:firstLine="560" w:firstLineChars="200"/>
              <w:rPr>
                <w:rFonts w:ascii="仿宋" w:hAnsi="仿宋" w:eastAsia="仿宋"/>
                <w:sz w:val="28"/>
                <w:szCs w:val="28"/>
              </w:rPr>
            </w:pPr>
            <w:r>
              <w:rPr>
                <w:rFonts w:hint="eastAsia" w:ascii="仿宋" w:hAnsi="仿宋" w:eastAsia="仿宋"/>
                <w:sz w:val="28"/>
                <w:szCs w:val="28"/>
              </w:rPr>
              <w:t>上年末我单位固定资产总金额为1602万元（详见下表）。</w:t>
            </w:r>
            <w:r>
              <w:rPr>
                <w:rFonts w:ascii="仿宋" w:hAnsi="仿宋" w:eastAsia="仿宋"/>
                <w:sz w:val="28"/>
                <w:szCs w:val="28"/>
              </w:rPr>
              <w:t xml:space="preserve"> 本年度拟购置固定资产总额为</w:t>
            </w:r>
            <w:r>
              <w:rPr>
                <w:rFonts w:hint="eastAsia" w:ascii="仿宋" w:hAnsi="仿宋" w:eastAsia="仿宋"/>
                <w:sz w:val="28"/>
                <w:szCs w:val="28"/>
              </w:rPr>
              <w:t>0</w:t>
            </w:r>
            <w:r>
              <w:rPr>
                <w:rFonts w:ascii="仿宋" w:hAnsi="仿宋" w:eastAsia="仿宋"/>
                <w:sz w:val="28"/>
                <w:szCs w:val="28"/>
              </w:rPr>
              <w:t>万元，已列入政府采购预算，详见政府采购预算表。</w:t>
            </w:r>
          </w:p>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kern w:val="0"/>
                <w:sz w:val="32"/>
                <w:szCs w:val="32"/>
              </w:rPr>
              <w:t xml:space="preserve">                           </w:t>
            </w:r>
            <w:r>
              <w:rPr>
                <w:rFonts w:hint="eastAsia" w:ascii="仿宋_GB2312" w:hAnsi="仿宋" w:eastAsia="仿宋_GB2312" w:cs="宋体"/>
                <w:kern w:val="0"/>
                <w:sz w:val="28"/>
                <w:szCs w:val="28"/>
              </w:rPr>
              <w:t>截止时间：</w:t>
            </w:r>
            <w:r>
              <w:rPr>
                <w:rFonts w:ascii="仿宋_GB2312" w:hAnsi="仿宋" w:eastAsia="仿宋_GB2312" w:cs="宋体"/>
                <w:color w:val="FF0000"/>
                <w:kern w:val="0"/>
                <w:sz w:val="28"/>
                <w:szCs w:val="28"/>
              </w:rPr>
              <w:t>2020</w:t>
            </w:r>
            <w:r>
              <w:rPr>
                <w:rFonts w:hint="eastAsia" w:ascii="仿宋_GB2312" w:hAnsi="仿宋" w:eastAsia="仿宋_GB2312" w:cs="宋体"/>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1602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90000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1002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36"/>
          <w:szCs w:val="20"/>
        </w:rPr>
      </w:pPr>
      <w:r>
        <w:rPr>
          <w:rFonts w:hint="eastAsia" w:ascii="方正小标宋_GBK" w:eastAsia="方正小标宋_GBK"/>
          <w:sz w:val="36"/>
          <w:szCs w:val="20"/>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36"/>
          <w:szCs w:val="20"/>
        </w:rPr>
      </w:pPr>
      <w:r>
        <w:rPr>
          <w:rFonts w:hint="eastAsia" w:ascii="方正小标宋_GBK" w:eastAsia="方正小标宋_GBK"/>
          <w:sz w:val="36"/>
          <w:szCs w:val="20"/>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p>
      <w:pPr>
        <w:spacing w:line="360" w:lineRule="auto"/>
        <w:ind w:firstLine="640" w:firstLineChars="200"/>
        <w:rPr>
          <w:rFonts w:ascii="仿宋" w:hAnsi="仿宋" w:eastAsia="仿宋"/>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NjllNjM2ZWMzMWFhY2EwNGNlMWIwMzcyNzVmM2EifQ=="/>
  </w:docVars>
  <w:rsids>
    <w:rsidRoot w:val="00055F1F"/>
    <w:rsid w:val="00013B8A"/>
    <w:rsid w:val="00044FBC"/>
    <w:rsid w:val="00055F1F"/>
    <w:rsid w:val="000577EF"/>
    <w:rsid w:val="00057F18"/>
    <w:rsid w:val="00083CFC"/>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63398"/>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911E7"/>
    <w:rsid w:val="005B1B6F"/>
    <w:rsid w:val="005B6CCB"/>
    <w:rsid w:val="005C54AA"/>
    <w:rsid w:val="005C7B89"/>
    <w:rsid w:val="0062788A"/>
    <w:rsid w:val="00641F8A"/>
    <w:rsid w:val="0066383B"/>
    <w:rsid w:val="006712CD"/>
    <w:rsid w:val="0069605F"/>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04AB1CAC"/>
    <w:rsid w:val="0B155FA8"/>
    <w:rsid w:val="11811A0B"/>
    <w:rsid w:val="30E46F60"/>
    <w:rsid w:val="3519308F"/>
    <w:rsid w:val="3B1827E3"/>
    <w:rsid w:val="4E5C0480"/>
    <w:rsid w:val="52432C25"/>
    <w:rsid w:val="610E493D"/>
    <w:rsid w:val="6D1C60F5"/>
    <w:rsid w:val="75DF6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1">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2">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4">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5">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3EDDC5-7822-4466-B116-6B8814DF3F03}">
  <ds:schemaRefs/>
</ds:datastoreItem>
</file>

<file path=docProps/app.xml><?xml version="1.0" encoding="utf-8"?>
<Properties xmlns="http://schemas.openxmlformats.org/officeDocument/2006/extended-properties" xmlns:vt="http://schemas.openxmlformats.org/officeDocument/2006/docPropsVTypes">
  <Template>Normal</Template>
  <Pages>23</Pages>
  <Words>1791</Words>
  <Characters>10211</Characters>
  <Lines>85</Lines>
  <Paragraphs>23</Paragraphs>
  <TotalTime>7</TotalTime>
  <ScaleCrop>false</ScaleCrop>
  <LinksUpToDate>false</LinksUpToDate>
  <CharactersWithSpaces>11979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2023-11-16T01:10:59Z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C4B4DA2156B24EB5873AA46C8DB406AD</vt:lpwstr>
  </property>
</Properties>
</file>