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 户木乡</w:t>
      </w:r>
      <w:r>
        <w:rPr>
          <w:b/>
          <w:sz w:val="44"/>
          <w:szCs w:val="44"/>
        </w:rPr>
        <w:t>人民政府</w:t>
      </w: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>
      <w:pPr>
        <w:jc w:val="center"/>
        <w:rPr>
          <w:b/>
          <w:sz w:val="44"/>
          <w:szCs w:val="44"/>
        </w:rPr>
      </w:pP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tabs>
          <w:tab w:val="left" w:pos="709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>（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一）</w:t>
      </w:r>
      <w:r>
        <w:rPr>
          <w:rFonts w:cs="宋体" w:asciiTheme="minorEastAsia" w:hAnsiTheme="minorEastAsia"/>
          <w:kern w:val="0"/>
          <w:sz w:val="28"/>
          <w:szCs w:val="28"/>
        </w:rPr>
        <w:t>执行本级代表大会的决议和上级国家行政机关的决定和命令，发布决定和命令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（二）</w:t>
      </w:r>
      <w:r>
        <w:rPr>
          <w:rFonts w:cs="宋体" w:asciiTheme="minorEastAsia" w:hAnsiTheme="minorEastAsia"/>
          <w:kern w:val="0"/>
          <w:sz w:val="28"/>
          <w:szCs w:val="28"/>
        </w:rPr>
        <w:t>制定并落实本行政区域内的经济发展计划，加强公共设施的建设和管理，发展各项服务事业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（三）</w:t>
      </w:r>
      <w:r>
        <w:rPr>
          <w:rFonts w:cs="宋体" w:asciiTheme="minorEastAsia" w:hAnsiTheme="minorEastAsia"/>
          <w:kern w:val="0"/>
          <w:sz w:val="28"/>
          <w:szCs w:val="28"/>
        </w:rPr>
        <w:t>加强水利建设、土地使用管理和环境综合整治，合理利用自然资源，保护、改善生态和生活环境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（四）</w:t>
      </w:r>
      <w:r>
        <w:rPr>
          <w:rFonts w:cs="宋体" w:asciiTheme="minorEastAsia" w:hAnsiTheme="minorEastAsia"/>
          <w:kern w:val="0"/>
          <w:sz w:val="28"/>
          <w:szCs w:val="28"/>
        </w:rPr>
        <w:t>依法管理镇财政，执行本级预算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（五</w:t>
      </w:r>
      <w:r>
        <w:rPr>
          <w:rFonts w:cs="宋体" w:asciiTheme="minorEastAsia" w:hAnsiTheme="minorEastAsia"/>
          <w:kern w:val="0"/>
          <w:sz w:val="28"/>
          <w:szCs w:val="28"/>
        </w:rPr>
        <w:t>、管理和发展文化、教育、科学、广播、体育、卫生等事业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（六）</w:t>
      </w:r>
      <w:r>
        <w:rPr>
          <w:rFonts w:cs="宋体" w:asciiTheme="minorEastAsia" w:hAnsiTheme="minorEastAsia"/>
          <w:kern w:val="0"/>
          <w:sz w:val="28"/>
          <w:szCs w:val="28"/>
        </w:rPr>
        <w:t>保护社会主义的全民所有财产和劳动群众的集体所有财产，保护公民个人所有的合法财产，保护公民的人身权利、民主权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利</w:t>
      </w:r>
      <w:bookmarkStart w:id="1" w:name="_GoBack"/>
      <w:bookmarkEnd w:id="1"/>
      <w:r>
        <w:rPr>
          <w:rFonts w:cs="宋体" w:asciiTheme="minorEastAsia" w:hAnsiTheme="minorEastAsia"/>
          <w:kern w:val="0"/>
          <w:sz w:val="28"/>
          <w:szCs w:val="28"/>
        </w:rPr>
        <w:t>和其他权利，保护各种经济的合法权益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（七）</w:t>
      </w:r>
      <w:r>
        <w:rPr>
          <w:rFonts w:cs="宋体" w:asciiTheme="minorEastAsia" w:hAnsiTheme="minorEastAsia"/>
          <w:kern w:val="0"/>
          <w:sz w:val="28"/>
          <w:szCs w:val="28"/>
        </w:rPr>
        <w:t>组织实施社会主义与民主法制教育，协调公安、司法行政工作，调解民事纠纷，维护社会秩序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（八）</w:t>
      </w:r>
      <w:r>
        <w:rPr>
          <w:rFonts w:cs="宋体" w:asciiTheme="minorEastAsia" w:hAnsiTheme="minorEastAsia"/>
          <w:kern w:val="0"/>
          <w:sz w:val="28"/>
          <w:szCs w:val="28"/>
        </w:rPr>
        <w:t>推行计划生育政策，控制人口增长，保护妇女、儿童和老人的合法权益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（九）</w:t>
      </w:r>
      <w:r>
        <w:rPr>
          <w:rFonts w:cs="宋体" w:asciiTheme="minorEastAsia" w:hAnsiTheme="minorEastAsia"/>
          <w:kern w:val="0"/>
          <w:sz w:val="28"/>
          <w:szCs w:val="28"/>
        </w:rPr>
        <w:t>管理民政事务工作，发展社会福利事业，做好社会保障工作，办理兵役事项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600" w:lineRule="exact"/>
        <w:ind w:firstLine="641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（十）</w:t>
      </w:r>
      <w:r>
        <w:rPr>
          <w:rFonts w:cs="宋体" w:asciiTheme="minorEastAsia" w:hAnsiTheme="minorEastAsia"/>
          <w:kern w:val="0"/>
          <w:sz w:val="28"/>
          <w:szCs w:val="28"/>
        </w:rPr>
        <w:t>办理上级人民政府交办的其他事项。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</w:t>
      </w:r>
      <w:r>
        <w:rPr>
          <w:snapToGrid w:val="0"/>
          <w:kern w:val="0"/>
          <w:sz w:val="28"/>
          <w:szCs w:val="28"/>
        </w:rPr>
        <w:t>上述职责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我单位独立核算机构1</w:t>
      </w:r>
      <w:r>
        <w:rPr>
          <w:rFonts w:hint="eastAsia"/>
          <w:snapToGrid w:val="0"/>
          <w:kern w:val="0"/>
          <w:sz w:val="28"/>
          <w:szCs w:val="28"/>
        </w:rPr>
        <w:t>个，本单位设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内设机构：</w:t>
      </w:r>
      <w:r>
        <w:rPr>
          <w:rFonts w:hint="eastAsia"/>
          <w:snapToGrid w:val="0"/>
          <w:kern w:val="0"/>
          <w:sz w:val="28"/>
          <w:szCs w:val="28"/>
        </w:rPr>
        <w:t>党政办公室</w:t>
      </w:r>
      <w:r>
        <w:rPr>
          <w:snapToGrid w:val="0"/>
          <w:kern w:val="0"/>
          <w:sz w:val="28"/>
          <w:szCs w:val="28"/>
        </w:rPr>
        <w:t>、经济发展办公室、</w:t>
      </w:r>
      <w:r>
        <w:rPr>
          <w:rFonts w:hint="eastAsia"/>
          <w:snapToGrid w:val="0"/>
          <w:kern w:val="0"/>
          <w:sz w:val="28"/>
          <w:szCs w:val="28"/>
        </w:rPr>
        <w:t>社会治安</w:t>
      </w:r>
      <w:r>
        <w:rPr>
          <w:snapToGrid w:val="0"/>
          <w:kern w:val="0"/>
          <w:sz w:val="28"/>
          <w:szCs w:val="28"/>
        </w:rPr>
        <w:t>综合治理办公室、</w:t>
      </w:r>
      <w:r>
        <w:rPr>
          <w:rFonts w:hint="eastAsia"/>
          <w:snapToGrid w:val="0"/>
          <w:kern w:val="0"/>
          <w:sz w:val="28"/>
          <w:szCs w:val="28"/>
        </w:rPr>
        <w:t>计划</w:t>
      </w:r>
      <w:r>
        <w:rPr>
          <w:snapToGrid w:val="0"/>
          <w:kern w:val="0"/>
          <w:sz w:val="28"/>
          <w:szCs w:val="28"/>
        </w:rPr>
        <w:t>生育服务中心，综合文化服务中心</w:t>
      </w:r>
      <w:r>
        <w:rPr>
          <w:rFonts w:hint="eastAsia"/>
          <w:snapToGrid w:val="0"/>
          <w:kern w:val="0"/>
          <w:sz w:val="28"/>
          <w:szCs w:val="28"/>
        </w:rPr>
        <w:t xml:space="preserve"> 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无下属</w:t>
      </w:r>
      <w:r>
        <w:rPr>
          <w:snapToGrid w:val="0"/>
          <w:kern w:val="0"/>
          <w:sz w:val="28"/>
          <w:szCs w:val="28"/>
        </w:rPr>
        <w:t>事业单位。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68人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60人</w:t>
      </w:r>
      <w:r>
        <w:rPr>
          <w:snapToGrid w:val="0"/>
          <w:kern w:val="0"/>
          <w:sz w:val="28"/>
          <w:szCs w:val="28"/>
        </w:rPr>
        <w:t>，离休人员0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8人</w:t>
      </w:r>
      <w:r>
        <w:rPr>
          <w:snapToGrid w:val="0"/>
          <w:kern w:val="0"/>
          <w:sz w:val="28"/>
          <w:szCs w:val="28"/>
        </w:rPr>
        <w:t>。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户木乡人民政府2017年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1828.6万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94.5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 888.5万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</w:t>
      </w:r>
      <w:r>
        <w:rPr>
          <w:rFonts w:hint="eastAsia"/>
          <w:snapToGrid w:val="0"/>
          <w:kern w:val="0"/>
          <w:sz w:val="28"/>
          <w:szCs w:val="28"/>
        </w:rPr>
        <w:t>：上级加大财政投入力度，财政拨款收入出现较大增幅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1650.15万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61.09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625.82万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上级专项资金支出增加 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178.46万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1828.6万元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1828.45万元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94.73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889.49万元，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：上级加大财政投入力度，财政拨款收入出现较大增幅；上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1828.45万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94.73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889.49万元，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：体制补助、专项补助济农村税费改革转移支付加大补助力度；事业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较上年增长0%，增收0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0.16万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，较上年减少0</w:t>
      </w:r>
      <w:r>
        <w:rPr>
          <w:snapToGrid w:val="0"/>
          <w:kern w:val="0"/>
          <w:sz w:val="28"/>
          <w:szCs w:val="28"/>
        </w:rPr>
        <w:t>.99</w:t>
      </w:r>
      <w:r>
        <w:rPr>
          <w:rFonts w:hint="eastAsia"/>
          <w:snapToGrid w:val="0"/>
          <w:kern w:val="0"/>
          <w:sz w:val="28"/>
          <w:szCs w:val="28"/>
        </w:rPr>
        <w:t>，下降了8</w:t>
      </w:r>
      <w:r>
        <w:rPr>
          <w:snapToGrid w:val="0"/>
          <w:kern w:val="0"/>
          <w:sz w:val="28"/>
          <w:szCs w:val="28"/>
        </w:rPr>
        <w:t>6.18%</w:t>
      </w:r>
      <w:r>
        <w:rPr>
          <w:rFonts w:hint="eastAsia"/>
          <w:snapToGrid w:val="0"/>
          <w:kern w:val="0"/>
          <w:sz w:val="28"/>
          <w:szCs w:val="28"/>
        </w:rPr>
        <w:t>，主要原因：利息收入减少。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1650.15万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664.5万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40.27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985.64万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59.73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1828.45万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94.73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889.49万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1650.15万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61.09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625.82万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原因是：</w:t>
      </w:r>
      <w:r>
        <w:rPr>
          <w:rFonts w:hint="eastAsia"/>
          <w:snapToGrid w:val="0"/>
          <w:kern w:val="0"/>
          <w:sz w:val="28"/>
          <w:szCs w:val="28"/>
        </w:rPr>
        <w:t>上级专项资金支出增加；年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178.46万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color w:val="FF000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年财政</w:t>
      </w:r>
      <w:r>
        <w:rPr>
          <w:snapToGrid w:val="0"/>
          <w:kern w:val="0"/>
          <w:sz w:val="28"/>
          <w:szCs w:val="28"/>
        </w:rPr>
        <w:t>拨款支出年初预算数为</w:t>
      </w:r>
      <w:r>
        <w:rPr>
          <w:rFonts w:hint="eastAsia"/>
          <w:snapToGrid w:val="0"/>
          <w:kern w:val="0"/>
          <w:sz w:val="28"/>
          <w:szCs w:val="28"/>
        </w:rPr>
        <w:t>801.33万元</w:t>
      </w:r>
      <w:r>
        <w:rPr>
          <w:snapToGrid w:val="0"/>
          <w:kern w:val="0"/>
          <w:sz w:val="28"/>
          <w:szCs w:val="28"/>
        </w:rPr>
        <w:t>，本年支出决算数</w:t>
      </w:r>
      <w:r>
        <w:rPr>
          <w:rFonts w:hint="eastAsia"/>
          <w:snapToGrid w:val="0"/>
          <w:kern w:val="0"/>
          <w:sz w:val="28"/>
          <w:szCs w:val="28"/>
        </w:rPr>
        <w:t>为1650.15万元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205.9%，</w:t>
      </w:r>
      <w:r>
        <w:rPr>
          <w:snapToGrid w:val="0"/>
          <w:kern w:val="0"/>
          <w:sz w:val="28"/>
          <w:szCs w:val="28"/>
        </w:rPr>
        <w:t>主要原因：</w:t>
      </w:r>
      <w:r>
        <w:rPr>
          <w:rFonts w:hint="eastAsia"/>
          <w:snapToGrid w:val="0"/>
          <w:kern w:val="0"/>
          <w:sz w:val="28"/>
          <w:szCs w:val="28"/>
        </w:rPr>
        <w:t>上级追加双代基金工程等专项资金大幅增加，新增房屋建筑物。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我单位无国有资本经营预算收支。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2017年</w:t>
      </w:r>
      <w:r>
        <w:rPr>
          <w:snapToGrid w:val="0"/>
          <w:kern w:val="0"/>
          <w:sz w:val="28"/>
          <w:szCs w:val="28"/>
        </w:rPr>
        <w:t>，在做好各项工作的前提下，节省各项开支，尤其严格控制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的支出，全年一般公共预算财政拨款</w:t>
      </w:r>
      <w:r>
        <w:rPr>
          <w:rFonts w:hint="eastAsia"/>
          <w:snapToGrid w:val="0"/>
          <w:kern w:val="0"/>
          <w:sz w:val="28"/>
          <w:szCs w:val="28"/>
        </w:rPr>
        <w:t>“三公”经费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20.07万元</w:t>
      </w:r>
      <w:r>
        <w:rPr>
          <w:snapToGrid w:val="0"/>
          <w:kern w:val="0"/>
          <w:sz w:val="28"/>
          <w:szCs w:val="28"/>
        </w:rPr>
        <w:t>，较</w:t>
      </w:r>
      <w:r>
        <w:rPr>
          <w:rFonts w:hint="eastAsia"/>
          <w:snapToGrid w:val="0"/>
          <w:kern w:val="0"/>
          <w:sz w:val="28"/>
          <w:szCs w:val="28"/>
        </w:rPr>
        <w:t>2016年减少6.01万元，减少23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2017年因公出国（境）费本年支出0万元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预算压减</w:t>
      </w:r>
      <w:r>
        <w:rPr>
          <w:rFonts w:hint="eastAsia"/>
          <w:snapToGrid w:val="0"/>
          <w:kern w:val="0"/>
          <w:sz w:val="28"/>
          <w:szCs w:val="28"/>
        </w:rPr>
        <w:t>0万元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2016年减少0万元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>因公出国（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团</w:t>
      </w:r>
      <w:r>
        <w:rPr>
          <w:snapToGrid w:val="0"/>
          <w:kern w:val="0"/>
          <w:sz w:val="28"/>
          <w:szCs w:val="28"/>
        </w:rPr>
        <w:t>组</w:t>
      </w:r>
      <w:r>
        <w:rPr>
          <w:rFonts w:hint="eastAsia"/>
          <w:snapToGrid w:val="0"/>
          <w:kern w:val="0"/>
          <w:sz w:val="28"/>
          <w:szCs w:val="28"/>
        </w:rPr>
        <w:t>0个</w:t>
      </w:r>
      <w:r>
        <w:rPr>
          <w:snapToGrid w:val="0"/>
          <w:kern w:val="0"/>
          <w:sz w:val="28"/>
          <w:szCs w:val="28"/>
        </w:rPr>
        <w:t>，因公出国（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人次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0人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19.79万元。（2017年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末</w:t>
      </w:r>
      <w:r>
        <w:rPr>
          <w:snapToGrid w:val="0"/>
          <w:kern w:val="0"/>
          <w:sz w:val="28"/>
          <w:szCs w:val="28"/>
        </w:rPr>
        <w:t>购置公务用车</w:t>
      </w:r>
      <w:r>
        <w:rPr>
          <w:rFonts w:hint="eastAsia"/>
          <w:snapToGrid w:val="0"/>
          <w:kern w:val="0"/>
          <w:sz w:val="28"/>
          <w:szCs w:val="28"/>
        </w:rPr>
        <w:t>0辆</w:t>
      </w:r>
      <w:r>
        <w:rPr>
          <w:snapToGrid w:val="0"/>
          <w:kern w:val="0"/>
          <w:sz w:val="28"/>
          <w:szCs w:val="28"/>
        </w:rPr>
        <w:t>，年末公务用车保有量</w:t>
      </w:r>
      <w:r>
        <w:rPr>
          <w:rFonts w:hint="eastAsia"/>
          <w:snapToGrid w:val="0"/>
          <w:kern w:val="0"/>
          <w:sz w:val="28"/>
          <w:szCs w:val="28"/>
        </w:rPr>
        <w:t>4辆</w:t>
      </w:r>
      <w:r>
        <w:rPr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bookmarkStart w:id="0" w:name="_Hlk536024006"/>
      <w:r>
        <w:rPr>
          <w:rFonts w:hint="eastAsia"/>
          <w:snapToGrid w:val="0"/>
          <w:kern w:val="0"/>
          <w:sz w:val="28"/>
          <w:szCs w:val="28"/>
        </w:rPr>
        <w:t>公务用车购置费本年支出0万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预算压减</w:t>
      </w:r>
      <w:r>
        <w:rPr>
          <w:rFonts w:hint="eastAsia"/>
          <w:snapToGrid w:val="0"/>
          <w:kern w:val="0"/>
          <w:sz w:val="28"/>
          <w:szCs w:val="28"/>
        </w:rPr>
        <w:t>0元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>较201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年减少0万元，减少0</w:t>
      </w:r>
      <w:r>
        <w:rPr>
          <w:snapToGrid w:val="0"/>
          <w:kern w:val="0"/>
          <w:sz w:val="28"/>
          <w:szCs w:val="28"/>
        </w:rPr>
        <w:t>%。</w:t>
      </w:r>
    </w:p>
    <w:bookmarkEnd w:id="0"/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公务用车运行维护费本年支出19.79万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；较预算</w:t>
      </w:r>
      <w:r>
        <w:rPr>
          <w:snapToGrid w:val="0"/>
          <w:kern w:val="0"/>
          <w:sz w:val="28"/>
          <w:szCs w:val="28"/>
        </w:rPr>
        <w:t>压减</w:t>
      </w:r>
      <w:r>
        <w:rPr>
          <w:rFonts w:hint="eastAsia"/>
          <w:snapToGrid w:val="0"/>
          <w:kern w:val="0"/>
          <w:sz w:val="28"/>
          <w:szCs w:val="28"/>
        </w:rPr>
        <w:t>1.01万元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5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>较201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年减少1.05万元，减少5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。主要原因：严格落实中央八项规定，压减一般性开支。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2017年公务接待费全年支出0.28万元，较</w:t>
      </w:r>
      <w:r>
        <w:rPr>
          <w:snapToGrid w:val="0"/>
          <w:kern w:val="0"/>
          <w:sz w:val="28"/>
          <w:szCs w:val="28"/>
        </w:rPr>
        <w:t>预算</w:t>
      </w:r>
      <w:r>
        <w:rPr>
          <w:rFonts w:hint="eastAsia"/>
          <w:snapToGrid w:val="0"/>
          <w:kern w:val="0"/>
          <w:sz w:val="28"/>
          <w:szCs w:val="28"/>
        </w:rPr>
        <w:t>减少4.95万元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减少95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>较201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年减少4.96万元，减少94.7</w:t>
      </w:r>
      <w:r>
        <w:rPr>
          <w:snapToGrid w:val="0"/>
          <w:kern w:val="0"/>
          <w:sz w:val="28"/>
          <w:szCs w:val="28"/>
        </w:rPr>
        <w:t>%。</w:t>
      </w:r>
      <w:r>
        <w:rPr>
          <w:rFonts w:hint="eastAsia"/>
          <w:snapToGrid w:val="0"/>
          <w:kern w:val="0"/>
          <w:sz w:val="28"/>
          <w:szCs w:val="28"/>
        </w:rPr>
        <w:t>主要原因：严格落实中央八项规定，压减一般性开支。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国内公务接待批次10个，国内公务接待人次50人；国外公务接待批次0个，国外公务接待人次0人。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(一)预算绩效管理工作开展情况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根据财政预算绩效管理要求，我单位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、绩效指标和评价标准，为预算绩效控制、绩效分析、绩效评价打下好的基础。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（二）预算项目绩效评价开展情况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按照财政预算绩效管理要求，我单位对2017年初确定的部门一般公共预算支出专项项目全面开展了绩效自评。我单位决算专项项目9项，共涉及预算资金133.6 万元，绩效自评覆盖率达到100%。较好的完成了各项绩效指标，年底通过绩效评价。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（三）预算项目绩效自评选例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“大黄公路占地补偿项目”项目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通过开展大黄公路占地补偿项目，规范农村流转行为，优化资源配置，加快新农村建设和城镇化进程，维护社会稳定，按照财政部要求和项目实施目的，设定该项目产出指标为大黄公路占地补偿资金兑付率是否在98%以上，涉稳舆情处置率是否在98%以上，设定效果指标为受益群众满意率是否超过90%，绩效自评等级为“优”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69.08万元，其中办公费18.66万元、印刷费0万元、水费0万元、电费9.95万元、邮电费9.86万元、取暖费0万元、差旅费0万元、维修（护）费0万元、会议费0万元、培训费0万元、劳务费4.93万元、公务接待费0.1万元、工会经费1.69万元、福利费0.41万元、公务用车运行维护费11.26万元、其他交通费用9.95万元，其他商品服务支出2.27等。</w:t>
      </w:r>
    </w:p>
    <w:p>
      <w:pPr>
        <w:pStyle w:val="8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2017年本部门机关运行经费支出69.08万元，比201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年减少20.02万元，下降22.47%。主要原因是：严格执行中央八项规定，节缩开支，压减一般性支出。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我单位本年度未发生政府采购。</w:t>
      </w:r>
    </w:p>
    <w:p>
      <w:pPr>
        <w:adjustRightInd w:val="0"/>
        <w:snapToGrid w:val="0"/>
        <w:spacing w:line="600" w:lineRule="exact"/>
        <w:ind w:left="210" w:leftChars="100" w:firstLine="280" w:firstLineChars="1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年政府采购预算总额为0万元，主要包括政府采购货物    0万元，工程0万元及服务0万元。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2017年本部门政府采购支出总额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0万元，其中：政府采购货物支出0万元、政府采购工程支出0万元、政府采购服务支出0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8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年末固定资产总额为541.82万元，主要包括房屋2548平方米价值231.88万元，车辆4辆价值26.03万元，单价在</w:t>
      </w:r>
      <w:r>
        <w:rPr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 xml:space="preserve">万元以上的设备0台，及其他固定资产39.3万元。 </w:t>
      </w:r>
    </w:p>
    <w:p>
      <w:pPr>
        <w:pStyle w:val="8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年资产变动情况：固定资产增加233.05万元，包括房屋变化21.81万元,车辆变换0万元，单价在50万元以上的设备变化0万元，其他固定资产增加12.04万元。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>
      <w:pPr>
        <w:pStyle w:val="8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b/>
          <w:color w:val="3E3E3E"/>
          <w:sz w:val="28"/>
          <w:szCs w:val="28"/>
        </w:rPr>
        <w:t>（</w:t>
      </w: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一）财政拨款收入：本年度从本级财政部门取得的财政拨款，包括一般公共预算财政拨款和政府性基金预算财政拨款。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（五）基本支出：填列单位为保障机构正常运转、完成日常工作任务而发生的各项支出。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（六）项目支出：填列单位为完成特定的行政工作任务或事业发展目标，在基本支出之外发生的各项支出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七）基本建设支出：填列由本级发展与改革部门集中安排的用于购置固定资产、战略性和应急性储备、土地和无形资产，以及购建基础设施、大型修缮所发生的一般公共预算财政拨款支出，不包括政府性基金、财政专户管理资金以及各类拼盘自筹资金等。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（八）其他资本性支出：填列由各级非发展与改革部门集中安排的用于购置固定资产、战备性和应急性储备、土地和无形资产，以及购建基础设施、大型修缮和财政支持企业更新改造所发生的支出。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九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（十）公务用车购置：填列单位公务用车车辆购置支出（含车辆购置税）。</w:t>
      </w:r>
    </w:p>
    <w:p>
      <w:pPr>
        <w:pStyle w:val="5"/>
        <w:spacing w:before="0" w:beforeAutospacing="0" w:after="0" w:afterAutospacing="0" w:line="384" w:lineRule="atLeast"/>
        <w:ind w:firstLine="560"/>
        <w:rPr>
          <w:rFonts w:cs="Helvetica" w:asciiTheme="minorEastAsia" w:hAnsiTheme="minorEastAsia" w:eastAsiaTheme="minorEastAsia"/>
          <w:color w:val="3E3E3E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color w:val="3E3E3E"/>
          <w:sz w:val="28"/>
          <w:szCs w:val="28"/>
        </w:rPr>
        <w:t>（十一）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23F5"/>
    <w:rsid w:val="00060FC5"/>
    <w:rsid w:val="000649E1"/>
    <w:rsid w:val="000D7705"/>
    <w:rsid w:val="001041EE"/>
    <w:rsid w:val="00130ADF"/>
    <w:rsid w:val="001452CB"/>
    <w:rsid w:val="001470C3"/>
    <w:rsid w:val="0015089B"/>
    <w:rsid w:val="00152908"/>
    <w:rsid w:val="00170E74"/>
    <w:rsid w:val="001C673D"/>
    <w:rsid w:val="001E68F2"/>
    <w:rsid w:val="00263CFD"/>
    <w:rsid w:val="002C4BCA"/>
    <w:rsid w:val="00312DEA"/>
    <w:rsid w:val="003277A3"/>
    <w:rsid w:val="003600AC"/>
    <w:rsid w:val="00372DF7"/>
    <w:rsid w:val="00390D5C"/>
    <w:rsid w:val="003F0B48"/>
    <w:rsid w:val="003F3B34"/>
    <w:rsid w:val="00471A6A"/>
    <w:rsid w:val="00496127"/>
    <w:rsid w:val="0053488E"/>
    <w:rsid w:val="00571847"/>
    <w:rsid w:val="0058572E"/>
    <w:rsid w:val="005B3169"/>
    <w:rsid w:val="0060361A"/>
    <w:rsid w:val="0061361E"/>
    <w:rsid w:val="0067075A"/>
    <w:rsid w:val="00672A2F"/>
    <w:rsid w:val="00674EC2"/>
    <w:rsid w:val="006B564B"/>
    <w:rsid w:val="006E71D0"/>
    <w:rsid w:val="006F30E0"/>
    <w:rsid w:val="00774129"/>
    <w:rsid w:val="00791B38"/>
    <w:rsid w:val="008026BF"/>
    <w:rsid w:val="0082704B"/>
    <w:rsid w:val="0083190F"/>
    <w:rsid w:val="00832799"/>
    <w:rsid w:val="008423F5"/>
    <w:rsid w:val="00842CBB"/>
    <w:rsid w:val="008711E4"/>
    <w:rsid w:val="008B63DA"/>
    <w:rsid w:val="00923A35"/>
    <w:rsid w:val="00933524"/>
    <w:rsid w:val="00936B52"/>
    <w:rsid w:val="00945D0B"/>
    <w:rsid w:val="00975B95"/>
    <w:rsid w:val="00985214"/>
    <w:rsid w:val="00986ACB"/>
    <w:rsid w:val="009B74FB"/>
    <w:rsid w:val="009F1925"/>
    <w:rsid w:val="00A372C2"/>
    <w:rsid w:val="00A41F33"/>
    <w:rsid w:val="00A609A3"/>
    <w:rsid w:val="00AA21A2"/>
    <w:rsid w:val="00AB6AB6"/>
    <w:rsid w:val="00B005DA"/>
    <w:rsid w:val="00B06E53"/>
    <w:rsid w:val="00B17297"/>
    <w:rsid w:val="00B408DE"/>
    <w:rsid w:val="00B40ED6"/>
    <w:rsid w:val="00B43551"/>
    <w:rsid w:val="00B45A0E"/>
    <w:rsid w:val="00B47613"/>
    <w:rsid w:val="00BB40D6"/>
    <w:rsid w:val="00C02AF6"/>
    <w:rsid w:val="00C222CB"/>
    <w:rsid w:val="00C41254"/>
    <w:rsid w:val="00C82568"/>
    <w:rsid w:val="00CA2480"/>
    <w:rsid w:val="00CB45AA"/>
    <w:rsid w:val="00D57855"/>
    <w:rsid w:val="00D6325B"/>
    <w:rsid w:val="00D82B38"/>
    <w:rsid w:val="00D82BB0"/>
    <w:rsid w:val="00D9008B"/>
    <w:rsid w:val="00D96FB4"/>
    <w:rsid w:val="00DB3197"/>
    <w:rsid w:val="00DB52FC"/>
    <w:rsid w:val="00DB7E7C"/>
    <w:rsid w:val="00DC5EA2"/>
    <w:rsid w:val="00E71A30"/>
    <w:rsid w:val="00ED6E61"/>
    <w:rsid w:val="00F00F83"/>
    <w:rsid w:val="00F46674"/>
    <w:rsid w:val="00F7078F"/>
    <w:rsid w:val="064A3FAD"/>
    <w:rsid w:val="06E80280"/>
    <w:rsid w:val="0B6A15E4"/>
    <w:rsid w:val="0D6054DA"/>
    <w:rsid w:val="1AF90D88"/>
    <w:rsid w:val="1F545778"/>
    <w:rsid w:val="62A02981"/>
    <w:rsid w:val="65B56696"/>
    <w:rsid w:val="67317415"/>
    <w:rsid w:val="6DB55011"/>
    <w:rsid w:val="6E5238A6"/>
    <w:rsid w:val="70FA7241"/>
    <w:rsid w:val="739A1501"/>
    <w:rsid w:val="79BE41FF"/>
    <w:rsid w:val="7C5200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12F72-E8EC-49F9-803A-96FDC19C4A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572</Words>
  <Characters>3263</Characters>
  <Lines>27</Lines>
  <Paragraphs>7</Paragraphs>
  <TotalTime>0</TotalTime>
  <ScaleCrop>false</ScaleCrop>
  <LinksUpToDate>false</LinksUpToDate>
  <CharactersWithSpaces>3828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2015-11-03T02:02:00Z</dcterms:created>
  <dc:creator>yuanxiaowei</dc:creator>
  <cp:lastModifiedBy>lenovo</cp:lastModifiedBy>
  <cp:lastPrinted>2018-10-30T03:50:00Z</cp:lastPrinted>
  <dcterms:modified xsi:type="dcterms:W3CDTF">2025-05-14T08:38:44Z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