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w:t>
      </w:r>
      <w:r>
        <w:rPr>
          <w:rFonts w:ascii="宋体" w:hAnsi="宋体" w:eastAsia="宋体"/>
          <w:b/>
          <w:sz w:val="44"/>
          <w:szCs w:val="44"/>
        </w:rPr>
        <w:t>乡</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6）保护社会主义的全民所有财产和劳动群众的集体所有财产，保护公民个人所有的合法财产，保护公民的人身权利、民主权</w:t>
      </w:r>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党政综合</w:t>
            </w:r>
            <w:r>
              <w:rPr>
                <w:rFonts w:ascii="仿宋_GB2312" w:hAnsi="仿宋" w:eastAsia="仿宋_GB2312"/>
                <w:bCs/>
                <w:sz w:val="24"/>
                <w:szCs w:val="24"/>
              </w:rPr>
              <w:t>办公室（信访办</w:t>
            </w:r>
            <w:r>
              <w:rPr>
                <w:rFonts w:hint="eastAsia" w:ascii="仿宋_GB2312" w:hAnsi="仿宋" w:eastAsia="仿宋_GB2312"/>
                <w:bCs/>
                <w:sz w:val="24"/>
                <w:szCs w:val="24"/>
              </w:rPr>
              <w:t>公</w:t>
            </w:r>
            <w:r>
              <w:rPr>
                <w:rFonts w:ascii="仿宋_GB2312" w:hAnsi="仿宋" w:eastAsia="仿宋_GB2312"/>
                <w:bCs/>
                <w:sz w:val="24"/>
                <w:szCs w:val="24"/>
              </w:rPr>
              <w:t>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党建</w:t>
            </w:r>
            <w:r>
              <w:rPr>
                <w:rFonts w:ascii="仿宋_GB2312" w:hAnsi="仿宋" w:eastAsia="仿宋_GB2312"/>
                <w:bCs/>
                <w:sz w:val="24"/>
                <w:szCs w:val="24"/>
              </w:rPr>
              <w:t>工作办公室（人大主席团办公室）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应</w:t>
            </w:r>
            <w:r>
              <w:rPr>
                <w:rFonts w:ascii="仿宋_GB2312" w:hAnsi="仿宋" w:eastAsia="仿宋_GB2312"/>
                <w:bCs/>
                <w:sz w:val="24"/>
                <w:szCs w:val="24"/>
              </w:rPr>
              <w:t>急管理办公室（财经和社会事务办公室）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自</w:t>
            </w:r>
            <w:r>
              <w:rPr>
                <w:rFonts w:ascii="仿宋_GB2312" w:hAnsi="仿宋" w:eastAsia="仿宋_GB2312"/>
                <w:bCs/>
                <w:sz w:val="24"/>
                <w:szCs w:val="24"/>
              </w:rPr>
              <w:t>然资源和生态环境办公室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综合</w:t>
            </w:r>
            <w:r>
              <w:rPr>
                <w:rFonts w:ascii="仿宋_GB2312" w:hAnsi="仿宋" w:eastAsia="仿宋_GB2312"/>
                <w:bCs/>
                <w:sz w:val="24"/>
                <w:szCs w:val="24"/>
              </w:rPr>
              <w:t>行政执法工作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6</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7</w:t>
            </w: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农业</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8</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退役</w:t>
            </w:r>
            <w:r>
              <w:rPr>
                <w:rFonts w:ascii="仿宋_GB2312" w:hAnsi="仿宋" w:eastAsia="仿宋_GB2312"/>
                <w:bCs/>
                <w:sz w:val="24"/>
                <w:szCs w:val="24"/>
              </w:rPr>
              <w:t>军人服务站</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2022年预算收入为2008.29万元,其中：一般公共预算收入1737.76万元，基金预算收入270.41万元，财政专户收入0万元，其他来源收入0.12万元。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2022年部门支出预算：2008.29万元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1550.03</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其中：人员经费1409.74万元</w:t>
      </w:r>
    </w:p>
    <w:p>
      <w:pPr>
        <w:spacing w:line="360" w:lineRule="auto"/>
        <w:ind w:firstLine="640" w:firstLineChars="200"/>
        <w:rPr>
          <w:rFonts w:ascii="仿宋" w:hAnsi="仿宋" w:eastAsia="仿宋"/>
          <w:sz w:val="32"/>
          <w:szCs w:val="32"/>
        </w:rPr>
      </w:pPr>
      <w:r>
        <w:rPr>
          <w:rFonts w:ascii="仿宋" w:hAnsi="仿宋" w:eastAsia="仿宋"/>
          <w:sz w:val="32"/>
          <w:szCs w:val="32"/>
        </w:rPr>
        <w:t>日常公用经费140.28万元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458.26万元</w:t>
      </w:r>
    </w:p>
    <w:p>
      <w:pPr>
        <w:spacing w:line="360" w:lineRule="auto"/>
        <w:ind w:firstLine="640" w:firstLineChars="200"/>
        <w:rPr>
          <w:rFonts w:ascii="仿宋" w:hAnsi="仿宋" w:eastAsia="仿宋"/>
          <w:sz w:val="32"/>
          <w:szCs w:val="32"/>
        </w:rPr>
      </w:pPr>
      <w:r>
        <w:rPr>
          <w:rFonts w:ascii="仿宋" w:hAnsi="仿宋" w:eastAsia="仿宋"/>
          <w:sz w:val="32"/>
          <w:szCs w:val="32"/>
        </w:rPr>
        <w:t>其中：本级支出458.26万元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2008.29</w:t>
      </w:r>
      <w:r>
        <w:rPr>
          <w:rFonts w:hint="eastAsia" w:ascii="仿宋" w:hAnsi="仿宋" w:eastAsia="仿宋"/>
          <w:sz w:val="32"/>
          <w:szCs w:val="32"/>
        </w:rPr>
        <w:t>万元，较上年增加</w:t>
      </w:r>
      <w:r>
        <w:rPr>
          <w:rFonts w:ascii="仿宋" w:hAnsi="仿宋" w:eastAsia="仿宋"/>
          <w:sz w:val="32"/>
          <w:szCs w:val="32"/>
        </w:rPr>
        <w:t>341.19万元。其中:基本支出增加375.69万元，主要原因是</w:t>
      </w:r>
      <w:r>
        <w:rPr>
          <w:rFonts w:hint="eastAsia" w:ascii="仿宋" w:hAnsi="仿宋" w:eastAsia="仿宋"/>
          <w:sz w:val="32"/>
          <w:szCs w:val="32"/>
        </w:rPr>
        <w:t>人员经费</w:t>
      </w:r>
      <w:r>
        <w:rPr>
          <w:rFonts w:ascii="仿宋" w:hAnsi="仿宋" w:eastAsia="仿宋"/>
          <w:sz w:val="32"/>
          <w:szCs w:val="32"/>
        </w:rPr>
        <w:t>增</w:t>
      </w:r>
      <w:r>
        <w:rPr>
          <w:rFonts w:hint="eastAsia" w:ascii="仿宋" w:hAnsi="仿宋" w:eastAsia="仿宋"/>
          <w:sz w:val="32"/>
          <w:szCs w:val="32"/>
        </w:rPr>
        <w:t>加及</w:t>
      </w:r>
      <w:r>
        <w:rPr>
          <w:rFonts w:ascii="仿宋" w:hAnsi="仿宋" w:eastAsia="仿宋"/>
          <w:sz w:val="32"/>
          <w:szCs w:val="32"/>
        </w:rPr>
        <w:t>增资；项目支出减少34.5万元，主要原因是</w:t>
      </w:r>
      <w:r>
        <w:rPr>
          <w:rFonts w:hint="eastAsia" w:ascii="仿宋" w:hAnsi="仿宋" w:eastAsia="仿宋"/>
          <w:sz w:val="32"/>
          <w:szCs w:val="32"/>
        </w:rPr>
        <w:t>按</w:t>
      </w:r>
      <w:r>
        <w:rPr>
          <w:rFonts w:ascii="仿宋" w:hAnsi="仿宋" w:eastAsia="仿宋"/>
          <w:sz w:val="32"/>
          <w:szCs w:val="32"/>
        </w:rPr>
        <w:t>照文件要求</w:t>
      </w:r>
      <w:r>
        <w:rPr>
          <w:rFonts w:hint="eastAsia" w:ascii="仿宋" w:hAnsi="仿宋" w:eastAsia="仿宋"/>
          <w:sz w:val="32"/>
          <w:szCs w:val="32"/>
        </w:rPr>
        <w:t>村两</w:t>
      </w:r>
      <w:r>
        <w:rPr>
          <w:rFonts w:ascii="仿宋" w:hAnsi="仿宋" w:eastAsia="仿宋"/>
          <w:sz w:val="32"/>
          <w:szCs w:val="32"/>
        </w:rPr>
        <w:t>委干部绩效</w:t>
      </w:r>
      <w:r>
        <w:rPr>
          <w:rFonts w:hint="eastAsia" w:ascii="仿宋" w:hAnsi="仿宋" w:eastAsia="仿宋"/>
          <w:sz w:val="32"/>
          <w:szCs w:val="32"/>
        </w:rPr>
        <w:t>工资预算</w:t>
      </w:r>
      <w:r>
        <w:rPr>
          <w:rFonts w:ascii="仿宋" w:hAnsi="仿宋" w:eastAsia="仿宋"/>
          <w:sz w:val="32"/>
          <w:szCs w:val="32"/>
        </w:rPr>
        <w:t>已</w:t>
      </w:r>
      <w:r>
        <w:rPr>
          <w:rFonts w:hint="eastAsia" w:ascii="仿宋" w:hAnsi="仿宋" w:eastAsia="仿宋"/>
          <w:sz w:val="32"/>
          <w:szCs w:val="32"/>
        </w:rPr>
        <w:t>由</w:t>
      </w:r>
      <w:r>
        <w:rPr>
          <w:rFonts w:ascii="仿宋" w:hAnsi="仿宋" w:eastAsia="仿宋"/>
          <w:sz w:val="32"/>
          <w:szCs w:val="32"/>
        </w:rPr>
        <w:t>组织部</w:t>
      </w:r>
      <w:r>
        <w:rPr>
          <w:rFonts w:hint="eastAsia" w:ascii="仿宋" w:hAnsi="仿宋" w:eastAsia="仿宋"/>
          <w:sz w:val="32"/>
          <w:szCs w:val="32"/>
        </w:rPr>
        <w:t>列入</w:t>
      </w:r>
      <w:r>
        <w:rPr>
          <w:rFonts w:ascii="仿宋" w:hAnsi="仿宋" w:eastAsia="仿宋"/>
          <w:sz w:val="32"/>
          <w:szCs w:val="32"/>
        </w:rPr>
        <w:t>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140.28</w:t>
      </w:r>
      <w:r>
        <w:rPr>
          <w:rFonts w:ascii="仿宋" w:hAnsi="仿宋" w:eastAsia="仿宋"/>
          <w:sz w:val="32"/>
          <w:szCs w:val="32"/>
        </w:rPr>
        <w:t>万元，其中办公费</w:t>
      </w:r>
      <w:r>
        <w:rPr>
          <w:rFonts w:hint="eastAsia" w:ascii="仿宋" w:hAnsi="仿宋" w:eastAsia="仿宋"/>
          <w:sz w:val="32"/>
          <w:szCs w:val="32"/>
        </w:rPr>
        <w:t>67.94</w:t>
      </w:r>
      <w:r>
        <w:rPr>
          <w:rFonts w:ascii="仿宋" w:hAnsi="仿宋" w:eastAsia="仿宋"/>
          <w:sz w:val="32"/>
          <w:szCs w:val="32"/>
        </w:rPr>
        <w:t>万元，邮电费</w:t>
      </w:r>
      <w:r>
        <w:rPr>
          <w:rFonts w:hint="eastAsia" w:ascii="仿宋" w:hAnsi="仿宋" w:eastAsia="仿宋"/>
          <w:sz w:val="32"/>
          <w:szCs w:val="32"/>
        </w:rPr>
        <w:t>12.96</w:t>
      </w:r>
      <w:r>
        <w:rPr>
          <w:rFonts w:ascii="仿宋" w:hAnsi="仿宋" w:eastAsia="仿宋"/>
          <w:sz w:val="32"/>
          <w:szCs w:val="32"/>
        </w:rPr>
        <w:t>万元，工会经费、福利费</w:t>
      </w:r>
      <w:r>
        <w:rPr>
          <w:rFonts w:hint="eastAsia" w:ascii="仿宋" w:hAnsi="仿宋" w:eastAsia="仿宋"/>
          <w:sz w:val="32"/>
          <w:szCs w:val="32"/>
        </w:rPr>
        <w:t>11.34</w:t>
      </w:r>
      <w:r>
        <w:rPr>
          <w:rFonts w:ascii="仿宋" w:hAnsi="仿宋" w:eastAsia="仿宋"/>
          <w:sz w:val="32"/>
          <w:szCs w:val="32"/>
        </w:rPr>
        <w:t>万元，公务用车运行维护费9.72万元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38.32</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10"/>
              <w:tblW w:w="8190" w:type="dxa"/>
              <w:jc w:val="center"/>
              <w:tblInd w:w="0" w:type="dxa"/>
              <w:tblLayout w:type="fixed"/>
              <w:tblCellMar>
                <w:top w:w="0" w:type="dxa"/>
                <w:left w:w="108" w:type="dxa"/>
                <w:bottom w:w="0" w:type="dxa"/>
                <w:right w:w="108" w:type="dxa"/>
              </w:tblCellMar>
            </w:tblPr>
            <w:tblGrid>
              <w:gridCol w:w="2163"/>
              <w:gridCol w:w="1276"/>
              <w:gridCol w:w="1418"/>
              <w:gridCol w:w="936"/>
              <w:gridCol w:w="2397"/>
            </w:tblGrid>
            <w:tr>
              <w:tblPrEx>
                <w:tblLayout w:type="fixed"/>
                <w:tblCellMar>
                  <w:top w:w="0" w:type="dxa"/>
                  <w:left w:w="108" w:type="dxa"/>
                  <w:bottom w:w="0" w:type="dxa"/>
                  <w:right w:w="108" w:type="dxa"/>
                </w:tblCellMar>
              </w:tblPrEx>
              <w:trPr>
                <w:trHeight w:val="405" w:hRule="atLeast"/>
                <w:jc w:val="center"/>
              </w:trPr>
              <w:tc>
                <w:tcPr>
                  <w:tcW w:w="81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9.72</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-14.08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tblPrEx>
                <w:tblLayout w:type="fixed"/>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0.17</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-5.03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tblPrEx>
                <w:tblLayout w:type="fixed"/>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9.89</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-19.11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Times New Roman" w:eastAsia="方正仿宋_GBK"/>
          <w:sz w:val="28"/>
        </w:rPr>
        <w:t>“</w:t>
      </w:r>
      <w:r>
        <w:rPr>
          <w:rFonts w:hint="eastAsia" w:ascii="Times New Roman" w:hAnsi="微软雅黑" w:eastAsia="方正仿宋_GBK" w:cs="微软雅黑"/>
          <w:sz w:val="28"/>
        </w:rPr>
        <w:t>四个服务</w:t>
      </w:r>
      <w:r>
        <w:rPr>
          <w:rFonts w:ascii="Times New Roman" w:eastAsia="方正仿宋_GBK"/>
          <w:sz w:val="28"/>
        </w:rPr>
        <w:t>”</w:t>
      </w:r>
      <w:r>
        <w:rPr>
          <w:rFonts w:hint="eastAsia" w:ascii="Times New Roman" w:hAnsi="微软雅黑" w:eastAsia="方正仿宋_GBK" w:cs="微软雅黑"/>
          <w:sz w:val="28"/>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Lines="50" w:afterLines="50" w:line="500" w:lineRule="exact"/>
        <w:ind w:firstLine="560" w:firstLineChars="200"/>
        <w:jc w:val="left"/>
        <w:outlineLvl w:val="1"/>
        <w:rPr>
          <w:rFonts w:ascii="Times New Roman" w:hAnsi="宋体" w:eastAsia="宋体"/>
          <w:sz w:val="28"/>
        </w:rPr>
      </w:pPr>
      <w:bookmarkStart w:id="0" w:name="_Toc66978215"/>
      <w:r>
        <w:rPr>
          <w:rFonts w:ascii="方正黑体_GBK" w:eastAsia="方正黑体_GBK"/>
          <w:sz w:val="28"/>
        </w:rPr>
        <w:t>二、分项绩效目标</w:t>
      </w:r>
      <w:bookmarkEnd w:id="0"/>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（一）政务服务与管理工作水平持续提升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w:t>
      </w:r>
      <w:r>
        <w:rPr>
          <w:rFonts w:ascii="Times New Roman" w:eastAsia="方正仿宋_GBK"/>
          <w:sz w:val="28"/>
        </w:rPr>
        <w:t>2022</w:t>
      </w:r>
      <w:r>
        <w:rPr>
          <w:rFonts w:hint="eastAsia" w:ascii="Times New Roman" w:hAnsi="微软雅黑" w:eastAsia="方正仿宋_GBK" w:cs="微软雅黑"/>
          <w:sz w:val="28"/>
        </w:rPr>
        <w:t>年扶贫公益</w:t>
      </w:r>
      <w:r>
        <w:rPr>
          <w:rFonts w:hint="eastAsia" w:ascii="Times New Roman" w:hAnsi="微软雅黑" w:eastAsia="方正仿宋_GBK" w:cs="微软雅黑"/>
          <w:sz w:val="28"/>
          <w:lang w:val="en-US" w:eastAsia="zh-CN"/>
        </w:rPr>
        <w:t>性</w:t>
      </w:r>
      <w:bookmarkStart w:id="21" w:name="_GoBack"/>
      <w:bookmarkEnd w:id="21"/>
      <w:r>
        <w:rPr>
          <w:rFonts w:hint="eastAsia" w:ascii="Times New Roman" w:hAnsi="微软雅黑" w:eastAsia="方正仿宋_GBK" w:cs="微软雅黑"/>
          <w:sz w:val="28"/>
        </w:rPr>
        <w:t>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绩效指标：纪检经费保障到位及时率到</w:t>
      </w:r>
      <w:r>
        <w:rPr>
          <w:rFonts w:ascii="Times New Roman" w:eastAsia="方正仿宋_GBK"/>
          <w:sz w:val="28"/>
        </w:rPr>
        <w:t>90%</w:t>
      </w:r>
      <w:r>
        <w:rPr>
          <w:rFonts w:hint="eastAsia" w:ascii="Times New Roman" w:hAnsi="微软雅黑" w:eastAsia="方正仿宋_GBK" w:cs="微软雅黑"/>
          <w:sz w:val="28"/>
        </w:rPr>
        <w:t>以上，团委综合事务管理各项综合事务完成率</w:t>
      </w:r>
      <w:r>
        <w:rPr>
          <w:rFonts w:ascii="Times New Roman" w:eastAsia="方正仿宋_GBK"/>
          <w:sz w:val="28"/>
        </w:rPr>
        <w:t>90%</w:t>
      </w:r>
      <w:r>
        <w:rPr>
          <w:rFonts w:hint="eastAsia" w:ascii="Times New Roman" w:hAnsi="微软雅黑" w:eastAsia="方正仿宋_GBK" w:cs="微软雅黑"/>
          <w:sz w:val="28"/>
        </w:rPr>
        <w:t>以上，全年组织宣传宗教活动</w:t>
      </w:r>
      <w:r>
        <w:rPr>
          <w:rFonts w:ascii="Times New Roman" w:eastAsia="方正仿宋_GBK"/>
          <w:sz w:val="28"/>
        </w:rPr>
        <w:t>10</w:t>
      </w:r>
      <w:r>
        <w:rPr>
          <w:rFonts w:hint="eastAsia" w:ascii="Times New Roman" w:hAnsi="微软雅黑" w:eastAsia="方正仿宋_GBK" w:cs="微软雅黑"/>
          <w:sz w:val="28"/>
        </w:rPr>
        <w:t>次以上，解决维稳问题占全部维稳问题的</w:t>
      </w:r>
      <w:r>
        <w:rPr>
          <w:rFonts w:ascii="Times New Roman" w:eastAsia="方正仿宋_GBK"/>
          <w:sz w:val="28"/>
        </w:rPr>
        <w:t>90%</w:t>
      </w:r>
      <w:r>
        <w:rPr>
          <w:rFonts w:hint="eastAsia" w:ascii="Times New Roman" w:hAnsi="微软雅黑" w:eastAsia="方正仿宋_GBK" w:cs="微软雅黑"/>
          <w:sz w:val="28"/>
        </w:rPr>
        <w:t>以上，地震群测群防岗位补贴、原京原公路工役制人员待遇金、退役军人公益性岗位人员工资等人员项目资金发放率均达</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（二）安全生产综合监督管理标准规范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绩效指标：全乡安全生产信息员</w:t>
      </w:r>
      <w:r>
        <w:rPr>
          <w:rFonts w:ascii="Times New Roman" w:eastAsia="方正仿宋_GBK"/>
          <w:sz w:val="28"/>
        </w:rPr>
        <w:t>21</w:t>
      </w:r>
      <w:r>
        <w:rPr>
          <w:rFonts w:hint="eastAsia" w:ascii="Times New Roman" w:hAnsi="微软雅黑" w:eastAsia="方正仿宋_GBK" w:cs="微软雅黑"/>
          <w:sz w:val="28"/>
        </w:rPr>
        <w:t>个，安全生产信息员补贴发放率</w:t>
      </w:r>
      <w:r>
        <w:rPr>
          <w:rFonts w:ascii="Times New Roman" w:eastAsia="方正仿宋_GBK"/>
          <w:sz w:val="28"/>
        </w:rPr>
        <w:t>100%</w:t>
      </w:r>
      <w:r>
        <w:rPr>
          <w:rFonts w:hint="eastAsia" w:ascii="Times New Roman" w:hAnsi="微软雅黑" w:eastAsia="方正仿宋_GBK" w:cs="微软雅黑"/>
          <w:sz w:val="28"/>
        </w:rPr>
        <w:t>，对发放补贴满意率</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（三）农村经营管理体制完善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绩效指标：瀑河水库除险加固工程善后扶持资金涉及</w:t>
      </w:r>
      <w:r>
        <w:rPr>
          <w:rFonts w:ascii="Times New Roman" w:eastAsia="方正仿宋_GBK"/>
          <w:sz w:val="28"/>
        </w:rPr>
        <w:t>4</w:t>
      </w:r>
      <w:r>
        <w:rPr>
          <w:rFonts w:hint="eastAsia" w:ascii="Times New Roman" w:hAnsi="微软雅黑" w:eastAsia="方正仿宋_GBK" w:cs="微软雅黑"/>
          <w:sz w:val="28"/>
        </w:rPr>
        <w:t>个村，土地补偿发放率</w:t>
      </w:r>
      <w:r>
        <w:rPr>
          <w:rFonts w:ascii="Times New Roman" w:eastAsia="方正仿宋_GBK"/>
          <w:sz w:val="28"/>
        </w:rPr>
        <w:t>90%</w:t>
      </w:r>
      <w:r>
        <w:rPr>
          <w:rFonts w:hint="eastAsia" w:ascii="Times New Roman" w:hAnsi="微软雅黑" w:eastAsia="方正仿宋_GBK" w:cs="微软雅黑"/>
          <w:sz w:val="28"/>
        </w:rPr>
        <w:t>，高户公路占地补偿及大黄公路占地补偿分别涉及</w:t>
      </w:r>
      <w:r>
        <w:rPr>
          <w:rFonts w:ascii="Times New Roman" w:eastAsia="方正仿宋_GBK"/>
          <w:sz w:val="28"/>
        </w:rPr>
        <w:t>5</w:t>
      </w:r>
      <w:r>
        <w:rPr>
          <w:rFonts w:hint="eastAsia" w:ascii="Times New Roman" w:hAnsi="微软雅黑" w:eastAsia="方正仿宋_GBK" w:cs="微软雅黑"/>
          <w:sz w:val="28"/>
        </w:rPr>
        <w:t>个和</w:t>
      </w:r>
      <w:r>
        <w:rPr>
          <w:rFonts w:ascii="Times New Roman" w:eastAsia="方正仿宋_GBK"/>
          <w:sz w:val="28"/>
        </w:rPr>
        <w:t>4</w:t>
      </w:r>
      <w:r>
        <w:rPr>
          <w:rFonts w:hint="eastAsia" w:ascii="Times New Roman" w:hAnsi="微软雅黑" w:eastAsia="方正仿宋_GBK" w:cs="微软雅黑"/>
          <w:sz w:val="28"/>
        </w:rPr>
        <w:t>个村，土地补贴发放率达</w:t>
      </w:r>
      <w:r>
        <w:rPr>
          <w:rFonts w:ascii="Times New Roman" w:eastAsia="方正仿宋_GBK"/>
          <w:sz w:val="28"/>
        </w:rPr>
        <w:t>90%</w:t>
      </w:r>
      <w:r>
        <w:rPr>
          <w:rFonts w:hint="eastAsia" w:ascii="Times New Roman" w:hAnsi="微软雅黑" w:eastAsia="方正仿宋_GBK" w:cs="微软雅黑"/>
          <w:sz w:val="28"/>
        </w:rPr>
        <w:t>以上。高速绿化占地及库区土地流转补贴发放率</w:t>
      </w:r>
      <w:r>
        <w:rPr>
          <w:rFonts w:ascii="Times New Roman" w:eastAsia="方正仿宋_GBK"/>
          <w:sz w:val="28"/>
        </w:rPr>
        <w:t>90%</w:t>
      </w:r>
      <w:r>
        <w:rPr>
          <w:rFonts w:hint="eastAsia" w:ascii="Times New Roman" w:hAnsi="微软雅黑" w:eastAsia="方正仿宋_GBK" w:cs="微软雅黑"/>
          <w:sz w:val="28"/>
        </w:rPr>
        <w:t>以上。以上项目收益群众满意度</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（四）社会管理强规范、为民服务高效率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绩效指标：服务群众工作任务完成率在</w:t>
      </w:r>
      <w:r>
        <w:rPr>
          <w:rFonts w:ascii="Times New Roman" w:eastAsia="方正仿宋_GBK"/>
          <w:sz w:val="28"/>
        </w:rPr>
        <w:t>90%</w:t>
      </w:r>
      <w:r>
        <w:rPr>
          <w:rFonts w:hint="eastAsia" w:ascii="Times New Roman" w:hAnsi="微软雅黑" w:eastAsia="方正仿宋_GBK" w:cs="微软雅黑"/>
          <w:sz w:val="28"/>
        </w:rPr>
        <w:t>以上，通过服务群众工作，使社会稳定水平切实得到提高；党员受教育学习</w:t>
      </w:r>
      <w:r>
        <w:rPr>
          <w:rFonts w:ascii="Times New Roman" w:eastAsia="方正仿宋_GBK"/>
          <w:sz w:val="28"/>
        </w:rPr>
        <w:t>80</w:t>
      </w:r>
      <w:r>
        <w:rPr>
          <w:rFonts w:hint="eastAsia" w:ascii="Times New Roman" w:hAnsi="微软雅黑" w:eastAsia="方正仿宋_GBK" w:cs="微软雅黑"/>
          <w:sz w:val="28"/>
        </w:rPr>
        <w:t>人次以上，党员先锋模范作用发挥充分；村级组织办公经费拨付率</w:t>
      </w:r>
      <w:r>
        <w:rPr>
          <w:rFonts w:ascii="Times New Roman" w:eastAsia="方正仿宋_GBK"/>
          <w:sz w:val="28"/>
        </w:rPr>
        <w:t>90</w:t>
      </w:r>
      <w:r>
        <w:rPr>
          <w:rFonts w:hint="eastAsia" w:ascii="Times New Roman" w:hAnsi="微软雅黑" w:eastAsia="方正仿宋_GBK" w:cs="微软雅黑"/>
          <w:sz w:val="28"/>
        </w:rPr>
        <w:t>以上；公共文化设备良好数量占全部数量</w:t>
      </w:r>
      <w:r>
        <w:rPr>
          <w:rFonts w:ascii="Times New Roman" w:eastAsia="方正仿宋_GBK"/>
          <w:sz w:val="28"/>
        </w:rPr>
        <w:t>90%</w:t>
      </w:r>
      <w:r>
        <w:rPr>
          <w:rFonts w:hint="eastAsia" w:ascii="Times New Roman" w:hAnsi="微软雅黑" w:eastAsia="方正仿宋_GBK" w:cs="微软雅黑"/>
          <w:sz w:val="28"/>
        </w:rPr>
        <w:t>以上，图书馆、美术馆等免费开放率</w:t>
      </w:r>
      <w:r>
        <w:rPr>
          <w:rFonts w:ascii="Times New Roman" w:eastAsia="方正仿宋_GBK"/>
          <w:sz w:val="28"/>
        </w:rPr>
        <w:t>90%</w:t>
      </w:r>
      <w:r>
        <w:rPr>
          <w:rFonts w:hint="eastAsia" w:ascii="Times New Roman" w:hAnsi="微软雅黑" w:eastAsia="方正仿宋_GBK" w:cs="微软雅黑"/>
          <w:sz w:val="28"/>
        </w:rPr>
        <w:t>以上。</w:t>
      </w:r>
    </w:p>
    <w:p>
      <w:pPr>
        <w:spacing w:beforeLines="50" w:afterLines="50" w:line="500" w:lineRule="exact"/>
        <w:ind w:firstLine="560" w:firstLineChars="200"/>
        <w:jc w:val="left"/>
        <w:outlineLvl w:val="1"/>
        <w:rPr>
          <w:rFonts w:ascii="Times New Roman" w:hAnsi="宋体" w:eastAsia="宋体"/>
          <w:sz w:val="28"/>
        </w:rPr>
      </w:pPr>
      <w:bookmarkStart w:id="1" w:name="_Toc66978216"/>
      <w:r>
        <w:rPr>
          <w:rFonts w:ascii="方正黑体_GBK" w:eastAsia="方正黑体_GBK"/>
          <w:sz w:val="28"/>
        </w:rPr>
        <w:t>三、工作保障措施</w:t>
      </w:r>
      <w:bookmarkEnd w:id="1"/>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1.强化政治理论武装，健全完善制度机制</w:t>
      </w:r>
    </w:p>
    <w:p>
      <w:pPr>
        <w:spacing w:line="500" w:lineRule="exact"/>
        <w:ind w:firstLine="560" w:firstLineChars="200"/>
        <w:jc w:val="left"/>
        <w:rPr>
          <w:rFonts w:ascii="Times New Roman" w:eastAsia="方正仿宋_GBK"/>
          <w:sz w:val="28"/>
        </w:rPr>
      </w:pPr>
      <w:r>
        <w:rPr>
          <w:rFonts w:ascii="Times New Roman" w:eastAsia="方正仿宋_GBK"/>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spacing w:line="500" w:lineRule="exact"/>
        <w:ind w:firstLine="560" w:firstLineChars="200"/>
        <w:jc w:val="left"/>
        <w:rPr>
          <w:rFonts w:ascii="Times New Roman" w:eastAsia="方正仿宋_GBK"/>
          <w:sz w:val="28"/>
        </w:rPr>
      </w:pPr>
      <w:r>
        <w:rPr>
          <w:rFonts w:ascii="Times New Roman" w:eastAsia="方正仿宋_GBK"/>
          <w:sz w:val="28"/>
        </w:rPr>
        <w:t>2.加强预算支出管理，确保支出进度达标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560" w:firstLineChars="200"/>
        <w:jc w:val="left"/>
        <w:rPr>
          <w:rFonts w:ascii="Times New Roman" w:eastAsia="方正仿宋_GBK"/>
          <w:sz w:val="28"/>
        </w:rPr>
      </w:pPr>
      <w:r>
        <w:rPr>
          <w:rFonts w:ascii="Times New Roman" w:eastAsia="方正仿宋_GBK"/>
          <w:sz w:val="28"/>
        </w:rPr>
        <w:t>3.加强内部监督管理，确保资金安全有效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4.加强宣传培训调研，确保绩效目标实现</w:t>
      </w:r>
    </w:p>
    <w:p>
      <w:pPr>
        <w:spacing w:line="500" w:lineRule="exact"/>
        <w:ind w:firstLine="560" w:firstLineChars="200"/>
        <w:jc w:val="left"/>
        <w:rPr>
          <w:rFonts w:ascii="Times New Roman" w:eastAsia="方正仿宋_GBK"/>
          <w:sz w:val="28"/>
        </w:rPr>
      </w:pPr>
      <w:r>
        <w:rPr>
          <w:rFonts w:ascii="Times New Roman" w:eastAsia="方正仿宋_GBK"/>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560" w:firstLineChars="200"/>
        <w:jc w:val="left"/>
        <w:rPr>
          <w:rFonts w:ascii="Times New Roman" w:eastAsia="方正仿宋_GBK"/>
          <w:sz w:val="28"/>
        </w:rPr>
      </w:pPr>
    </w:p>
    <w:p>
      <w:pPr>
        <w:jc w:val="center"/>
        <w:rPr>
          <w:rFonts w:ascii="Times New Roman" w:hAnsi="宋体" w:eastAsia="宋体"/>
        </w:rPr>
      </w:pPr>
    </w:p>
    <w:p>
      <w:pPr>
        <w:jc w:val="cente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sz w:val="52"/>
        </w:rPr>
      </w:pP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bookmarkStart w:id="2" w:name="_Toc66978217"/>
      <w:r>
        <w:rPr>
          <w:rFonts w:ascii="方正仿宋_GBK" w:eastAsia="方正仿宋_GBK"/>
          <w:b/>
          <w:sz w:val="28"/>
        </w:rPr>
        <w:t>1.纪检保障经费绩效目标表</w:t>
      </w:r>
      <w:bookmarkEnd w:id="2"/>
      <w:r>
        <w:rPr>
          <w:rFonts w:ascii="方正仿宋_GBK" w:eastAsia="方正仿宋_GBK"/>
          <w:b/>
          <w:sz w:val="28"/>
        </w:rPr>
        <w:fldChar w:fldCharType="begin"/>
      </w:r>
      <w:r>
        <w:rPr>
          <w:rFonts w:ascii="方正仿宋_GBK" w:eastAsia="方正仿宋_GBK"/>
          <w:b/>
          <w:sz w:val="28"/>
        </w:rPr>
        <w:instrText xml:space="preserve"> TC 1、纪检保障经费绩效目标表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130625214FAOB1AXECGP7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用于开展纪检经费项目，保障纪检监察工作正常开展，计划2021年1-12月实施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1.纪检保障长效机制进一步完善</w:t>
            </w:r>
          </w:p>
          <w:p>
            <w:pPr>
              <w:spacing w:line="300" w:lineRule="exact"/>
              <w:jc w:val="left"/>
              <w:rPr>
                <w:rFonts w:ascii="方正书宋_GBK" w:eastAsia="方正书宋_GBK"/>
              </w:rPr>
            </w:pPr>
            <w:r>
              <w:rPr>
                <w:rFonts w:ascii="方正书宋_GBK" w:eastAsia="方正书宋_GBK"/>
              </w:rPr>
              <w:t>2.纪检监察履职能力进一步提高</w:t>
            </w:r>
          </w:p>
          <w:p>
            <w:pPr>
              <w:spacing w:line="300" w:lineRule="exact"/>
              <w:jc w:val="left"/>
              <w:rPr>
                <w:rFonts w:ascii="方正书宋_GBK" w:eastAsia="方正书宋_GBK"/>
              </w:rPr>
            </w:pPr>
            <w:r>
              <w:rPr>
                <w:rFonts w:ascii="方正书宋_GBK" w:eastAsia="方正书宋_GBK"/>
              </w:rPr>
              <w:t>3.纪检监察服务能力进一步提升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办案件数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全年办案数量合计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执法办案行为投诉率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widowControl/>
              <w:jc w:val="left"/>
              <w:rPr>
                <w:rFonts w:ascii="Calibri" w:hAnsi="Calibri"/>
                <w:color w:val="000000"/>
                <w:kern w:val="0"/>
                <w:sz w:val="22"/>
              </w:rPr>
            </w:pPr>
            <w:r>
              <w:rPr>
                <w:rFonts w:ascii="Calibri" w:hAnsi="Calibri"/>
                <w:color w:val="000000"/>
                <w:sz w:val="22"/>
              </w:rPr>
              <w:t>徐办发【2012】34号</w:t>
            </w:r>
          </w:p>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6978218"/>
      <w:r>
        <w:rPr>
          <w:rFonts w:ascii="方正仿宋_GBK" w:eastAsia="方正仿宋_GBK"/>
          <w:b/>
          <w:sz w:val="28"/>
        </w:rPr>
        <w:t>2.乡村服务岗位补贴及保险绩效目标表</w:t>
      </w:r>
      <w:bookmarkEnd w:id="3"/>
      <w:r>
        <w:rPr>
          <w:rFonts w:ascii="方正仿宋_GBK" w:eastAsia="方正仿宋_GBK"/>
          <w:b/>
          <w:sz w:val="28"/>
        </w:rPr>
        <w:fldChar w:fldCharType="begin"/>
      </w:r>
      <w:r>
        <w:rPr>
          <w:rFonts w:ascii="方正仿宋_GBK" w:eastAsia="方正仿宋_GBK"/>
          <w:b/>
          <w:sz w:val="28"/>
        </w:rPr>
        <w:instrText xml:space="preserve"> TC 2、乡村服务岗位补贴及保险绩效目标表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130625218VYGN4GVQVQ3O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w:t>
            </w:r>
            <w:r>
              <w:rPr>
                <w:rFonts w:hint="eastAsia" w:ascii="方正书宋_GBK" w:eastAsia="方正书宋_GBK"/>
                <w:lang w:val="en-US" w:eastAsia="zh-CN"/>
              </w:rPr>
              <w:t>性</w:t>
            </w:r>
            <w:r>
              <w:rPr>
                <w:rFonts w:ascii="方正书宋_GBK" w:eastAsia="方正书宋_GBK"/>
              </w:rPr>
              <w:t>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w:t>
            </w:r>
            <w:r>
              <w:rPr>
                <w:rFonts w:hint="eastAsia" w:ascii="方正书宋_GBK" w:eastAsia="方正书宋_GBK"/>
                <w:lang w:val="en-US" w:eastAsia="zh-CN"/>
              </w:rPr>
              <w:t>性</w:t>
            </w:r>
            <w:r>
              <w:rPr>
                <w:rFonts w:hint="eastAsia" w:ascii="方正书宋_GBK" w:eastAsia="方正书宋_GBK"/>
              </w:rP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w:t>
            </w:r>
            <w:r>
              <w:rPr>
                <w:rFonts w:hint="eastAsia" w:ascii="方正书宋_GBK" w:eastAsia="方正书宋_GBK"/>
                <w:lang w:val="en-US" w:eastAsia="zh-CN"/>
              </w:rPr>
              <w:t>性</w:t>
            </w:r>
            <w:r>
              <w:rPr>
                <w:rFonts w:hint="eastAsia" w:ascii="方正书宋_GBK" w:eastAsia="方正书宋_GBK"/>
              </w:rP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w:t>
            </w:r>
            <w:r>
              <w:rPr>
                <w:rFonts w:hint="eastAsia" w:ascii="方正书宋_GBK" w:eastAsia="方正书宋_GBK"/>
                <w:lang w:val="en-US" w:eastAsia="zh-CN"/>
              </w:rPr>
              <w:t>性</w:t>
            </w:r>
            <w:r>
              <w:rPr>
                <w:rFonts w:hint="eastAsia" w:ascii="方正书宋_GBK" w:eastAsia="方正书宋_GBK"/>
              </w:rP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w:t>
            </w:r>
            <w:r>
              <w:rPr>
                <w:rFonts w:hint="eastAsia" w:ascii="方正书宋_GBK" w:eastAsia="方正书宋_GBK"/>
                <w:lang w:val="en-US" w:eastAsia="zh-CN"/>
              </w:rPr>
              <w:t>性</w:t>
            </w:r>
            <w:r>
              <w:rPr>
                <w:rFonts w:hint="eastAsia" w:ascii="方正书宋_GBK" w:eastAsia="方正书宋_GBK"/>
              </w:rP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w:t>
            </w:r>
            <w:r>
              <w:rPr>
                <w:rFonts w:hint="eastAsia" w:ascii="方正书宋_GBK" w:eastAsia="方正书宋_GBK"/>
                <w:lang w:val="en-US" w:eastAsia="zh-CN"/>
              </w:rPr>
              <w:t>性</w:t>
            </w:r>
            <w:r>
              <w:rPr>
                <w:rFonts w:hint="eastAsia" w:ascii="方正书宋_GBK" w:eastAsia="方正书宋_GBK"/>
              </w:rP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w:t>
            </w:r>
            <w:r>
              <w:rPr>
                <w:rFonts w:hint="eastAsia" w:ascii="方正书宋_GBK" w:eastAsia="方正书宋_GBK"/>
                <w:lang w:val="en-US" w:eastAsia="zh-CN"/>
              </w:rPr>
              <w:t>性</w:t>
            </w:r>
            <w:r>
              <w:rPr>
                <w:rFonts w:hint="eastAsia" w:ascii="方正书宋_GBK" w:eastAsia="方正书宋_GBK"/>
              </w:rPr>
              <w:t>岗位管理办法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4" w:name="_Toc66978220"/>
      <w:r>
        <w:rPr>
          <w:rFonts w:ascii="方正仿宋_GBK" w:eastAsia="方正仿宋_GBK"/>
          <w:b/>
          <w:sz w:val="28"/>
        </w:rPr>
        <w:t>4.大黄公路占地补偿绩效目标表</w:t>
      </w:r>
      <w:bookmarkEnd w:id="4"/>
      <w:r>
        <w:rPr>
          <w:rFonts w:ascii="方正仿宋_GBK" w:eastAsia="方正仿宋_GBK"/>
          <w:b/>
          <w:sz w:val="28"/>
        </w:rPr>
        <w:fldChar w:fldCharType="begin"/>
      </w:r>
      <w:r>
        <w:rPr>
          <w:rFonts w:ascii="方正仿宋_GBK" w:eastAsia="方正仿宋_GBK"/>
          <w:b/>
          <w:sz w:val="28"/>
        </w:rPr>
        <w:instrText xml:space="preserve"> TC 4、大黄公路占地补偿绩效目标表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13062521ARNDLHNO7Z4Y9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78221"/>
      <w:r>
        <w:rPr>
          <w:rFonts w:ascii="方正仿宋_GBK" w:eastAsia="方正仿宋_GBK"/>
          <w:b/>
          <w:sz w:val="28"/>
        </w:rPr>
        <w:t>5.人大经费绩效目标表</w:t>
      </w:r>
      <w:bookmarkEnd w:id="5"/>
      <w:r>
        <w:rPr>
          <w:rFonts w:ascii="方正仿宋_GBK" w:eastAsia="方正仿宋_GBK"/>
          <w:b/>
          <w:sz w:val="28"/>
        </w:rPr>
        <w:fldChar w:fldCharType="begin"/>
      </w:r>
      <w:r>
        <w:rPr>
          <w:rFonts w:ascii="方正仿宋_GBK" w:eastAsia="方正仿宋_GBK"/>
          <w:b/>
          <w:sz w:val="28"/>
        </w:rPr>
        <w:instrText xml:space="preserve"> TC 5、人大经费绩效目标表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13062521AVPZXUMFHBSYV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预算项目资金主要用于人大开展工作，履行职能，项目2021年实施，周期1年。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p>
            <w:pPr>
              <w:spacing w:line="300" w:lineRule="exact"/>
              <w:jc w:val="left"/>
              <w:rPr>
                <w:rFonts w:ascii="方正书宋_GBK" w:eastAsia="方正书宋_GBK"/>
              </w:rPr>
            </w:pPr>
            <w:r>
              <w:rPr>
                <w:rFonts w:ascii="方正书宋_GBK" w:eastAsia="方正书宋_GBK"/>
              </w:rPr>
              <w:t>3.保障此项活动正常开展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召开次数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本级人民代表大会履行参政议政职能召开会议次数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该项工作的正常运转情况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78222"/>
      <w:r>
        <w:rPr>
          <w:rFonts w:ascii="方正仿宋_GBK" w:eastAsia="方正仿宋_GBK"/>
          <w:b/>
          <w:sz w:val="28"/>
        </w:rPr>
        <w:t>6.地震群测群防岗位津贴绩效目标表</w:t>
      </w:r>
      <w:bookmarkEnd w:id="6"/>
      <w:r>
        <w:rPr>
          <w:rFonts w:ascii="方正仿宋_GBK" w:eastAsia="方正仿宋_GBK"/>
          <w:b/>
          <w:sz w:val="28"/>
        </w:rPr>
        <w:fldChar w:fldCharType="begin"/>
      </w:r>
      <w:r>
        <w:rPr>
          <w:rFonts w:ascii="方正仿宋_GBK" w:eastAsia="方正仿宋_GBK"/>
          <w:b/>
          <w:sz w:val="28"/>
        </w:rPr>
        <w:instrText xml:space="preserve"> TC 6、地震群测群防岗位津贴绩效目标表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13062521B6FGZ1KZL1S5A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用于全乡地震群测群防系统人员津贴发放，2021年1-12月实施。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3.地震群测群防队伍覆盖加强</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78223"/>
      <w:r>
        <w:rPr>
          <w:rFonts w:ascii="方正仿宋_GBK" w:eastAsia="方正仿宋_GBK"/>
          <w:b/>
          <w:sz w:val="28"/>
        </w:rPr>
        <w:t>7.安全生产信息员经费绩效目标表</w:t>
      </w:r>
      <w:bookmarkEnd w:id="7"/>
      <w:r>
        <w:rPr>
          <w:rFonts w:ascii="方正仿宋_GBK" w:eastAsia="方正仿宋_GBK"/>
          <w:b/>
          <w:sz w:val="28"/>
        </w:rPr>
        <w:fldChar w:fldCharType="begin"/>
      </w:r>
      <w:r>
        <w:rPr>
          <w:rFonts w:ascii="方正仿宋_GBK" w:eastAsia="方正仿宋_GBK"/>
          <w:b/>
          <w:sz w:val="28"/>
        </w:rPr>
        <w:instrText xml:space="preserve"> TC 7、安全生产信息员经费绩效目标表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13062521DGQQY5OG4O0G0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用于全乡各乡镇（城区办）安全生产信息员补助，计划20</w:t>
            </w:r>
            <w:r>
              <w:rPr>
                <w:rFonts w:hint="eastAsia" w:ascii="方正书宋_GBK" w:eastAsia="方正书宋_GBK"/>
                <w:lang w:val="en-US" w:eastAsia="zh-CN"/>
              </w:rPr>
              <w:t>22</w:t>
            </w:r>
            <w:r>
              <w:rPr>
                <w:rFonts w:ascii="方正书宋_GBK" w:eastAsia="方正书宋_GBK"/>
              </w:rPr>
              <w:t>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w:t>
            </w:r>
          </w:p>
          <w:p>
            <w:pPr>
              <w:spacing w:line="300" w:lineRule="exact"/>
              <w:jc w:val="left"/>
              <w:rPr>
                <w:rFonts w:ascii="方正书宋_GBK" w:eastAsia="方正书宋_GBK"/>
              </w:rPr>
            </w:pPr>
            <w:r>
              <w:rPr>
                <w:rFonts w:ascii="方正书宋_GBK" w:eastAsia="方正书宋_GBK"/>
              </w:rPr>
              <w:t>3.维护安全生产形势稳中向好。</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覆盖乡镇安全生产信息员数量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78224"/>
      <w:r>
        <w:rPr>
          <w:rFonts w:ascii="方正仿宋_GBK" w:eastAsia="方正仿宋_GBK"/>
          <w:b/>
          <w:sz w:val="28"/>
        </w:rPr>
        <w:t>8.高户公路占地补偿绩效目标表</w:t>
      </w:r>
      <w:bookmarkEnd w:id="8"/>
      <w:r>
        <w:rPr>
          <w:rFonts w:ascii="方正仿宋_GBK" w:eastAsia="方正仿宋_GBK"/>
          <w:b/>
          <w:sz w:val="28"/>
        </w:rPr>
        <w:fldChar w:fldCharType="begin"/>
      </w:r>
      <w:r>
        <w:rPr>
          <w:rFonts w:ascii="方正仿宋_GBK" w:eastAsia="方正仿宋_GBK"/>
          <w:b/>
          <w:sz w:val="28"/>
        </w:rPr>
        <w:instrText xml:space="preserve"> TC 8、高户公路占地补偿绩效目标表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13062521DM1LF3Q3FP529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78225"/>
      <w:r>
        <w:rPr>
          <w:rFonts w:ascii="方正仿宋_GBK" w:eastAsia="方正仿宋_GBK"/>
          <w:b/>
          <w:sz w:val="28"/>
        </w:rPr>
        <w:t>9.选任专职人民调解员经费绩效目标表</w:t>
      </w:r>
      <w:bookmarkEnd w:id="9"/>
      <w:r>
        <w:rPr>
          <w:rFonts w:ascii="方正仿宋_GBK" w:eastAsia="方正仿宋_GBK"/>
          <w:b/>
          <w:sz w:val="28"/>
        </w:rPr>
        <w:fldChar w:fldCharType="begin"/>
      </w:r>
      <w:r>
        <w:rPr>
          <w:rFonts w:ascii="方正仿宋_GBK" w:eastAsia="方正仿宋_GBK"/>
          <w:b/>
          <w:sz w:val="28"/>
        </w:rPr>
        <w:instrText xml:space="preserve"> TC 9、选任专职人民调解员经费绩效目标表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13062521GM80QMKQ2IK7O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1.进一步做好人民调解工作</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3.更好、更快调解诉前案件和信访案件。</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调解案件总数合计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≥48件</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按工作进度开展资金到位情况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接受案件调整群众对于专职人民调解员的满意态度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10" w:name="_Toc66978227"/>
      <w:r>
        <w:rPr>
          <w:rFonts w:ascii="方正仿宋_GBK" w:eastAsia="方正仿宋_GBK"/>
          <w:b/>
          <w:sz w:val="28"/>
        </w:rPr>
        <w:t>11.防火护林员补助经费绩效目标表</w:t>
      </w:r>
      <w:bookmarkEnd w:id="10"/>
      <w:r>
        <w:rPr>
          <w:rFonts w:ascii="方正仿宋_GBK" w:eastAsia="方正仿宋_GBK"/>
          <w:b/>
          <w:sz w:val="28"/>
        </w:rPr>
        <w:fldChar w:fldCharType="begin"/>
      </w:r>
      <w:r>
        <w:rPr>
          <w:rFonts w:ascii="方正仿宋_GBK" w:eastAsia="方正仿宋_GBK"/>
          <w:b/>
          <w:sz w:val="28"/>
        </w:rPr>
        <w:instrText xml:space="preserve"> TC 11、防火护林员补助经费绩效目标表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13062521K2OTHL4MGGAMT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防火护林员工资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1.工资及时发放</w:t>
            </w:r>
          </w:p>
          <w:p>
            <w:pPr>
              <w:spacing w:line="300" w:lineRule="exact"/>
              <w:jc w:val="left"/>
              <w:rPr>
                <w:rFonts w:ascii="方正书宋_GBK" w:eastAsia="方正书宋_GBK"/>
              </w:rPr>
            </w:pPr>
            <w:r>
              <w:rPr>
                <w:rFonts w:ascii="方正书宋_GBK" w:eastAsia="方正书宋_GBK"/>
              </w:rPr>
              <w:t>2.资金安全运行</w:t>
            </w:r>
          </w:p>
          <w:p>
            <w:pPr>
              <w:spacing w:line="300" w:lineRule="exact"/>
              <w:jc w:val="left"/>
              <w:rPr>
                <w:rFonts w:ascii="方正书宋_GBK" w:eastAsia="方正书宋_GBK"/>
              </w:rPr>
            </w:pPr>
            <w:r>
              <w:rPr>
                <w:rFonts w:ascii="方正书宋_GBK" w:eastAsia="方正书宋_GBK"/>
              </w:rPr>
              <w:t>3.降低火灾隐患</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反映防火护林工作开展情况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发放防火护林员工资贴发放完成率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防火护林员对工资发放的整体满意度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78228"/>
      <w:r>
        <w:rPr>
          <w:rFonts w:ascii="方正仿宋_GBK" w:eastAsia="方正仿宋_GBK"/>
          <w:b/>
          <w:sz w:val="28"/>
        </w:rPr>
        <w:t>12.瀑河水库除险加固工程善后工作扶持资金绩效目标表</w:t>
      </w:r>
      <w:bookmarkEnd w:id="11"/>
      <w:r>
        <w:rPr>
          <w:rFonts w:ascii="方正仿宋_GBK" w:eastAsia="方正仿宋_GBK"/>
          <w:b/>
          <w:sz w:val="28"/>
        </w:rPr>
        <w:fldChar w:fldCharType="begin"/>
      </w:r>
      <w:r>
        <w:rPr>
          <w:rFonts w:ascii="方正仿宋_GBK" w:eastAsia="方正仿宋_GBK"/>
          <w:b/>
          <w:sz w:val="28"/>
        </w:rPr>
        <w:instrText xml:space="preserve"> TC 12、瀑河水库除险加固工程善后工作扶持资金绩效目标表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13062521M6U5AK01X8P1U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用于瀑河水库除险加固工程善后工作的土地补偿，计划2021年1-12月实施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2.补贴及时足额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土地补偿涉及村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瀑河水库除险加固工程善后工作土地补偿资金涉及村委会数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发放瀑河水库除险加固工作善后扶持土地补偿款发放完成率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12" w:name="_Toc66978230"/>
      <w:r>
        <w:rPr>
          <w:rFonts w:ascii="方正仿宋_GBK" w:eastAsia="方正仿宋_GBK"/>
          <w:b/>
          <w:sz w:val="28"/>
        </w:rPr>
        <w:t>14.村党组织活动经费绩效目标表</w:t>
      </w:r>
      <w:bookmarkEnd w:id="12"/>
      <w:r>
        <w:rPr>
          <w:rFonts w:ascii="方正仿宋_GBK" w:eastAsia="方正仿宋_GBK"/>
          <w:b/>
          <w:sz w:val="28"/>
        </w:rPr>
        <w:fldChar w:fldCharType="begin"/>
      </w:r>
      <w:r>
        <w:rPr>
          <w:rFonts w:ascii="方正仿宋_GBK" w:eastAsia="方正仿宋_GBK"/>
          <w:b/>
          <w:sz w:val="28"/>
        </w:rPr>
        <w:instrText xml:space="preserve"> TC 14、村党组织活动经费绩效目标表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13062521MP1S3OICPMSPG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193600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w:t>
            </w:r>
          </w:p>
          <w:p>
            <w:pPr>
              <w:spacing w:line="300" w:lineRule="exact"/>
              <w:jc w:val="left"/>
              <w:rPr>
                <w:rFonts w:ascii="方正书宋_GBK" w:eastAsia="方正书宋_GBK"/>
              </w:rPr>
            </w:pPr>
            <w:r>
              <w:rPr>
                <w:rFonts w:ascii="方正书宋_GBK" w:eastAsia="方正书宋_GBK"/>
              </w:rPr>
              <w:t>3.提高农村党员的综合素质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按补助标准落实情况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952人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78231"/>
      <w:r>
        <w:rPr>
          <w:rFonts w:ascii="方正仿宋_GBK" w:eastAsia="方正仿宋_GBK"/>
          <w:b/>
          <w:sz w:val="28"/>
        </w:rPr>
        <w:t>15.原京原公路工役制人员待遇金绩效目标表</w:t>
      </w:r>
      <w:bookmarkEnd w:id="13"/>
      <w:r>
        <w:rPr>
          <w:rFonts w:ascii="方正仿宋_GBK" w:eastAsia="方正仿宋_GBK"/>
          <w:b/>
          <w:sz w:val="28"/>
        </w:rPr>
        <w:fldChar w:fldCharType="begin"/>
      </w:r>
      <w:r>
        <w:rPr>
          <w:rFonts w:ascii="方正仿宋_GBK" w:eastAsia="方正仿宋_GBK"/>
          <w:b/>
          <w:sz w:val="28"/>
        </w:rPr>
        <w:instrText xml:space="preserve"> TC 15、原京原公路工役制人员待遇金绩效目标表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13062521N1ILUSEMC33RE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原京原公路工役制人员待遇金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主要用于发放原京原公路工役制人员待遇工资，计划2021年1-12月实施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2.人员权益保障</w:t>
            </w:r>
          </w:p>
          <w:p>
            <w:pPr>
              <w:spacing w:line="300" w:lineRule="exact"/>
              <w:jc w:val="left"/>
              <w:rPr>
                <w:rFonts w:ascii="方正书宋_GBK" w:eastAsia="方正书宋_GBK"/>
              </w:rPr>
            </w:pPr>
            <w:r>
              <w:rPr>
                <w:rFonts w:ascii="方正书宋_GBK" w:eastAsia="方正书宋_GBK"/>
              </w:rPr>
              <w:t>3.序时支出，乡情稳定</w:t>
            </w:r>
          </w:p>
          <w:p>
            <w:pPr>
              <w:spacing w:line="300" w:lineRule="exact"/>
              <w:jc w:val="left"/>
              <w:rPr>
                <w:rFonts w:ascii="方正书宋_GBK" w:eastAsia="方正书宋_GBK"/>
              </w:rPr>
            </w:pPr>
            <w:r>
              <w:rPr>
                <w:rFonts w:ascii="方正书宋_GBK" w:eastAsia="方正书宋_GBK"/>
              </w:rPr>
              <w:t>4.三级指标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享受原京原公路工役制人员待遇金人数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员工满意数量占总数的比例。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78232"/>
      <w:r>
        <w:rPr>
          <w:rFonts w:ascii="方正仿宋_GBK" w:eastAsia="方正仿宋_GBK"/>
          <w:b/>
          <w:sz w:val="28"/>
        </w:rPr>
        <w:t>16.服务群众专项经费绩效目标表</w:t>
      </w:r>
      <w:bookmarkEnd w:id="14"/>
      <w:r>
        <w:rPr>
          <w:rFonts w:ascii="方正仿宋_GBK" w:eastAsia="方正仿宋_GBK"/>
          <w:b/>
          <w:sz w:val="28"/>
        </w:rPr>
        <w:fldChar w:fldCharType="begin"/>
      </w:r>
      <w:r>
        <w:rPr>
          <w:rFonts w:ascii="方正仿宋_GBK" w:eastAsia="方正仿宋_GBK"/>
          <w:b/>
          <w:sz w:val="28"/>
        </w:rPr>
        <w:instrText xml:space="preserve"> TC 16、服务群众专项经费绩效目标表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13062521QO4QOKDCY0IVP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78233"/>
      <w:r>
        <w:rPr>
          <w:rFonts w:ascii="方正仿宋_GBK" w:eastAsia="方正仿宋_GBK"/>
          <w:b/>
          <w:sz w:val="28"/>
        </w:rPr>
        <w:t>17.团委综合事务管理经费绩效目标表</w:t>
      </w:r>
      <w:bookmarkEnd w:id="15"/>
      <w:r>
        <w:rPr>
          <w:rFonts w:ascii="方正仿宋_GBK" w:eastAsia="方正仿宋_GBK"/>
          <w:b/>
          <w:sz w:val="28"/>
        </w:rPr>
        <w:fldChar w:fldCharType="begin"/>
      </w:r>
      <w:r>
        <w:rPr>
          <w:rFonts w:ascii="方正仿宋_GBK" w:eastAsia="方正仿宋_GBK"/>
          <w:b/>
          <w:sz w:val="28"/>
        </w:rPr>
        <w:instrText xml:space="preserve"> TC 17、团委综合事务管理经费绩效目标表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13062521T0WIQFSLVXF4Z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主要用于团委综合事务管理，促进团委工作创新改革，计划2021年1-12月实施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1.团委吸引力凝聚力得到加强</w:t>
            </w:r>
          </w:p>
          <w:p>
            <w:pPr>
              <w:spacing w:line="300" w:lineRule="exact"/>
              <w:jc w:val="left"/>
              <w:rPr>
                <w:rFonts w:ascii="方正书宋_GBK" w:eastAsia="方正书宋_GBK"/>
              </w:rPr>
            </w:pPr>
            <w:r>
              <w:rPr>
                <w:rFonts w:ascii="方正书宋_GBK" w:eastAsia="方正书宋_GBK"/>
              </w:rPr>
              <w:t>2.基层共建平台得到完善</w:t>
            </w:r>
          </w:p>
          <w:p>
            <w:pPr>
              <w:spacing w:line="300" w:lineRule="exact"/>
              <w:jc w:val="left"/>
              <w:rPr>
                <w:rFonts w:ascii="方正书宋_GBK" w:eastAsia="方正书宋_GBK"/>
              </w:rPr>
            </w:pPr>
            <w:r>
              <w:rPr>
                <w:rFonts w:ascii="方正书宋_GBK" w:eastAsia="方正书宋_GBK"/>
              </w:rPr>
              <w:t>3.用于团委综合事务管理提高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每年团委活动开展次数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团委工作正常运转情况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反映团委综合事务管理各项综合事务完成情况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16" w:name="_Toc66978236"/>
      <w:r>
        <w:rPr>
          <w:rFonts w:ascii="方正仿宋_GBK" w:eastAsia="方正仿宋_GBK"/>
          <w:b/>
          <w:sz w:val="28"/>
        </w:rPr>
        <w:t>20.乡镇武装工作经费绩效目标表</w:t>
      </w:r>
      <w:bookmarkEnd w:id="16"/>
      <w:r>
        <w:rPr>
          <w:rFonts w:ascii="方正仿宋_GBK" w:eastAsia="方正仿宋_GBK"/>
          <w:b/>
          <w:sz w:val="28"/>
        </w:rPr>
        <w:fldChar w:fldCharType="begin"/>
      </w:r>
      <w:r>
        <w:rPr>
          <w:rFonts w:ascii="方正仿宋_GBK" w:eastAsia="方正仿宋_GBK"/>
          <w:b/>
          <w:sz w:val="28"/>
        </w:rPr>
        <w:instrText xml:space="preserve"> TC 20、乡镇武装工作经费绩效目标表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13062521ULWXR9ITSTRRR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78237"/>
      <w:r>
        <w:rPr>
          <w:rFonts w:ascii="方正仿宋_GBK" w:eastAsia="方正仿宋_GBK"/>
          <w:b/>
          <w:sz w:val="28"/>
        </w:rPr>
        <w:t>21.村级组织办公经费绩效目标表</w:t>
      </w:r>
      <w:bookmarkEnd w:id="17"/>
      <w:r>
        <w:rPr>
          <w:rFonts w:ascii="方正仿宋_GBK" w:eastAsia="方正仿宋_GBK"/>
          <w:b/>
          <w:sz w:val="28"/>
        </w:rPr>
        <w:fldChar w:fldCharType="begin"/>
      </w:r>
      <w:r>
        <w:rPr>
          <w:rFonts w:ascii="方正仿宋_GBK" w:eastAsia="方正仿宋_GBK"/>
          <w:b/>
          <w:sz w:val="28"/>
        </w:rPr>
        <w:instrText xml:space="preserve"> TC 21、村级组织办公经费绩效目标表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13062521V2OQ57T04P1Y9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专项用于村级组织办公，维持村级组织运转，计划2021-12月实施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2.村级正常运转</w:t>
            </w:r>
          </w:p>
          <w:p>
            <w:pPr>
              <w:spacing w:line="300" w:lineRule="exact"/>
              <w:jc w:val="left"/>
              <w:rPr>
                <w:rFonts w:ascii="方正书宋_GBK" w:eastAsia="方正书宋_GBK"/>
              </w:rPr>
            </w:pPr>
            <w:r>
              <w:rPr>
                <w:rFonts w:ascii="方正书宋_GBK" w:eastAsia="方正书宋_GBK"/>
              </w:rPr>
              <w:t>3.维持村级稳定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78238"/>
      <w:r>
        <w:rPr>
          <w:rFonts w:ascii="方正仿宋_GBK" w:eastAsia="方正仿宋_GBK"/>
          <w:b/>
          <w:sz w:val="28"/>
        </w:rPr>
        <w:t>22.全区绿化土地流转金绩效目标表</w:t>
      </w:r>
      <w:bookmarkEnd w:id="18"/>
      <w:r>
        <w:rPr>
          <w:rFonts w:ascii="方正仿宋_GBK" w:eastAsia="方正仿宋_GBK"/>
          <w:b/>
          <w:sz w:val="28"/>
        </w:rPr>
        <w:fldChar w:fldCharType="begin"/>
      </w:r>
      <w:r>
        <w:rPr>
          <w:rFonts w:ascii="方正仿宋_GBK" w:eastAsia="方正仿宋_GBK"/>
          <w:b/>
          <w:sz w:val="28"/>
        </w:rPr>
        <w:instrText xml:space="preserve"> TC 22、全区绿化土地流转金绩效目标表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13062521VGSDZO54WYYDZ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户木乡绿化占地补偿涉及村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按照要求和计划完成林业绿化占地项目的完成比例（百分比）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发放2020年度林业绿化占地租金发放完成率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eastAsia="宋体"/>
          <w:b/>
          <w:sz w:val="28"/>
        </w:rPr>
      </w:pPr>
      <w:bookmarkStart w:id="19" w:name="_Toc66978240"/>
      <w:r>
        <w:rPr>
          <w:rFonts w:ascii="方正仿宋_GBK" w:eastAsia="方正仿宋_GBK"/>
          <w:b/>
          <w:sz w:val="28"/>
        </w:rPr>
        <w:t>24.徐水区退役军人公益岗岗位人员工资绩效目标表</w:t>
      </w:r>
      <w:bookmarkEnd w:id="19"/>
      <w:r>
        <w:rPr>
          <w:rFonts w:ascii="方正仿宋_GBK" w:eastAsia="方正仿宋_GBK"/>
          <w:b/>
          <w:sz w:val="28"/>
        </w:rPr>
        <w:fldChar w:fldCharType="begin"/>
      </w:r>
      <w:r>
        <w:rPr>
          <w:rFonts w:ascii="方正仿宋_GBK" w:eastAsia="方正仿宋_GBK"/>
          <w:b/>
          <w:sz w:val="28"/>
        </w:rPr>
        <w:instrText xml:space="preserve"> TC 24、徐水区退役军人公益岗岗位人员工资绩效目标表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13062521YFWDN1RGKOXWE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3.补贴及时足额</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依据上</w:t>
            </w:r>
            <w:r>
              <w:rPr>
                <w:rFonts w:ascii="方正书宋_GBK" w:eastAsia="方正书宋_GBK"/>
              </w:rPr>
              <w:t>级文件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78241"/>
      <w:r>
        <w:rPr>
          <w:rFonts w:ascii="方正仿宋_GBK" w:eastAsia="方正仿宋_GBK"/>
          <w:b/>
          <w:sz w:val="28"/>
        </w:rPr>
        <w:t>25.村级退役军人服务站吸收参战（进藏）退役军人补贴绩效目标表</w:t>
      </w:r>
      <w:bookmarkEnd w:id="20"/>
      <w:r>
        <w:rPr>
          <w:rFonts w:ascii="方正仿宋_GBK" w:eastAsia="方正仿宋_GBK"/>
          <w:b/>
          <w:sz w:val="28"/>
        </w:rPr>
        <w:fldChar w:fldCharType="begin"/>
      </w:r>
      <w:r>
        <w:rPr>
          <w:rFonts w:ascii="方正仿宋_GBK" w:eastAsia="方正仿宋_GBK"/>
          <w:b/>
          <w:sz w:val="28"/>
        </w:rPr>
        <w:instrText xml:space="preserve"> TC 25、村级退役军人服务站吸收参战（进藏）退役军人补贴绩效目标表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13062521Z0IGRFI7ZVB5Q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rPr>
          <w:rFonts w:ascii="仿宋" w:hAnsi="仿宋" w:eastAsia="仿宋"/>
          <w:sz w:val="32"/>
          <w:szCs w:val="32"/>
        </w:rPr>
      </w:pPr>
      <w:r>
        <w:rPr>
          <w:rFonts w:hint="eastAsia" w:ascii="仿宋" w:hAnsi="仿宋" w:eastAsia="仿宋"/>
          <w:sz w:val="32"/>
          <w:szCs w:val="32"/>
        </w:rPr>
        <w:t xml:space="preserve">    保定市徐水区户木乡人民政府</w:t>
      </w:r>
    </w:p>
    <w:tbl>
      <w:tblPr>
        <w:tblStyle w:val="10"/>
        <w:tblW w:w="131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上年末我部门固定资产总金额365.08万元（详见下表）。</w:t>
      </w:r>
      <w:r>
        <w:rPr>
          <w:rFonts w:ascii="仿宋" w:hAnsi="仿宋" w:eastAsia="仿宋"/>
          <w:sz w:val="32"/>
          <w:szCs w:val="32"/>
        </w:rPr>
        <w:t>本年度拟购置固定资产总额为</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10"/>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365.08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175.5</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1125</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77.53</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104.4</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85.18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3</w: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04059"/>
    <w:rsid w:val="00013B8A"/>
    <w:rsid w:val="00016725"/>
    <w:rsid w:val="00044FBC"/>
    <w:rsid w:val="00055F1F"/>
    <w:rsid w:val="000577EF"/>
    <w:rsid w:val="00057F18"/>
    <w:rsid w:val="00070EBE"/>
    <w:rsid w:val="000A445D"/>
    <w:rsid w:val="000C178B"/>
    <w:rsid w:val="000C7BE6"/>
    <w:rsid w:val="00115C60"/>
    <w:rsid w:val="00131DEC"/>
    <w:rsid w:val="00136AB3"/>
    <w:rsid w:val="00146277"/>
    <w:rsid w:val="001462BD"/>
    <w:rsid w:val="00152380"/>
    <w:rsid w:val="00155720"/>
    <w:rsid w:val="001638BE"/>
    <w:rsid w:val="00163DF6"/>
    <w:rsid w:val="00164810"/>
    <w:rsid w:val="00172C7A"/>
    <w:rsid w:val="00181777"/>
    <w:rsid w:val="001B4688"/>
    <w:rsid w:val="001B6235"/>
    <w:rsid w:val="001C13B2"/>
    <w:rsid w:val="001F4875"/>
    <w:rsid w:val="00201E04"/>
    <w:rsid w:val="00212335"/>
    <w:rsid w:val="002918C6"/>
    <w:rsid w:val="00291EF3"/>
    <w:rsid w:val="00296524"/>
    <w:rsid w:val="002B28EA"/>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C7D10"/>
    <w:rsid w:val="003D1092"/>
    <w:rsid w:val="003D37CD"/>
    <w:rsid w:val="003E5531"/>
    <w:rsid w:val="003E555C"/>
    <w:rsid w:val="003E6AF3"/>
    <w:rsid w:val="0040243C"/>
    <w:rsid w:val="00406BD1"/>
    <w:rsid w:val="0040714F"/>
    <w:rsid w:val="00426C19"/>
    <w:rsid w:val="00450FD9"/>
    <w:rsid w:val="00453CE0"/>
    <w:rsid w:val="00470736"/>
    <w:rsid w:val="00470BBB"/>
    <w:rsid w:val="00475E62"/>
    <w:rsid w:val="0048611E"/>
    <w:rsid w:val="004B6929"/>
    <w:rsid w:val="004E2F43"/>
    <w:rsid w:val="004E3572"/>
    <w:rsid w:val="004F3C52"/>
    <w:rsid w:val="00510A1E"/>
    <w:rsid w:val="005158E2"/>
    <w:rsid w:val="00524204"/>
    <w:rsid w:val="005416AD"/>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54F38"/>
    <w:rsid w:val="007657C8"/>
    <w:rsid w:val="00767A77"/>
    <w:rsid w:val="00771E49"/>
    <w:rsid w:val="00782208"/>
    <w:rsid w:val="00791938"/>
    <w:rsid w:val="007A5999"/>
    <w:rsid w:val="007C7FD7"/>
    <w:rsid w:val="007F3746"/>
    <w:rsid w:val="0080340E"/>
    <w:rsid w:val="00833132"/>
    <w:rsid w:val="00845C67"/>
    <w:rsid w:val="00861CB5"/>
    <w:rsid w:val="0086454E"/>
    <w:rsid w:val="008672EA"/>
    <w:rsid w:val="00891680"/>
    <w:rsid w:val="008A0099"/>
    <w:rsid w:val="008A0B5F"/>
    <w:rsid w:val="008B5402"/>
    <w:rsid w:val="008D11BC"/>
    <w:rsid w:val="0090527E"/>
    <w:rsid w:val="00905BB7"/>
    <w:rsid w:val="0090620C"/>
    <w:rsid w:val="00912DA4"/>
    <w:rsid w:val="00916B98"/>
    <w:rsid w:val="009302B8"/>
    <w:rsid w:val="009305C6"/>
    <w:rsid w:val="009752AE"/>
    <w:rsid w:val="00982F3D"/>
    <w:rsid w:val="00983232"/>
    <w:rsid w:val="009A278A"/>
    <w:rsid w:val="009B6368"/>
    <w:rsid w:val="009F63C4"/>
    <w:rsid w:val="00A16957"/>
    <w:rsid w:val="00A52947"/>
    <w:rsid w:val="00A6155C"/>
    <w:rsid w:val="00A8079E"/>
    <w:rsid w:val="00A90328"/>
    <w:rsid w:val="00A92D66"/>
    <w:rsid w:val="00AA4262"/>
    <w:rsid w:val="00AB5A90"/>
    <w:rsid w:val="00AB7449"/>
    <w:rsid w:val="00AD0028"/>
    <w:rsid w:val="00AE4AA5"/>
    <w:rsid w:val="00AE7FA9"/>
    <w:rsid w:val="00AF3895"/>
    <w:rsid w:val="00B147EB"/>
    <w:rsid w:val="00B22155"/>
    <w:rsid w:val="00B76AA9"/>
    <w:rsid w:val="00B80FAB"/>
    <w:rsid w:val="00B81C88"/>
    <w:rsid w:val="00BA5C83"/>
    <w:rsid w:val="00BC3428"/>
    <w:rsid w:val="00BC6A7D"/>
    <w:rsid w:val="00BD4829"/>
    <w:rsid w:val="00BD6002"/>
    <w:rsid w:val="00BD719F"/>
    <w:rsid w:val="00BF5442"/>
    <w:rsid w:val="00C177A5"/>
    <w:rsid w:val="00C27EB4"/>
    <w:rsid w:val="00C35FEE"/>
    <w:rsid w:val="00C50535"/>
    <w:rsid w:val="00C52D50"/>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035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47EC"/>
    <w:rsid w:val="00FB2F32"/>
    <w:rsid w:val="00FC3191"/>
    <w:rsid w:val="00FD08C0"/>
    <w:rsid w:val="00FE0F1F"/>
    <w:rsid w:val="00FF61F3"/>
    <w:rsid w:val="0A214432"/>
    <w:rsid w:val="27733670"/>
    <w:rsid w:val="714369EE"/>
    <w:rsid w:val="72783A6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8">
    <w:name w:val="page number"/>
    <w:unhideWhenUsed/>
    <w:qFormat/>
    <w:uiPriority w:val="99"/>
  </w:style>
  <w:style w:type="character" w:styleId="9">
    <w:name w:val="Hyperlink"/>
    <w:unhideWhenUsed/>
    <w:qFormat/>
    <w:uiPriority w:val="99"/>
    <w:rPr>
      <w:color w:val="0563C1"/>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ABAD0-CB97-473A-A42C-7DAA8AF786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2537</Words>
  <Characters>14464</Characters>
  <Lines>120</Lines>
  <Paragraphs>33</Paragraphs>
  <ScaleCrop>false</ScaleCrop>
  <LinksUpToDate>false</LinksUpToDate>
  <CharactersWithSpaces>16968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2025-05-12T02:27:23Z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76EAFEA3433E47EF9BBEB116C4FC5C2C</vt:lpwstr>
  </property>
</Properties>
</file>