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保定市徐水区户木乡人民</w:t>
      </w:r>
      <w:r>
        <w:rPr>
          <w:rFonts w:ascii="宋体" w:hAnsi="宋体" w:eastAsia="宋体"/>
          <w:b/>
          <w:sz w:val="44"/>
          <w:szCs w:val="44"/>
        </w:rPr>
        <w:t>政府</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1）执行本级代表大会的决议和上级国家行政机关的决定和命令，发布决定和命令。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2）制定并落实本行政区域内的经济发展计划，加强公共设施的建设和管理，发展各项服务事业。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3）加强水利建设、土地使用管理和环境综合整治，合理利用自然资源，保护、改善生态和生活环境。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4）依法管理镇财政，执行本级预算。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5）管理和发展文化、教育、科学、广播、体育、卫生等事业。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6）保护社会主义的全民所有财产和劳动群众的集体所有财产，保护公民个人所有的合法财产，保护公民的人身权利、民主权</w:t>
      </w:r>
      <w:r>
        <w:rPr>
          <w:rFonts w:hint="eastAsia" w:ascii="仿宋" w:hAnsi="仿宋" w:eastAsia="仿宋"/>
          <w:sz w:val="32"/>
          <w:szCs w:val="32"/>
          <w:lang w:val="en-US" w:eastAsia="zh-CN"/>
        </w:rPr>
        <w:t>利</w:t>
      </w:r>
      <w:r>
        <w:rPr>
          <w:rFonts w:ascii="仿宋" w:hAnsi="仿宋" w:eastAsia="仿宋"/>
          <w:sz w:val="32"/>
          <w:szCs w:val="32"/>
        </w:rPr>
        <w:t>和其他权利，保护各种经济的合法权益。</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党政办公室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经济</w:t>
            </w:r>
            <w:r>
              <w:rPr>
                <w:rFonts w:ascii="仿宋_GB2312" w:hAnsi="仿宋" w:eastAsia="仿宋_GB2312"/>
                <w:bCs/>
                <w:sz w:val="24"/>
                <w:szCs w:val="24"/>
              </w:rPr>
              <w:t>发展办公室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社会</w:t>
            </w:r>
            <w:r>
              <w:rPr>
                <w:rFonts w:ascii="仿宋_GB2312" w:hAnsi="仿宋" w:eastAsia="仿宋_GB2312"/>
                <w:bCs/>
                <w:sz w:val="24"/>
                <w:szCs w:val="24"/>
              </w:rPr>
              <w:t>治安综合治理办公室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计划</w:t>
            </w:r>
            <w:r>
              <w:rPr>
                <w:rFonts w:ascii="仿宋_GB2312" w:hAnsi="仿宋" w:eastAsia="仿宋_GB2312"/>
                <w:bCs/>
                <w:sz w:val="24"/>
                <w:szCs w:val="24"/>
              </w:rPr>
              <w:t>生育服务中心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eastAsia="仿宋_GB2312"/>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综合</w:t>
            </w:r>
            <w:r>
              <w:rPr>
                <w:rFonts w:ascii="仿宋_GB2312" w:hAnsi="仿宋" w:eastAsia="仿宋_GB2312"/>
                <w:bCs/>
                <w:sz w:val="24"/>
                <w:szCs w:val="24"/>
              </w:rPr>
              <w:t>文化服务中心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sz w:val="24"/>
                <w:szCs w:val="24"/>
              </w:rPr>
              <w:t>财政性资金基本保证</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2020年预算收入为1634.67万元,其中：一般公共预算收入1364.25万元，基金预算收入270.42万元，财政专户收入0万元，其他来源收入0万元。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2020年部门支出预算：1634.67万元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w:t>
      </w:r>
      <w:r>
        <w:rPr>
          <w:rFonts w:ascii="仿宋" w:hAnsi="仿宋" w:eastAsia="仿宋"/>
          <w:sz w:val="32"/>
          <w:szCs w:val="32"/>
        </w:rPr>
        <w:t>100.51</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其中：人员经费1005.07万元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日常公用经费95.44万元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534.16万元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其中：本级支出534.16万元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w:t>
      </w:r>
      <w:r>
        <w:rPr>
          <w:rFonts w:ascii="仿宋" w:hAnsi="仿宋" w:eastAsia="仿宋"/>
          <w:sz w:val="32"/>
          <w:szCs w:val="32"/>
        </w:rPr>
        <w:t>634.67</w:t>
      </w:r>
      <w:r>
        <w:rPr>
          <w:rFonts w:hint="eastAsia" w:ascii="仿宋" w:hAnsi="仿宋" w:eastAsia="仿宋"/>
          <w:sz w:val="32"/>
          <w:szCs w:val="32"/>
        </w:rPr>
        <w:t>万元，较上年增加</w:t>
      </w:r>
      <w:r>
        <w:rPr>
          <w:rFonts w:ascii="仿宋" w:hAnsi="仿宋" w:eastAsia="仿宋"/>
          <w:sz w:val="32"/>
          <w:szCs w:val="32"/>
        </w:rPr>
        <w:t>225.69万元。其中:基本支出减少11.66万元，主要原因是</w:t>
      </w:r>
      <w:r>
        <w:rPr>
          <w:rFonts w:hint="eastAsia" w:ascii="仿宋" w:hAnsi="仿宋" w:eastAsia="仿宋"/>
          <w:sz w:val="32"/>
          <w:szCs w:val="32"/>
        </w:rPr>
        <w:t>人员退休和</w:t>
      </w:r>
      <w:r>
        <w:rPr>
          <w:rFonts w:ascii="仿宋" w:hAnsi="仿宋" w:eastAsia="仿宋"/>
          <w:sz w:val="32"/>
          <w:szCs w:val="32"/>
        </w:rPr>
        <w:t>调出，基本支出减少；项目支出增加237.35万元，主要原因是</w:t>
      </w:r>
      <w:r>
        <w:rPr>
          <w:rFonts w:hint="eastAsia" w:ascii="仿宋" w:hAnsi="仿宋" w:eastAsia="仿宋"/>
          <w:sz w:val="32"/>
          <w:szCs w:val="32"/>
        </w:rPr>
        <w:t>增加了</w:t>
      </w:r>
      <w:r>
        <w:rPr>
          <w:rFonts w:ascii="仿宋" w:hAnsi="仿宋" w:eastAsia="仿宋"/>
          <w:sz w:val="32"/>
          <w:szCs w:val="32"/>
        </w:rPr>
        <w:t>瀑河水库库区流转项目支出。</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2020年我部门机关运行经费安排95.44万元，其中办公费33.55万元，邮电费10.62万元，</w:t>
      </w:r>
      <w:r>
        <w:rPr>
          <w:rFonts w:hint="eastAsia" w:ascii="仿宋" w:hAnsi="仿宋" w:eastAsia="仿宋"/>
          <w:sz w:val="32"/>
          <w:szCs w:val="32"/>
        </w:rPr>
        <w:t>取暖费6.95万元</w:t>
      </w:r>
      <w:r>
        <w:rPr>
          <w:rFonts w:ascii="仿宋" w:hAnsi="仿宋" w:eastAsia="仿宋"/>
          <w:sz w:val="32"/>
          <w:szCs w:val="32"/>
        </w:rPr>
        <w:t>，公务接待费</w:t>
      </w:r>
      <w:r>
        <w:rPr>
          <w:rFonts w:hint="eastAsia" w:ascii="仿宋" w:hAnsi="仿宋" w:eastAsia="仿宋"/>
          <w:sz w:val="32"/>
          <w:szCs w:val="32"/>
        </w:rPr>
        <w:t>3.</w:t>
      </w:r>
      <w:r>
        <w:rPr>
          <w:rFonts w:ascii="仿宋" w:hAnsi="仿宋" w:eastAsia="仿宋"/>
          <w:sz w:val="32"/>
          <w:szCs w:val="32"/>
        </w:rPr>
        <w:t>2</w:t>
      </w:r>
      <w:r>
        <w:rPr>
          <w:rFonts w:hint="eastAsia" w:ascii="仿宋" w:hAnsi="仿宋" w:eastAsia="仿宋"/>
          <w:sz w:val="32"/>
          <w:szCs w:val="32"/>
        </w:rPr>
        <w:t>万元</w:t>
      </w:r>
      <w:r>
        <w:rPr>
          <w:rFonts w:ascii="仿宋" w:hAnsi="仿宋" w:eastAsia="仿宋"/>
          <w:sz w:val="32"/>
          <w:szCs w:val="32"/>
        </w:rPr>
        <w:t>，工会经费、福利费17.6万元，公务用车运行维护费12万元</w:t>
      </w:r>
      <w:r>
        <w:rPr>
          <w:rFonts w:hint="eastAsia" w:ascii="仿宋" w:hAnsi="仿宋" w:eastAsia="仿宋"/>
          <w:sz w:val="32"/>
          <w:szCs w:val="32"/>
        </w:rPr>
        <w:t>，其他</w:t>
      </w:r>
      <w:r>
        <w:rPr>
          <w:rFonts w:ascii="仿宋" w:hAnsi="仿宋" w:eastAsia="仿宋"/>
          <w:sz w:val="32"/>
          <w:szCs w:val="32"/>
        </w:rPr>
        <w:t>交通费用</w:t>
      </w:r>
      <w:r>
        <w:rPr>
          <w:rFonts w:hint="eastAsia" w:ascii="仿宋" w:hAnsi="仿宋" w:eastAsia="仿宋"/>
          <w:sz w:val="32"/>
          <w:szCs w:val="32"/>
        </w:rPr>
        <w:t>10.8万元</w:t>
      </w:r>
      <w:r>
        <w:rPr>
          <w:rFonts w:ascii="仿宋" w:hAnsi="仿宋" w:eastAsia="仿宋"/>
          <w:sz w:val="32"/>
          <w:szCs w:val="32"/>
        </w:rPr>
        <w:t>，其他</w:t>
      </w:r>
      <w:r>
        <w:rPr>
          <w:rFonts w:hint="eastAsia" w:ascii="仿宋" w:hAnsi="仿宋" w:eastAsia="仿宋"/>
          <w:sz w:val="32"/>
          <w:szCs w:val="32"/>
        </w:rPr>
        <w:t>商品</w:t>
      </w:r>
      <w:r>
        <w:rPr>
          <w:rFonts w:ascii="仿宋" w:hAnsi="仿宋" w:eastAsia="仿宋"/>
          <w:sz w:val="32"/>
          <w:szCs w:val="32"/>
        </w:rPr>
        <w:t>和服务支出0.72万元。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8"/>
        <w:tblW w:w="9515" w:type="dxa"/>
        <w:tblInd w:w="0" w:type="dxa"/>
        <w:tblLayout w:type="fixed"/>
        <w:tblCellMar>
          <w:top w:w="0" w:type="dxa"/>
          <w:left w:w="108" w:type="dxa"/>
          <w:bottom w:w="0" w:type="dxa"/>
          <w:right w:w="108" w:type="dxa"/>
        </w:tblCellMar>
      </w:tblPr>
      <w:tblGrid>
        <w:gridCol w:w="9515"/>
      </w:tblGrid>
      <w:tr>
        <w:tblPrEx>
          <w:tblLayout w:type="fixed"/>
          <w:tblCellMar>
            <w:top w:w="0" w:type="dxa"/>
            <w:left w:w="108" w:type="dxa"/>
            <w:bottom w:w="0" w:type="dxa"/>
            <w:right w:w="108" w:type="dxa"/>
          </w:tblCellMar>
        </w:tblPrEx>
        <w:trPr>
          <w:trHeight w:val="405" w:hRule="atLeast"/>
        </w:trPr>
        <w:tc>
          <w:tcPr>
            <w:tcW w:w="9515" w:type="dxa"/>
            <w:tcBorders>
              <w:top w:val="nil"/>
              <w:left w:val="nil"/>
              <w:bottom w:val="nil"/>
              <w:right w:val="nil"/>
            </w:tcBorders>
            <w:shd w:val="clear" w:color="auto" w:fill="auto"/>
            <w:vAlign w:val="center"/>
          </w:tcPr>
          <w:tbl>
            <w:tblPr>
              <w:tblStyle w:val="8"/>
              <w:tblW w:w="8090" w:type="dxa"/>
              <w:jc w:val="center"/>
              <w:tblInd w:w="0" w:type="dxa"/>
              <w:tblLayout w:type="fixed"/>
              <w:tblCellMar>
                <w:top w:w="0" w:type="dxa"/>
                <w:left w:w="108" w:type="dxa"/>
                <w:bottom w:w="0" w:type="dxa"/>
                <w:right w:w="108" w:type="dxa"/>
              </w:tblCellMar>
            </w:tblPr>
            <w:tblGrid>
              <w:gridCol w:w="2163"/>
              <w:gridCol w:w="1276"/>
              <w:gridCol w:w="1418"/>
              <w:gridCol w:w="836"/>
              <w:gridCol w:w="2397"/>
            </w:tblGrid>
            <w:tr>
              <w:tblPrEx>
                <w:tblLayout w:type="fixed"/>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Layout w:type="fixed"/>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Layout w:type="fixed"/>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23.8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23.8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执行中央八项规定，厉行节约。无增减</w:t>
                  </w:r>
                  <w:r>
                    <w:rPr>
                      <w:rFonts w:ascii="仿宋_GB2312" w:hAnsi="宋体" w:eastAsia="仿宋_GB2312" w:cs="宋体"/>
                      <w:kern w:val="0"/>
                      <w:sz w:val="24"/>
                      <w:szCs w:val="24"/>
                    </w:rPr>
                    <w:t>变化</w:t>
                  </w:r>
                </w:p>
              </w:tc>
            </w:tr>
            <w:tr>
              <w:tblPrEx>
                <w:tblLayout w:type="fixed"/>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5.2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5.2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执行中央八项规定，厉行节约。无增减</w:t>
                  </w:r>
                  <w:r>
                    <w:rPr>
                      <w:rFonts w:ascii="仿宋_GB2312" w:hAnsi="宋体" w:eastAsia="仿宋_GB2312" w:cs="宋体"/>
                      <w:kern w:val="0"/>
                      <w:sz w:val="24"/>
                      <w:szCs w:val="24"/>
                    </w:rPr>
                    <w:t>变化。</w:t>
                  </w:r>
                </w:p>
              </w:tc>
            </w:tr>
            <w:tr>
              <w:tblPrEx>
                <w:tblLayout w:type="fixed"/>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29</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2020</w:t>
                  </w:r>
                  <w:r>
                    <w:rPr>
                      <w:rFonts w:hint="eastAsia" w:ascii="仿宋_GB2312" w:hAnsi="宋体" w:eastAsia="仿宋_GB2312" w:cs="宋体"/>
                      <w:kern w:val="0"/>
                      <w:sz w:val="24"/>
                      <w:szCs w:val="24"/>
                    </w:rPr>
                    <w:t>年，我部门针对三公经费支出制定了严格的管理制度，认真执行中央八项规定，厉行节约，杜绝浪费。</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left"/>
        <w:outlineLvl w:val="0"/>
        <w:rPr>
          <w:rFonts w:ascii="方正小标宋_GBK" w:eastAsia="方正小标宋_GBK"/>
          <w:sz w:val="44"/>
        </w:rPr>
      </w:pPr>
      <w:r>
        <w:rPr>
          <w:rFonts w:hint="eastAsia" w:ascii="方正小标宋_GBK" w:eastAsia="方正小标宋_GBK"/>
          <w:sz w:val="44"/>
        </w:rPr>
        <w:t>一</w:t>
      </w:r>
      <w:r>
        <w:rPr>
          <w:rFonts w:ascii="方正小标宋_GBK" w:eastAsia="方正小标宋_GBK"/>
          <w:sz w:val="44"/>
        </w:rPr>
        <w:t>．</w:t>
      </w:r>
      <w:r>
        <w:rPr>
          <w:rFonts w:hint="eastAsia" w:ascii="方正小标宋_GBK" w:eastAsia="方正小标宋_GBK"/>
          <w:sz w:val="44"/>
        </w:rPr>
        <w:t>部门整体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以习近平新时代中国特色社会主义思想为指导，全面贯彻落实党的十九届二中、三中、四中全会以及中央经济工作会议精神，深入落实习近平总书记、省、市、区对政府乡村工作的重要精神，主动适应新形势、新任务、新要求，不断增强做好工作的责任感和使命感，全面提升“四个服务”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outlineLvl w:val="0"/>
        <w:rPr>
          <w:rFonts w:ascii="方正书宋_GBK" w:eastAsia="方正书宋_GBK"/>
        </w:rPr>
      </w:pPr>
      <w:r>
        <w:rPr>
          <w:rFonts w:hint="eastAsia" w:ascii="方正小标宋_GBK" w:eastAsia="方正小标宋_GBK"/>
          <w:sz w:val="44"/>
        </w:rPr>
        <w:t>二</w:t>
      </w:r>
      <w:r>
        <w:rPr>
          <w:rFonts w:ascii="方正小标宋_GBK" w:eastAsia="方正小标宋_GBK"/>
          <w:sz w:val="44"/>
        </w:rPr>
        <w:t>．</w:t>
      </w:r>
      <w:r>
        <w:rPr>
          <w:rFonts w:hint="eastAsia" w:ascii="方正小标宋_GBK" w:eastAsia="方正小标宋_GBK"/>
          <w:sz w:val="44"/>
        </w:rPr>
        <w:t>分项绩效目标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（一）政务服务与管理工作水平持续提升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突出政务、加强事务、提升服务，增强工作综合服务实力。提高政务管理工作的质量和效率，不断提升工作科学化、制度化、规范化水平，确保各项工作严谨规范、高效运转；做好人大会议的准备和服务保障工作；做好本部门党建工作、纪检监察及</w:t>
      </w:r>
      <w:r>
        <w:rPr>
          <w:rFonts w:ascii="仿宋" w:hAnsi="仿宋" w:eastAsia="仿宋"/>
          <w:sz w:val="32"/>
          <w:szCs w:val="32"/>
        </w:rPr>
        <w:t>2020年扶贫公益</w:t>
      </w:r>
      <w:r>
        <w:rPr>
          <w:rFonts w:hint="eastAsia" w:ascii="仿宋" w:hAnsi="仿宋" w:eastAsia="仿宋"/>
          <w:sz w:val="32"/>
          <w:szCs w:val="32"/>
          <w:lang w:val="en-US" w:eastAsia="zh-CN"/>
        </w:rPr>
        <w:t>性</w:t>
      </w:r>
      <w:r>
        <w:rPr>
          <w:rFonts w:ascii="仿宋" w:hAnsi="仿宋" w:eastAsia="仿宋"/>
          <w:sz w:val="32"/>
          <w:szCs w:val="32"/>
        </w:rPr>
        <w:t>岗位补助及购置保险的实施工作，重点加强地震群测群防岗位津贴、京原工役制人员补贴，退役军人公益性岗位人员工资、安全生产信息员经费等人员项目的落实及发放做好，组织承办人大代表建议和政协提案工作，做好推进、指导、协调、监督、考核评估全乡政务公开和政府信息公开工作；创新工作</w:t>
      </w:r>
      <w:r>
        <w:rPr>
          <w:rFonts w:hint="eastAsia" w:ascii="仿宋" w:hAnsi="仿宋" w:eastAsia="仿宋"/>
          <w:sz w:val="32"/>
          <w:szCs w:val="32"/>
        </w:rPr>
        <w:t>机制，提升服务水平；围绕全乡中心工作，充分发挥基层政权的职能作用，持续提升为民服务的水平和能力。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绩效指标：纪检经费保障到位及时率到</w:t>
      </w:r>
      <w:r>
        <w:rPr>
          <w:rFonts w:ascii="仿宋" w:hAnsi="仿宋" w:eastAsia="仿宋"/>
          <w:sz w:val="32"/>
          <w:szCs w:val="32"/>
        </w:rPr>
        <w:t>90%以上，团委综合事务管理各项综合事务完成率90%以上，全年组织宣传宗教活动10次以上，解决维稳问题占全部维稳问题的90%以上，地震群测群防岗位补贴、原京原公路工役制人员待遇金、退役军人公益性岗位人员工资等人员项目资金发放率均达90%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（二）安全生产综合监督管理标准规范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绩效指标：全乡安全生产信息员</w:t>
      </w:r>
      <w:r>
        <w:rPr>
          <w:rFonts w:ascii="仿宋" w:hAnsi="仿宋" w:eastAsia="仿宋"/>
          <w:sz w:val="32"/>
          <w:szCs w:val="32"/>
        </w:rPr>
        <w:t>21个，安全生产信息员补贴发放率100%，对发放补贴满意率90%以上。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（三）农村经营管理体制完善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绩效指标：瀑河水库除险加固工程善后扶持资金涉及</w:t>
      </w:r>
      <w:r>
        <w:rPr>
          <w:rFonts w:ascii="仿宋" w:hAnsi="仿宋" w:eastAsia="仿宋"/>
          <w:sz w:val="32"/>
          <w:szCs w:val="32"/>
        </w:rPr>
        <w:t>4个村，土地补偿发放率90%，高户公路占地补偿及大黄公路占地补偿分别涉及5个和4个村，土地补贴发放率达90%以上。高速绿化占地及库区土地流转补贴发放率90%以上。以上项目收益群众满意度90%以上。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（四）社会管理强规范、为民服务高效率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绩效指标：服务群众工作任务完成率在</w:t>
      </w:r>
      <w:r>
        <w:rPr>
          <w:rFonts w:ascii="仿宋" w:hAnsi="仿宋" w:eastAsia="仿宋"/>
          <w:sz w:val="32"/>
          <w:szCs w:val="32"/>
        </w:rPr>
        <w:t>90%以上，通过服务群众工作，使社会稳定水平切实得到提高；党员受教育学习80人次以上，党员先锋模范作用发挥充分；村级组织办公经费拨付率90以上；公共文化设备良好数量占全部数量90%以上，图书馆、美术馆等免费开放率90%以上。</w:t>
      </w:r>
    </w:p>
    <w:p>
      <w:pPr>
        <w:spacing w:line="360" w:lineRule="auto"/>
        <w:ind w:firstLine="640" w:firstLineChars="200"/>
        <w:rPr>
          <w:rFonts w:ascii="仿宋" w:hAnsi="仿宋" w:eastAsia="仿宋"/>
          <w:sz w:val="32"/>
          <w:szCs w:val="32"/>
        </w:rPr>
      </w:pPr>
    </w:p>
    <w:p>
      <w:pPr>
        <w:outlineLvl w:val="0"/>
        <w:rPr>
          <w:rFonts w:ascii="方正小标宋_GBK" w:eastAsia="方正小标宋_GBK"/>
          <w:sz w:val="44"/>
        </w:rPr>
      </w:pPr>
      <w:r>
        <w:rPr>
          <w:rFonts w:hint="eastAsia" w:ascii="方正小标宋_GBK" w:eastAsia="方正小标宋_GBK"/>
          <w:sz w:val="44"/>
        </w:rPr>
        <w:t>三</w:t>
      </w:r>
      <w:r>
        <w:rPr>
          <w:rFonts w:ascii="方正小标宋_GBK" w:eastAsia="方正小标宋_GBK"/>
          <w:sz w:val="44"/>
        </w:rPr>
        <w:t>．</w:t>
      </w:r>
      <w:r>
        <w:rPr>
          <w:rFonts w:hint="eastAsia" w:ascii="方正小标宋_GBK" w:eastAsia="方正小标宋_GBK"/>
          <w:sz w:val="44"/>
        </w:rPr>
        <w:t>工作保障措施</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强化政治理论武装，健全完善制度机制</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部门预算绩效实时监控、绩效自评和重点项目评价等工作，研究制定预算绩效运行过程出现问题的应急处置方案，推动政府工作不断迈上新台阶，确保全年绩效目标圆满完成。</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加强预算支出管理，确保支出进度达标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加强内部监督管理，确保资金安全有效</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加强宣传培训调研，确保绩效目标实现</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00" w:lineRule="exact"/>
        <w:ind w:firstLine="640" w:firstLineChars="200"/>
        <w:jc w:val="left"/>
        <w:rPr>
          <w:rFonts w:ascii="仿宋" w:hAnsi="仿宋" w:eastAsia="仿宋"/>
          <w:sz w:val="32"/>
          <w:szCs w:val="32"/>
        </w:rPr>
      </w:pPr>
    </w:p>
    <w:p>
      <w:pPr>
        <w:outlineLvl w:val="0"/>
        <w:rPr>
          <w:rFonts w:ascii="方正书宋_GBK" w:eastAsia="方正书宋_GBK"/>
        </w:rPr>
      </w:pPr>
    </w:p>
    <w:p>
      <w:pPr>
        <w:outlineLvl w:val="0"/>
        <w:rPr>
          <w:rFonts w:ascii="方正小标宋_GBK" w:eastAsia="方正小标宋_GBK"/>
          <w:sz w:val="44"/>
        </w:rPr>
      </w:pPr>
      <w:r>
        <w:rPr>
          <w:rFonts w:hint="eastAsia" w:ascii="方正小标宋_GBK" w:eastAsia="方正小标宋_GBK"/>
          <w:sz w:val="44"/>
        </w:rPr>
        <w:t>四</w:t>
      </w:r>
      <w:r>
        <w:rPr>
          <w:rFonts w:ascii="方正小标宋_GBK" w:eastAsia="方正小标宋_GBK"/>
          <w:sz w:val="44"/>
        </w:rPr>
        <w:t>．</w:t>
      </w:r>
      <w:r>
        <w:rPr>
          <w:rFonts w:hint="eastAsia" w:ascii="方正小标宋_GBK" w:eastAsia="方正小标宋_GBK"/>
          <w:sz w:val="44"/>
        </w:rPr>
        <w:t>预算项目绩效目标</w:t>
      </w:r>
    </w:p>
    <w:p>
      <w:pPr>
        <w:ind w:firstLine="562" w:firstLineChars="200"/>
        <w:jc w:val="left"/>
        <w:outlineLvl w:val="1"/>
        <w:rPr>
          <w:rFonts w:ascii="Times New Roman" w:hAnsi="宋体" w:eastAsia="宋体"/>
          <w:b/>
          <w:sz w:val="28"/>
        </w:rPr>
      </w:pPr>
      <w:r>
        <w:rPr>
          <w:rFonts w:ascii="方正仿宋_GBK" w:eastAsia="方正仿宋_GBK"/>
          <w:b/>
          <w:sz w:val="28"/>
        </w:rPr>
        <w:t>1、2020年度全区林业绿化占地经费绩效目标表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0" w:name="_Toc31368480"/>
      <w:r>
        <w:rPr>
          <w:rFonts w:ascii="方正仿宋_GBK" w:eastAsia="方正仿宋_GBK"/>
          <w:b/>
          <w:sz w:val="28"/>
        </w:rPr>
        <w:instrText xml:space="preserve">1、2020年度全区林业绿化占地经费绩效目标表</w:instrText>
      </w:r>
      <w:bookmarkEnd w:id="0"/>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906-2701-JXN-NBX5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2020年度全区林业绿化占地经费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234.92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234.92</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主要用于2020年度林业绿化占地经费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1、资金发放及时足额</w:t>
            </w:r>
          </w:p>
          <w:p>
            <w:pPr>
              <w:spacing w:line="300" w:lineRule="exact"/>
              <w:jc w:val="left"/>
              <w:rPr>
                <w:rFonts w:ascii="方正书宋_GBK" w:eastAsia="方正书宋_GBK"/>
              </w:rPr>
            </w:pPr>
            <w:r>
              <w:rPr>
                <w:rFonts w:ascii="方正书宋_GBK" w:eastAsia="方正书宋_GBK"/>
              </w:rPr>
              <w:t>2、绿化覆盖率提高</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按照要求和计划完成林业绿化占地项目的完成比例（百分比）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发放2020年度林业绿化占地租金发放完成率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群众对当年林业绿化占地租金发放的整体满意度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2、2020年扶贫公益</w:t>
      </w:r>
      <w:r>
        <w:rPr>
          <w:rFonts w:hint="eastAsia" w:ascii="方正仿宋_GBK" w:eastAsia="方正仿宋_GBK"/>
          <w:b/>
          <w:sz w:val="28"/>
          <w:lang w:val="en-US" w:eastAsia="zh-CN"/>
        </w:rPr>
        <w:t>性</w:t>
      </w:r>
      <w:r>
        <w:rPr>
          <w:rFonts w:ascii="方正仿宋_GBK" w:eastAsia="方正仿宋_GBK"/>
          <w:b/>
          <w:sz w:val="28"/>
        </w:rPr>
        <w:t>岗位补助及购置保险绩效目标表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 w:name="_Toc31368481"/>
      <w:r>
        <w:rPr>
          <w:rFonts w:ascii="方正仿宋_GBK" w:eastAsia="方正仿宋_GBK"/>
          <w:b/>
          <w:sz w:val="28"/>
        </w:rPr>
        <w:instrText xml:space="preserve">2、2020年扶贫公益岗位补助及购置保险绩效目标表</w:instrText>
      </w:r>
      <w:bookmarkEnd w:id="1"/>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906-1701-JXN-U33A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2020年扶贫公益</w:t>
            </w:r>
            <w:r>
              <w:rPr>
                <w:rFonts w:hint="eastAsia" w:ascii="方正书宋_GBK" w:eastAsia="方正书宋_GBK"/>
                <w:lang w:val="en-US" w:eastAsia="zh-CN"/>
              </w:rPr>
              <w:t>性</w:t>
            </w:r>
            <w:r>
              <w:rPr>
                <w:rFonts w:ascii="方正书宋_GBK" w:eastAsia="方正书宋_GBK"/>
              </w:rPr>
              <w:t>岗位补助及购置保险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设置扶贫公益</w:t>
            </w:r>
            <w:r>
              <w:rPr>
                <w:rFonts w:hint="eastAsia" w:ascii="方正书宋_GBK" w:eastAsia="方正书宋_GBK"/>
                <w:lang w:val="en-US" w:eastAsia="zh-CN"/>
              </w:rPr>
              <w:t>性</w:t>
            </w:r>
            <w:r>
              <w:rPr>
                <w:rFonts w:ascii="方正书宋_GBK" w:eastAsia="方正书宋_GBK"/>
              </w:rPr>
              <w:t>岗位，每人每月补助500元，为每人购置人身意外保险667元，2020年1－12月实施,全年共需4.0002万元。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1、以扶贫公益</w:t>
            </w:r>
            <w:r>
              <w:rPr>
                <w:rFonts w:hint="eastAsia" w:ascii="方正书宋_GBK" w:eastAsia="方正书宋_GBK"/>
                <w:lang w:val="en-US" w:eastAsia="zh-CN"/>
              </w:rPr>
              <w:t>性</w:t>
            </w:r>
            <w:r>
              <w:rPr>
                <w:rFonts w:ascii="方正书宋_GBK" w:eastAsia="方正书宋_GBK"/>
              </w:rPr>
              <w:t>岗位为抓手，解决建档立卡贫困户中弱劳动能力人员就业问题。</w:t>
            </w:r>
          </w:p>
          <w:p>
            <w:pPr>
              <w:spacing w:line="300" w:lineRule="exact"/>
              <w:jc w:val="left"/>
              <w:rPr>
                <w:rFonts w:ascii="方正书宋_GBK" w:eastAsia="方正书宋_GBK"/>
              </w:rPr>
            </w:pPr>
            <w:r>
              <w:rPr>
                <w:rFonts w:ascii="方正书宋_GBK" w:eastAsia="方正书宋_GBK"/>
              </w:rPr>
              <w:t>2、给予一定的岗位补助，促进建档立卡贫困户增收脱贫。</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带动建档立卡贫困户增收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带动建档立卡贫困户增加收入（万元）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保障建档立卡贫困户人身安全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购置建档立卡贫困户人身意外保险费用（万元）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≥0.4万元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3、安全生产信息员经费绩效目标表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 w:name="_Toc31368482"/>
      <w:r>
        <w:rPr>
          <w:rFonts w:ascii="方正仿宋_GBK" w:eastAsia="方正仿宋_GBK"/>
          <w:b/>
          <w:sz w:val="28"/>
        </w:rPr>
        <w:instrText xml:space="preserve">3、安全生产信息员经费绩效目标表</w:instrText>
      </w:r>
      <w:bookmarkEnd w:id="2"/>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906-2401-JXN-6DLT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用于全乡各乡镇（城区办）安全生产信息员补助，计划2020年1-12月实施。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2、有效减少安全生产事故的发生，维护安全生产形势稳中向好。</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覆盖乡镇安全生产信息员数量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安全生产信息员设置覆盖乡镇（办事处）数量</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乡镇（办事处）安全生产信息员补助发放完成率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享受安全生产信息员补助人员对补助发放情况的满意程度</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4、村党组织活动经费绩效目标表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1368483"/>
      <w:r>
        <w:rPr>
          <w:rFonts w:ascii="方正仿宋_GBK" w:eastAsia="方正仿宋_GBK"/>
          <w:b/>
          <w:sz w:val="28"/>
        </w:rPr>
        <w:instrText xml:space="preserve">4、村党组织活动经费绩效目标表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906-0701-JXN-48SN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19.30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19.30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用于村内党员组织活动支出，2020年实施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2、由村党组织活动经费定期集中培训，提高农村党员的综合素质</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参加党组织活动的党员对此项服务的满意程度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5、村级组织办公经费绩效目标表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1368484"/>
      <w:r>
        <w:rPr>
          <w:rFonts w:ascii="方正仿宋_GBK" w:eastAsia="方正仿宋_GBK"/>
          <w:b/>
          <w:sz w:val="28"/>
        </w:rPr>
        <w:instrText xml:space="preserve">5、村级组织办公经费绩效目标表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906-0701-JXN-EY50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35.63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35.63</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专项用于村级组织办公，维持村级组织运转，计划2020年1-12月实施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2、村级正常运转</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6、大黄公路占地补偿绩效目标表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1368485"/>
      <w:r>
        <w:rPr>
          <w:rFonts w:ascii="方正仿宋_GBK" w:eastAsia="方正仿宋_GBK"/>
          <w:b/>
          <w:sz w:val="28"/>
        </w:rPr>
        <w:instrText xml:space="preserve">6、大黄公路占地补偿绩效目标表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906-2701-JXN-R2HZ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14.76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14.76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用于大黄公路占地补偿，保障大黄公路占地户利益，计划2020年1-12月实施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2、补偿及时足额</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发放大黄公路占地补偿款完成率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7、大气污染防治经费绩效目标表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 w:name="_Toc31368486"/>
      <w:r>
        <w:rPr>
          <w:rFonts w:ascii="方正仿宋_GBK" w:eastAsia="方正仿宋_GBK"/>
          <w:b/>
          <w:sz w:val="28"/>
        </w:rPr>
        <w:instrText xml:space="preserve">7、大气污染防治经费绩效目标表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906-1701-JBN-RQNO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预算项目资金10万元主要用于秸秆禁烧，垃圾清理等大气污染防治，计划2020年1-12月实施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1、资金安全，经济效益明显</w:t>
            </w:r>
          </w:p>
          <w:p>
            <w:pPr>
              <w:spacing w:line="300" w:lineRule="exact"/>
              <w:jc w:val="left"/>
              <w:rPr>
                <w:rFonts w:ascii="方正书宋_GBK" w:eastAsia="方正书宋_GBK"/>
              </w:rPr>
            </w:pPr>
            <w:r>
              <w:rPr>
                <w:rFonts w:ascii="方正书宋_GBK" w:eastAsia="方正书宋_GBK"/>
              </w:rPr>
              <w:t>2、污染降低，社会效益凸显</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覆盖个数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本辖区大气污染防治覆盖村个数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开展的大气污染防治工作对周边的重要影响力，得到广大受众的充分认可。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8、党建经费绩效目标表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 w:name="_Toc31368487"/>
      <w:r>
        <w:rPr>
          <w:rFonts w:ascii="方正仿宋_GBK" w:eastAsia="方正仿宋_GBK"/>
          <w:b/>
          <w:sz w:val="28"/>
        </w:rPr>
        <w:instrText xml:space="preserve">8、党建经费绩效目标表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906-1701-JBN-XASL</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党建经费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主要用于党的政治建设、思想建设、组织建社、作风建设设等方面的支出，计划2020年1-12月实施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1、基层组织服务意识服务能力显著提高</w:t>
            </w:r>
          </w:p>
          <w:p>
            <w:pPr>
              <w:spacing w:line="300" w:lineRule="exact"/>
              <w:jc w:val="left"/>
              <w:rPr>
                <w:rFonts w:ascii="方正书宋_GBK" w:eastAsia="方正书宋_GBK"/>
              </w:rPr>
            </w:pPr>
            <w:r>
              <w:rPr>
                <w:rFonts w:ascii="方正书宋_GBK" w:eastAsia="方正书宋_GBK"/>
              </w:rPr>
              <w:t>2、服务型组织战斗堡垒和先锋模范作用彰显</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党员活动日数量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每年开展党员活动日数量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项目实施本辖区的影响，得到广大受众的充分认可。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9、地震群测群防岗位津贴绩效目标表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 w:name="_Toc31368488"/>
      <w:r>
        <w:rPr>
          <w:rFonts w:ascii="方正仿宋_GBK" w:eastAsia="方正仿宋_GBK"/>
          <w:b/>
          <w:sz w:val="28"/>
        </w:rPr>
        <w:instrText xml:space="preserve">9、地震群测群防岗位津贴绩效目标表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906-1701-JXN-7EDC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0.35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0.35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用于全乡地震群测群防系统人员津贴发放，2020年1-12月实施。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地震群测群防队伍覆盖全区各乡镇（办事处）</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发放乡镇（办事处）地震群测群防岗位津贴发放完成率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享受地震群测群防岗位津贴人员对津贴发放情况的满意程度</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10、服务群众专项经费绩效目标表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 w:name="_Toc31368489"/>
      <w:r>
        <w:rPr>
          <w:rFonts w:ascii="方正仿宋_GBK" w:eastAsia="方正仿宋_GBK"/>
          <w:b/>
          <w:sz w:val="28"/>
        </w:rPr>
        <w:instrText xml:space="preserve">10、服务群众专项经费绩效目标表</w:instrText>
      </w:r>
      <w:bookmarkEnd w:id="9"/>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906-0701-JXN-01E4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用于村内日常开支工作支出,2020年实施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1、运用服务群众专项经费，保障村内组织日常活动，</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通过实施此项资金，促进社会稳定水平逐步提高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项逐步改善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11、高户公路占地补偿绩效目标表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 w:name="_Toc31368490"/>
      <w:r>
        <w:rPr>
          <w:rFonts w:ascii="方正仿宋_GBK" w:eastAsia="方正仿宋_GBK"/>
          <w:b/>
          <w:sz w:val="28"/>
        </w:rPr>
        <w:instrText xml:space="preserve">11、高户公路占地补偿绩效目标表</w:instrText>
      </w:r>
      <w:bookmarkEnd w:id="10"/>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906-2701-JXN-F39S</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高户公路占地补偿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主要用于高户公路占地补偿，保障占地户利益，计划2020年1-12月实施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2、补偿足额及时</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涉及村数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高户公路占地补偿涉及村委会数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发放高户公路占地补偿款发放完成率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12、纪检保障经费绩效目标表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 w:name="_Toc31368491"/>
      <w:r>
        <w:rPr>
          <w:rFonts w:ascii="方正仿宋_GBK" w:eastAsia="方正仿宋_GBK"/>
          <w:b/>
          <w:sz w:val="28"/>
        </w:rPr>
        <w:instrText xml:space="preserve">12、纪检保障经费绩效目标表</w:instrText>
      </w:r>
      <w:bookmarkEnd w:id="11"/>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906-1701-JBN-0KHG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用于开展纪检经费项目，保障纪检监察工作正常开展，计划2020年1-12月实施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1、纪检保障长效机制进一步完善</w:t>
            </w:r>
          </w:p>
          <w:p>
            <w:pPr>
              <w:spacing w:line="300" w:lineRule="exact"/>
              <w:jc w:val="left"/>
              <w:rPr>
                <w:rFonts w:ascii="方正书宋_GBK" w:eastAsia="方正书宋_GBK"/>
              </w:rPr>
            </w:pPr>
            <w:r>
              <w:rPr>
                <w:rFonts w:ascii="方正书宋_GBK" w:eastAsia="方正书宋_GBK"/>
              </w:rPr>
              <w:t>2、纪检监察履职能力进一步提高</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纪检保障经费到位及时率。（已按计划拨付到位的资金/应按计划拨付到位的资金）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执法办案行为投诉率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被投诉案件占办案总量的比例。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13、瀑河水库除险加固工程善后工作扶持资金绩效目标表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 w:name="_Toc31368492"/>
      <w:r>
        <w:rPr>
          <w:rFonts w:ascii="方正仿宋_GBK" w:eastAsia="方正仿宋_GBK"/>
          <w:b/>
          <w:sz w:val="28"/>
        </w:rPr>
        <w:instrText xml:space="preserve">13、瀑河水库除险加固工程善后工作扶持资金绩效目标表</w:instrText>
      </w:r>
      <w:bookmarkEnd w:id="12"/>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906-2701-JXN-A97A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瀑河水库除险加固工程善后工作扶持资金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16.18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16.18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用于瀑河水库除险加固工程善后工作的土地补偿，计划2020年1-12月实施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2、补贴及时足额</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土地补偿涉及村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瀑河水库除险加固工程善后工作土地补偿资金涉及村委会数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发放瀑河水库除险加固工作善后扶持土地补偿款发放完成率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14、其他两委干部绩效补贴绩效目标表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 w:name="_Toc31368493"/>
      <w:r>
        <w:rPr>
          <w:rFonts w:ascii="方正仿宋_GBK" w:eastAsia="方正仿宋_GBK"/>
          <w:b/>
          <w:sz w:val="28"/>
        </w:rPr>
        <w:instrText xml:space="preserve">14、其他两委干部绩效补贴绩效目标表</w:instrText>
      </w:r>
      <w:bookmarkEnd w:id="13"/>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906-0701-JXN-O5EP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其他两委干部绩效补贴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30.96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30.96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用于发放其他两委干部绩效补贴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1、补贴发放及时足额</w:t>
            </w:r>
          </w:p>
          <w:p>
            <w:pPr>
              <w:spacing w:line="300" w:lineRule="exact"/>
              <w:jc w:val="left"/>
              <w:rPr>
                <w:rFonts w:ascii="方正书宋_GBK" w:eastAsia="方正书宋_GBK"/>
              </w:rPr>
            </w:pPr>
            <w:r>
              <w:rPr>
                <w:rFonts w:ascii="方正书宋_GBK" w:eastAsia="方正书宋_GBK"/>
              </w:rPr>
              <w:t>2、村干部工作积极性显著提高</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发放绩效补贴的其他两委干部人数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86</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通过发放绩效补贴带动村干部工作积极性促进社会稳定水平逐步提高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社会稳定水平逐步提高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15、人大经费绩效目标表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 w:name="_Toc31368494"/>
      <w:r>
        <w:rPr>
          <w:rFonts w:ascii="方正仿宋_GBK" w:eastAsia="方正仿宋_GBK"/>
          <w:b/>
          <w:sz w:val="28"/>
        </w:rPr>
        <w:instrText xml:space="preserve">15、人大经费绩效目标表</w:instrText>
      </w:r>
      <w:bookmarkEnd w:id="14"/>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906-1701-JBN-HC7G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预算项目资金主要用于人大开展工作，履行职能，项目2020年实施，周期1年。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1、完成上级和本级人大的各项决议</w:t>
            </w:r>
          </w:p>
          <w:p>
            <w:pPr>
              <w:spacing w:line="300" w:lineRule="exact"/>
              <w:jc w:val="left"/>
              <w:rPr>
                <w:rFonts w:ascii="方正书宋_GBK" w:eastAsia="方正书宋_GBK"/>
              </w:rPr>
            </w:pPr>
            <w:r>
              <w:rPr>
                <w:rFonts w:ascii="方正书宋_GBK" w:eastAsia="方正书宋_GBK"/>
              </w:rPr>
              <w:t>2、会议制度完善，会议程序规范，人大履职能力提高</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召开次数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本级人民代表大会履行参政议政职能召开会议次数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参与政府决策活动次数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参与决策咨询活动次数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16、团委综合事务管理经费绩效目标表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5" w:name="_Toc31368495"/>
      <w:r>
        <w:rPr>
          <w:rFonts w:ascii="方正仿宋_GBK" w:eastAsia="方正仿宋_GBK"/>
          <w:b/>
          <w:sz w:val="28"/>
        </w:rPr>
        <w:instrText xml:space="preserve">16、团委综合事务管理经费绩效目标表</w:instrText>
      </w:r>
      <w:bookmarkEnd w:id="15"/>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906-1701-JBN-5H4F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主要用于团委综合事务管理，促进团委工作创新改革，计划2020年1-12月实施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1、团委吸引力凝聚力得到加强</w:t>
            </w:r>
          </w:p>
          <w:p>
            <w:pPr>
              <w:spacing w:line="300" w:lineRule="exact"/>
              <w:jc w:val="left"/>
              <w:rPr>
                <w:rFonts w:ascii="方正书宋_GBK" w:eastAsia="方正书宋_GBK"/>
              </w:rPr>
            </w:pPr>
            <w:r>
              <w:rPr>
                <w:rFonts w:ascii="方正书宋_GBK" w:eastAsia="方正书宋_GBK"/>
              </w:rPr>
              <w:t>2、基层共建平台得到完善</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反映团委综合事务管理各项综合事务完成情况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17、退役军人公益性岗位人员工资绩效目标表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6" w:name="_Toc31368496"/>
      <w:r>
        <w:rPr>
          <w:rFonts w:ascii="方正仿宋_GBK" w:eastAsia="方正仿宋_GBK"/>
          <w:b/>
          <w:sz w:val="28"/>
        </w:rPr>
        <w:instrText xml:space="preserve">17、退役军人公益性岗位人员工资绩效目标表</w:instrText>
      </w:r>
      <w:bookmarkEnd w:id="16"/>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906-1701-JXN-0627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11.48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11.48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用于公益性岗位退役军人工资补贴，计划2020年1-12月实施，序时进度，按月发放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1、工资补贴及时足额发放</w:t>
            </w:r>
          </w:p>
          <w:p>
            <w:pPr>
              <w:spacing w:line="300" w:lineRule="exact"/>
              <w:jc w:val="left"/>
              <w:rPr>
                <w:rFonts w:ascii="方正书宋_GBK" w:eastAsia="方正书宋_GBK"/>
              </w:rPr>
            </w:pPr>
            <w:r>
              <w:rPr>
                <w:rFonts w:ascii="方正书宋_GBK" w:eastAsia="方正书宋_GBK"/>
              </w:rPr>
              <w:t>2、退役政策切实落实到位</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已补助人数占应补助人群的比率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发放退役军人公益性岗位工资补贴发放完成率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18、维稳经费绩效目标表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7" w:name="_Toc31368497"/>
      <w:r>
        <w:rPr>
          <w:rFonts w:ascii="方正仿宋_GBK" w:eastAsia="方正仿宋_GBK"/>
          <w:b/>
          <w:sz w:val="28"/>
        </w:rPr>
        <w:instrText xml:space="preserve">18、维稳经费绩效目标表</w:instrText>
      </w:r>
      <w:bookmarkEnd w:id="17"/>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906-1701-JBN-NFSE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主要用于维护宗教稳定形势，保障日常信访事件顺畅解决，计划2020年1-12月实施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1、宗教稳定形势得到维护</w:t>
            </w:r>
          </w:p>
          <w:p>
            <w:pPr>
              <w:spacing w:line="300" w:lineRule="exact"/>
              <w:jc w:val="left"/>
              <w:rPr>
                <w:rFonts w:ascii="方正书宋_GBK" w:eastAsia="方正书宋_GBK"/>
              </w:rPr>
            </w:pPr>
            <w:r>
              <w:rPr>
                <w:rFonts w:ascii="方正书宋_GBK" w:eastAsia="方正书宋_GBK"/>
              </w:rPr>
              <w:t>2、日常信访矛盾顺利解决</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组织宣传活动次数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全年组织宣传宗教政策活动次数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维稳问题解决率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已解决维稳问题占全部维稳问题的比率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19、选任专职人民调解员经费绩效目标表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8" w:name="_Toc31368498"/>
      <w:r>
        <w:rPr>
          <w:rFonts w:ascii="方正仿宋_GBK" w:eastAsia="方正仿宋_GBK"/>
          <w:b/>
          <w:sz w:val="28"/>
        </w:rPr>
        <w:instrText xml:space="preserve">19、选任专职人民调解员经费绩效目标表</w:instrText>
      </w:r>
      <w:bookmarkEnd w:id="18"/>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906-0603-JXN-S0TP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为进一步做好人民调解工作，依据上级文件精神，为区司法局招录5名专职人民调解员，便于更好、更快调解诉前案件和信访案件，减少社会矛盾，化解社会纠纷。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1、做好人民调解工作，更好、更快调解诉前案件和信访案件。</w:t>
            </w:r>
          </w:p>
          <w:p>
            <w:pPr>
              <w:spacing w:line="300" w:lineRule="exact"/>
              <w:jc w:val="left"/>
              <w:rPr>
                <w:rFonts w:ascii="方正书宋_GBK" w:eastAsia="方正书宋_GBK"/>
              </w:rPr>
            </w:pPr>
            <w:r>
              <w:rPr>
                <w:rFonts w:ascii="方正书宋_GBK" w:eastAsia="方正书宋_GBK"/>
              </w:rPr>
              <w:t>2、减少社会矛盾，化解社会纠纷。</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通过实施专职调解员工作促进社会稳定水平逐步提高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专职调解员工作促进社会稳定水平逐步提升。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接受基本公共卫生服务的重点人群对基层医疗卫生机构所提供服务的满意程度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20、原京原公路工役制人员待遇金绩效目标表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9" w:name="_Toc31368499"/>
      <w:r>
        <w:rPr>
          <w:rFonts w:ascii="方正仿宋_GBK" w:eastAsia="方正仿宋_GBK"/>
          <w:b/>
          <w:sz w:val="28"/>
        </w:rPr>
        <w:instrText xml:space="preserve">20、原京原公路工役制人员待遇金绩效目标表</w:instrText>
      </w:r>
      <w:bookmarkEnd w:id="19"/>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906-1701-JXN-UYUM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原京原公路工役制人员待遇金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5.40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5.40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主要用于发放原京原公路工役制人员待遇工资，计划2020年1-12月实施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1、资金运行安全，序时支出</w:t>
            </w:r>
          </w:p>
          <w:p>
            <w:pPr>
              <w:spacing w:line="300" w:lineRule="exact"/>
              <w:jc w:val="left"/>
              <w:rPr>
                <w:rFonts w:ascii="方正书宋_GBK" w:eastAsia="方正书宋_GBK"/>
              </w:rPr>
            </w:pPr>
            <w:r>
              <w:rPr>
                <w:rFonts w:ascii="方正书宋_GBK" w:eastAsia="方正书宋_GBK"/>
              </w:rPr>
              <w:t>2、人员权益保障，乡情稳定</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享受原京原公路工役制人员待遇金人数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发放原京原公路工役制人员生活补贴发放完成率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21、政府机关运转经费绩效目标表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0" w:name="_Toc31368500"/>
      <w:r>
        <w:rPr>
          <w:rFonts w:ascii="方正仿宋_GBK" w:eastAsia="方正仿宋_GBK"/>
          <w:b/>
          <w:sz w:val="28"/>
        </w:rPr>
        <w:instrText xml:space="preserve">21、政府机关运转经费绩效目标表</w:instrText>
      </w:r>
      <w:bookmarkEnd w:id="20"/>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906-1701-JBN-R9KH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政府机关运转经费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19.86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19.86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用于保障政府机构运作项目，保障政府机构履职尽责，正常运转，计划2020年1-12月实施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1、政府机关运转正常，完成本级政府工作良好</w:t>
            </w:r>
          </w:p>
          <w:p>
            <w:pPr>
              <w:spacing w:line="300" w:lineRule="exact"/>
              <w:jc w:val="left"/>
              <w:rPr>
                <w:rFonts w:ascii="方正书宋_GBK" w:eastAsia="方正书宋_GBK"/>
              </w:rPr>
            </w:pPr>
            <w:r>
              <w:rPr>
                <w:rFonts w:ascii="方正书宋_GBK" w:eastAsia="方正书宋_GBK"/>
              </w:rPr>
              <w:t>2、政府作风转变凸显，为民服务能力提高</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反映机关事务管理各项综合事务完成情况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在全区或本辖区产生的影响力，得到广大受众的充分认可。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群众对提供各种政务等服务的满意程度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22、中央补助地方美术馆、公共图书馆、文化馆（站）免费开放专项资金绩效目标表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1" w:name="_Toc31368501"/>
      <w:r>
        <w:rPr>
          <w:rFonts w:ascii="方正仿宋_GBK" w:eastAsia="方正仿宋_GBK"/>
          <w:b/>
          <w:sz w:val="28"/>
        </w:rPr>
        <w:instrText xml:space="preserve">22、中央补助地方美术馆、公共图书馆、文化馆（站）免费开放专项资金绩效目标表</w:instrText>
      </w:r>
      <w:bookmarkEnd w:id="21"/>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906-0701-JXN-DF2X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中央补助地方美术馆、公共图书馆、文化馆（站）免费开放专项资金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主要用于地方美术馆、公共图书馆、文化馆（站）免费开放专项资金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1、地方美术馆、公共图书馆、文化馆（站）免费开放率提高</w:t>
            </w:r>
          </w:p>
          <w:p>
            <w:pPr>
              <w:spacing w:line="300" w:lineRule="exact"/>
              <w:jc w:val="left"/>
              <w:rPr>
                <w:rFonts w:ascii="方正书宋_GBK" w:eastAsia="方正书宋_GBK"/>
              </w:rPr>
            </w:pPr>
            <w:r>
              <w:rPr>
                <w:rFonts w:ascii="方正书宋_GBK" w:eastAsia="方正书宋_GBK"/>
              </w:rPr>
              <w:t>2、农村基层文化人才队伍建设、丰富农民群众文化生活等得到加强</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全年免费开放覆盖情况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在区域的影响，得到广大受众的充分认可。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免费开放，得到了广大受众的认可</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群众对当年免费开放的整体满意度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23、中央补助地方农村文化建设区级配套资金绩效目标表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2" w:name="_Toc31368502"/>
      <w:r>
        <w:rPr>
          <w:rFonts w:ascii="方正仿宋_GBK" w:eastAsia="方正仿宋_GBK"/>
          <w:b/>
          <w:sz w:val="28"/>
        </w:rPr>
        <w:instrText xml:space="preserve">23、中央补助地方农村文化建设区级配套资金绩效目标表</w:instrText>
      </w:r>
      <w:bookmarkEnd w:id="22"/>
      <w:r>
        <w:rPr>
          <w:rFonts w:ascii="方正仿宋_GBK" w:eastAsia="方正仿宋_GBK"/>
          <w:b/>
          <w:sz w:val="28"/>
        </w:rPr>
        <w:instrText xml:space="preserve"> \f C \l 1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906002户木乡（行政）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906-0701-JXN-7IFC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中央补助地方农村文化建设区级配套资金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2.11</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补助行政村文化设施维护和开展文化活动等支出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1、鼓励地方开展农村特色文育活动</w:t>
            </w:r>
          </w:p>
          <w:p>
            <w:pPr>
              <w:spacing w:line="300" w:lineRule="exact"/>
              <w:jc w:val="left"/>
              <w:rPr>
                <w:rFonts w:ascii="方正书宋_GBK" w:eastAsia="方正书宋_GBK"/>
              </w:rPr>
            </w:pPr>
            <w:r>
              <w:rPr>
                <w:rFonts w:ascii="方正书宋_GBK" w:eastAsia="方正书宋_GBK"/>
              </w:rPr>
              <w:t>2、加强农村基层文化人才队伍建设、丰富农民群众文化生活等</w:t>
            </w:r>
          </w:p>
        </w:tc>
      </w:tr>
    </w:tbl>
    <w:p>
      <w:pPr>
        <w:spacing w:line="14" w:lineRule="exact"/>
        <w:ind w:firstLine="420" w:firstLineChars="200"/>
        <w:jc w:val="center"/>
        <w:rPr>
          <w:rFonts w:ascii="Times New Roman" w:hAnsi="宋体" w:eastAsia="宋体"/>
        </w:rPr>
      </w:pP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设施设备及环境完好率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设施设备软硬件运行使用的良好的数量占总数量的百分比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文化交流次数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文化交流活动开展实施次数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受益群众满意率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农村受益群众满意程度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outlineLvl w:val="0"/>
        <w:rPr>
          <w:rFonts w:ascii="方正小标宋_GBK" w:eastAsia="方正小标宋_GBK"/>
          <w:sz w:val="44"/>
        </w:rPr>
      </w:pPr>
    </w:p>
    <w:p>
      <w:pPr>
        <w:outlineLvl w:val="0"/>
        <w:rPr>
          <w:rFonts w:ascii="方正书宋_GBK" w:eastAsia="方正书宋_GBK"/>
        </w:rPr>
      </w:pPr>
    </w:p>
    <w:p>
      <w:pPr>
        <w:outlineLvl w:val="0"/>
        <w:rPr>
          <w:rFonts w:ascii="方正书宋_GBK" w:eastAsia="方正书宋_GBK"/>
        </w:rPr>
      </w:pPr>
    </w:p>
    <w:p>
      <w:pPr>
        <w:spacing w:line="360" w:lineRule="auto"/>
        <w:ind w:firstLine="640" w:firstLineChars="200"/>
        <w:rPr>
          <w:rFonts w:ascii="仿宋" w:hAnsi="仿宋" w:eastAsia="仿宋"/>
          <w:sz w:val="32"/>
          <w:szCs w:val="32"/>
        </w:rPr>
        <w:sectPr>
          <w:headerReference r:id="rId3" w:type="default"/>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ascii="仿宋" w:hAnsi="仿宋" w:eastAsia="仿宋"/>
          <w:sz w:val="32"/>
          <w:szCs w:val="32"/>
        </w:rPr>
        <w:t>2020年，我部门无政府采购预算，空表列示。</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700" w:lineRule="exact"/>
        <w:jc w:val="left"/>
        <w:rPr>
          <w:rFonts w:ascii="方正小标宋_GBK" w:eastAsia="方正小标宋_GBK"/>
          <w:sz w:val="24"/>
        </w:rPr>
        <w:sectPr>
          <w:footerReference r:id="rId4" w:type="default"/>
          <w:pgSz w:w="11906" w:h="16838"/>
          <w:pgMar w:top="1440" w:right="1800" w:bottom="1440" w:left="1800" w:header="851" w:footer="992" w:gutter="0"/>
          <w:cols w:space="425" w:num="1"/>
          <w:docGrid w:type="lines" w:linePitch="312" w:charSpace="0"/>
        </w:sectPr>
      </w:pPr>
    </w:p>
    <w:p>
      <w:pPr>
        <w:spacing w:line="360" w:lineRule="auto"/>
        <w:rPr>
          <w:rFonts w:ascii="仿宋" w:hAnsi="仿宋" w:eastAsia="仿宋"/>
          <w:sz w:val="32"/>
          <w:szCs w:val="32"/>
        </w:rPr>
      </w:pPr>
    </w:p>
    <w:tbl>
      <w:tblPr>
        <w:tblStyle w:val="8"/>
        <w:tblW w:w="1316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w:t>
      </w:r>
      <w:r>
        <w:rPr>
          <w:rFonts w:ascii="仿宋" w:hAnsi="仿宋" w:eastAsia="仿宋"/>
          <w:sz w:val="32"/>
          <w:szCs w:val="32"/>
        </w:rPr>
        <w:t>15.7</w:t>
      </w:r>
      <w:r>
        <w:rPr>
          <w:rFonts w:hint="eastAsia" w:ascii="仿宋" w:hAnsi="仿宋" w:eastAsia="仿宋"/>
          <w:sz w:val="32"/>
          <w:szCs w:val="32"/>
        </w:rPr>
        <w:t>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8"/>
        <w:tblW w:w="10084" w:type="dxa"/>
        <w:jc w:val="center"/>
        <w:tblInd w:w="0" w:type="dxa"/>
        <w:tblLayout w:type="fixed"/>
        <w:tblCellMar>
          <w:top w:w="0" w:type="dxa"/>
          <w:left w:w="108" w:type="dxa"/>
          <w:bottom w:w="0" w:type="dxa"/>
          <w:right w:w="108" w:type="dxa"/>
        </w:tblCellMar>
      </w:tblPr>
      <w:tblGrid>
        <w:gridCol w:w="4788"/>
        <w:gridCol w:w="1035"/>
        <w:gridCol w:w="4261"/>
      </w:tblGrid>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2548</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98.5</w:t>
            </w:r>
            <w:r>
              <w:rPr>
                <w:rFonts w:ascii="仿宋_GB2312" w:hAnsi="仿宋" w:eastAsia="仿宋_GB2312" w:cs="宋体"/>
                <w:kern w:val="0"/>
                <w:sz w:val="24"/>
                <w:szCs w:val="24"/>
              </w:rPr>
              <w:t>4</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2548</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98.5</w:t>
            </w:r>
            <w:r>
              <w:rPr>
                <w:rFonts w:ascii="仿宋_GB2312" w:hAnsi="仿宋" w:eastAsia="仿宋_GB2312" w:cs="宋体"/>
                <w:kern w:val="0"/>
                <w:sz w:val="24"/>
                <w:szCs w:val="24"/>
              </w:rPr>
              <w:t>4</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6.98</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10.18</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w:t>
      </w:r>
      <w:bookmarkStart w:id="23" w:name="_GoBack"/>
      <w:bookmarkEnd w:id="23"/>
      <w:r>
        <w:rPr>
          <w:rFonts w:ascii="仿宋" w:hAnsi="仿宋" w:eastAsia="仿宋"/>
          <w:sz w:val="32"/>
          <w:szCs w:val="32"/>
        </w:rPr>
        <w:t>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35</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44FBC"/>
    <w:rsid w:val="00055F1F"/>
    <w:rsid w:val="000577EF"/>
    <w:rsid w:val="00057F18"/>
    <w:rsid w:val="00071DDE"/>
    <w:rsid w:val="000A445D"/>
    <w:rsid w:val="000C178B"/>
    <w:rsid w:val="00131DEC"/>
    <w:rsid w:val="00136AB3"/>
    <w:rsid w:val="001462BD"/>
    <w:rsid w:val="00152380"/>
    <w:rsid w:val="001638BE"/>
    <w:rsid w:val="00172C7A"/>
    <w:rsid w:val="00181777"/>
    <w:rsid w:val="001B4688"/>
    <w:rsid w:val="001B6235"/>
    <w:rsid w:val="001F4875"/>
    <w:rsid w:val="0020064C"/>
    <w:rsid w:val="00212335"/>
    <w:rsid w:val="00232549"/>
    <w:rsid w:val="002918C6"/>
    <w:rsid w:val="00296524"/>
    <w:rsid w:val="002E01F6"/>
    <w:rsid w:val="002F1ACB"/>
    <w:rsid w:val="002F530F"/>
    <w:rsid w:val="00305E97"/>
    <w:rsid w:val="00310532"/>
    <w:rsid w:val="0032782B"/>
    <w:rsid w:val="00340B3D"/>
    <w:rsid w:val="0034253A"/>
    <w:rsid w:val="00345DB6"/>
    <w:rsid w:val="00367A30"/>
    <w:rsid w:val="003830FC"/>
    <w:rsid w:val="003A06D2"/>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70142"/>
    <w:rsid w:val="00586C35"/>
    <w:rsid w:val="005944E4"/>
    <w:rsid w:val="005B1B6F"/>
    <w:rsid w:val="005B6CCB"/>
    <w:rsid w:val="005C54AA"/>
    <w:rsid w:val="005C7B89"/>
    <w:rsid w:val="0062788A"/>
    <w:rsid w:val="00641F8A"/>
    <w:rsid w:val="0066383B"/>
    <w:rsid w:val="006764DE"/>
    <w:rsid w:val="006B5117"/>
    <w:rsid w:val="006B5266"/>
    <w:rsid w:val="006C38E7"/>
    <w:rsid w:val="006C4220"/>
    <w:rsid w:val="006C62DF"/>
    <w:rsid w:val="006F28FA"/>
    <w:rsid w:val="006F5104"/>
    <w:rsid w:val="006F6549"/>
    <w:rsid w:val="007055E0"/>
    <w:rsid w:val="00735B02"/>
    <w:rsid w:val="007549F2"/>
    <w:rsid w:val="007657C8"/>
    <w:rsid w:val="00767A77"/>
    <w:rsid w:val="00771E49"/>
    <w:rsid w:val="00782208"/>
    <w:rsid w:val="00791938"/>
    <w:rsid w:val="007C7FD7"/>
    <w:rsid w:val="007F3746"/>
    <w:rsid w:val="00833132"/>
    <w:rsid w:val="008627B7"/>
    <w:rsid w:val="0086454E"/>
    <w:rsid w:val="008672EA"/>
    <w:rsid w:val="00891680"/>
    <w:rsid w:val="00894BE7"/>
    <w:rsid w:val="00895095"/>
    <w:rsid w:val="008A0099"/>
    <w:rsid w:val="008A0B5F"/>
    <w:rsid w:val="008B5402"/>
    <w:rsid w:val="008D11BC"/>
    <w:rsid w:val="0090527E"/>
    <w:rsid w:val="00905BB7"/>
    <w:rsid w:val="0090620C"/>
    <w:rsid w:val="00912DA4"/>
    <w:rsid w:val="009302B8"/>
    <w:rsid w:val="009305C6"/>
    <w:rsid w:val="009510D8"/>
    <w:rsid w:val="009752AE"/>
    <w:rsid w:val="00982F3D"/>
    <w:rsid w:val="009A278A"/>
    <w:rsid w:val="009C22BC"/>
    <w:rsid w:val="00A16957"/>
    <w:rsid w:val="00A6155C"/>
    <w:rsid w:val="00A8079E"/>
    <w:rsid w:val="00A90328"/>
    <w:rsid w:val="00A92D66"/>
    <w:rsid w:val="00AA2075"/>
    <w:rsid w:val="00AA4262"/>
    <w:rsid w:val="00AB5A90"/>
    <w:rsid w:val="00AB7449"/>
    <w:rsid w:val="00AE4AA5"/>
    <w:rsid w:val="00AE7FA9"/>
    <w:rsid w:val="00B147EB"/>
    <w:rsid w:val="00B22155"/>
    <w:rsid w:val="00B76AA9"/>
    <w:rsid w:val="00B80FAB"/>
    <w:rsid w:val="00B81C88"/>
    <w:rsid w:val="00BA5C83"/>
    <w:rsid w:val="00BC53C9"/>
    <w:rsid w:val="00BC6A7D"/>
    <w:rsid w:val="00BD4829"/>
    <w:rsid w:val="00BD6002"/>
    <w:rsid w:val="00BD719F"/>
    <w:rsid w:val="00BF5442"/>
    <w:rsid w:val="00C1616F"/>
    <w:rsid w:val="00C177A5"/>
    <w:rsid w:val="00C35FEE"/>
    <w:rsid w:val="00C50535"/>
    <w:rsid w:val="00C6153C"/>
    <w:rsid w:val="00C72CF6"/>
    <w:rsid w:val="00C906EF"/>
    <w:rsid w:val="00CC7D74"/>
    <w:rsid w:val="00D02F97"/>
    <w:rsid w:val="00D260C9"/>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EC0B8A"/>
    <w:rsid w:val="00F000B1"/>
    <w:rsid w:val="00F012D3"/>
    <w:rsid w:val="00F044C3"/>
    <w:rsid w:val="00F10D04"/>
    <w:rsid w:val="00F15E20"/>
    <w:rsid w:val="00F169E3"/>
    <w:rsid w:val="00F35D4B"/>
    <w:rsid w:val="00F3746B"/>
    <w:rsid w:val="00F572CB"/>
    <w:rsid w:val="00F621AF"/>
    <w:rsid w:val="00F8024E"/>
    <w:rsid w:val="00F82447"/>
    <w:rsid w:val="00F868E5"/>
    <w:rsid w:val="00FB2F32"/>
    <w:rsid w:val="00FE0F1F"/>
    <w:rsid w:val="00FF61F3"/>
    <w:rsid w:val="20506E16"/>
    <w:rsid w:val="6A7D4A51"/>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unhideWhenUsed/>
    <w:qFormat/>
    <w:uiPriority w:val="99"/>
  </w:style>
  <w:style w:type="character" w:styleId="7">
    <w:name w:val="Hyperlink"/>
    <w:unhideWhenUsed/>
    <w:uiPriority w:val="99"/>
    <w:rPr>
      <w:color w:val="0563C1"/>
      <w:u w:val="single"/>
    </w:r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 w:type="paragraph" w:customStyle="1" w:styleId="12">
    <w:name w:val="_Style 9"/>
    <w:basedOn w:val="1"/>
    <w:next w:val="1"/>
    <w:unhideWhenUsed/>
    <w:qFormat/>
    <w:uiPriority w:val="39"/>
    <w:rPr>
      <w:rFonts w:ascii="等线" w:hAnsi="等线" w:eastAsia="等线"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B3C77D-BA8E-4832-A173-C9262ECE3225}">
  <ds:schemaRefs/>
</ds:datastoreItem>
</file>

<file path=docProps/app.xml><?xml version="1.0" encoding="utf-8"?>
<Properties xmlns="http://schemas.openxmlformats.org/officeDocument/2006/extended-properties" xmlns:vt="http://schemas.openxmlformats.org/officeDocument/2006/docPropsVTypes">
  <Template>Normal</Template>
  <Pages>35</Pages>
  <Words>2384</Words>
  <Characters>13592</Characters>
  <Lines>113</Lines>
  <Paragraphs>31</Paragraphs>
  <ScaleCrop>false</ScaleCrop>
  <LinksUpToDate>false</LinksUpToDate>
  <CharactersWithSpaces>15945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2023-11-14T07:27:00Z</dcterms:created>
  <dc:creator>Windows 用户</dc:creator>
  <cp:lastModifiedBy>lenovo</cp:lastModifiedBy>
  <cp:lastPrinted>2019-02-19T07:03:00Z</cp:lastPrinted>
  <dcterms:modified xsi:type="dcterms:W3CDTF">2025-05-12T02:20:49Z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