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保定市徐水区户木乡人民政府</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（一）</w:t>
      </w:r>
      <w:r>
        <w:rPr>
          <w:rFonts w:ascii="仿宋" w:hAnsi="仿宋" w:eastAsia="仿宋" w:cs="宋体"/>
          <w:kern w:val="0"/>
          <w:sz w:val="32"/>
          <w:szCs w:val="32"/>
        </w:rPr>
        <w:t>执行本级代表大会的决议和上级国家行政机关的决定和命令，发布决定和命令</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（二）</w:t>
      </w:r>
      <w:r>
        <w:rPr>
          <w:rFonts w:ascii="仿宋" w:hAnsi="仿宋" w:eastAsia="仿宋" w:cs="宋体"/>
          <w:kern w:val="0"/>
          <w:sz w:val="32"/>
          <w:szCs w:val="32"/>
        </w:rPr>
        <w:t>制定并落实本行政区域内的经济发展计划，加强公共设施的建设和管理，发展各项服务事业</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（三）</w:t>
      </w:r>
      <w:r>
        <w:rPr>
          <w:rFonts w:ascii="仿宋" w:hAnsi="仿宋" w:eastAsia="仿宋" w:cs="宋体"/>
          <w:kern w:val="0"/>
          <w:sz w:val="32"/>
          <w:szCs w:val="32"/>
        </w:rPr>
        <w:t>加强水利建设、土地使用管理和环境综合整治，合理利用自然资源，保护、改善生态和生活环境</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依法管理镇财政，执行本级预算</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、管理和发展文化、教育、科学、广播、体育、卫生等事业</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（六）</w:t>
      </w:r>
      <w:r>
        <w:rPr>
          <w:rFonts w:ascii="仿宋" w:hAnsi="仿宋" w:eastAsia="仿宋" w:cs="宋体"/>
          <w:kern w:val="0"/>
          <w:sz w:val="32"/>
          <w:szCs w:val="32"/>
        </w:rPr>
        <w:t>保护社会主义的全民所有财产和劳动群众的集体所有财产，保护公民个人所有的合法财产，保护公民的人身权利、民主权</w:t>
      </w:r>
      <w:r>
        <w:rPr>
          <w:rFonts w:hint="eastAsia" w:ascii="仿宋" w:hAnsi="仿宋" w:eastAsia="仿宋" w:cs="宋体"/>
          <w:kern w:val="0"/>
          <w:sz w:val="32"/>
          <w:szCs w:val="32"/>
          <w:lang w:val="en-US" w:eastAsia="zh-CN"/>
        </w:rPr>
        <w:t>利</w:t>
      </w:r>
      <w:r>
        <w:rPr>
          <w:rFonts w:ascii="仿宋" w:hAnsi="仿宋" w:eastAsia="仿宋" w:cs="宋体"/>
          <w:kern w:val="0"/>
          <w:sz w:val="32"/>
          <w:szCs w:val="32"/>
        </w:rPr>
        <w:t>和其他</w:t>
      </w:r>
      <w:bookmarkStart w:id="1" w:name="_GoBack"/>
      <w:r>
        <w:rPr>
          <w:rFonts w:ascii="仿宋" w:hAnsi="仿宋" w:eastAsia="仿宋" w:cs="宋体"/>
          <w:kern w:val="0"/>
          <w:sz w:val="32"/>
          <w:szCs w:val="32"/>
        </w:rPr>
        <w:t>权利</w:t>
      </w:r>
      <w:bookmarkEnd w:id="1"/>
      <w:r>
        <w:rPr>
          <w:rFonts w:ascii="仿宋" w:hAnsi="仿宋" w:eastAsia="仿宋" w:cs="宋体"/>
          <w:kern w:val="0"/>
          <w:sz w:val="32"/>
          <w:szCs w:val="32"/>
        </w:rPr>
        <w:t>，保护各种经济的合法权益</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（七）</w:t>
      </w:r>
      <w:r>
        <w:rPr>
          <w:rFonts w:ascii="仿宋" w:hAnsi="仿宋" w:eastAsia="仿宋" w:cs="宋体"/>
          <w:kern w:val="0"/>
          <w:sz w:val="32"/>
          <w:szCs w:val="32"/>
        </w:rPr>
        <w:t>组织实施社会主义与民主法制教育，协调公安、司法行政工作，调解民事纠纷，维护社会秩序</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推行计划生育政策，控制人口增长，保护妇女、儿童和老人的合法权益</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cs="宋体"/>
          <w:kern w:val="0"/>
          <w:sz w:val="32"/>
          <w:szCs w:val="32"/>
        </w:rPr>
      </w:pPr>
      <w:r>
        <w:rPr>
          <w:rFonts w:hint="eastAsia" w:ascii="仿宋" w:hAnsi="仿宋" w:eastAsia="仿宋" w:cs="宋体"/>
          <w:kern w:val="0"/>
          <w:sz w:val="32"/>
          <w:szCs w:val="32"/>
        </w:rPr>
        <w:t>（九）</w:t>
      </w:r>
      <w:r>
        <w:rPr>
          <w:rFonts w:ascii="仿宋" w:hAnsi="仿宋" w:eastAsia="仿宋" w:cs="宋体"/>
          <w:kern w:val="0"/>
          <w:sz w:val="32"/>
          <w:szCs w:val="32"/>
        </w:rPr>
        <w:t>管理民政事务工作，发展社会福利事业，做好社会保障工作，办理兵役事项</w:t>
      </w:r>
      <w:r>
        <w:rPr>
          <w:rFonts w:hint="eastAsia" w:ascii="仿宋" w:hAnsi="仿宋" w:eastAsia="仿宋" w:cs="宋体"/>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 w:hAnsi="仿宋" w:eastAsia="仿宋"/>
          <w:b/>
          <w:sz w:val="32"/>
          <w:szCs w:val="32"/>
        </w:rPr>
      </w:pPr>
      <w:r>
        <w:rPr>
          <w:rFonts w:hint="eastAsia" w:ascii="仿宋" w:hAnsi="仿宋" w:eastAsia="仿宋" w:cs="宋体"/>
          <w:kern w:val="0"/>
          <w:sz w:val="32"/>
          <w:szCs w:val="32"/>
        </w:rPr>
        <w:t>（十）</w:t>
      </w:r>
      <w:r>
        <w:rPr>
          <w:rFonts w:ascii="仿宋" w:hAnsi="仿宋" w:eastAsia="仿宋" w:cs="宋体"/>
          <w:kern w:val="0"/>
          <w:sz w:val="32"/>
          <w:szCs w:val="32"/>
        </w:rPr>
        <w:t>办理上级人民政府交办的其他事项。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2"/>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党政办公室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经济发展办公室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社会治安综合治理办公室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计划生育服务中心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综合文化服务中心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按照预算管理有关规定，目前我乡部门预算的编制实行综合预算制度，即全部收入和支出都反映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1408</w:t>
      </w:r>
      <w:r>
        <w:rPr>
          <w:rFonts w:ascii="仿宋" w:hAnsi="仿宋" w:eastAsia="仿宋"/>
          <w:sz w:val="32"/>
          <w:szCs w:val="32"/>
        </w:rPr>
        <w:t>.98万元,其中：一般公共预算收</w:t>
      </w:r>
      <w:r>
        <w:rPr>
          <w:rFonts w:hint="eastAsia" w:ascii="仿宋" w:hAnsi="仿宋" w:eastAsia="仿宋"/>
          <w:sz w:val="32"/>
          <w:szCs w:val="32"/>
        </w:rPr>
        <w:t>1</w:t>
      </w:r>
      <w:r>
        <w:rPr>
          <w:rFonts w:ascii="仿宋" w:hAnsi="仿宋" w:eastAsia="仿宋"/>
          <w:sz w:val="32"/>
          <w:szCs w:val="32"/>
        </w:rPr>
        <w:t>366.49万元，基金预算收入42.49万元，财政专户收入0万元，其他来源收入0万元。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1408.98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112.17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其中：人员经费1018.42万元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日常公用经费93.75万元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296.81万元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其中：本级支出296.81万元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本年度预算收支安排1408.98万元，较上年增加548.13</w:t>
      </w:r>
      <w:r>
        <w:rPr>
          <w:rFonts w:ascii="仿宋" w:hAnsi="仿宋" w:eastAsia="仿宋"/>
          <w:sz w:val="32"/>
          <w:szCs w:val="32"/>
        </w:rPr>
        <w:t>万元。其中:基本支出增加</w:t>
      </w:r>
      <w:r>
        <w:rPr>
          <w:rFonts w:hint="eastAsia" w:ascii="仿宋" w:hAnsi="仿宋" w:eastAsia="仿宋"/>
          <w:sz w:val="32"/>
          <w:szCs w:val="32"/>
        </w:rPr>
        <w:t>389.85</w:t>
      </w:r>
      <w:r>
        <w:rPr>
          <w:rFonts w:ascii="仿宋" w:hAnsi="仿宋" w:eastAsia="仿宋"/>
          <w:sz w:val="32"/>
          <w:szCs w:val="32"/>
        </w:rPr>
        <w:t>万元，主要原因是</w:t>
      </w:r>
      <w:r>
        <w:rPr>
          <w:rFonts w:hint="eastAsia" w:ascii="仿宋" w:hAnsi="仿宋" w:eastAsia="仿宋"/>
          <w:sz w:val="32"/>
          <w:szCs w:val="32"/>
        </w:rPr>
        <w:t>新增</w:t>
      </w:r>
      <w:r>
        <w:rPr>
          <w:rFonts w:ascii="仿宋" w:hAnsi="仿宋" w:eastAsia="仿宋"/>
          <w:sz w:val="32"/>
          <w:szCs w:val="32"/>
        </w:rPr>
        <w:t>广电网络</w:t>
      </w:r>
      <w:r>
        <w:rPr>
          <w:rFonts w:hint="eastAsia" w:ascii="仿宋" w:hAnsi="仿宋" w:eastAsia="仿宋"/>
          <w:sz w:val="32"/>
          <w:szCs w:val="32"/>
        </w:rPr>
        <w:t>等</w:t>
      </w:r>
      <w:r>
        <w:rPr>
          <w:rFonts w:ascii="仿宋" w:hAnsi="仿宋" w:eastAsia="仿宋"/>
          <w:sz w:val="32"/>
          <w:szCs w:val="32"/>
        </w:rPr>
        <w:t>人员</w:t>
      </w:r>
      <w:r>
        <w:rPr>
          <w:rFonts w:hint="eastAsia" w:ascii="仿宋" w:hAnsi="仿宋" w:eastAsia="仿宋"/>
          <w:sz w:val="32"/>
          <w:szCs w:val="32"/>
        </w:rPr>
        <w:t>相应</w:t>
      </w:r>
      <w:r>
        <w:rPr>
          <w:rFonts w:ascii="仿宋" w:hAnsi="仿宋" w:eastAsia="仿宋"/>
          <w:sz w:val="32"/>
          <w:szCs w:val="32"/>
        </w:rPr>
        <w:t>增加</w:t>
      </w:r>
      <w:r>
        <w:rPr>
          <w:rFonts w:hint="eastAsia" w:ascii="仿宋" w:hAnsi="仿宋" w:eastAsia="仿宋"/>
          <w:sz w:val="32"/>
          <w:szCs w:val="32"/>
        </w:rPr>
        <w:t>人员</w:t>
      </w:r>
      <w:r>
        <w:rPr>
          <w:rFonts w:ascii="仿宋" w:hAnsi="仿宋" w:eastAsia="仿宋"/>
          <w:sz w:val="32"/>
          <w:szCs w:val="32"/>
        </w:rPr>
        <w:t>经费和日常公用</w:t>
      </w:r>
      <w:r>
        <w:rPr>
          <w:rFonts w:hint="eastAsia" w:ascii="仿宋" w:hAnsi="仿宋" w:eastAsia="仿宋"/>
          <w:sz w:val="32"/>
          <w:szCs w:val="32"/>
        </w:rPr>
        <w:t>经费</w:t>
      </w:r>
      <w:r>
        <w:rPr>
          <w:rFonts w:ascii="仿宋" w:hAnsi="仿宋" w:eastAsia="仿宋"/>
          <w:sz w:val="32"/>
          <w:szCs w:val="32"/>
        </w:rPr>
        <w:t>；项目支出增加</w:t>
      </w:r>
      <w:r>
        <w:rPr>
          <w:rFonts w:hint="eastAsia" w:ascii="仿宋" w:hAnsi="仿宋" w:eastAsia="仿宋"/>
          <w:sz w:val="32"/>
          <w:szCs w:val="32"/>
        </w:rPr>
        <w:t>158.28</w:t>
      </w:r>
      <w:r>
        <w:rPr>
          <w:rFonts w:ascii="仿宋" w:hAnsi="仿宋" w:eastAsia="仿宋"/>
          <w:sz w:val="32"/>
          <w:szCs w:val="32"/>
        </w:rPr>
        <w:t>万元，主要原因是</w:t>
      </w:r>
      <w:r>
        <w:rPr>
          <w:rFonts w:hint="eastAsia" w:ascii="仿宋" w:hAnsi="仿宋" w:eastAsia="仿宋"/>
          <w:sz w:val="32"/>
          <w:szCs w:val="32"/>
        </w:rPr>
        <w:t>增加</w:t>
      </w:r>
      <w:r>
        <w:rPr>
          <w:rFonts w:ascii="仿宋" w:hAnsi="仿宋" w:eastAsia="仿宋"/>
          <w:sz w:val="32"/>
          <w:szCs w:val="32"/>
        </w:rPr>
        <w:t>了</w:t>
      </w:r>
      <w:r>
        <w:rPr>
          <w:rFonts w:hint="eastAsia" w:ascii="仿宋" w:hAnsi="仿宋" w:eastAsia="仿宋"/>
          <w:sz w:val="32"/>
          <w:szCs w:val="32"/>
        </w:rPr>
        <w:t>扶贫项目支出及村级</w:t>
      </w:r>
      <w:r>
        <w:rPr>
          <w:rFonts w:ascii="仿宋" w:hAnsi="仿宋" w:eastAsia="仿宋"/>
          <w:sz w:val="32"/>
          <w:szCs w:val="32"/>
        </w:rPr>
        <w:t>组织保障支出。</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2019年我部门机关运行经费安排93.75万元，其中办公费34.55万元，邮电费10.80万元，</w:t>
      </w:r>
      <w:r>
        <w:rPr>
          <w:rFonts w:hint="eastAsia" w:ascii="仿宋" w:hAnsi="仿宋" w:eastAsia="仿宋"/>
          <w:sz w:val="32"/>
          <w:szCs w:val="32"/>
        </w:rPr>
        <w:t>取暖费6.95万元</w:t>
      </w:r>
      <w:r>
        <w:rPr>
          <w:rFonts w:ascii="仿宋" w:hAnsi="仿宋" w:eastAsia="仿宋"/>
          <w:sz w:val="32"/>
          <w:szCs w:val="32"/>
        </w:rPr>
        <w:t>，公务接待费</w:t>
      </w:r>
      <w:r>
        <w:rPr>
          <w:rFonts w:hint="eastAsia" w:ascii="仿宋" w:hAnsi="仿宋" w:eastAsia="仿宋"/>
          <w:sz w:val="32"/>
          <w:szCs w:val="32"/>
        </w:rPr>
        <w:t>2.2万元</w:t>
      </w:r>
      <w:r>
        <w:rPr>
          <w:rFonts w:ascii="仿宋" w:hAnsi="仿宋" w:eastAsia="仿宋"/>
          <w:sz w:val="32"/>
          <w:szCs w:val="32"/>
        </w:rPr>
        <w:t>，工会经费</w:t>
      </w:r>
      <w:r>
        <w:rPr>
          <w:rFonts w:hint="eastAsia" w:ascii="仿宋" w:hAnsi="仿宋" w:eastAsia="仿宋"/>
          <w:sz w:val="32"/>
          <w:szCs w:val="32"/>
        </w:rPr>
        <w:t>9.49万，</w:t>
      </w:r>
      <w:r>
        <w:rPr>
          <w:rFonts w:ascii="仿宋" w:hAnsi="仿宋" w:eastAsia="仿宋"/>
          <w:sz w:val="32"/>
          <w:szCs w:val="32"/>
        </w:rPr>
        <w:t>福利费6.84万元，公务用车运行维护费12万元</w:t>
      </w:r>
      <w:r>
        <w:rPr>
          <w:rFonts w:hint="eastAsia" w:ascii="仿宋" w:hAnsi="仿宋" w:eastAsia="仿宋"/>
          <w:sz w:val="32"/>
          <w:szCs w:val="32"/>
        </w:rPr>
        <w:t>，其他</w:t>
      </w:r>
      <w:r>
        <w:rPr>
          <w:rFonts w:ascii="仿宋" w:hAnsi="仿宋" w:eastAsia="仿宋"/>
          <w:sz w:val="32"/>
          <w:szCs w:val="32"/>
        </w:rPr>
        <w:t>交通费</w:t>
      </w:r>
      <w:r>
        <w:rPr>
          <w:rFonts w:hint="eastAsia" w:ascii="仿宋" w:hAnsi="仿宋" w:eastAsia="仿宋"/>
          <w:sz w:val="32"/>
          <w:szCs w:val="32"/>
        </w:rPr>
        <w:t>10.2万元</w:t>
      </w:r>
      <w:r>
        <w:rPr>
          <w:rFonts w:ascii="仿宋" w:hAnsi="仿宋" w:eastAsia="仿宋"/>
          <w:sz w:val="32"/>
          <w:szCs w:val="32"/>
        </w:rPr>
        <w:t>，其他</w:t>
      </w:r>
      <w:r>
        <w:rPr>
          <w:rFonts w:hint="eastAsia" w:ascii="仿宋" w:hAnsi="仿宋" w:eastAsia="仿宋"/>
          <w:sz w:val="32"/>
          <w:szCs w:val="32"/>
        </w:rPr>
        <w:t>商品</w:t>
      </w:r>
      <w:r>
        <w:rPr>
          <w:rFonts w:ascii="仿宋" w:hAnsi="仿宋" w:eastAsia="仿宋"/>
          <w:sz w:val="32"/>
          <w:szCs w:val="32"/>
        </w:rPr>
        <w:t>和服务支出0.72万元。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12"/>
        <w:tblW w:w="8306" w:type="dxa"/>
        <w:tblInd w:w="0"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405" w:hRule="atLeast"/>
        </w:trPr>
        <w:tc>
          <w:tcPr>
            <w:tcW w:w="8306" w:type="dxa"/>
            <w:tcBorders>
              <w:top w:val="nil"/>
              <w:left w:val="nil"/>
              <w:bottom w:val="nil"/>
              <w:right w:val="nil"/>
            </w:tcBorders>
            <w:shd w:val="clear" w:color="auto" w:fill="auto"/>
            <w:vAlign w:val="center"/>
          </w:tcPr>
          <w:p>
            <w:pPr>
              <w:widowControl/>
              <w:spacing w:line="520" w:lineRule="exact"/>
              <w:rPr>
                <w:rFonts w:ascii="黑体" w:hAnsi="黑体" w:eastAsia="黑体"/>
                <w:sz w:val="32"/>
                <w:szCs w:val="32"/>
              </w:rPr>
            </w:pPr>
          </w:p>
          <w:tbl>
            <w:tblPr>
              <w:tblStyle w:val="12"/>
              <w:tblW w:w="8090" w:type="dxa"/>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增加划拨</w:t>
                  </w:r>
                  <w:r>
                    <w:rPr>
                      <w:rFonts w:ascii="仿宋_GB2312" w:hAnsi="宋体" w:eastAsia="仿宋_GB2312" w:cs="宋体"/>
                      <w:kern w:val="0"/>
                      <w:sz w:val="24"/>
                      <w:szCs w:val="24"/>
                    </w:rPr>
                    <w:t>土地所</w:t>
                  </w:r>
                  <w:r>
                    <w:rPr>
                      <w:rFonts w:hint="eastAsia" w:ascii="仿宋_GB2312" w:hAnsi="宋体" w:eastAsia="仿宋_GB2312" w:cs="宋体"/>
                      <w:kern w:val="0"/>
                      <w:sz w:val="24"/>
                      <w:szCs w:val="24"/>
                    </w:rPr>
                    <w:t>业务用车1辆。</w:t>
                  </w:r>
                </w:p>
              </w:tc>
            </w:tr>
            <w:tr>
              <w:tblPrEx>
                <w:tblLayout w:type="fixed"/>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无增减变化。执行中央八项规定，厉行节约。</w:t>
                  </w:r>
                </w:p>
              </w:tc>
            </w:tr>
            <w:tr>
              <w:tblPrEx>
                <w:tblLayout w:type="fixed"/>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2019年，我部门针对三公经费支出制定了严格的管理制度，认真执行中央八项规定，厉行节约，杜绝浪费。从总量来讲，我部门的三公经费与上年相比增加了</w:t>
                  </w:r>
                  <w:r>
                    <w:rPr>
                      <w:rFonts w:ascii="仿宋_GB2312" w:hAnsi="宋体" w:eastAsia="仿宋_GB2312" w:cs="宋体"/>
                      <w:kern w:val="0"/>
                      <w:sz w:val="24"/>
                      <w:szCs w:val="24"/>
                    </w:rPr>
                    <w:t>3</w:t>
                  </w:r>
                  <w:r>
                    <w:rPr>
                      <w:rFonts w:hint="eastAsia" w:ascii="仿宋_GB2312" w:hAnsi="宋体" w:eastAsia="仿宋_GB2312" w:cs="宋体"/>
                      <w:kern w:val="0"/>
                      <w:sz w:val="24"/>
                      <w:szCs w:val="24"/>
                    </w:rPr>
                    <w:t>万元。</w:t>
                  </w:r>
                </w:p>
              </w:tc>
            </w:tr>
            <w:tr>
              <w:tblPrEx>
                <w:tblLayout w:type="fixed"/>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紧紧围绕乡党委、政府的重要部署，深入学习贯彻党的十九大精神，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乡工作新局面。</w:t>
      </w:r>
      <w:r>
        <w:rPr>
          <w:rFonts w:ascii="仿宋" w:hAnsi="仿宋" w:eastAsia="仿宋" w:cs="Times New Roman"/>
          <w:sz w:val="32"/>
          <w:szCs w:val="32"/>
        </w:rPr>
        <w:br w:type="page"/>
      </w:r>
    </w:p>
    <w:p>
      <w:pPr>
        <w:spacing w:line="500" w:lineRule="exact"/>
        <w:ind w:firstLine="560"/>
        <w:rPr>
          <w:rFonts w:ascii="仿宋" w:hAnsi="仿宋"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firstLine="643" w:firstLineChars="200"/>
        <w:rPr>
          <w:rFonts w:hint="eastAsia" w:ascii="仿宋" w:hAnsi="仿宋" w:eastAsia="仿宋"/>
          <w:b/>
          <w:sz w:val="32"/>
          <w:szCs w:val="32"/>
        </w:rPr>
      </w:pPr>
      <w:bookmarkStart w:id="0" w:name="_Toc1749099"/>
      <w:r>
        <w:rPr>
          <w:rFonts w:hint="eastAsia" w:ascii="仿宋" w:hAnsi="仿宋" w:eastAsia="仿宋"/>
          <w:b/>
          <w:sz w:val="32"/>
          <w:szCs w:val="32"/>
        </w:rPr>
        <w:t>二、部门职责及工作活动绩效目标指标</w:t>
      </w:r>
    </w:p>
    <w:p>
      <w:pPr>
        <w:jc w:val="left"/>
        <w:outlineLvl w:val="0"/>
        <w:rPr>
          <w:rFonts w:ascii="方正小标宋_GBK" w:eastAsia="方正小标宋_GBK"/>
          <w:color w:val="FFFFFF"/>
          <w:sz w:val="32"/>
        </w:rPr>
      </w:pPr>
      <w:r>
        <w:rPr>
          <w:rFonts w:hint="eastAsia"/>
        </w:rPr>
        <w:t xml:space="preserve">    </w:t>
      </w: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 动，因此部分工作活动没有列示年度预算数。</w:t>
      </w:r>
    </w:p>
    <w:tbl>
      <w:tblPr>
        <w:tblStyle w:val="12"/>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906</w:t>
            </w:r>
            <w:r>
              <w:rPr>
                <w:rFonts w:hint="eastAsia" w:ascii="方正小标宋_GBK" w:eastAsia="方正小标宋_GBK"/>
                <w:sz w:val="24"/>
              </w:rPr>
              <w:t>保定市徐水区户木乡人民政府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0.30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1"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11.56</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11.56</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141.95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141.95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6.99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6.99</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民间交流次数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十二、医疗保障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十三、计划生育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十四、政务管理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72.79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72.79</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十九、义务教育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全县安全生产综合监督管理责任，依法行使综合监督管理职权；根据《中华人民共和国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专项检查次数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良种补贴覆盖率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19.32</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19.32</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村民满意度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bl>
    <w:p>
      <w:pPr>
        <w:spacing w:line="500" w:lineRule="exact"/>
        <w:ind w:firstLine="560"/>
        <w:rPr>
          <w:rFonts w:ascii="仿宋" w:hAnsi="仿宋" w:eastAsia="仿宋" w:cs="Times New Roman"/>
          <w:sz w:val="32"/>
          <w:szCs w:val="32"/>
        </w:rPr>
      </w:pPr>
    </w:p>
    <w:p>
      <w:pPr>
        <w:jc w:val="center"/>
        <w:rPr>
          <w:rFonts w:ascii="仿宋" w:hAnsi="仿宋" w:eastAsia="仿宋" w:cs="Times New Roman"/>
          <w:sz w:val="32"/>
          <w:szCs w:val="32"/>
        </w:rPr>
      </w:pPr>
    </w:p>
    <w:p>
      <w:pPr>
        <w:tabs>
          <w:tab w:val="center" w:pos="6979"/>
        </w:tabs>
        <w:rPr>
          <w:rFonts w:ascii="仿宋" w:hAnsi="仿宋" w:eastAsia="仿宋" w:cs="Times New Roman"/>
          <w:sz w:val="32"/>
          <w:szCs w:val="32"/>
        </w:rPr>
        <w:sectPr>
          <w:pgSz w:w="16838" w:h="11906" w:orient="landscape"/>
          <w:pgMar w:top="1797" w:right="1440" w:bottom="1797" w:left="1440" w:header="851" w:footer="992" w:gutter="0"/>
          <w:cols w:space="425" w:num="1"/>
          <w:docGrid w:type="lines" w:linePitch="312" w:charSpace="0"/>
        </w:sectPr>
      </w:pPr>
      <w:r>
        <w:rPr>
          <w:rFonts w:ascii="仿宋" w:hAnsi="仿宋" w:eastAsia="仿宋" w:cs="Times New Roman"/>
          <w:sz w:val="32"/>
          <w:szCs w:val="32"/>
        </w:rPr>
        <w:tab/>
      </w:r>
    </w:p>
    <w:p>
      <w:pPr>
        <w:spacing w:line="500" w:lineRule="exact"/>
        <w:ind w:firstLine="560"/>
        <w:rPr>
          <w:rFonts w:ascii="仿宋" w:hAnsi="仿宋" w:eastAsia="仿宋"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800" w:bottom="1440" w:left="1800" w:header="851" w:footer="992" w:gutter="0"/>
          <w:cols w:space="425" w:num="1"/>
          <w:docGrid w:type="lines" w:linePitch="312" w:charSpace="0"/>
        </w:sectPr>
      </w:pPr>
    </w:p>
    <w:tbl>
      <w:tblPr>
        <w:tblStyle w:val="12"/>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上年末我部门固定资产总金额为324.3万元（详见下表）。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2"/>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324.3</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175.5</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32.7</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116.1</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92169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F18"/>
    <w:rsid w:val="000A445D"/>
    <w:rsid w:val="000E0370"/>
    <w:rsid w:val="00131DEC"/>
    <w:rsid w:val="001462BD"/>
    <w:rsid w:val="00152380"/>
    <w:rsid w:val="001638BE"/>
    <w:rsid w:val="00181777"/>
    <w:rsid w:val="001B4688"/>
    <w:rsid w:val="001F4875"/>
    <w:rsid w:val="002003C5"/>
    <w:rsid w:val="00233B25"/>
    <w:rsid w:val="002653ED"/>
    <w:rsid w:val="00267537"/>
    <w:rsid w:val="002918C6"/>
    <w:rsid w:val="00296524"/>
    <w:rsid w:val="002D5E82"/>
    <w:rsid w:val="002E01F6"/>
    <w:rsid w:val="002E673C"/>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604EB"/>
    <w:rsid w:val="004613BF"/>
    <w:rsid w:val="00470BBB"/>
    <w:rsid w:val="0048611E"/>
    <w:rsid w:val="004B6929"/>
    <w:rsid w:val="004F3C52"/>
    <w:rsid w:val="00510A1E"/>
    <w:rsid w:val="00533F87"/>
    <w:rsid w:val="00563627"/>
    <w:rsid w:val="00570142"/>
    <w:rsid w:val="00587FD5"/>
    <w:rsid w:val="005B1B6F"/>
    <w:rsid w:val="005B3549"/>
    <w:rsid w:val="005B6CCB"/>
    <w:rsid w:val="005C54AA"/>
    <w:rsid w:val="005C7B89"/>
    <w:rsid w:val="005D14D1"/>
    <w:rsid w:val="005F2601"/>
    <w:rsid w:val="00613A4B"/>
    <w:rsid w:val="0062788A"/>
    <w:rsid w:val="006326B7"/>
    <w:rsid w:val="006360E9"/>
    <w:rsid w:val="00641F8A"/>
    <w:rsid w:val="00695DF6"/>
    <w:rsid w:val="006C62DF"/>
    <w:rsid w:val="006E2A0D"/>
    <w:rsid w:val="006F5104"/>
    <w:rsid w:val="00735B02"/>
    <w:rsid w:val="00757E70"/>
    <w:rsid w:val="007657C8"/>
    <w:rsid w:val="00771E49"/>
    <w:rsid w:val="00782208"/>
    <w:rsid w:val="007C7FD7"/>
    <w:rsid w:val="007E51E5"/>
    <w:rsid w:val="007F3746"/>
    <w:rsid w:val="008109CC"/>
    <w:rsid w:val="00823269"/>
    <w:rsid w:val="00833132"/>
    <w:rsid w:val="008672EA"/>
    <w:rsid w:val="00891680"/>
    <w:rsid w:val="008A0B5F"/>
    <w:rsid w:val="008A117B"/>
    <w:rsid w:val="008B5402"/>
    <w:rsid w:val="008F52DD"/>
    <w:rsid w:val="0090527E"/>
    <w:rsid w:val="00905BB7"/>
    <w:rsid w:val="00912DA4"/>
    <w:rsid w:val="00925214"/>
    <w:rsid w:val="009302B8"/>
    <w:rsid w:val="009305C6"/>
    <w:rsid w:val="009507D0"/>
    <w:rsid w:val="00982F3D"/>
    <w:rsid w:val="009B3F08"/>
    <w:rsid w:val="009D204E"/>
    <w:rsid w:val="009F1240"/>
    <w:rsid w:val="00A17145"/>
    <w:rsid w:val="00A638A5"/>
    <w:rsid w:val="00A8079E"/>
    <w:rsid w:val="00A83137"/>
    <w:rsid w:val="00A92D66"/>
    <w:rsid w:val="00AA34BB"/>
    <w:rsid w:val="00AA4262"/>
    <w:rsid w:val="00AB5A90"/>
    <w:rsid w:val="00AE4AA5"/>
    <w:rsid w:val="00AE7FA9"/>
    <w:rsid w:val="00AF5D59"/>
    <w:rsid w:val="00B147EB"/>
    <w:rsid w:val="00B355C0"/>
    <w:rsid w:val="00B80FAB"/>
    <w:rsid w:val="00B81C88"/>
    <w:rsid w:val="00BA5C83"/>
    <w:rsid w:val="00BC6A7D"/>
    <w:rsid w:val="00BD719F"/>
    <w:rsid w:val="00C177A5"/>
    <w:rsid w:val="00C348EF"/>
    <w:rsid w:val="00C6153C"/>
    <w:rsid w:val="00CC7D74"/>
    <w:rsid w:val="00D02F97"/>
    <w:rsid w:val="00D03912"/>
    <w:rsid w:val="00D45530"/>
    <w:rsid w:val="00DA5DA7"/>
    <w:rsid w:val="00DE37D5"/>
    <w:rsid w:val="00DE3935"/>
    <w:rsid w:val="00E2325B"/>
    <w:rsid w:val="00E24075"/>
    <w:rsid w:val="00E35F38"/>
    <w:rsid w:val="00E46F27"/>
    <w:rsid w:val="00E509CC"/>
    <w:rsid w:val="00E66138"/>
    <w:rsid w:val="00E71A04"/>
    <w:rsid w:val="00E96342"/>
    <w:rsid w:val="00F000B1"/>
    <w:rsid w:val="00F012D3"/>
    <w:rsid w:val="00F01E12"/>
    <w:rsid w:val="00F10D04"/>
    <w:rsid w:val="00F11AA3"/>
    <w:rsid w:val="00F572CB"/>
    <w:rsid w:val="00F621AF"/>
    <w:rsid w:val="00F82447"/>
    <w:rsid w:val="00FB2F32"/>
    <w:rsid w:val="00FE0F1F"/>
    <w:rsid w:val="00FF61F3"/>
    <w:rsid w:val="6F4814DB"/>
    <w:rsid w:val="780C739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Calibri" w:hAnsi="Calibri" w:eastAsia="宋体" w:cs="Times New Roman"/>
    </w:rPr>
  </w:style>
  <w:style w:type="paragraph" w:styleId="6">
    <w:name w:val="footnote text"/>
    <w:basedOn w:val="1"/>
    <w:link w:val="17"/>
    <w:unhideWhenUsed/>
    <w:uiPriority w:val="99"/>
    <w:pPr>
      <w:snapToGrid w:val="0"/>
      <w:jc w:val="left"/>
    </w:pPr>
    <w:rPr>
      <w:rFonts w:ascii="Calibri" w:hAnsi="Calibri" w:eastAsia="宋体" w:cs="Times New Roman"/>
      <w:sz w:val="18"/>
      <w:szCs w:val="18"/>
    </w:rPr>
  </w:style>
  <w:style w:type="paragraph" w:styleId="7">
    <w:name w:val="toc 2"/>
    <w:basedOn w:val="1"/>
    <w:next w:val="1"/>
    <w:unhideWhenUsed/>
    <w:uiPriority w:val="39"/>
    <w:pPr>
      <w:ind w:left="420" w:leftChars="200"/>
    </w:pPr>
    <w:rPr>
      <w:rFonts w:ascii="Calibri" w:hAnsi="Calibri" w:eastAsia="宋体" w:cs="Times New Roman"/>
    </w:rPr>
  </w:style>
  <w:style w:type="character" w:styleId="9">
    <w:name w:val="page number"/>
    <w:unhideWhenUsed/>
    <w:uiPriority w:val="99"/>
  </w:style>
  <w:style w:type="character" w:styleId="10">
    <w:name w:val="Hyperlink"/>
    <w:unhideWhenUsed/>
    <w:qFormat/>
    <w:uiPriority w:val="99"/>
    <w:rPr>
      <w:color w:val="0563C1"/>
      <w:u w:val="single"/>
    </w:rPr>
  </w:style>
  <w:style w:type="character" w:styleId="11">
    <w:name w:val="footnote reference"/>
    <w:unhideWhenUsed/>
    <w:uiPriority w:val="99"/>
    <w:rPr>
      <w:vertAlign w:val="superscript"/>
    </w:rPr>
  </w:style>
  <w:style w:type="character" w:customStyle="1" w:styleId="13">
    <w:name w:val="页眉 字符"/>
    <w:basedOn w:val="8"/>
    <w:link w:val="4"/>
    <w:uiPriority w:val="99"/>
    <w:rPr>
      <w:sz w:val="18"/>
      <w:szCs w:val="18"/>
    </w:rPr>
  </w:style>
  <w:style w:type="character" w:customStyle="1" w:styleId="14">
    <w:name w:val="页脚 字符"/>
    <w:basedOn w:val="8"/>
    <w:link w:val="3"/>
    <w:uiPriority w:val="99"/>
    <w:rPr>
      <w:sz w:val="18"/>
      <w:szCs w:val="18"/>
    </w:rPr>
  </w:style>
  <w:style w:type="character" w:customStyle="1" w:styleId="15">
    <w:name w:val="批注框文本 字符"/>
    <w:basedOn w:val="8"/>
    <w:link w:val="2"/>
    <w:semiHidden/>
    <w:uiPriority w:val="99"/>
    <w:rPr>
      <w:sz w:val="18"/>
      <w:szCs w:val="18"/>
    </w:rPr>
  </w:style>
  <w:style w:type="character" w:customStyle="1" w:styleId="16">
    <w:name w:val="脚注文本 字符"/>
    <w:basedOn w:val="8"/>
    <w:semiHidden/>
    <w:uiPriority w:val="99"/>
    <w:rPr>
      <w:sz w:val="18"/>
      <w:szCs w:val="18"/>
    </w:rPr>
  </w:style>
  <w:style w:type="character" w:customStyle="1" w:styleId="17">
    <w:name w:val="脚注文本 字符1"/>
    <w:link w:val="6"/>
    <w:semiHidden/>
    <w:uiPriority w:val="99"/>
    <w:rPr>
      <w:rFonts w:ascii="Calibri" w:hAnsi="Calibri" w:eastAsia="宋体" w:cs="Times New Roman"/>
      <w:sz w:val="18"/>
      <w:szCs w:val="18"/>
    </w:rPr>
  </w:style>
  <w:style w:type="character" w:customStyle="1" w:styleId="18">
    <w:name w:val="页眉 Char"/>
    <w:qFormat/>
    <w:uiPriority w:val="99"/>
    <w:rPr>
      <w:sz w:val="18"/>
      <w:szCs w:val="18"/>
    </w:rPr>
  </w:style>
  <w:style w:type="character" w:customStyle="1" w:styleId="19">
    <w:name w:val="页脚 Char"/>
    <w:uiPriority w:val="99"/>
    <w:rPr>
      <w:sz w:val="18"/>
      <w:szCs w:val="18"/>
    </w:rPr>
  </w:style>
  <w:style w:type="character" w:customStyle="1" w:styleId="20">
    <w:name w:val="脚注文本 Char"/>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6D79F-4E38-4447-B43B-87F6E2A61FC4}">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2080</Words>
  <Characters>11856</Characters>
  <Lines>98</Lines>
  <Paragraphs>27</Paragraphs>
  <ScaleCrop>false</ScaleCrop>
  <LinksUpToDate>false</LinksUpToDate>
  <CharactersWithSpaces>13909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2025-05-12T02:15:59Z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