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s="黑体"/>
          <w:b/>
          <w:bCs/>
          <w:spacing w:val="1"/>
          <w:sz w:val="48"/>
          <w:szCs w:val="48"/>
        </w:rPr>
      </w:pPr>
    </w:p>
    <w:p>
      <w:pPr>
        <w:spacing w:line="580" w:lineRule="exact"/>
        <w:jc w:val="center"/>
        <w:rPr>
          <w:rFonts w:ascii="黑体" w:hAnsi="黑体" w:eastAsia="黑体" w:cs="黑体"/>
          <w:b/>
          <w:bCs/>
          <w:spacing w:val="1"/>
          <w:sz w:val="48"/>
          <w:szCs w:val="48"/>
        </w:rPr>
      </w:pPr>
    </w:p>
    <w:p>
      <w:pPr>
        <w:spacing w:line="580" w:lineRule="exact"/>
        <w:jc w:val="center"/>
        <w:rPr>
          <w:rFonts w:ascii="黑体" w:hAnsi="黑体" w:eastAsia="黑体" w:cs="黑体"/>
          <w:b/>
          <w:bCs/>
          <w:spacing w:val="1"/>
          <w:sz w:val="48"/>
          <w:szCs w:val="48"/>
        </w:rPr>
      </w:pPr>
    </w:p>
    <w:p>
      <w:pPr>
        <w:spacing w:line="580" w:lineRule="exact"/>
        <w:jc w:val="center"/>
        <w:rPr>
          <w:rFonts w:ascii="黑体" w:hAnsi="黑体" w:eastAsia="黑体" w:cs="黑体"/>
          <w:sz w:val="48"/>
          <w:szCs w:val="48"/>
        </w:rPr>
      </w:pPr>
      <w:r>
        <w:rPr>
          <w:rFonts w:hint="eastAsia" w:ascii="黑体" w:hAnsi="黑体" w:eastAsia="黑体" w:cs="黑体"/>
          <w:b/>
          <w:bCs/>
          <w:spacing w:val="1"/>
          <w:sz w:val="48"/>
          <w:szCs w:val="48"/>
        </w:rPr>
        <w:t>项目支出</w:t>
      </w:r>
      <w:r>
        <w:rPr>
          <w:rFonts w:ascii="黑体" w:hAnsi="黑体" w:eastAsia="黑体" w:cs="黑体"/>
          <w:b/>
          <w:bCs/>
          <w:spacing w:val="1"/>
          <w:sz w:val="48"/>
          <w:szCs w:val="48"/>
        </w:rPr>
        <w:t>绩效评价报告</w:t>
      </w: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line="480" w:lineRule="exact"/>
        <w:rPr>
          <w:sz w:val="48"/>
          <w:szCs w:val="48"/>
        </w:rPr>
      </w:pPr>
    </w:p>
    <w:p>
      <w:pPr>
        <w:spacing w:before="8" w:line="620" w:lineRule="exact"/>
        <w:rPr>
          <w:sz w:val="62"/>
          <w:szCs w:val="62"/>
        </w:rPr>
      </w:pPr>
    </w:p>
    <w:p>
      <w:pPr>
        <w:spacing w:line="580" w:lineRule="exact"/>
        <w:ind w:firstLine="720" w:firstLineChars="300"/>
        <w:rPr>
          <w:rFonts w:eastAsia="宋体"/>
          <w:sz w:val="24"/>
        </w:rPr>
      </w:pPr>
      <w:r>
        <w:rPr>
          <w:rFonts w:eastAsia="宋体"/>
          <w:sz w:val="24"/>
        </w:rPr>
        <w:t>评价机构：河北德永会计师事务所有限公司</w:t>
      </w:r>
    </w:p>
    <w:p>
      <w:pPr>
        <w:spacing w:line="580" w:lineRule="exact"/>
        <w:ind w:firstLine="720" w:firstLineChars="300"/>
        <w:rPr>
          <w:rFonts w:eastAsia="宋体"/>
          <w:sz w:val="24"/>
        </w:rPr>
      </w:pPr>
      <w:r>
        <w:rPr>
          <w:rFonts w:eastAsia="宋体"/>
          <w:sz w:val="24"/>
        </w:rPr>
        <w:t>委托单位：保定市徐水区财政局</w:t>
      </w:r>
    </w:p>
    <w:p>
      <w:pPr>
        <w:spacing w:line="580" w:lineRule="exact"/>
        <w:ind w:firstLine="720" w:firstLineChars="300"/>
        <w:rPr>
          <w:rFonts w:eastAsia="宋体"/>
          <w:sz w:val="24"/>
        </w:rPr>
      </w:pPr>
      <w:r>
        <w:rPr>
          <w:rFonts w:eastAsia="宋体"/>
          <w:sz w:val="24"/>
        </w:rPr>
        <w:t>被评价单位：保定市徐水区人力资源和社会保障局</w:t>
      </w:r>
    </w:p>
    <w:p>
      <w:pPr>
        <w:spacing w:line="580" w:lineRule="exact"/>
        <w:ind w:firstLine="720" w:firstLineChars="300"/>
        <w:rPr>
          <w:rFonts w:eastAsia="宋体"/>
          <w:sz w:val="24"/>
        </w:rPr>
      </w:pPr>
      <w:r>
        <w:rPr>
          <w:rFonts w:eastAsia="宋体"/>
          <w:sz w:val="24"/>
        </w:rPr>
        <w:t>评价项目：徐水区2020年度就业补助资金项目</w:t>
      </w:r>
    </w:p>
    <w:p>
      <w:pPr>
        <w:spacing w:line="580" w:lineRule="exact"/>
        <w:ind w:firstLine="720" w:firstLineChars="300"/>
        <w:rPr>
          <w:rFonts w:eastAsia="宋体"/>
          <w:sz w:val="24"/>
        </w:rPr>
      </w:pPr>
      <w:r>
        <w:rPr>
          <w:rFonts w:eastAsia="宋体"/>
          <w:sz w:val="24"/>
        </w:rPr>
        <w:t>工作组组长：封彦武</w:t>
      </w:r>
    </w:p>
    <w:p>
      <w:pPr>
        <w:spacing w:line="580" w:lineRule="exact"/>
        <w:ind w:firstLine="720" w:firstLineChars="300"/>
        <w:rPr>
          <w:rFonts w:eastAsia="宋体"/>
          <w:sz w:val="24"/>
        </w:rPr>
      </w:pPr>
      <w:r>
        <w:rPr>
          <w:rFonts w:eastAsia="宋体"/>
          <w:sz w:val="24"/>
        </w:rPr>
        <w:t>工作组成员：</w:t>
      </w:r>
      <w:r>
        <w:rPr>
          <w:rFonts w:hint="eastAsia" w:eastAsia="宋体"/>
          <w:sz w:val="24"/>
        </w:rPr>
        <w:t>王娇 梁娇娇</w:t>
      </w:r>
    </w:p>
    <w:p>
      <w:pPr>
        <w:spacing w:line="580" w:lineRule="exact"/>
        <w:ind w:firstLine="720" w:firstLineChars="300"/>
        <w:rPr>
          <w:rFonts w:eastAsia="宋体"/>
          <w:sz w:val="24"/>
        </w:rPr>
      </w:pPr>
      <w:r>
        <w:rPr>
          <w:rFonts w:eastAsia="宋体"/>
          <w:sz w:val="24"/>
        </w:rPr>
        <w:t>工作组联系电话：0311－69053103</w:t>
      </w:r>
    </w:p>
    <w:p>
      <w:pPr>
        <w:spacing w:line="580" w:lineRule="exact"/>
        <w:ind w:firstLine="720" w:firstLineChars="300"/>
        <w:rPr>
          <w:rFonts w:eastAsia="宋体"/>
          <w:sz w:val="24"/>
        </w:rPr>
      </w:pPr>
      <w:r>
        <w:rPr>
          <w:rFonts w:eastAsia="宋体"/>
          <w:sz w:val="24"/>
        </w:rPr>
        <w:t>报告日期：2021年6月30日</w:t>
      </w:r>
    </w:p>
    <w:p>
      <w:pPr>
        <w:spacing w:line="580" w:lineRule="exact"/>
        <w:ind w:firstLine="720" w:firstLineChars="300"/>
        <w:rPr>
          <w:rFonts w:eastAsia="宋体"/>
          <w:sz w:val="24"/>
        </w:rPr>
        <w:sectPr>
          <w:headerReference r:id="rId3" w:type="default"/>
          <w:pgSz w:w="11906" w:h="16838"/>
          <w:pgMar w:top="2098" w:right="1304" w:bottom="1531" w:left="1531" w:header="851" w:footer="992" w:gutter="0"/>
          <w:pgNumType w:start="1"/>
          <w:cols w:space="720" w:num="1"/>
          <w:docGrid w:type="lines" w:linePitch="415" w:charSpace="0"/>
        </w:sectPr>
      </w:pPr>
    </w:p>
    <w:sdt>
      <w:sdtPr>
        <w:rPr>
          <w:rFonts w:ascii="Times New Roman" w:hAnsi="Times New Roman" w:eastAsia="仿宋_GB2312"/>
          <w:b w:val="0"/>
          <w:bCs w:val="0"/>
          <w:kern w:val="2"/>
          <w:sz w:val="30"/>
          <w:szCs w:val="24"/>
          <w:lang w:val="zh-CN"/>
        </w:rPr>
        <w:id w:val="-501126346"/>
        <w:docPartObj>
          <w:docPartGallery w:val="Table of Contents"/>
          <w:docPartUnique/>
        </w:docPartObj>
      </w:sdtPr>
      <w:sdtEndPr>
        <w:rPr>
          <w:rFonts w:ascii="Times New Roman" w:hAnsi="Times New Roman" w:eastAsia="仿宋_GB2312"/>
          <w:b w:val="0"/>
          <w:bCs w:val="0"/>
          <w:kern w:val="2"/>
          <w:sz w:val="40"/>
          <w:szCs w:val="36"/>
          <w:lang w:val="zh-CN"/>
        </w:rPr>
      </w:sdtEndPr>
      <w:sdtContent>
        <w:p>
          <w:pPr>
            <w:pStyle w:val="19"/>
            <w:rPr>
              <w:rFonts w:eastAsiaTheme="minorEastAsia" w:cstheme="minorBidi"/>
              <w:b w:val="0"/>
              <w:bCs w:val="0"/>
              <w:sz w:val="21"/>
              <w:szCs w:val="22"/>
            </w:rPr>
          </w:pPr>
          <w:bookmarkStart w:id="0" w:name="_Toc72161434"/>
          <w:r>
            <w:rPr>
              <w:rFonts w:ascii="方正小标宋_GBK" w:hAnsi="宋体" w:eastAsia="方正小标宋_GBK"/>
              <w:b w:val="0"/>
              <w:bCs w:val="0"/>
              <w:kern w:val="2"/>
              <w:sz w:val="44"/>
              <w:szCs w:val="44"/>
            </w:rPr>
            <w:t>目  录</w:t>
          </w:r>
          <w:bookmarkEnd w:id="0"/>
          <w:r>
            <w:rPr>
              <w:sz w:val="24"/>
              <w:szCs w:val="24"/>
            </w:rPr>
            <w:fldChar w:fldCharType="begin"/>
          </w:r>
          <w:r>
            <w:rPr>
              <w:sz w:val="24"/>
              <w:szCs w:val="24"/>
            </w:rPr>
            <w:instrText xml:space="preserve"> TOC \o "1-3" \h \z \u </w:instrText>
          </w:r>
          <w:r>
            <w:rPr>
              <w:sz w:val="24"/>
              <w:szCs w:val="24"/>
            </w:rPr>
            <w:fldChar w:fldCharType="separate"/>
          </w:r>
        </w:p>
        <w:p>
          <w:pPr>
            <w:pStyle w:val="13"/>
            <w:tabs>
              <w:tab w:val="right" w:leader="dot" w:pos="9061"/>
            </w:tabs>
            <w:spacing w:line="580" w:lineRule="exact"/>
            <w:rPr>
              <w:rFonts w:eastAsiaTheme="minorEastAsia" w:cstheme="minorBidi"/>
              <w:b w:val="0"/>
              <w:bCs w:val="0"/>
              <w:caps w:val="0"/>
              <w:sz w:val="21"/>
              <w:szCs w:val="22"/>
            </w:rPr>
          </w:pPr>
          <w:r>
            <w:fldChar w:fldCharType="begin"/>
          </w:r>
          <w:r>
            <w:instrText xml:space="preserve"> HYPERLINK \l "_Toc72161435" </w:instrText>
          </w:r>
          <w:r>
            <w:fldChar w:fldCharType="separate"/>
          </w:r>
          <w:r>
            <w:rPr>
              <w:rStyle w:val="26"/>
              <w:rFonts w:hint="eastAsia" w:ascii="楷体" w:hAnsi="楷体" w:eastAsia="楷体" w:cs="楷体"/>
              <w:sz w:val="28"/>
              <w:szCs w:val="28"/>
            </w:rPr>
            <w:t>第一部分  摘要</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_Toc72161435 \h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9061"/>
            </w:tabs>
            <w:spacing w:line="580" w:lineRule="exact"/>
            <w:rPr>
              <w:rFonts w:eastAsiaTheme="minorEastAsia" w:cstheme="minorBidi"/>
              <w:b w:val="0"/>
              <w:bCs w:val="0"/>
              <w:caps w:val="0"/>
              <w:sz w:val="21"/>
              <w:szCs w:val="22"/>
            </w:rPr>
          </w:pPr>
          <w:r>
            <w:fldChar w:fldCharType="begin"/>
          </w:r>
          <w:r>
            <w:instrText xml:space="preserve"> HYPERLINK \l "_Toc72161436" </w:instrText>
          </w:r>
          <w:r>
            <w:fldChar w:fldCharType="separate"/>
          </w:r>
          <w:r>
            <w:rPr>
              <w:rFonts w:hint="eastAsia" w:ascii="楷体" w:hAnsi="楷体" w:eastAsia="楷体" w:cs="楷体"/>
              <w:sz w:val="28"/>
              <w:szCs w:val="28"/>
            </w:rPr>
            <w:t>第二部分  绩效评价报告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_Toc72161436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9061"/>
            </w:tabs>
            <w:spacing w:line="580" w:lineRule="exact"/>
            <w:ind w:firstLine="201" w:firstLineChars="100"/>
            <w:rPr>
              <w:rFonts w:ascii="楷体" w:hAnsi="楷体" w:eastAsia="楷体" w:cs="楷体"/>
              <w:b w:val="0"/>
              <w:bCs w:val="0"/>
              <w:caps w:val="0"/>
              <w:sz w:val="28"/>
              <w:szCs w:val="28"/>
            </w:rPr>
          </w:pPr>
          <w:r>
            <w:fldChar w:fldCharType="begin"/>
          </w:r>
          <w:r>
            <w:instrText xml:space="preserve"> HYPERLINK \l "_Toc72161437" </w:instrText>
          </w:r>
          <w:r>
            <w:fldChar w:fldCharType="separate"/>
          </w:r>
          <w:r>
            <w:rPr>
              <w:rFonts w:hint="eastAsia" w:ascii="楷体" w:hAnsi="楷体" w:eastAsia="楷体" w:cs="楷体"/>
              <w:sz w:val="28"/>
              <w:szCs w:val="28"/>
            </w:rPr>
            <w:t>一、 基本概况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_Toc72161437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6"/>
            <w:tabs>
              <w:tab w:val="right" w:leader="dot" w:pos="9061"/>
            </w:tabs>
            <w:spacing w:line="580" w:lineRule="exact"/>
            <w:rPr>
              <w:rFonts w:ascii="楷体" w:hAnsi="楷体" w:eastAsia="楷体" w:cs="楷体"/>
              <w:smallCaps w:val="0"/>
              <w:sz w:val="28"/>
              <w:szCs w:val="28"/>
            </w:rPr>
          </w:pPr>
          <w:r>
            <w:fldChar w:fldCharType="begin"/>
          </w:r>
          <w:r>
            <w:instrText xml:space="preserve"> HYPERLINK \l "_Toc72161438" </w:instrText>
          </w:r>
          <w:r>
            <w:fldChar w:fldCharType="separate"/>
          </w:r>
          <w:r>
            <w:rPr>
              <w:rStyle w:val="26"/>
              <w:rFonts w:hint="eastAsia" w:ascii="楷体" w:hAnsi="楷体" w:eastAsia="楷体" w:cs="楷体"/>
              <w:sz w:val="28"/>
              <w:szCs w:val="28"/>
            </w:rPr>
            <w:t>(一) 项目概况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_Toc72161438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6"/>
            <w:tabs>
              <w:tab w:val="right" w:leader="dot" w:pos="9061"/>
            </w:tabs>
            <w:spacing w:line="580" w:lineRule="exact"/>
            <w:rPr>
              <w:rFonts w:ascii="楷体" w:hAnsi="楷体" w:eastAsia="楷体" w:cs="楷体"/>
              <w:smallCaps w:val="0"/>
              <w:sz w:val="28"/>
              <w:szCs w:val="28"/>
            </w:rPr>
          </w:pPr>
          <w:r>
            <w:fldChar w:fldCharType="begin"/>
          </w:r>
          <w:r>
            <w:instrText xml:space="preserve"> HYPERLINK \l "_Toc72161439" </w:instrText>
          </w:r>
          <w:r>
            <w:fldChar w:fldCharType="separate"/>
          </w:r>
          <w:r>
            <w:rPr>
              <w:rStyle w:val="26"/>
              <w:rFonts w:hint="eastAsia" w:ascii="楷体" w:hAnsi="楷体" w:eastAsia="楷体" w:cs="楷体"/>
              <w:sz w:val="28"/>
              <w:szCs w:val="28"/>
            </w:rPr>
            <w:t>(二) 绩效目标</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_Toc72161439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9061"/>
            </w:tabs>
            <w:spacing w:line="580" w:lineRule="exact"/>
            <w:ind w:firstLine="201" w:firstLineChars="100"/>
            <w:rPr>
              <w:rFonts w:ascii="楷体" w:hAnsi="楷体" w:eastAsia="楷体" w:cs="楷体"/>
              <w:b w:val="0"/>
              <w:bCs w:val="0"/>
              <w:caps w:val="0"/>
              <w:sz w:val="28"/>
              <w:szCs w:val="28"/>
            </w:rPr>
          </w:pPr>
          <w:r>
            <w:fldChar w:fldCharType="begin"/>
          </w:r>
          <w:r>
            <w:instrText xml:space="preserve"> HYPERLINK \l "_Toc72161440" </w:instrText>
          </w:r>
          <w:r>
            <w:fldChar w:fldCharType="separate"/>
          </w:r>
          <w:r>
            <w:rPr>
              <w:rStyle w:val="26"/>
              <w:rFonts w:hint="eastAsia" w:ascii="楷体" w:hAnsi="楷体" w:eastAsia="楷体" w:cs="楷体"/>
              <w:sz w:val="28"/>
              <w:szCs w:val="28"/>
            </w:rPr>
            <w:t>二、 绩效评价工作开展情况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_Toc72161440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6"/>
            <w:tabs>
              <w:tab w:val="right" w:leader="dot" w:pos="9061"/>
            </w:tabs>
            <w:spacing w:line="580" w:lineRule="exact"/>
            <w:rPr>
              <w:rFonts w:ascii="楷体" w:hAnsi="楷体" w:eastAsia="楷体" w:cs="楷体"/>
              <w:smallCaps w:val="0"/>
              <w:sz w:val="28"/>
              <w:szCs w:val="28"/>
            </w:rPr>
          </w:pPr>
          <w:r>
            <w:fldChar w:fldCharType="begin"/>
          </w:r>
          <w:r>
            <w:instrText xml:space="preserve"> HYPERLINK \l "_Toc72161441" </w:instrText>
          </w:r>
          <w:r>
            <w:fldChar w:fldCharType="separate"/>
          </w:r>
          <w:r>
            <w:rPr>
              <w:rStyle w:val="26"/>
              <w:rFonts w:hint="eastAsia" w:ascii="楷体" w:hAnsi="楷体" w:eastAsia="楷体" w:cs="楷体"/>
              <w:sz w:val="28"/>
              <w:szCs w:val="28"/>
            </w:rPr>
            <w:t>(一) 绩效评价目的、对象和范围</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_Toc72161441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6"/>
            <w:tabs>
              <w:tab w:val="right" w:leader="dot" w:pos="9061"/>
            </w:tabs>
            <w:spacing w:line="580" w:lineRule="exact"/>
            <w:rPr>
              <w:rFonts w:ascii="楷体" w:hAnsi="楷体" w:eastAsia="楷体" w:cs="楷体"/>
              <w:smallCaps w:val="0"/>
              <w:sz w:val="28"/>
              <w:szCs w:val="28"/>
            </w:rPr>
          </w:pPr>
          <w:r>
            <w:fldChar w:fldCharType="begin"/>
          </w:r>
          <w:r>
            <w:instrText xml:space="preserve"> HYPERLINK \l "_Toc72161442" </w:instrText>
          </w:r>
          <w:r>
            <w:fldChar w:fldCharType="separate"/>
          </w:r>
          <w:r>
            <w:rPr>
              <w:rStyle w:val="26"/>
              <w:rFonts w:hint="eastAsia" w:ascii="楷体" w:hAnsi="楷体" w:eastAsia="楷体" w:cs="楷体"/>
              <w:sz w:val="28"/>
              <w:szCs w:val="28"/>
            </w:rPr>
            <w:t>(二) 绩效评价原则、指标体系、依据、方法及标准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_Toc72161442 \h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6"/>
            <w:tabs>
              <w:tab w:val="right" w:leader="dot" w:pos="9061"/>
            </w:tabs>
            <w:spacing w:line="580" w:lineRule="exact"/>
            <w:rPr>
              <w:rFonts w:ascii="楷体" w:hAnsi="楷体" w:eastAsia="楷体" w:cs="楷体"/>
              <w:smallCaps w:val="0"/>
              <w:sz w:val="28"/>
              <w:szCs w:val="28"/>
            </w:rPr>
          </w:pPr>
          <w:r>
            <w:fldChar w:fldCharType="begin"/>
          </w:r>
          <w:r>
            <w:instrText xml:space="preserve"> HYPERLINK \l "_Toc72161443" </w:instrText>
          </w:r>
          <w:r>
            <w:fldChar w:fldCharType="separate"/>
          </w:r>
          <w:r>
            <w:rPr>
              <w:rStyle w:val="26"/>
              <w:rFonts w:hint="eastAsia" w:ascii="楷体" w:hAnsi="楷体" w:eastAsia="楷体" w:cs="楷体"/>
              <w:sz w:val="28"/>
              <w:szCs w:val="28"/>
            </w:rPr>
            <w:t>(三) 绩效评价工作过程</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_Toc72161443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9061"/>
            </w:tabs>
            <w:spacing w:line="580" w:lineRule="exact"/>
            <w:ind w:firstLine="201" w:firstLineChars="100"/>
            <w:rPr>
              <w:rFonts w:ascii="楷体" w:hAnsi="楷体" w:eastAsia="楷体" w:cs="楷体"/>
              <w:b w:val="0"/>
              <w:bCs w:val="0"/>
              <w:caps w:val="0"/>
              <w:sz w:val="28"/>
              <w:szCs w:val="28"/>
            </w:rPr>
          </w:pPr>
          <w:r>
            <w:fldChar w:fldCharType="begin"/>
          </w:r>
          <w:r>
            <w:instrText xml:space="preserve"> HYPERLINK \l "_Toc72161444" </w:instrText>
          </w:r>
          <w:r>
            <w:fldChar w:fldCharType="separate"/>
          </w:r>
          <w:r>
            <w:rPr>
              <w:rStyle w:val="26"/>
              <w:rFonts w:hint="eastAsia" w:ascii="楷体" w:hAnsi="楷体" w:eastAsia="楷体" w:cs="楷体"/>
              <w:sz w:val="28"/>
              <w:szCs w:val="28"/>
            </w:rPr>
            <w:t>三、 综合评价情况及评价结论</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_Toc72161444 \h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9061"/>
            </w:tabs>
            <w:spacing w:line="580" w:lineRule="exact"/>
            <w:ind w:firstLine="201" w:firstLineChars="100"/>
            <w:rPr>
              <w:rFonts w:ascii="楷体" w:hAnsi="楷体" w:eastAsia="楷体" w:cs="楷体"/>
              <w:b w:val="0"/>
              <w:bCs w:val="0"/>
              <w:caps w:val="0"/>
              <w:sz w:val="28"/>
              <w:szCs w:val="28"/>
            </w:rPr>
          </w:pPr>
          <w:r>
            <w:fldChar w:fldCharType="begin"/>
          </w:r>
          <w:r>
            <w:instrText xml:space="preserve"> HYPERLINK \l "_Toc72161445" </w:instrText>
          </w:r>
          <w:r>
            <w:fldChar w:fldCharType="separate"/>
          </w:r>
          <w:r>
            <w:rPr>
              <w:rStyle w:val="26"/>
              <w:rFonts w:hint="eastAsia" w:ascii="楷体" w:hAnsi="楷体" w:eastAsia="楷体" w:cs="楷体"/>
              <w:sz w:val="28"/>
              <w:szCs w:val="28"/>
            </w:rPr>
            <w:t>四、 绩效评价指标分析</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_Toc72161445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6"/>
            <w:tabs>
              <w:tab w:val="right" w:leader="dot" w:pos="9061"/>
            </w:tabs>
            <w:spacing w:line="580" w:lineRule="exact"/>
            <w:rPr>
              <w:rFonts w:ascii="楷体" w:hAnsi="楷体" w:eastAsia="楷体" w:cs="楷体"/>
              <w:smallCaps w:val="0"/>
              <w:sz w:val="28"/>
              <w:szCs w:val="28"/>
            </w:rPr>
          </w:pPr>
          <w:r>
            <w:fldChar w:fldCharType="begin"/>
          </w:r>
          <w:r>
            <w:instrText xml:space="preserve"> HYPERLINK \l "_Toc72161446" </w:instrText>
          </w:r>
          <w:r>
            <w:fldChar w:fldCharType="separate"/>
          </w:r>
          <w:r>
            <w:rPr>
              <w:rStyle w:val="26"/>
              <w:rFonts w:hint="eastAsia" w:ascii="楷体" w:hAnsi="楷体" w:eastAsia="楷体" w:cs="楷体"/>
              <w:sz w:val="28"/>
              <w:szCs w:val="28"/>
            </w:rPr>
            <w:t>(一) 决策（13分）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_Toc72161446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6"/>
            <w:tabs>
              <w:tab w:val="right" w:leader="dot" w:pos="9061"/>
            </w:tabs>
            <w:spacing w:line="580" w:lineRule="exact"/>
            <w:rPr>
              <w:rFonts w:ascii="楷体" w:hAnsi="楷体" w:eastAsia="楷体" w:cs="楷体"/>
              <w:smallCaps w:val="0"/>
              <w:sz w:val="28"/>
              <w:szCs w:val="28"/>
            </w:rPr>
          </w:pPr>
          <w:r>
            <w:fldChar w:fldCharType="begin"/>
          </w:r>
          <w:r>
            <w:instrText xml:space="preserve"> HYPERLINK \l "_Toc72161447" </w:instrText>
          </w:r>
          <w:r>
            <w:fldChar w:fldCharType="separate"/>
          </w:r>
          <w:r>
            <w:rPr>
              <w:rStyle w:val="26"/>
              <w:rFonts w:hint="eastAsia" w:ascii="楷体" w:hAnsi="楷体" w:eastAsia="楷体" w:cs="楷体"/>
              <w:sz w:val="28"/>
              <w:szCs w:val="28"/>
            </w:rPr>
            <w:t>(二) 过程（27分）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_Toc72161447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6"/>
            <w:tabs>
              <w:tab w:val="right" w:leader="dot" w:pos="9061"/>
            </w:tabs>
            <w:spacing w:line="580" w:lineRule="exact"/>
            <w:rPr>
              <w:rFonts w:ascii="楷体" w:hAnsi="楷体" w:eastAsia="楷体" w:cs="楷体"/>
              <w:smallCaps w:val="0"/>
              <w:sz w:val="28"/>
              <w:szCs w:val="28"/>
            </w:rPr>
          </w:pPr>
          <w:r>
            <w:fldChar w:fldCharType="begin"/>
          </w:r>
          <w:r>
            <w:instrText xml:space="preserve"> HYPERLINK \l "_Toc72161448" </w:instrText>
          </w:r>
          <w:r>
            <w:fldChar w:fldCharType="separate"/>
          </w:r>
          <w:r>
            <w:rPr>
              <w:rStyle w:val="26"/>
              <w:rFonts w:hint="eastAsia" w:ascii="楷体" w:hAnsi="楷体" w:eastAsia="楷体" w:cs="楷体"/>
              <w:sz w:val="28"/>
              <w:szCs w:val="28"/>
            </w:rPr>
            <w:t>(三) 产出（28分）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_Toc72161448 \h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6"/>
            <w:tabs>
              <w:tab w:val="right" w:leader="dot" w:pos="9061"/>
            </w:tabs>
            <w:spacing w:line="580" w:lineRule="exact"/>
            <w:rPr>
              <w:rFonts w:ascii="楷体" w:hAnsi="楷体" w:eastAsia="楷体" w:cs="楷体"/>
              <w:smallCaps w:val="0"/>
              <w:sz w:val="28"/>
              <w:szCs w:val="28"/>
            </w:rPr>
          </w:pPr>
          <w:r>
            <w:fldChar w:fldCharType="begin"/>
          </w:r>
          <w:r>
            <w:instrText xml:space="preserve"> HYPERLINK \l "_Toc72161449" </w:instrText>
          </w:r>
          <w:r>
            <w:fldChar w:fldCharType="separate"/>
          </w:r>
          <w:r>
            <w:rPr>
              <w:rStyle w:val="26"/>
              <w:rFonts w:hint="eastAsia" w:ascii="楷体" w:hAnsi="楷体" w:eastAsia="楷体" w:cs="楷体"/>
              <w:sz w:val="28"/>
              <w:szCs w:val="28"/>
            </w:rPr>
            <w:t>(四) 效益（32分）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_Toc72161449 \h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9061"/>
            </w:tabs>
            <w:spacing w:line="580" w:lineRule="exact"/>
            <w:ind w:firstLine="201" w:firstLineChars="100"/>
            <w:rPr>
              <w:rFonts w:ascii="楷体" w:hAnsi="楷体" w:eastAsia="楷体" w:cs="楷体"/>
              <w:b w:val="0"/>
              <w:bCs w:val="0"/>
              <w:caps w:val="0"/>
              <w:sz w:val="28"/>
              <w:szCs w:val="28"/>
            </w:rPr>
          </w:pPr>
          <w:r>
            <w:fldChar w:fldCharType="begin"/>
          </w:r>
          <w:r>
            <w:instrText xml:space="preserve"> HYPERLINK \l "_Toc72161450" </w:instrText>
          </w:r>
          <w:r>
            <w:fldChar w:fldCharType="separate"/>
          </w:r>
          <w:r>
            <w:rPr>
              <w:rStyle w:val="26"/>
              <w:rFonts w:hint="eastAsia" w:ascii="楷体" w:hAnsi="楷体" w:eastAsia="楷体" w:cs="楷体"/>
              <w:sz w:val="28"/>
              <w:szCs w:val="28"/>
            </w:rPr>
            <w:t>五、 存在问题</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_Toc72161450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3"/>
            <w:tabs>
              <w:tab w:val="right" w:leader="dot" w:pos="9061"/>
            </w:tabs>
            <w:spacing w:line="580" w:lineRule="exact"/>
            <w:ind w:firstLine="201" w:firstLineChars="100"/>
            <w:rPr>
              <w:rFonts w:eastAsiaTheme="minorEastAsia" w:cstheme="minorBidi"/>
              <w:b w:val="0"/>
              <w:bCs w:val="0"/>
              <w:caps w:val="0"/>
              <w:sz w:val="21"/>
              <w:szCs w:val="22"/>
            </w:rPr>
          </w:pPr>
          <w:r>
            <w:fldChar w:fldCharType="begin"/>
          </w:r>
          <w:r>
            <w:instrText xml:space="preserve"> HYPERLINK \l "_Toc72161451" </w:instrText>
          </w:r>
          <w:r>
            <w:fldChar w:fldCharType="separate"/>
          </w:r>
          <w:r>
            <w:rPr>
              <w:rStyle w:val="26"/>
              <w:rFonts w:hint="eastAsia" w:ascii="楷体" w:hAnsi="楷体" w:eastAsia="楷体" w:cs="楷体"/>
              <w:sz w:val="28"/>
              <w:szCs w:val="28"/>
            </w:rPr>
            <w:t>六、 有关建议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_Toc72161451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rPr>
              <w:b/>
              <w:bCs/>
              <w:sz w:val="40"/>
              <w:szCs w:val="36"/>
              <w:lang w:val="zh-CN"/>
            </w:rPr>
          </w:pPr>
          <w:r>
            <w:rPr>
              <w:b/>
              <w:bCs/>
              <w:sz w:val="40"/>
              <w:szCs w:val="36"/>
              <w:lang w:val="zh-CN"/>
            </w:rPr>
            <w:fldChar w:fldCharType="end"/>
          </w:r>
          <w:r>
            <w:rPr>
              <w:b/>
              <w:bCs/>
              <w:sz w:val="40"/>
              <w:szCs w:val="36"/>
              <w:lang w:val="zh-CN"/>
            </w:rPr>
            <w:br w:type="page"/>
          </w:r>
        </w:p>
      </w:sdtContent>
    </w:sdt>
    <w:p>
      <w:pPr>
        <w:spacing w:line="320" w:lineRule="exact"/>
        <w:rPr>
          <w:rFonts w:eastAsia="新宋体"/>
          <w:b/>
        </w:rPr>
      </w:pPr>
      <w:r>
        <w:rPr>
          <w:rFonts w:eastAsia="新宋体"/>
        </w:rPr>
        <w:drawing>
          <wp:anchor distT="0" distB="0" distL="114300" distR="114300" simplePos="0" relativeHeight="251662336" behindDoc="0" locked="0" layoutInCell="1" allowOverlap="1">
            <wp:simplePos x="0" y="0"/>
            <wp:positionH relativeFrom="column">
              <wp:posOffset>118110</wp:posOffset>
            </wp:positionH>
            <wp:positionV relativeFrom="paragraph">
              <wp:posOffset>72390</wp:posOffset>
            </wp:positionV>
            <wp:extent cx="1270635" cy="778510"/>
            <wp:effectExtent l="0" t="0" r="12065" b="8890"/>
            <wp:wrapSquare wrapText="bothSides"/>
            <wp:docPr id="30" name="图片 30"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标2 拷贝"/>
                    <pic:cNvPicPr>
                      <a:picLocks noChangeAspect="1" noChangeArrowheads="1"/>
                    </pic:cNvPicPr>
                  </pic:nvPicPr>
                  <pic:blipFill>
                    <a:blip r:embed="rId7" cstate="print"/>
                    <a:srcRect/>
                    <a:stretch>
                      <a:fillRect/>
                    </a:stretch>
                  </pic:blipFill>
                  <pic:spPr>
                    <a:xfrm>
                      <a:off x="0" y="0"/>
                      <a:ext cx="1270635" cy="778510"/>
                    </a:xfrm>
                    <a:prstGeom prst="rect">
                      <a:avLst/>
                    </a:prstGeom>
                    <a:noFill/>
                    <a:ln w="9525">
                      <a:noFill/>
                      <a:miter lim="800000"/>
                      <a:headEnd/>
                      <a:tailEnd/>
                    </a:ln>
                    <a:effectLst/>
                  </pic:spPr>
                </pic:pic>
              </a:graphicData>
            </a:graphic>
          </wp:anchor>
        </w:drawing>
      </w:r>
      <w:r>
        <w:rPr>
          <w:rFonts w:eastAsia="新宋体"/>
          <w:b/>
        </w:rPr>
        <w:t xml:space="preserve">河 北 德 永 会 计 师 事 务 所 有 限 公 司    </w:t>
      </w:r>
    </w:p>
    <w:p>
      <w:pPr>
        <w:spacing w:line="320" w:lineRule="exact"/>
        <w:rPr>
          <w:rFonts w:eastAsia="幼圆"/>
          <w:b/>
          <w:sz w:val="18"/>
          <w:szCs w:val="18"/>
        </w:rPr>
      </w:pPr>
      <w:r>
        <w:rPr>
          <w:rFonts w:eastAsia="幼圆"/>
          <w:b/>
          <w:sz w:val="18"/>
          <w:szCs w:val="18"/>
        </w:rPr>
        <w:t xml:space="preserve">石家庄市建设南大街269号    No．269Jianshe Street  Shijiazhuang China </w:t>
      </w:r>
    </w:p>
    <w:p>
      <w:pPr>
        <w:spacing w:line="320" w:lineRule="exact"/>
        <w:rPr>
          <w:rFonts w:eastAsia="幼圆"/>
          <w:b/>
          <w:sz w:val="18"/>
          <w:szCs w:val="18"/>
        </w:rPr>
      </w:pPr>
      <w:r>
        <w:rPr>
          <w:rFonts w:eastAsia="幼圆"/>
          <w:b/>
          <w:sz w:val="18"/>
          <w:szCs w:val="18"/>
        </w:rPr>
        <w:t>Tel： （0311）69053105   69053103               Fax： （0311）69053103</w:t>
      </w:r>
    </w:p>
    <w:p>
      <w:pPr>
        <w:spacing w:line="320" w:lineRule="exact"/>
        <w:rPr>
          <w:rFonts w:eastAsia="新宋体"/>
          <w:b/>
          <w:sz w:val="18"/>
          <w:szCs w:val="18"/>
        </w:rPr>
      </w:pPr>
      <w:r>
        <w:rPr>
          <w:rFonts w:eastAsia="幼圆"/>
          <w:b/>
          <w:sz w:val="18"/>
          <w:szCs w:val="18"/>
        </w:rPr>
        <w:t>E-Mail: hebeidey@126.com</w:t>
      </w:r>
    </w:p>
    <w:p>
      <w:pPr>
        <w:wordWrap w:val="0"/>
        <w:jc w:val="right"/>
        <w:rPr>
          <w:rFonts w:ascii="宋体" w:hAnsi="宋体" w:eastAsia="宋体" w:cs="宋体"/>
          <w:b/>
          <w:sz w:val="24"/>
        </w:rPr>
      </w:pPr>
      <w:r>
        <w:rPr>
          <w:rFonts w:ascii="幼圆" w:eastAsia="幼圆"/>
          <w:b/>
          <w:sz w:val="36"/>
        </w:rPr>
        <w:pict>
          <v:line id="_x0000_s1055" o:spid="_x0000_s1055" o:spt="20" style="position:absolute;left:0pt;flip:y;margin-left:-120.35pt;margin-top:3pt;height:0.8pt;width:459pt;z-index:251659264;mso-width-relative:page;mso-height-relative:page;" coordsize="21600,21600">
            <v:path arrowok="t"/>
            <v:fill focussize="0,0"/>
            <v:stroke weight="1pt"/>
            <v:imagedata o:title=""/>
            <o:lock v:ext="edit"/>
          </v:line>
        </w:pict>
      </w:r>
      <w:r>
        <w:rPr>
          <w:rFonts w:hint="eastAsia" w:ascii="宋体" w:hAnsi="宋体" w:eastAsia="宋体" w:cs="宋体"/>
          <w:b/>
          <w:sz w:val="24"/>
        </w:rPr>
        <w:t>冀德永评价字（202</w:t>
      </w:r>
      <w:r>
        <w:rPr>
          <w:rFonts w:ascii="宋体" w:hAnsi="宋体" w:eastAsia="宋体" w:cs="宋体"/>
          <w:b/>
          <w:sz w:val="24"/>
        </w:rPr>
        <w:t>1</w:t>
      </w:r>
      <w:r>
        <w:rPr>
          <w:rFonts w:hint="eastAsia" w:ascii="宋体" w:hAnsi="宋体" w:eastAsia="宋体" w:cs="宋体"/>
          <w:b/>
          <w:sz w:val="24"/>
        </w:rPr>
        <w:t>）第60</w:t>
      </w:r>
      <w:r>
        <w:rPr>
          <w:rFonts w:ascii="宋体" w:hAnsi="宋体" w:eastAsia="宋体" w:cs="宋体"/>
          <w:b/>
          <w:sz w:val="24"/>
        </w:rPr>
        <w:t>12</w:t>
      </w:r>
      <w:r>
        <w:rPr>
          <w:rFonts w:hint="eastAsia" w:ascii="宋体" w:hAnsi="宋体" w:eastAsia="宋体" w:cs="宋体"/>
          <w:b/>
          <w:sz w:val="24"/>
        </w:rPr>
        <w:t>号</w:t>
      </w:r>
    </w:p>
    <w:p>
      <w:pPr>
        <w:spacing w:line="580" w:lineRule="exact"/>
        <w:jc w:val="center"/>
        <w:rPr>
          <w:rFonts w:ascii="宋体" w:hAnsi="宋体" w:eastAsia="宋体" w:cs="宋体"/>
          <w:b/>
          <w:sz w:val="44"/>
          <w:szCs w:val="44"/>
        </w:rPr>
      </w:pPr>
      <w:r>
        <w:rPr>
          <w:rFonts w:hint="eastAsia" w:ascii="宋体" w:hAnsi="宋体" w:eastAsia="宋体" w:cs="宋体"/>
          <w:b/>
          <w:sz w:val="44"/>
          <w:szCs w:val="44"/>
        </w:rPr>
        <w:t>徐水区</w:t>
      </w:r>
      <w:r>
        <w:rPr>
          <w:rFonts w:ascii="宋体" w:hAnsi="宋体" w:eastAsia="宋体" w:cs="宋体"/>
          <w:b/>
          <w:sz w:val="44"/>
          <w:szCs w:val="44"/>
        </w:rPr>
        <w:t>2020</w:t>
      </w:r>
      <w:r>
        <w:rPr>
          <w:rFonts w:hint="eastAsia" w:ascii="宋体" w:hAnsi="宋体" w:eastAsia="宋体" w:cs="宋体"/>
          <w:b/>
          <w:sz w:val="44"/>
          <w:szCs w:val="44"/>
        </w:rPr>
        <w:t>年度就业补助资金项目</w:t>
      </w:r>
    </w:p>
    <w:p>
      <w:pPr>
        <w:spacing w:line="580" w:lineRule="exact"/>
        <w:jc w:val="center"/>
        <w:rPr>
          <w:rFonts w:ascii="宋体" w:hAnsi="宋体" w:eastAsia="宋体" w:cs="宋体"/>
          <w:b/>
          <w:sz w:val="44"/>
          <w:szCs w:val="44"/>
        </w:rPr>
      </w:pPr>
      <w:r>
        <w:rPr>
          <w:rFonts w:hint="eastAsia" w:ascii="宋体" w:hAnsi="宋体" w:eastAsia="宋体" w:cs="宋体"/>
          <w:b/>
          <w:sz w:val="44"/>
          <w:szCs w:val="44"/>
        </w:rPr>
        <w:t>绩效评价报告</w:t>
      </w:r>
    </w:p>
    <w:p>
      <w:pPr>
        <w:spacing w:line="580" w:lineRule="exact"/>
        <w:jc w:val="center"/>
        <w:rPr>
          <w:rFonts w:ascii="宋体" w:hAnsi="宋体" w:eastAsia="宋体" w:cs="宋体"/>
          <w:b/>
          <w:sz w:val="44"/>
          <w:szCs w:val="44"/>
        </w:rPr>
      </w:pPr>
    </w:p>
    <w:p>
      <w:pPr>
        <w:spacing w:line="580" w:lineRule="exact"/>
        <w:rPr>
          <w:rFonts w:ascii="仿宋_GB2312" w:hAnsi="仿宋_GB2312"/>
          <w:szCs w:val="32"/>
        </w:rPr>
      </w:pPr>
      <w:r>
        <w:rPr>
          <w:rFonts w:hint="eastAsia" w:ascii="仿宋_GB2312" w:hAnsi="仿宋_GB2312"/>
          <w:szCs w:val="32"/>
        </w:rPr>
        <w:t>保定市徐水区财政局：</w:t>
      </w:r>
    </w:p>
    <w:p>
      <w:pPr>
        <w:spacing w:line="580" w:lineRule="exact"/>
        <w:ind w:firstLine="640" w:firstLineChars="200"/>
        <w:rPr>
          <w:rFonts w:ascii="仿宋_GB2312" w:hAnsi="仿宋_GB2312"/>
          <w:szCs w:val="32"/>
        </w:rPr>
      </w:pPr>
      <w:r>
        <w:rPr>
          <w:rFonts w:hint="eastAsia" w:ascii="仿宋_GB2312" w:hAnsi="仿宋_GB2312"/>
          <w:szCs w:val="32"/>
        </w:rPr>
        <w:t>我们接受贵单位的委托，于20</w:t>
      </w:r>
      <w:r>
        <w:rPr>
          <w:rFonts w:ascii="仿宋_GB2312" w:hAnsi="仿宋_GB2312"/>
          <w:szCs w:val="32"/>
        </w:rPr>
        <w:t>21</w:t>
      </w:r>
      <w:r>
        <w:rPr>
          <w:rFonts w:hint="eastAsia" w:ascii="仿宋_GB2312" w:hAnsi="仿宋_GB2312"/>
          <w:szCs w:val="32"/>
        </w:rPr>
        <w:t>年4月</w:t>
      </w:r>
      <w:r>
        <w:rPr>
          <w:rFonts w:ascii="仿宋_GB2312" w:hAnsi="仿宋_GB2312"/>
          <w:szCs w:val="32"/>
        </w:rPr>
        <w:t>30</w:t>
      </w:r>
      <w:r>
        <w:rPr>
          <w:rFonts w:hint="eastAsia" w:ascii="仿宋_GB2312" w:hAnsi="仿宋_GB2312"/>
          <w:szCs w:val="32"/>
        </w:rPr>
        <w:t>日至202</w:t>
      </w:r>
      <w:r>
        <w:rPr>
          <w:rFonts w:ascii="仿宋_GB2312" w:hAnsi="仿宋_GB2312"/>
          <w:szCs w:val="32"/>
        </w:rPr>
        <w:t>1</w:t>
      </w:r>
      <w:r>
        <w:rPr>
          <w:rFonts w:hint="eastAsia" w:ascii="仿宋_GB2312" w:hAnsi="仿宋_GB2312"/>
          <w:szCs w:val="32"/>
        </w:rPr>
        <w:t>年6月30日对保定市徐水区人力资源和社会保障局（以下简称“区人社局”）承担的徐水区</w:t>
      </w:r>
      <w:r>
        <w:rPr>
          <w:rFonts w:ascii="仿宋_GB2312" w:hAnsi="仿宋_GB2312"/>
          <w:szCs w:val="32"/>
        </w:rPr>
        <w:t>2020</w:t>
      </w:r>
      <w:r>
        <w:rPr>
          <w:rFonts w:hint="eastAsia" w:ascii="仿宋_GB2312" w:hAnsi="仿宋_GB2312"/>
          <w:szCs w:val="32"/>
        </w:rPr>
        <w:t>年度就业补助资金项目（以下简称“该项目”）进行了绩效评价。与绩效评价有关的项目资料由项目相关单位提供，并对项目相关资料的真实性、完整性、合法性负责。我们的责任是根据项目相关资料，对项目从决策、过程、产出、效益</w:t>
      </w:r>
      <w:r>
        <w:rPr>
          <w:rFonts w:hint="eastAsia"/>
          <w:szCs w:val="32"/>
        </w:rPr>
        <w:t>四个方面</w:t>
      </w:r>
      <w:r>
        <w:rPr>
          <w:rFonts w:hint="eastAsia" w:ascii="仿宋_GB2312" w:hAnsi="仿宋_GB2312"/>
          <w:szCs w:val="32"/>
        </w:rPr>
        <w:t>和执行国家法律、法规的情况提出评价意见。</w:t>
      </w:r>
    </w:p>
    <w:p>
      <w:pPr>
        <w:spacing w:line="580" w:lineRule="exact"/>
        <w:ind w:firstLine="640" w:firstLineChars="200"/>
        <w:rPr>
          <w:rFonts w:ascii="仿宋_GB2312" w:hAnsi="仿宋_GB2312"/>
          <w:szCs w:val="32"/>
        </w:rPr>
      </w:pPr>
      <w:r>
        <w:rPr>
          <w:rFonts w:hint="eastAsia" w:ascii="仿宋_GB2312" w:hAnsi="仿宋_GB2312"/>
          <w:szCs w:val="32"/>
        </w:rPr>
        <w:t>我们的绩效评价工作是依据《中国注册会计师执业准则》和财政部门的相关规定进行的。在评价工作中，我们结合被评价项目的实际情况实施了包括询问、资料查看、电话回访等评价手段。绩效评价工作现已完成，评价情况如下：</w:t>
      </w:r>
    </w:p>
    <w:p>
      <w:pPr>
        <w:pStyle w:val="19"/>
        <w:spacing w:before="0" w:after="360" w:line="580" w:lineRule="exact"/>
        <w:rPr>
          <w:rFonts w:ascii="黑体" w:hAnsi="黑体" w:eastAsia="黑体"/>
        </w:rPr>
      </w:pPr>
      <w:bookmarkStart w:id="1" w:name="_Toc14344"/>
      <w:bookmarkStart w:id="2" w:name="_Toc41137179"/>
      <w:bookmarkStart w:id="3" w:name="_Toc8224135"/>
      <w:bookmarkStart w:id="4" w:name="_Toc38821358"/>
      <w:r>
        <w:rPr>
          <w:rFonts w:ascii="黑体" w:hAnsi="黑体" w:eastAsia="黑体"/>
        </w:rPr>
        <w:br w:type="page"/>
      </w:r>
    </w:p>
    <w:p>
      <w:pPr>
        <w:pStyle w:val="19"/>
        <w:rPr>
          <w:rFonts w:ascii="方正小标宋" w:hAnsi="仿宋" w:eastAsia="方正小标宋"/>
          <w:sz w:val="44"/>
          <w:szCs w:val="44"/>
        </w:rPr>
      </w:pPr>
      <w:bookmarkStart w:id="5" w:name="_Toc72161435"/>
      <w:r>
        <w:rPr>
          <w:rFonts w:hint="eastAsia" w:ascii="方正小标宋" w:hAnsi="仿宋" w:eastAsia="方正小标宋"/>
          <w:sz w:val="44"/>
          <w:szCs w:val="44"/>
        </w:rPr>
        <w:t>第一部分  摘要</w:t>
      </w:r>
      <w:bookmarkEnd w:id="1"/>
      <w:bookmarkEnd w:id="2"/>
      <w:bookmarkEnd w:id="3"/>
      <w:bookmarkEnd w:id="4"/>
      <w:bookmarkEnd w:id="5"/>
    </w:p>
    <w:p>
      <w:pPr>
        <w:spacing w:line="580" w:lineRule="exact"/>
        <w:ind w:firstLine="640" w:firstLineChars="200"/>
        <w:rPr>
          <w:rFonts w:ascii="仿宋_GB2312" w:hAnsi="仿宋_GB2312"/>
          <w:szCs w:val="32"/>
        </w:rPr>
      </w:pPr>
      <w:bookmarkStart w:id="6" w:name="_Toc39666629"/>
      <w:r>
        <w:rPr>
          <w:rFonts w:hint="eastAsia" w:ascii="仿宋_GB2312" w:hAnsi="仿宋_GB2312"/>
          <w:szCs w:val="32"/>
        </w:rPr>
        <w:t>为进一步促进就业鼓励创业、贯彻落实各项就业政策及河北省人民政府《关于进一步做好新形势下就业创业工作的实施意见》的文件精神，保定市徐水区人力资源和社会保障局积极落实就业创业政策，并对就业补助资金的使用情况进行管理和监督。我们接受保定市徐水区财政局的委托对区人社局实施的2020年度就业补助资金项目进行了绩效评价。</w:t>
      </w:r>
    </w:p>
    <w:p>
      <w:pPr>
        <w:spacing w:line="580" w:lineRule="exact"/>
        <w:ind w:firstLine="640" w:firstLineChars="200"/>
        <w:rPr>
          <w:rFonts w:ascii="仿宋_GB2312" w:hAnsi="仿宋_GB2312"/>
          <w:color w:val="FF0000"/>
          <w:szCs w:val="32"/>
        </w:rPr>
      </w:pPr>
      <w:r>
        <w:rPr>
          <w:rFonts w:hint="eastAsia" w:ascii="仿宋_GB2312" w:hAnsi="仿宋_GB2312"/>
          <w:szCs w:val="32"/>
        </w:rPr>
        <w:t>该项目2020年度安排预算资金651万元（中央资金551万元，省级资金100万元），年初结余257.28万元，调减上年省级结余资金2</w:t>
      </w:r>
      <w:r>
        <w:rPr>
          <w:rFonts w:ascii="仿宋_GB2312" w:hAnsi="仿宋_GB2312"/>
          <w:szCs w:val="32"/>
        </w:rPr>
        <w:t>.06</w:t>
      </w:r>
      <w:r>
        <w:rPr>
          <w:rFonts w:hint="eastAsia" w:ascii="仿宋_GB2312" w:hAnsi="仿宋_GB2312"/>
          <w:szCs w:val="32"/>
        </w:rPr>
        <w:t>万元，2020年度共支出896.8</w:t>
      </w:r>
      <w:r>
        <w:rPr>
          <w:rFonts w:ascii="仿宋_GB2312" w:hAnsi="仿宋_GB2312"/>
          <w:szCs w:val="32"/>
        </w:rPr>
        <w:t>8</w:t>
      </w:r>
      <w:r>
        <w:rPr>
          <w:rFonts w:hint="eastAsia" w:ascii="仿宋_GB2312" w:hAnsi="仿宋_GB2312"/>
          <w:szCs w:val="32"/>
        </w:rPr>
        <w:t>万元（当年预算资金</w:t>
      </w:r>
      <w:r>
        <w:rPr>
          <w:rFonts w:ascii="仿宋_GB2312" w:hAnsi="仿宋_GB2312"/>
          <w:szCs w:val="32"/>
        </w:rPr>
        <w:t>651</w:t>
      </w:r>
      <w:r>
        <w:rPr>
          <w:rFonts w:hint="eastAsia" w:ascii="仿宋_GB2312" w:hAnsi="仿宋_GB2312"/>
          <w:szCs w:val="32"/>
        </w:rPr>
        <w:t>万元，年初结余资金</w:t>
      </w:r>
      <w:r>
        <w:rPr>
          <w:rFonts w:ascii="仿宋_GB2312" w:hAnsi="仿宋_GB2312"/>
          <w:szCs w:val="32"/>
        </w:rPr>
        <w:t>245.88</w:t>
      </w:r>
      <w:r>
        <w:rPr>
          <w:rFonts w:hint="eastAsia" w:ascii="仿宋_GB2312" w:hAnsi="仿宋_GB2312"/>
          <w:szCs w:val="32"/>
        </w:rPr>
        <w:t>万元），年末资金结余9.34万元。</w:t>
      </w:r>
    </w:p>
    <w:p>
      <w:pPr>
        <w:spacing w:line="580" w:lineRule="exact"/>
        <w:ind w:firstLine="640" w:firstLineChars="200"/>
        <w:rPr>
          <w:rFonts w:ascii="仿宋_GB2312" w:hAnsi="仿宋_GB2312"/>
          <w:color w:val="FF0000"/>
          <w:szCs w:val="32"/>
        </w:rPr>
      </w:pPr>
      <w:r>
        <w:rPr>
          <w:rFonts w:hint="eastAsia" w:ascii="仿宋_GB2312" w:hAnsi="仿宋_GB2312"/>
          <w:szCs w:val="32"/>
        </w:rPr>
        <w:t>2020年度徐水区享受就业补助资金补助人数共计107</w:t>
      </w:r>
      <w:r>
        <w:rPr>
          <w:rFonts w:ascii="仿宋_GB2312" w:hAnsi="仿宋_GB2312"/>
          <w:szCs w:val="32"/>
        </w:rPr>
        <w:t>6</w:t>
      </w:r>
      <w:r>
        <w:rPr>
          <w:rFonts w:hint="eastAsia" w:ascii="仿宋_GB2312" w:hAnsi="仿宋_GB2312"/>
          <w:szCs w:val="32"/>
        </w:rPr>
        <w:t>人。</w:t>
      </w:r>
      <w:r>
        <w:rPr>
          <w:rFonts w:hint="eastAsia" w:ascii="仿宋_GB2312" w:hAnsi="仿宋"/>
          <w:szCs w:val="32"/>
        </w:rPr>
        <w:t>20</w:t>
      </w:r>
      <w:r>
        <w:rPr>
          <w:rFonts w:ascii="仿宋_GB2312" w:hAnsi="仿宋"/>
          <w:szCs w:val="32"/>
        </w:rPr>
        <w:t>20</w:t>
      </w:r>
      <w:r>
        <w:rPr>
          <w:rFonts w:hint="eastAsia" w:ascii="仿宋_GB2312" w:hAnsi="仿宋"/>
          <w:szCs w:val="32"/>
        </w:rPr>
        <w:t>年</w:t>
      </w:r>
      <w:r>
        <w:rPr>
          <w:rFonts w:hint="eastAsia" w:ascii="仿宋_GB2312" w:hAnsi="仿宋_GB2312"/>
          <w:szCs w:val="32"/>
        </w:rPr>
        <w:t>年末城镇登记失业率3.16%，与上年数据持平。当年全区新增就业人数4114人，</w:t>
      </w:r>
      <w:r>
        <w:rPr>
          <w:rFonts w:hint="eastAsia" w:ascii="仿宋_GB2312" w:hAnsi="仿宋"/>
          <w:szCs w:val="32"/>
        </w:rPr>
        <w:t>较上年数据有所增长。2</w:t>
      </w:r>
      <w:r>
        <w:rPr>
          <w:rFonts w:ascii="仿宋_GB2312" w:hAnsi="仿宋"/>
          <w:szCs w:val="32"/>
        </w:rPr>
        <w:t>020</w:t>
      </w:r>
      <w:r>
        <w:rPr>
          <w:rFonts w:hint="eastAsia" w:ascii="仿宋_GB2312" w:hAnsi="仿宋"/>
          <w:szCs w:val="32"/>
        </w:rPr>
        <w:t>年</w:t>
      </w:r>
      <w:r>
        <w:rPr>
          <w:rFonts w:hint="eastAsia" w:ascii="仿宋_GB2312" w:hAnsi="仿宋_GB2312"/>
          <w:szCs w:val="32"/>
        </w:rPr>
        <w:t>就业困难人员再就业人数498人</w:t>
      </w:r>
      <w:bookmarkEnd w:id="6"/>
      <w:r>
        <w:rPr>
          <w:rFonts w:hint="eastAsia" w:ascii="仿宋_GB2312" w:hAnsi="仿宋_GB2312"/>
          <w:szCs w:val="32"/>
        </w:rPr>
        <w:t>，相较</w:t>
      </w:r>
      <w:r>
        <w:rPr>
          <w:rFonts w:hint="eastAsia" w:ascii="仿宋_GB2312" w:hAnsi="仿宋"/>
          <w:bCs/>
          <w:szCs w:val="32"/>
        </w:rPr>
        <w:t>201</w:t>
      </w:r>
      <w:r>
        <w:rPr>
          <w:rFonts w:ascii="仿宋_GB2312" w:hAnsi="仿宋"/>
          <w:bCs/>
          <w:szCs w:val="32"/>
        </w:rPr>
        <w:t>9</w:t>
      </w:r>
      <w:r>
        <w:rPr>
          <w:rFonts w:hint="eastAsia" w:ascii="仿宋_GB2312" w:hAnsi="仿宋"/>
          <w:bCs/>
          <w:szCs w:val="32"/>
        </w:rPr>
        <w:t>年就业困难人员再就业人数</w:t>
      </w:r>
      <w:r>
        <w:rPr>
          <w:rFonts w:ascii="仿宋_GB2312" w:hAnsi="仿宋"/>
          <w:bCs/>
          <w:szCs w:val="32"/>
        </w:rPr>
        <w:t>504</w:t>
      </w:r>
      <w:r>
        <w:rPr>
          <w:rFonts w:hint="eastAsia" w:ascii="仿宋_GB2312" w:hAnsi="仿宋"/>
          <w:bCs/>
          <w:szCs w:val="32"/>
        </w:rPr>
        <w:t>人，增长率不增反降。</w:t>
      </w:r>
    </w:p>
    <w:p>
      <w:pPr>
        <w:spacing w:line="580" w:lineRule="exact"/>
        <w:ind w:firstLine="640" w:firstLineChars="200"/>
        <w:rPr>
          <w:rFonts w:ascii="仿宋_GB2312" w:hAnsi="仿宋_GB2312"/>
          <w:szCs w:val="32"/>
        </w:rPr>
      </w:pPr>
      <w:r>
        <w:rPr>
          <w:rFonts w:hint="eastAsia" w:ascii="仿宋_GB2312" w:hAnsi="仿宋_GB2312"/>
          <w:szCs w:val="32"/>
        </w:rPr>
        <w:t>综合评价，徐水区2020年度就业补助资金项目绩效评价得分8</w:t>
      </w:r>
      <w:r>
        <w:rPr>
          <w:rFonts w:ascii="仿宋_GB2312" w:hAnsi="仿宋_GB2312"/>
          <w:szCs w:val="32"/>
        </w:rPr>
        <w:t>5</w:t>
      </w:r>
      <w:r>
        <w:rPr>
          <w:rFonts w:hint="eastAsia" w:ascii="仿宋_GB2312" w:hAnsi="仿宋_GB2312"/>
          <w:szCs w:val="32"/>
        </w:rPr>
        <w:t>分，评价等级为“良”。</w:t>
      </w:r>
    </w:p>
    <w:p>
      <w:pPr>
        <w:spacing w:line="580" w:lineRule="exact"/>
        <w:ind w:firstLine="640" w:firstLineChars="200"/>
        <w:rPr>
          <w:rFonts w:ascii="仿宋_GB2312" w:hAnsi="仿宋_GB2312"/>
          <w:szCs w:val="32"/>
        </w:rPr>
      </w:pPr>
      <w:r>
        <w:rPr>
          <w:rFonts w:hint="eastAsia" w:ascii="仿宋_GB2312" w:hAnsi="仿宋_GB2312"/>
          <w:szCs w:val="32"/>
        </w:rPr>
        <w:t>从项目实施的总体情况看，该项目取得了一定的成绩，任务目标完成情况良好；相关管理制度健全、执行有效；产出数量、产出时效及产出成本指标完成情况良好。</w:t>
      </w:r>
    </w:p>
    <w:p>
      <w:pPr>
        <w:spacing w:line="580" w:lineRule="exact"/>
        <w:ind w:firstLine="640" w:firstLineChars="200"/>
        <w:rPr>
          <w:rFonts w:ascii="仿宋_GB2312" w:hAnsi="仿宋_GB2312"/>
          <w:b/>
          <w:bCs/>
          <w:szCs w:val="32"/>
        </w:rPr>
      </w:pPr>
      <w:r>
        <w:rPr>
          <w:rFonts w:hint="eastAsia" w:ascii="仿宋_GB2312" w:hAnsi="仿宋_GB2312"/>
          <w:szCs w:val="32"/>
        </w:rPr>
        <w:t>该项目取得的成绩是肯定的，但通过本次绩效评价工作，我们也发现该项目在预算管理、过程管理、产出等方面仍存在以下不足之处：</w:t>
      </w:r>
      <w:r>
        <w:rPr>
          <w:rFonts w:hint="eastAsia" w:ascii="仿宋_GB2312" w:hAnsi="仿宋_GB2312"/>
          <w:b/>
          <w:bCs/>
          <w:szCs w:val="32"/>
        </w:rPr>
        <w:t>一是</w:t>
      </w:r>
      <w:r>
        <w:rPr>
          <w:rFonts w:hint="eastAsia" w:ascii="仿宋_GB2312" w:hAnsi="仿宋_GB2312"/>
          <w:szCs w:val="32"/>
        </w:rPr>
        <w:t>绩效目标未具体量化，可衡量性较差；</w:t>
      </w:r>
      <w:r>
        <w:rPr>
          <w:rFonts w:hint="eastAsia" w:ascii="仿宋_GB2312" w:hAnsi="仿宋_GB2312"/>
          <w:b/>
          <w:bCs/>
          <w:szCs w:val="32"/>
        </w:rPr>
        <w:t>二是</w:t>
      </w:r>
      <w:r>
        <w:rPr>
          <w:rFonts w:hint="eastAsia" w:ascii="仿宋_GB2312" w:hAnsi="仿宋" w:cs="仿宋"/>
          <w:bCs/>
          <w:szCs w:val="32"/>
        </w:rPr>
        <w:t>预算编制不完整，结余资金未及时上缴财政；</w:t>
      </w:r>
      <w:r>
        <w:rPr>
          <w:rFonts w:hint="eastAsia" w:ascii="仿宋_GB2312" w:hAnsi="仿宋_GB2312"/>
          <w:b/>
          <w:bCs/>
          <w:szCs w:val="32"/>
        </w:rPr>
        <w:t>三是</w:t>
      </w:r>
      <w:r>
        <w:rPr>
          <w:rFonts w:hint="eastAsia" w:ascii="仿宋_GB2312" w:hAnsi="仿宋_GB2312"/>
          <w:szCs w:val="32"/>
        </w:rPr>
        <w:t>未严格按照专项资金管理要求进行专账核算；</w:t>
      </w:r>
      <w:r>
        <w:rPr>
          <w:rFonts w:hint="eastAsia" w:ascii="仿宋_GB2312" w:hAnsi="仿宋_GB2312"/>
          <w:b/>
          <w:bCs/>
          <w:szCs w:val="32"/>
        </w:rPr>
        <w:t>四是</w:t>
      </w:r>
      <w:r>
        <w:rPr>
          <w:rFonts w:hint="eastAsia" w:ascii="仿宋_GB2312" w:hAnsi="仿宋_GB2312"/>
          <w:szCs w:val="32"/>
        </w:rPr>
        <w:t>职业技能培训合格率较低，产出质量较差；</w:t>
      </w:r>
      <w:r>
        <w:rPr>
          <w:rFonts w:hint="eastAsia" w:ascii="仿宋_GB2312" w:hAnsi="仿宋_GB2312"/>
          <w:b/>
          <w:bCs/>
          <w:szCs w:val="32"/>
        </w:rPr>
        <w:t>五是</w:t>
      </w:r>
      <w:r>
        <w:rPr>
          <w:rFonts w:hint="eastAsia" w:ascii="仿宋_GB2312" w:hAnsi="仿宋_GB2312"/>
          <w:szCs w:val="32"/>
        </w:rPr>
        <w:t>就业困难人员再就业增长率指标未达标。</w:t>
      </w:r>
    </w:p>
    <w:p>
      <w:pPr>
        <w:spacing w:line="580" w:lineRule="exact"/>
        <w:ind w:firstLine="640" w:firstLineChars="200"/>
        <w:rPr>
          <w:rFonts w:ascii="仿宋_GB2312" w:hAnsi="仿宋_GB2312"/>
          <w:szCs w:val="32"/>
        </w:rPr>
      </w:pPr>
      <w:r>
        <w:rPr>
          <w:rFonts w:hint="eastAsia" w:ascii="仿宋_GB2312" w:hAnsi="仿宋_GB2312"/>
          <w:szCs w:val="32"/>
        </w:rPr>
        <w:t>针对上述发现的问题，为进一步提升项目相关单位今后的项目管理水平，我们建议：</w:t>
      </w:r>
      <w:r>
        <w:rPr>
          <w:rFonts w:hint="eastAsia" w:ascii="仿宋_GB2312" w:hAnsi="仿宋_GB2312"/>
          <w:b/>
          <w:bCs/>
          <w:szCs w:val="32"/>
        </w:rPr>
        <w:t>一是</w:t>
      </w:r>
      <w:r>
        <w:rPr>
          <w:rFonts w:hint="eastAsia" w:ascii="仿宋_GB2312" w:hAnsi="仿宋_GB2312"/>
          <w:szCs w:val="32"/>
        </w:rPr>
        <w:t>制定可衡量、可量化的绩效目标，充分发挥绩效目标的考核衡量作用；</w:t>
      </w:r>
      <w:r>
        <w:rPr>
          <w:rFonts w:hint="eastAsia" w:ascii="仿宋_GB2312" w:hAnsi="仿宋_GB2312"/>
          <w:b/>
          <w:bCs/>
          <w:szCs w:val="32"/>
        </w:rPr>
        <w:t>二是</w:t>
      </w:r>
      <w:r>
        <w:rPr>
          <w:rFonts w:hint="eastAsia" w:ascii="仿宋_GB2312" w:hAnsi="仿宋_GB2312"/>
          <w:szCs w:val="32"/>
        </w:rPr>
        <w:t>科学编制预算，充分发挥预算约束作用，及时对结余资金进行清理；</w:t>
      </w:r>
      <w:r>
        <w:rPr>
          <w:rFonts w:hint="eastAsia" w:ascii="仿宋_GB2312" w:hAnsi="仿宋_GB2312"/>
          <w:b/>
          <w:bCs/>
          <w:szCs w:val="32"/>
        </w:rPr>
        <w:t>三是</w:t>
      </w:r>
      <w:r>
        <w:rPr>
          <w:rFonts w:hint="eastAsia" w:ascii="仿宋_GB2312" w:hAnsi="仿宋_GB2312"/>
          <w:szCs w:val="32"/>
        </w:rPr>
        <w:t>专项资金使用单位要严格按财务管理的有关规定，实行专项核算，保证财政资金的使用效益；</w:t>
      </w:r>
      <w:r>
        <w:rPr>
          <w:rFonts w:hint="eastAsia" w:ascii="仿宋_GB2312" w:hAnsi="仿宋_GB2312"/>
          <w:b/>
          <w:bCs/>
          <w:szCs w:val="32"/>
        </w:rPr>
        <w:t>四是</w:t>
      </w:r>
      <w:r>
        <w:rPr>
          <w:rFonts w:hint="eastAsia" w:ascii="仿宋_GB2312" w:hAnsi="仿宋_GB2312"/>
          <w:szCs w:val="32"/>
        </w:rPr>
        <w:t>创新思路，充分发挥职业培训的作用，提高就业困难人群的培训合格率；</w:t>
      </w:r>
      <w:r>
        <w:rPr>
          <w:rFonts w:hint="eastAsia" w:ascii="仿宋_GB2312" w:hAnsi="仿宋_GB2312"/>
          <w:b/>
          <w:bCs/>
          <w:szCs w:val="32"/>
        </w:rPr>
        <w:t>五是</w:t>
      </w:r>
      <w:r>
        <w:rPr>
          <w:rFonts w:hint="eastAsia" w:ascii="仿宋_GB2312" w:hAnsi="仿宋_GB2312"/>
          <w:szCs w:val="32"/>
        </w:rPr>
        <w:t>针对就业困难人员再就业增长率未达标的问题，及时提出应对激励措施，从而真正发挥就业补助资金的作用。</w:t>
      </w:r>
      <w:bookmarkStart w:id="7" w:name="_Toc38821359"/>
      <w:bookmarkStart w:id="8" w:name="_Toc22871"/>
      <w:bookmarkStart w:id="9" w:name="_Toc7956020"/>
      <w:bookmarkStart w:id="10" w:name="_Toc41137180"/>
      <w:bookmarkStart w:id="11" w:name="_Toc485233444"/>
      <w:bookmarkStart w:id="12" w:name="_Toc38447884"/>
      <w:bookmarkStart w:id="13" w:name="_Toc38452628"/>
      <w:bookmarkStart w:id="14" w:name="_Toc8741_WPSOffice_Type3"/>
      <w:r>
        <w:rPr>
          <w:rFonts w:hint="eastAsia" w:ascii="仿宋_GB2312" w:hAnsi="仿宋_GB2312"/>
          <w:szCs w:val="32"/>
        </w:rPr>
        <w:br w:type="page"/>
      </w:r>
    </w:p>
    <w:p>
      <w:pPr>
        <w:pStyle w:val="19"/>
        <w:spacing w:before="0" w:after="360" w:line="580" w:lineRule="exact"/>
        <w:rPr>
          <w:rFonts w:ascii="方正小标宋" w:hAnsi="黑体" w:eastAsia="方正小标宋"/>
          <w:sz w:val="44"/>
          <w:szCs w:val="44"/>
        </w:rPr>
      </w:pPr>
      <w:bookmarkStart w:id="15" w:name="_Toc72161436"/>
      <w:r>
        <w:rPr>
          <w:rFonts w:hint="eastAsia" w:ascii="方正小标宋" w:hAnsi="黑体" w:eastAsia="方正小标宋"/>
          <w:sz w:val="44"/>
          <w:szCs w:val="44"/>
        </w:rPr>
        <w:t>第二部分  绩效评价报告</w:t>
      </w:r>
      <w:bookmarkEnd w:id="7"/>
      <w:bookmarkEnd w:id="8"/>
      <w:bookmarkEnd w:id="9"/>
      <w:bookmarkEnd w:id="10"/>
      <w:bookmarkEnd w:id="11"/>
      <w:bookmarkEnd w:id="15"/>
    </w:p>
    <w:p>
      <w:pPr>
        <w:pStyle w:val="2"/>
        <w:keepNext w:val="0"/>
        <w:keepLines w:val="0"/>
        <w:spacing w:before="0" w:after="0" w:line="580" w:lineRule="exact"/>
        <w:ind w:firstLine="643" w:firstLineChars="200"/>
        <w:jc w:val="left"/>
        <w:rPr>
          <w:rFonts w:ascii="黑体" w:hAnsi="黑体" w:eastAsia="黑体" w:cs="黑体"/>
          <w:bCs w:val="0"/>
          <w:sz w:val="32"/>
          <w:szCs w:val="32"/>
        </w:rPr>
      </w:pPr>
      <w:bookmarkStart w:id="16" w:name="_Toc32754"/>
      <w:bookmarkStart w:id="17" w:name="_Toc72161437"/>
      <w:bookmarkStart w:id="18" w:name="_Toc41137181"/>
      <w:r>
        <w:rPr>
          <w:rFonts w:hint="eastAsia" w:ascii="黑体" w:hAnsi="黑体" w:eastAsia="黑体" w:cs="黑体"/>
          <w:bCs w:val="0"/>
          <w:sz w:val="32"/>
          <w:szCs w:val="32"/>
        </w:rPr>
        <w:t>一、基本概况</w:t>
      </w:r>
      <w:bookmarkEnd w:id="12"/>
      <w:bookmarkEnd w:id="13"/>
      <w:bookmarkEnd w:id="16"/>
      <w:bookmarkEnd w:id="17"/>
      <w:bookmarkEnd w:id="18"/>
    </w:p>
    <w:p>
      <w:pPr>
        <w:pStyle w:val="3"/>
        <w:spacing w:before="0" w:after="0" w:line="580" w:lineRule="exact"/>
        <w:ind w:firstLine="643" w:firstLineChars="200"/>
        <w:rPr>
          <w:rFonts w:ascii="方正楷体" w:hAnsi="Times New Roman" w:eastAsia="方正楷体"/>
        </w:rPr>
      </w:pPr>
      <w:bookmarkStart w:id="19" w:name="_Toc72161438"/>
      <w:bookmarkStart w:id="20" w:name="_Toc4540"/>
      <w:bookmarkStart w:id="21" w:name="_Toc38452629"/>
      <w:bookmarkStart w:id="22" w:name="_Toc41137182"/>
      <w:bookmarkStart w:id="23" w:name="_Toc38447885"/>
      <w:r>
        <w:rPr>
          <w:rFonts w:hint="eastAsia" w:ascii="方正楷体" w:hAnsi="Times New Roman" w:eastAsia="方正楷体"/>
        </w:rPr>
        <w:t>（一）项目概况</w:t>
      </w:r>
      <w:bookmarkEnd w:id="19"/>
      <w:bookmarkEnd w:id="20"/>
      <w:bookmarkEnd w:id="21"/>
      <w:bookmarkEnd w:id="22"/>
      <w:bookmarkEnd w:id="23"/>
    </w:p>
    <w:p>
      <w:pPr>
        <w:pStyle w:val="43"/>
        <w:spacing w:line="580" w:lineRule="exact"/>
        <w:ind w:firstLine="643"/>
        <w:rPr>
          <w:rFonts w:ascii="仿宋_GB2312" w:hAnsi="仿宋_GB2312"/>
          <w:b/>
          <w:bCs/>
          <w:szCs w:val="32"/>
        </w:rPr>
      </w:pPr>
      <w:r>
        <w:rPr>
          <w:rFonts w:hint="eastAsia" w:ascii="仿宋_GB2312" w:hAnsi="仿宋_GB2312"/>
          <w:b/>
          <w:bCs/>
          <w:szCs w:val="32"/>
        </w:rPr>
        <w:t>1.项目背景</w:t>
      </w:r>
    </w:p>
    <w:p>
      <w:pPr>
        <w:pStyle w:val="43"/>
        <w:spacing w:line="580" w:lineRule="exact"/>
        <w:ind w:firstLine="640"/>
        <w:rPr>
          <w:rFonts w:ascii="仿宋_GB2312" w:hAnsi="仿宋_GB2312"/>
          <w:b/>
          <w:bCs/>
          <w:szCs w:val="32"/>
        </w:rPr>
      </w:pPr>
      <w:r>
        <w:rPr>
          <w:rFonts w:hint="eastAsia" w:ascii="仿宋_GB2312" w:hAnsi="仿宋_GB2312"/>
          <w:szCs w:val="32"/>
        </w:rPr>
        <w:t>为进一步促进就业鼓励创业、贯彻落实各项就业政策及河北省人民政府《关于进一步做好新形势下就业创业工作的实施意见》的文件精神，保定市徐水区人力资源和社会保障局积极落实就业创业政策，并对就业补助资金的使用情况进行管理和监督。</w:t>
      </w:r>
    </w:p>
    <w:p>
      <w:pPr>
        <w:pStyle w:val="43"/>
        <w:spacing w:line="580" w:lineRule="exact"/>
        <w:ind w:firstLine="643"/>
        <w:rPr>
          <w:rFonts w:ascii="仿宋_GB2312" w:hAnsi="仿宋_GB2312"/>
          <w:b/>
          <w:bCs/>
          <w:szCs w:val="32"/>
        </w:rPr>
      </w:pPr>
      <w:r>
        <w:rPr>
          <w:rFonts w:hint="eastAsia" w:ascii="仿宋_GB2312" w:hAnsi="仿宋_GB2312"/>
          <w:b/>
          <w:bCs/>
          <w:szCs w:val="32"/>
        </w:rPr>
        <w:t>2.项目主要内容</w:t>
      </w:r>
    </w:p>
    <w:p>
      <w:pPr>
        <w:pStyle w:val="43"/>
        <w:spacing w:line="580" w:lineRule="exact"/>
        <w:ind w:firstLine="640"/>
        <w:rPr>
          <w:rFonts w:ascii="仿宋_GB2312" w:hAnsi="仿宋_GB2312"/>
          <w:b/>
          <w:bCs/>
          <w:szCs w:val="32"/>
        </w:rPr>
      </w:pPr>
      <w:r>
        <w:rPr>
          <w:rFonts w:hint="eastAsia" w:ascii="仿宋_GB2312" w:hAnsi="仿宋_GB2312"/>
          <w:szCs w:val="32"/>
        </w:rPr>
        <w:t>该项目就业创业补助分为就业补助资金和创业扶持资金，具体包括职业培训补贴、职业技能鉴定补贴、社会保险补贴、岗位补贴、就业见习补贴、求职补贴、创业补贴、房租物业水电费补贴等八类补贴。</w:t>
      </w:r>
    </w:p>
    <w:p>
      <w:pPr>
        <w:spacing w:line="580" w:lineRule="exact"/>
        <w:ind w:firstLine="640" w:firstLineChars="200"/>
        <w:rPr>
          <w:rFonts w:ascii="仿宋_GB2312" w:hAnsi="仿宋_GB2312"/>
          <w:szCs w:val="32"/>
        </w:rPr>
      </w:pPr>
      <w:r>
        <w:rPr>
          <w:rFonts w:hint="eastAsia" w:ascii="仿宋_GB2312" w:hAnsi="仿宋_GB2312"/>
          <w:szCs w:val="32"/>
        </w:rPr>
        <w:t>各类资金的补助范围如下:</w:t>
      </w:r>
    </w:p>
    <w:p>
      <w:pPr>
        <w:pStyle w:val="43"/>
        <w:numPr>
          <w:ilvl w:val="0"/>
          <w:numId w:val="1"/>
        </w:numPr>
        <w:spacing w:line="580" w:lineRule="exact"/>
        <w:ind w:firstLine="640"/>
        <w:rPr>
          <w:rFonts w:ascii="仿宋_GB2312" w:hAnsi="仿宋_GB2312"/>
          <w:szCs w:val="32"/>
        </w:rPr>
      </w:pPr>
      <w:r>
        <w:rPr>
          <w:rFonts w:hint="eastAsia" w:ascii="仿宋_GB2312" w:hAnsi="仿宋_GB2312"/>
          <w:szCs w:val="32"/>
        </w:rPr>
        <w:t>职业培训补贴：对参加就业技能培训或创业培训的六类人员（贫困家庭子女、毕业学年高校毕业生、城乡未继续升学的应届初高中毕业生、农村转移就业劳动者、下岗失业退役军人、城镇登记失业人员（以下简称“六类人员”），以及符合条件的企业职工，培训后取得职业资格证书或培训合格证书，给予职业培训补贴。</w:t>
      </w:r>
    </w:p>
    <w:p>
      <w:pPr>
        <w:pStyle w:val="43"/>
        <w:spacing w:line="580" w:lineRule="exact"/>
        <w:ind w:firstLine="640"/>
        <w:rPr>
          <w:rFonts w:ascii="仿宋_GB2312" w:hAnsi="仿宋_GB2312"/>
          <w:szCs w:val="32"/>
        </w:rPr>
      </w:pPr>
      <w:r>
        <w:rPr>
          <w:rFonts w:hint="eastAsia" w:ascii="仿宋_GB2312" w:hAnsi="仿宋_GB2312"/>
          <w:szCs w:val="32"/>
        </w:rPr>
        <w:t>（2）职业技能鉴定补贴：对通过初次职业技能鉴定并取得职业资格证书的六类人员，给予职业技能鉴定补贴。</w:t>
      </w:r>
    </w:p>
    <w:p>
      <w:pPr>
        <w:pStyle w:val="43"/>
        <w:spacing w:line="580" w:lineRule="exact"/>
        <w:ind w:firstLine="640"/>
        <w:rPr>
          <w:rFonts w:ascii="仿宋_GB2312" w:hAnsi="仿宋_GB2312"/>
          <w:szCs w:val="32"/>
        </w:rPr>
      </w:pPr>
      <w:r>
        <w:rPr>
          <w:rFonts w:hint="eastAsia" w:ascii="仿宋_GB2312" w:hAnsi="仿宋_GB2312"/>
          <w:szCs w:val="32"/>
        </w:rPr>
        <w:t>（3）社会保险补贴：对招用登记失业的就业困难人员、高校毕业生、去产能企业事业人员，与之签订1年以上劳动合同并缴纳社会保险的单位，以及通过公益性岗位安置就业困难人员并缴纳社会保险费的单位，按其为就业人员实际缴纳的保险金额（不包含个人部分）给予补贴；对就业困难人员灵活就业后申报就业、办理就业登记并以个人身份缴纳社会保险的给予一定数额的社会保险补贴。</w:t>
      </w:r>
    </w:p>
    <w:p>
      <w:pPr>
        <w:pStyle w:val="43"/>
        <w:spacing w:line="580" w:lineRule="exact"/>
        <w:ind w:firstLine="640"/>
        <w:rPr>
          <w:rFonts w:ascii="仿宋_GB2312" w:hAnsi="仿宋_GB2312"/>
          <w:szCs w:val="32"/>
        </w:rPr>
      </w:pPr>
      <w:r>
        <w:rPr>
          <w:rFonts w:hint="eastAsia" w:ascii="仿宋_GB2312" w:hAnsi="仿宋_GB2312"/>
          <w:szCs w:val="32"/>
        </w:rPr>
        <w:t>（4）岗位补贴：对公益性岗位安置的就业困难人员给予公益性岗位补贴，对吸纳就业困难人员与其签订1年以上劳动合同并缴纳社会保险费的用人单位给予相应劳动合同期限的岗位补贴。</w:t>
      </w:r>
    </w:p>
    <w:p>
      <w:pPr>
        <w:pStyle w:val="43"/>
        <w:spacing w:line="580" w:lineRule="exact"/>
        <w:ind w:firstLine="640"/>
        <w:rPr>
          <w:rFonts w:ascii="仿宋_GB2312" w:hAnsi="仿宋_GB2312"/>
          <w:szCs w:val="32"/>
        </w:rPr>
      </w:pPr>
      <w:r>
        <w:rPr>
          <w:rFonts w:hint="eastAsia" w:ascii="仿宋_GB2312" w:hAnsi="仿宋_GB2312"/>
          <w:szCs w:val="32"/>
        </w:rPr>
        <w:t>（5）就业见习补贴：对吸纳毕业2年内的高校毕业生和贫困县及民族县中职学校毕业生参加就业见习并按月发放基本生活费的单位给予就业见习补贴。</w:t>
      </w:r>
    </w:p>
    <w:p>
      <w:pPr>
        <w:pStyle w:val="43"/>
        <w:spacing w:line="580" w:lineRule="exact"/>
        <w:ind w:firstLine="640"/>
        <w:rPr>
          <w:rFonts w:ascii="仿宋_GB2312" w:hAnsi="仿宋_GB2312"/>
          <w:szCs w:val="32"/>
        </w:rPr>
      </w:pPr>
      <w:r>
        <w:rPr>
          <w:rFonts w:hint="eastAsia" w:ascii="仿宋_GB2312" w:hAnsi="仿宋_GB2312"/>
          <w:szCs w:val="32"/>
        </w:rPr>
        <w:t>（6）求职补贴：对毕业年度内求职创业的低保家庭、贫困残疾人家庭、建档立卡贫困家庭和特困人员中的高校毕业生，残疾、烈士子女和正在享受国家助学贷款的高校毕业生，给予一次性求职补贴。</w:t>
      </w:r>
    </w:p>
    <w:p>
      <w:pPr>
        <w:pStyle w:val="43"/>
        <w:spacing w:line="580" w:lineRule="exact"/>
        <w:ind w:firstLine="640"/>
        <w:rPr>
          <w:rFonts w:ascii="仿宋_GB2312" w:hAnsi="仿宋_GB2312"/>
          <w:color w:val="FF0000"/>
          <w:szCs w:val="32"/>
        </w:rPr>
      </w:pPr>
      <w:r>
        <w:rPr>
          <w:rFonts w:hint="eastAsia" w:ascii="仿宋_GB2312" w:hAnsi="仿宋_GB2312"/>
          <w:szCs w:val="32"/>
        </w:rPr>
        <w:t>（7）创业补贴：毕业学年高校生及毕业5年内高校毕业生、就业困难人员初次创业、取得营业执照、登记就业（毕业学年高校生除外）、正常运营6个月以上的，给予一次性创业补贴。</w:t>
      </w:r>
    </w:p>
    <w:p>
      <w:pPr>
        <w:pStyle w:val="43"/>
        <w:spacing w:line="580" w:lineRule="exact"/>
        <w:ind w:firstLine="640"/>
        <w:rPr>
          <w:rFonts w:ascii="仿宋_GB2312" w:hAnsi="仿宋_GB2312"/>
          <w:szCs w:val="32"/>
        </w:rPr>
      </w:pPr>
      <w:r>
        <w:rPr>
          <w:rFonts w:hint="eastAsia" w:ascii="仿宋_GB2312" w:hAnsi="仿宋_GB2312"/>
          <w:szCs w:val="32"/>
        </w:rPr>
        <w:t>（8）房租物业水电费补贴：对为登记失业或求职的城镇失业人员、毕业年度高校毕业生、下岗失业退役军人、农村转移就业劳动者初次创业提供低成本、便利化、多要素创业服务的创业孵化基地（含众创空间）和入驻高层次人才、高技能人才创业园中的科技型小微企业，按符合条件人员入驻项目给予房租物业水电费补贴。</w:t>
      </w:r>
    </w:p>
    <w:p>
      <w:pPr>
        <w:pStyle w:val="43"/>
        <w:spacing w:line="580" w:lineRule="exact"/>
        <w:ind w:firstLine="643"/>
        <w:rPr>
          <w:rFonts w:ascii="仿宋_GB2312" w:hAnsi="仿宋_GB2312"/>
          <w:b/>
          <w:bCs/>
          <w:szCs w:val="32"/>
        </w:rPr>
      </w:pPr>
      <w:r>
        <w:rPr>
          <w:rFonts w:hint="eastAsia" w:ascii="仿宋_GB2312" w:hAnsi="仿宋_GB2312"/>
          <w:b/>
          <w:bCs/>
          <w:szCs w:val="32"/>
        </w:rPr>
        <w:t>3.</w:t>
      </w:r>
      <w:r>
        <w:rPr>
          <w:rFonts w:ascii="仿宋_GB2312" w:hAnsi="仿宋_GB2312"/>
          <w:b/>
          <w:bCs/>
          <w:szCs w:val="32"/>
        </w:rPr>
        <w:t>补助标准</w:t>
      </w:r>
    </w:p>
    <w:p>
      <w:pPr>
        <w:pStyle w:val="43"/>
        <w:spacing w:line="580" w:lineRule="exact"/>
        <w:ind w:firstLine="640"/>
        <w:rPr>
          <w:rFonts w:ascii="仿宋_GB2312" w:hAnsi="仿宋_GB2312"/>
          <w:szCs w:val="32"/>
        </w:rPr>
      </w:pPr>
      <w:r>
        <w:rPr>
          <w:rFonts w:hint="eastAsia" w:ascii="仿宋_GB2312" w:hAnsi="仿宋_GB2312"/>
          <w:szCs w:val="32"/>
        </w:rPr>
        <w:t>（1）职业培训补贴：补贴标准每人最高不超过2</w:t>
      </w:r>
      <w:r>
        <w:rPr>
          <w:rFonts w:ascii="仿宋_GB2312" w:hAnsi="仿宋_GB2312"/>
          <w:szCs w:val="32"/>
        </w:rPr>
        <w:t>200</w:t>
      </w:r>
      <w:r>
        <w:rPr>
          <w:rFonts w:hint="eastAsia" w:ascii="仿宋_GB2312" w:hAnsi="仿宋_GB2312"/>
          <w:szCs w:val="32"/>
        </w:rPr>
        <w:t>元。创业培训补贴每人最高不超过1</w:t>
      </w:r>
      <w:r>
        <w:rPr>
          <w:rFonts w:ascii="仿宋_GB2312" w:hAnsi="仿宋_GB2312"/>
          <w:szCs w:val="32"/>
        </w:rPr>
        <w:t>200</w:t>
      </w:r>
      <w:r>
        <w:rPr>
          <w:rFonts w:hint="eastAsia" w:ascii="仿宋_GB2312" w:hAnsi="仿宋_GB2312"/>
          <w:szCs w:val="32"/>
        </w:rPr>
        <w:t>元。六类人员培训合格后，3个月内实现就业创业的，按职业培训补贴标准的100％给予补贴。3个月内未实现就业创业的，取得职业资格证书的，按职业培训补贴标准的80％给予补贴；取得培训合格证书的，按职业培训补贴标准的50％给予补贴。就业技能培训每人每年只能享受一次培训补贴，不得重复享受。</w:t>
      </w:r>
    </w:p>
    <w:p>
      <w:pPr>
        <w:pStyle w:val="43"/>
        <w:spacing w:line="580" w:lineRule="exact"/>
        <w:ind w:firstLine="640"/>
        <w:rPr>
          <w:rFonts w:ascii="仿宋_GB2312" w:hAnsi="仿宋_GB2312"/>
          <w:szCs w:val="32"/>
        </w:rPr>
      </w:pPr>
      <w:r>
        <w:rPr>
          <w:rFonts w:hint="eastAsia" w:ascii="仿宋_GB2312" w:hAnsi="仿宋_GB2312"/>
          <w:szCs w:val="32"/>
        </w:rPr>
        <w:t>（2）职业技能鉴定补贴：最高不超过省级物价部门规定的收费标准。</w:t>
      </w:r>
    </w:p>
    <w:p>
      <w:pPr>
        <w:pStyle w:val="43"/>
        <w:spacing w:line="580" w:lineRule="exact"/>
        <w:ind w:firstLine="640"/>
        <w:rPr>
          <w:rFonts w:ascii="仿宋_GB2312" w:hAnsi="仿宋_GB2312"/>
          <w:szCs w:val="32"/>
        </w:rPr>
      </w:pPr>
      <w:r>
        <w:rPr>
          <w:rFonts w:hint="eastAsia" w:ascii="仿宋_GB2312" w:hAnsi="仿宋_GB2312"/>
          <w:szCs w:val="32"/>
        </w:rPr>
        <w:t>（3）社会保险补贴：公益性岗位安置就业困难人员及就业困难人员灵活就业，最高不超过其实际缴费的2</w:t>
      </w:r>
      <w:r>
        <w:rPr>
          <w:rFonts w:ascii="仿宋_GB2312" w:hAnsi="仿宋_GB2312"/>
          <w:szCs w:val="32"/>
        </w:rPr>
        <w:t>/3</w:t>
      </w:r>
      <w:r>
        <w:rPr>
          <w:rFonts w:hint="eastAsia" w:ascii="仿宋_GB2312" w:hAnsi="仿宋_GB2312"/>
          <w:szCs w:val="32"/>
        </w:rPr>
        <w:t>。除对距法定退休年龄不足5年的就业困难人员可延长至退休外，其余人员最长不超过3年。</w:t>
      </w:r>
    </w:p>
    <w:p>
      <w:pPr>
        <w:pStyle w:val="43"/>
        <w:spacing w:line="580" w:lineRule="exact"/>
        <w:ind w:firstLine="640"/>
        <w:rPr>
          <w:rFonts w:ascii="仿宋_GB2312" w:hAnsi="仿宋_GB2312"/>
          <w:szCs w:val="32"/>
        </w:rPr>
      </w:pPr>
      <w:r>
        <w:rPr>
          <w:rFonts w:hint="eastAsia" w:ascii="仿宋_GB2312" w:hAnsi="仿宋_GB2312"/>
          <w:szCs w:val="32"/>
        </w:rPr>
        <w:t>（4）岗位补贴：岗位补贴期限，除对距法定退休年龄不足5年的就业困难人员可延长退休外，其余人员最长不超过3年。</w:t>
      </w:r>
    </w:p>
    <w:p>
      <w:pPr>
        <w:pStyle w:val="43"/>
        <w:spacing w:line="580" w:lineRule="exact"/>
        <w:ind w:firstLine="640"/>
        <w:rPr>
          <w:rFonts w:ascii="仿宋_GB2312" w:hAnsi="仿宋_GB2312"/>
          <w:szCs w:val="32"/>
        </w:rPr>
      </w:pPr>
      <w:r>
        <w:rPr>
          <w:rFonts w:hint="eastAsia" w:ascii="仿宋_GB2312" w:hAnsi="仿宋_GB2312"/>
          <w:szCs w:val="32"/>
        </w:rPr>
        <w:t>（5）就业见习补贴：补贴标准最高不超过当地最低工资标准，补贴期限最长不超过1</w:t>
      </w:r>
      <w:r>
        <w:rPr>
          <w:rFonts w:ascii="仿宋_GB2312" w:hAnsi="仿宋_GB2312"/>
          <w:szCs w:val="32"/>
        </w:rPr>
        <w:t>2</w:t>
      </w:r>
      <w:r>
        <w:rPr>
          <w:rFonts w:hint="eastAsia" w:ascii="仿宋_GB2312" w:hAnsi="仿宋_GB2312"/>
          <w:szCs w:val="32"/>
        </w:rPr>
        <w:t>个月。</w:t>
      </w:r>
    </w:p>
    <w:p>
      <w:pPr>
        <w:pStyle w:val="43"/>
        <w:spacing w:line="580" w:lineRule="exact"/>
        <w:ind w:firstLine="640"/>
        <w:rPr>
          <w:rFonts w:ascii="仿宋_GB2312" w:hAnsi="仿宋_GB2312"/>
          <w:szCs w:val="32"/>
        </w:rPr>
      </w:pPr>
      <w:r>
        <w:rPr>
          <w:rFonts w:hint="eastAsia" w:ascii="仿宋_GB2312" w:hAnsi="仿宋_GB2312"/>
          <w:szCs w:val="32"/>
        </w:rPr>
        <w:t>（6）求职补贴：补贴标准每人2</w:t>
      </w:r>
      <w:r>
        <w:rPr>
          <w:rFonts w:ascii="仿宋_GB2312" w:hAnsi="仿宋_GB2312"/>
          <w:szCs w:val="32"/>
        </w:rPr>
        <w:t>000</w:t>
      </w:r>
      <w:r>
        <w:rPr>
          <w:rFonts w:hint="eastAsia" w:ascii="仿宋_GB2312" w:hAnsi="仿宋_GB2312"/>
          <w:szCs w:val="32"/>
        </w:rPr>
        <w:t>元。</w:t>
      </w:r>
    </w:p>
    <w:p>
      <w:pPr>
        <w:pStyle w:val="43"/>
        <w:spacing w:line="580" w:lineRule="exact"/>
        <w:ind w:firstLine="640"/>
        <w:rPr>
          <w:rFonts w:ascii="仿宋_GB2312" w:hAnsi="仿宋_GB2312"/>
          <w:szCs w:val="32"/>
        </w:rPr>
      </w:pPr>
      <w:r>
        <w:rPr>
          <w:rFonts w:hint="eastAsia" w:ascii="仿宋_GB2312" w:hAnsi="仿宋_GB2312"/>
          <w:szCs w:val="32"/>
        </w:rPr>
        <w:t>（7）创业补贴：补贴标准为每个创业项目5</w:t>
      </w:r>
      <w:r>
        <w:rPr>
          <w:rFonts w:ascii="仿宋_GB2312" w:hAnsi="仿宋_GB2312"/>
          <w:szCs w:val="32"/>
        </w:rPr>
        <w:t>000</w:t>
      </w:r>
      <w:r>
        <w:rPr>
          <w:rFonts w:hint="eastAsia" w:ascii="仿宋_GB2312" w:hAnsi="仿宋_GB2312"/>
          <w:szCs w:val="32"/>
        </w:rPr>
        <w:t>元。</w:t>
      </w:r>
    </w:p>
    <w:p>
      <w:pPr>
        <w:pStyle w:val="43"/>
        <w:spacing w:line="580" w:lineRule="exact"/>
        <w:ind w:firstLine="640"/>
        <w:rPr>
          <w:rFonts w:ascii="仿宋_GB2312" w:hAnsi="仿宋_GB2312"/>
          <w:b/>
          <w:bCs/>
          <w:szCs w:val="32"/>
        </w:rPr>
      </w:pPr>
      <w:r>
        <w:rPr>
          <w:rFonts w:hint="eastAsia" w:ascii="仿宋_GB2312" w:hAnsi="仿宋_GB2312"/>
          <w:szCs w:val="32"/>
        </w:rPr>
        <w:t>（8）房租物业水电费补贴：按符合条件人员入驻项目给予最长不超过3年的房租物业水电费补贴。</w:t>
      </w:r>
    </w:p>
    <w:p>
      <w:pPr>
        <w:pStyle w:val="43"/>
        <w:spacing w:line="580" w:lineRule="exact"/>
        <w:ind w:firstLine="643"/>
        <w:rPr>
          <w:rFonts w:ascii="仿宋_GB2312" w:hAnsi="仿宋_GB2312"/>
          <w:b/>
          <w:bCs/>
          <w:szCs w:val="32"/>
        </w:rPr>
      </w:pPr>
      <w:r>
        <w:rPr>
          <w:rFonts w:hint="eastAsia" w:ascii="仿宋_GB2312" w:hAnsi="仿宋_GB2312"/>
          <w:b/>
          <w:bCs/>
          <w:szCs w:val="32"/>
        </w:rPr>
        <w:t>4.补贴资金申请及发放流程</w:t>
      </w:r>
    </w:p>
    <w:p>
      <w:pPr>
        <w:pStyle w:val="43"/>
        <w:spacing w:line="580" w:lineRule="exact"/>
        <w:ind w:firstLine="640"/>
        <w:rPr>
          <w:rFonts w:ascii="仿宋_GB2312" w:hAnsi="仿宋_GB2312"/>
          <w:szCs w:val="32"/>
        </w:rPr>
      </w:pPr>
      <w:r>
        <w:rPr>
          <w:rFonts w:hint="eastAsia" w:ascii="仿宋_GB2312" w:hAnsi="仿宋_GB2312"/>
          <w:szCs w:val="32"/>
        </w:rPr>
        <w:t>（1）职业培训补贴：职业培训补贴可实行先垫后补的办法，符合条件人员或培训机构应在培训结束后1</w:t>
      </w:r>
      <w:r>
        <w:rPr>
          <w:rFonts w:ascii="仿宋_GB2312" w:hAnsi="仿宋_GB2312"/>
          <w:szCs w:val="32"/>
        </w:rPr>
        <w:t>2</w:t>
      </w:r>
      <w:r>
        <w:rPr>
          <w:rFonts w:hint="eastAsia" w:ascii="仿宋_GB2312" w:hAnsi="仿宋_GB2312"/>
          <w:szCs w:val="32"/>
        </w:rPr>
        <w:t>个月内向人社部门申请补贴资金。</w:t>
      </w:r>
    </w:p>
    <w:p>
      <w:pPr>
        <w:pStyle w:val="43"/>
        <w:spacing w:line="580" w:lineRule="exact"/>
        <w:ind w:firstLine="640"/>
        <w:rPr>
          <w:rFonts w:ascii="仿宋_GB2312" w:hAnsi="仿宋_GB2312"/>
          <w:szCs w:val="32"/>
        </w:rPr>
      </w:pPr>
      <w:r>
        <w:rPr>
          <w:rFonts w:hint="eastAsia" w:ascii="仿宋_GB2312" w:hAnsi="仿宋_GB2312"/>
          <w:szCs w:val="32"/>
        </w:rPr>
        <w:t>（2）职业技能鉴定补贴：六类人员申请职业技能鉴定补贴应向人社部门提供申请资料。个人申领职业技能鉴定补贴确有困难的，可由职业技能鉴定机构根据初次通过职业技能鉴定人数向所在地人力资源社会保障部门申请职业技能鉴定补贴，但职业技能鉴定机构必须与申请人签订免费技能鉴定协议书。上述申请材料经人社部门审核公示、无异议后，按规定将补贴资金支付到申请人社保卡关联账户或职业技能鉴定机构在银行开立的基本账户。</w:t>
      </w:r>
    </w:p>
    <w:p>
      <w:pPr>
        <w:pStyle w:val="43"/>
        <w:spacing w:line="580" w:lineRule="exact"/>
        <w:ind w:firstLine="640"/>
        <w:rPr>
          <w:rFonts w:ascii="仿宋_GB2312" w:hAnsi="仿宋_GB2312"/>
          <w:szCs w:val="32"/>
        </w:rPr>
      </w:pPr>
      <w:r>
        <w:rPr>
          <w:rFonts w:hint="eastAsia" w:ascii="仿宋_GB2312" w:hAnsi="仿宋_GB2312"/>
          <w:szCs w:val="32"/>
        </w:rPr>
        <w:t>（3）社会保险补贴：社保补贴实行先缴后补，申请资料经人社部门审核公示、无异议后，按规定将补贴资金支付到相关单位基本户或个人社保卡关联银行账户。</w:t>
      </w:r>
    </w:p>
    <w:p>
      <w:pPr>
        <w:pStyle w:val="43"/>
        <w:spacing w:line="580" w:lineRule="exact"/>
        <w:ind w:firstLine="640"/>
        <w:rPr>
          <w:rFonts w:ascii="仿宋_GB2312" w:hAnsi="仿宋_GB2312"/>
          <w:szCs w:val="32"/>
        </w:rPr>
      </w:pPr>
      <w:r>
        <w:rPr>
          <w:rFonts w:hint="eastAsia" w:ascii="仿宋_GB2312" w:hAnsi="仿宋_GB2312"/>
          <w:szCs w:val="32"/>
        </w:rPr>
        <w:t>（4）岗位补贴：公益性岗位安置和招用就业困难人员的单位申请资料经人社部门审核公示、无异议后，按规定将补贴资金支付到单位在银行开立的基本账户或公益性岗位安置人员本人银行账户。</w:t>
      </w:r>
    </w:p>
    <w:p>
      <w:pPr>
        <w:pStyle w:val="43"/>
        <w:spacing w:line="580" w:lineRule="exact"/>
        <w:ind w:firstLine="640"/>
        <w:rPr>
          <w:rFonts w:ascii="仿宋_GB2312" w:hAnsi="仿宋_GB2312"/>
          <w:szCs w:val="32"/>
        </w:rPr>
      </w:pPr>
      <w:r>
        <w:rPr>
          <w:rFonts w:hint="eastAsia" w:ascii="仿宋_GB2312" w:hAnsi="仿宋_GB2312"/>
          <w:szCs w:val="32"/>
        </w:rPr>
        <w:t>（5）就业见习补贴：吸纳毕业生参加就业见习的单位应按季向当地人社部门申请就业见习补贴，申请资料经人社部门审核公示、无异议后，按规定将补贴资金支付单位在银行开立的基本账户。</w:t>
      </w:r>
    </w:p>
    <w:p>
      <w:pPr>
        <w:pStyle w:val="43"/>
        <w:spacing w:line="580" w:lineRule="exact"/>
        <w:ind w:firstLine="640"/>
        <w:rPr>
          <w:rFonts w:ascii="仿宋_GB2312" w:hAnsi="仿宋_GB2312"/>
          <w:szCs w:val="32"/>
        </w:rPr>
      </w:pPr>
      <w:r>
        <w:rPr>
          <w:rFonts w:hint="eastAsia" w:ascii="仿宋_GB2312" w:hAnsi="仿宋_GB2312"/>
          <w:szCs w:val="32"/>
        </w:rPr>
        <w:t>（6）求职补贴：各普通高等院校应于每年4月底前向所在地人社部门代为申请求职补贴，申请资料经毕业生所在院校初审并公示后，报人社部门审核，并按规定将补贴资金支付到毕业生本人社保卡管理银行账户或高校在银行开立的基本账户。</w:t>
      </w:r>
    </w:p>
    <w:p>
      <w:pPr>
        <w:pStyle w:val="43"/>
        <w:spacing w:line="580" w:lineRule="exact"/>
        <w:ind w:firstLine="640"/>
        <w:rPr>
          <w:rFonts w:ascii="仿宋_GB2312" w:hAnsi="仿宋_GB2312"/>
          <w:szCs w:val="32"/>
        </w:rPr>
      </w:pPr>
      <w:r>
        <w:rPr>
          <w:rFonts w:hint="eastAsia" w:ascii="仿宋_GB2312" w:hAnsi="仿宋_GB2312"/>
          <w:szCs w:val="32"/>
        </w:rPr>
        <w:t>（7）创业补贴：符合条件人员应于取得营业执照并稳定经营6个月后、1</w:t>
      </w:r>
      <w:r>
        <w:rPr>
          <w:rFonts w:ascii="仿宋_GB2312" w:hAnsi="仿宋_GB2312"/>
          <w:szCs w:val="32"/>
        </w:rPr>
        <w:t>2</w:t>
      </w:r>
      <w:r>
        <w:rPr>
          <w:rFonts w:hint="eastAsia" w:ascii="仿宋_GB2312" w:hAnsi="仿宋_GB2312"/>
          <w:szCs w:val="32"/>
        </w:rPr>
        <w:t>个月后向创业所在地人社部门申请创业补贴，申请资料经人社部门审核公示、无异议后，按规定将补贴资金支付给申请者本人社保卡关联银行账户。</w:t>
      </w:r>
    </w:p>
    <w:p>
      <w:pPr>
        <w:pStyle w:val="43"/>
        <w:spacing w:line="580" w:lineRule="exact"/>
        <w:ind w:firstLine="640"/>
        <w:rPr>
          <w:rFonts w:ascii="仿宋_GB2312" w:hAnsi="仿宋_GB2312"/>
          <w:b/>
          <w:bCs/>
          <w:szCs w:val="32"/>
        </w:rPr>
      </w:pPr>
      <w:r>
        <w:rPr>
          <w:rFonts w:hint="eastAsia" w:ascii="仿宋_GB2312" w:hAnsi="仿宋_GB2312"/>
          <w:szCs w:val="32"/>
        </w:rPr>
        <w:t>（8）房租物业水电费补贴：孵化基地按符合条件人员入驻项目每半年向当地人社部门申请房租物业水电补贴，申请资料经人社部门审核公示、无异议后，按规定将补贴资金支付至创业孵化基地在银行开立的基本账户。</w:t>
      </w:r>
    </w:p>
    <w:p>
      <w:pPr>
        <w:pStyle w:val="43"/>
        <w:spacing w:line="580" w:lineRule="exact"/>
        <w:ind w:firstLine="643"/>
        <w:rPr>
          <w:rFonts w:ascii="仿宋_GB2312" w:hAnsi="仿宋_GB2312"/>
          <w:b/>
          <w:bCs/>
          <w:szCs w:val="32"/>
        </w:rPr>
      </w:pPr>
      <w:r>
        <w:rPr>
          <w:rFonts w:hint="eastAsia" w:ascii="仿宋_GB2312" w:hAnsi="仿宋_GB2312"/>
          <w:b/>
          <w:bCs/>
          <w:szCs w:val="32"/>
        </w:rPr>
        <w:t>5.项目实施情况</w:t>
      </w:r>
    </w:p>
    <w:p>
      <w:pPr>
        <w:spacing w:line="580" w:lineRule="exact"/>
        <w:ind w:firstLine="640" w:firstLineChars="200"/>
        <w:rPr>
          <w:rFonts w:ascii="仿宋_GB2312" w:hAnsi="仿宋_GB2312"/>
          <w:szCs w:val="32"/>
        </w:rPr>
      </w:pPr>
      <w:r>
        <w:rPr>
          <w:rFonts w:hint="eastAsia" w:ascii="仿宋_GB2312" w:hAnsi="仿宋_GB2312"/>
          <w:szCs w:val="32"/>
        </w:rPr>
        <w:t>20</w:t>
      </w:r>
      <w:r>
        <w:rPr>
          <w:rFonts w:ascii="仿宋_GB2312" w:hAnsi="仿宋_GB2312"/>
          <w:szCs w:val="32"/>
        </w:rPr>
        <w:t>20</w:t>
      </w:r>
      <w:r>
        <w:rPr>
          <w:rFonts w:hint="eastAsia" w:ascii="仿宋_GB2312" w:hAnsi="仿宋_GB2312"/>
          <w:szCs w:val="32"/>
        </w:rPr>
        <w:t>年度享受就业补助资金补贴人数共计</w:t>
      </w:r>
      <w:r>
        <w:rPr>
          <w:rFonts w:ascii="仿宋_GB2312" w:hAnsi="仿宋_GB2312"/>
          <w:szCs w:val="32"/>
        </w:rPr>
        <w:t>1076</w:t>
      </w:r>
      <w:r>
        <w:rPr>
          <w:rFonts w:hint="eastAsia" w:ascii="仿宋_GB2312" w:hAnsi="仿宋_GB2312"/>
          <w:szCs w:val="32"/>
        </w:rPr>
        <w:t>人次，具体明细如下表：</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30" w:type="dxa"/>
          <w:left w:w="108" w:type="dxa"/>
          <w:bottom w:w="30" w:type="dxa"/>
          <w:right w:w="108" w:type="dxa"/>
        </w:tblCellMar>
      </w:tblPr>
      <w:tblGrid>
        <w:gridCol w:w="771"/>
        <w:gridCol w:w="2587"/>
        <w:gridCol w:w="3757"/>
        <w:gridCol w:w="1217"/>
        <w:gridCol w:w="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blHeader/>
        </w:trPr>
        <w:tc>
          <w:tcPr>
            <w:tcW w:w="415" w:type="pct"/>
            <w:tcBorders>
              <w:top w:val="single" w:color="auto" w:sz="12" w:space="0"/>
              <w:bottom w:val="single" w:color="auto" w:sz="4" w:space="0"/>
            </w:tcBorders>
            <w:shd w:val="clear" w:color="auto" w:fill="auto"/>
            <w:noWrap/>
            <w:vAlign w:val="center"/>
          </w:tcPr>
          <w:p>
            <w:pPr>
              <w:widowControl/>
              <w:adjustRightInd w:val="0"/>
              <w:snapToGrid w:val="0"/>
              <w:jc w:val="center"/>
              <w:rPr>
                <w:rFonts w:ascii="黑体" w:hAnsi="黑体" w:eastAsia="黑体" w:cs="黑体"/>
                <w:b/>
                <w:snapToGrid w:val="0"/>
                <w:kern w:val="0"/>
                <w:sz w:val="21"/>
                <w:szCs w:val="21"/>
              </w:rPr>
            </w:pPr>
            <w:r>
              <w:rPr>
                <w:rFonts w:hint="eastAsia" w:ascii="黑体" w:hAnsi="黑体" w:eastAsia="黑体" w:cs="黑体"/>
                <w:b/>
                <w:snapToGrid w:val="0"/>
                <w:kern w:val="0"/>
                <w:sz w:val="21"/>
                <w:szCs w:val="21"/>
              </w:rPr>
              <w:t>序号</w:t>
            </w:r>
          </w:p>
        </w:tc>
        <w:tc>
          <w:tcPr>
            <w:tcW w:w="1391"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补贴类别</w:t>
            </w:r>
          </w:p>
        </w:tc>
        <w:tc>
          <w:tcPr>
            <w:tcW w:w="2022"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明细类别</w:t>
            </w:r>
          </w:p>
        </w:tc>
        <w:tc>
          <w:tcPr>
            <w:tcW w:w="655"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人次</w:t>
            </w:r>
          </w:p>
        </w:tc>
        <w:tc>
          <w:tcPr>
            <w:tcW w:w="514"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占比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vMerge w:val="restart"/>
            <w:tcBorders>
              <w:top w:val="single" w:color="auto" w:sz="4" w:space="0"/>
            </w:tcBorders>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w:t>
            </w:r>
          </w:p>
        </w:tc>
        <w:tc>
          <w:tcPr>
            <w:tcW w:w="1391" w:type="pct"/>
            <w:vMerge w:val="restart"/>
            <w:tcBorders>
              <w:top w:val="single" w:color="auto" w:sz="4" w:space="0"/>
            </w:tcBorders>
            <w:shd w:val="clear" w:color="auto" w:fill="auto"/>
            <w:noWrap/>
            <w:vAlign w:val="center"/>
          </w:tcPr>
          <w:p>
            <w:pPr>
              <w:widowControl/>
              <w:adjustRightInd w:val="0"/>
              <w:snapToGrid w:val="0"/>
              <w:jc w:val="left"/>
              <w:rPr>
                <w:rFonts w:eastAsia="宋体"/>
                <w:snapToGrid w:val="0"/>
                <w:kern w:val="0"/>
                <w:sz w:val="21"/>
                <w:szCs w:val="21"/>
              </w:rPr>
            </w:pPr>
            <w:bookmarkStart w:id="24" w:name="_Hlk72144307"/>
            <w:r>
              <w:rPr>
                <w:rFonts w:hint="eastAsia" w:eastAsia="宋体"/>
                <w:snapToGrid w:val="0"/>
                <w:kern w:val="0"/>
                <w:sz w:val="21"/>
                <w:szCs w:val="21"/>
              </w:rPr>
              <w:t>职业培训补贴</w:t>
            </w:r>
            <w:bookmarkEnd w:id="24"/>
          </w:p>
        </w:tc>
        <w:tc>
          <w:tcPr>
            <w:tcW w:w="2022" w:type="pct"/>
            <w:tcBorders>
              <w:top w:val="single" w:color="auto" w:sz="4" w:space="0"/>
            </w:tcBorders>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创业培训</w:t>
            </w:r>
          </w:p>
        </w:tc>
        <w:tc>
          <w:tcPr>
            <w:tcW w:w="655" w:type="pct"/>
            <w:tcBorders>
              <w:top w:val="single" w:color="auto" w:sz="4" w:space="0"/>
            </w:tcBorders>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70</w:t>
            </w:r>
          </w:p>
        </w:tc>
        <w:tc>
          <w:tcPr>
            <w:tcW w:w="514" w:type="pct"/>
            <w:tcBorders>
              <w:top w:val="single" w:color="auto" w:sz="4" w:space="0"/>
            </w:tcBorders>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vMerge w:val="continue"/>
            <w:shd w:val="clear" w:color="auto" w:fill="auto"/>
            <w:vAlign w:val="center"/>
          </w:tcPr>
          <w:p>
            <w:pPr>
              <w:widowControl/>
              <w:adjustRightInd w:val="0"/>
              <w:snapToGrid w:val="0"/>
              <w:jc w:val="left"/>
              <w:rPr>
                <w:rFonts w:eastAsia="宋体"/>
                <w:snapToGrid w:val="0"/>
                <w:kern w:val="0"/>
                <w:sz w:val="21"/>
                <w:szCs w:val="21"/>
              </w:rPr>
            </w:pPr>
          </w:p>
        </w:tc>
        <w:tc>
          <w:tcPr>
            <w:tcW w:w="1391" w:type="pct"/>
            <w:vMerge w:val="continue"/>
            <w:shd w:val="clear" w:color="auto" w:fill="auto"/>
            <w:vAlign w:val="center"/>
          </w:tcPr>
          <w:p>
            <w:pPr>
              <w:widowControl/>
              <w:adjustRightInd w:val="0"/>
              <w:snapToGrid w:val="0"/>
              <w:jc w:val="left"/>
              <w:rPr>
                <w:rFonts w:eastAsia="宋体"/>
                <w:snapToGrid w:val="0"/>
                <w:kern w:val="0"/>
                <w:sz w:val="21"/>
                <w:szCs w:val="21"/>
              </w:rPr>
            </w:pPr>
          </w:p>
        </w:tc>
        <w:tc>
          <w:tcPr>
            <w:tcW w:w="2022"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技能培训补贴</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115</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10.68%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2</w:t>
            </w:r>
          </w:p>
        </w:tc>
        <w:tc>
          <w:tcPr>
            <w:tcW w:w="1391"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职业技能鉴定补贴</w:t>
            </w:r>
          </w:p>
        </w:tc>
        <w:tc>
          <w:tcPr>
            <w:tcW w:w="2022"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技能鉴定补贴</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115</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10.68%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vMerge w:val="restar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3</w:t>
            </w:r>
          </w:p>
        </w:tc>
        <w:tc>
          <w:tcPr>
            <w:tcW w:w="1391" w:type="pct"/>
            <w:vMerge w:val="restar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社会保险补贴</w:t>
            </w:r>
          </w:p>
        </w:tc>
        <w:tc>
          <w:tcPr>
            <w:tcW w:w="2022"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中小微企业</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4</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vMerge w:val="continue"/>
            <w:shd w:val="clear" w:color="auto" w:fill="auto"/>
            <w:vAlign w:val="center"/>
          </w:tcPr>
          <w:p>
            <w:pPr>
              <w:widowControl/>
              <w:adjustRightInd w:val="0"/>
              <w:snapToGrid w:val="0"/>
              <w:jc w:val="left"/>
              <w:rPr>
                <w:rFonts w:eastAsia="宋体"/>
                <w:snapToGrid w:val="0"/>
                <w:kern w:val="0"/>
                <w:sz w:val="21"/>
                <w:szCs w:val="21"/>
              </w:rPr>
            </w:pPr>
          </w:p>
        </w:tc>
        <w:tc>
          <w:tcPr>
            <w:tcW w:w="1391" w:type="pct"/>
            <w:vMerge w:val="continue"/>
            <w:shd w:val="clear" w:color="auto" w:fill="auto"/>
            <w:vAlign w:val="center"/>
          </w:tcPr>
          <w:p>
            <w:pPr>
              <w:widowControl/>
              <w:adjustRightInd w:val="0"/>
              <w:snapToGrid w:val="0"/>
              <w:jc w:val="left"/>
              <w:rPr>
                <w:rFonts w:eastAsia="宋体"/>
                <w:snapToGrid w:val="0"/>
                <w:kern w:val="0"/>
                <w:sz w:val="21"/>
                <w:szCs w:val="21"/>
              </w:rPr>
            </w:pPr>
          </w:p>
        </w:tc>
        <w:tc>
          <w:tcPr>
            <w:tcW w:w="2022"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就业困难大学生</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120</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vMerge w:val="continue"/>
            <w:shd w:val="clear" w:color="auto" w:fill="auto"/>
            <w:vAlign w:val="center"/>
          </w:tcPr>
          <w:p>
            <w:pPr>
              <w:widowControl/>
              <w:adjustRightInd w:val="0"/>
              <w:snapToGrid w:val="0"/>
              <w:jc w:val="left"/>
              <w:rPr>
                <w:rFonts w:eastAsia="宋体"/>
                <w:snapToGrid w:val="0"/>
                <w:kern w:val="0"/>
                <w:sz w:val="21"/>
                <w:szCs w:val="21"/>
              </w:rPr>
            </w:pPr>
          </w:p>
        </w:tc>
        <w:tc>
          <w:tcPr>
            <w:tcW w:w="1391" w:type="pct"/>
            <w:vMerge w:val="continue"/>
            <w:shd w:val="clear" w:color="auto" w:fill="auto"/>
            <w:vAlign w:val="center"/>
          </w:tcPr>
          <w:p>
            <w:pPr>
              <w:widowControl/>
              <w:adjustRightInd w:val="0"/>
              <w:snapToGrid w:val="0"/>
              <w:jc w:val="left"/>
              <w:rPr>
                <w:rFonts w:eastAsia="宋体"/>
                <w:snapToGrid w:val="0"/>
                <w:kern w:val="0"/>
                <w:sz w:val="21"/>
                <w:szCs w:val="21"/>
              </w:rPr>
            </w:pPr>
          </w:p>
        </w:tc>
        <w:tc>
          <w:tcPr>
            <w:tcW w:w="2022"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灵活就业社保补贴</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50</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4.64%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4</w:t>
            </w:r>
          </w:p>
        </w:tc>
        <w:tc>
          <w:tcPr>
            <w:tcW w:w="1391"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岗位补贴</w:t>
            </w:r>
          </w:p>
        </w:tc>
        <w:tc>
          <w:tcPr>
            <w:tcW w:w="2022" w:type="pct"/>
            <w:shd w:val="clear" w:color="auto" w:fill="auto"/>
            <w:noWrap/>
            <w:vAlign w:val="center"/>
          </w:tcPr>
          <w:p>
            <w:pPr>
              <w:widowControl/>
              <w:adjustRightInd w:val="0"/>
              <w:snapToGrid w:val="0"/>
              <w:jc w:val="left"/>
              <w:rPr>
                <w:rFonts w:hint="eastAsia" w:eastAsia="宋体"/>
                <w:snapToGrid w:val="0"/>
                <w:kern w:val="0"/>
                <w:sz w:val="21"/>
                <w:szCs w:val="21"/>
                <w:lang w:eastAsia="zh-CN"/>
              </w:rPr>
            </w:pPr>
            <w:r>
              <w:rPr>
                <w:rFonts w:hint="eastAsia" w:eastAsia="宋体"/>
                <w:snapToGrid w:val="0"/>
                <w:kern w:val="0"/>
                <w:sz w:val="21"/>
                <w:szCs w:val="21"/>
              </w:rPr>
              <w:t>高校毕业生就业困难临时</w:t>
            </w:r>
            <w:r>
              <w:rPr>
                <w:rFonts w:hint="eastAsia" w:eastAsia="宋体"/>
                <w:snapToGrid w:val="0"/>
                <w:kern w:val="0"/>
                <w:sz w:val="21"/>
                <w:szCs w:val="21"/>
                <w:lang w:eastAsia="zh-CN"/>
              </w:rPr>
              <w:t>公益性岗位</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11</w:t>
            </w:r>
            <w:r>
              <w:rPr>
                <w:rFonts w:eastAsia="宋体"/>
                <w:snapToGrid w:val="0"/>
                <w:kern w:val="0"/>
                <w:sz w:val="21"/>
                <w:szCs w:val="21"/>
              </w:rPr>
              <w:t>8</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5</w:t>
            </w:r>
          </w:p>
        </w:tc>
        <w:tc>
          <w:tcPr>
            <w:tcW w:w="1391"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就业见习补贴</w:t>
            </w:r>
          </w:p>
        </w:tc>
        <w:tc>
          <w:tcPr>
            <w:tcW w:w="2022"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　</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280</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26.00%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6</w:t>
            </w:r>
          </w:p>
        </w:tc>
        <w:tc>
          <w:tcPr>
            <w:tcW w:w="1391"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求职补贴</w:t>
            </w:r>
          </w:p>
        </w:tc>
        <w:tc>
          <w:tcPr>
            <w:tcW w:w="2022"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　</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10</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0.93%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7</w:t>
            </w:r>
          </w:p>
        </w:tc>
        <w:tc>
          <w:tcPr>
            <w:tcW w:w="1391"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房租物业水电费补贴</w:t>
            </w:r>
          </w:p>
        </w:tc>
        <w:tc>
          <w:tcPr>
            <w:tcW w:w="2022"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　</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193</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17.92%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41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8</w:t>
            </w:r>
          </w:p>
        </w:tc>
        <w:tc>
          <w:tcPr>
            <w:tcW w:w="1391"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创业补贴</w:t>
            </w:r>
          </w:p>
        </w:tc>
        <w:tc>
          <w:tcPr>
            <w:tcW w:w="2022" w:type="pct"/>
            <w:shd w:val="clear" w:color="auto" w:fill="auto"/>
            <w:noWrap/>
            <w:vAlign w:val="center"/>
          </w:tcPr>
          <w:p>
            <w:pPr>
              <w:widowControl/>
              <w:adjustRightInd w:val="0"/>
              <w:snapToGrid w:val="0"/>
              <w:jc w:val="left"/>
              <w:rPr>
                <w:rFonts w:eastAsia="宋体"/>
                <w:snapToGrid w:val="0"/>
                <w:kern w:val="0"/>
                <w:sz w:val="21"/>
                <w:szCs w:val="21"/>
              </w:rPr>
            </w:pPr>
            <w:r>
              <w:rPr>
                <w:rFonts w:hint="eastAsia" w:eastAsia="宋体"/>
                <w:snapToGrid w:val="0"/>
                <w:kern w:val="0"/>
                <w:sz w:val="21"/>
                <w:szCs w:val="21"/>
              </w:rPr>
              <w:t>高校毕业生一次性创业补贴</w:t>
            </w:r>
          </w:p>
        </w:tc>
        <w:tc>
          <w:tcPr>
            <w:tcW w:w="655"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1</w:t>
            </w:r>
          </w:p>
        </w:tc>
        <w:tc>
          <w:tcPr>
            <w:tcW w:w="514" w:type="pct"/>
            <w:shd w:val="clear" w:color="auto" w:fill="auto"/>
            <w:noWrap/>
            <w:vAlign w:val="center"/>
          </w:tcPr>
          <w:p>
            <w:pPr>
              <w:widowControl/>
              <w:adjustRightInd w:val="0"/>
              <w:snapToGrid w:val="0"/>
              <w:jc w:val="center"/>
              <w:rPr>
                <w:rFonts w:eastAsia="宋体"/>
                <w:snapToGrid w:val="0"/>
                <w:kern w:val="0"/>
                <w:sz w:val="21"/>
                <w:szCs w:val="21"/>
              </w:rPr>
            </w:pPr>
            <w:r>
              <w:rPr>
                <w:rFonts w:hint="eastAsia" w:eastAsia="宋体"/>
                <w:snapToGrid w:val="0"/>
                <w:kern w:val="0"/>
                <w:sz w:val="21"/>
                <w:szCs w:val="21"/>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807" w:type="pct"/>
            <w:gridSpan w:val="2"/>
            <w:shd w:val="clear" w:color="auto" w:fill="auto"/>
            <w:noWrap/>
            <w:vAlign w:val="center"/>
          </w:tcPr>
          <w:p>
            <w:pPr>
              <w:widowControl/>
              <w:adjustRightInd w:val="0"/>
              <w:snapToGrid w:val="0"/>
              <w:jc w:val="center"/>
              <w:rPr>
                <w:rFonts w:eastAsia="宋体"/>
                <w:b/>
                <w:snapToGrid w:val="0"/>
                <w:kern w:val="0"/>
                <w:sz w:val="21"/>
                <w:szCs w:val="21"/>
              </w:rPr>
            </w:pPr>
            <w:r>
              <w:rPr>
                <w:rFonts w:hint="eastAsia" w:eastAsia="宋体"/>
                <w:b/>
                <w:snapToGrid w:val="0"/>
                <w:kern w:val="0"/>
                <w:sz w:val="21"/>
                <w:szCs w:val="21"/>
              </w:rPr>
              <w:t>合计</w:t>
            </w:r>
          </w:p>
        </w:tc>
        <w:tc>
          <w:tcPr>
            <w:tcW w:w="2022" w:type="pct"/>
            <w:shd w:val="clear" w:color="auto" w:fill="auto"/>
            <w:noWrap/>
            <w:vAlign w:val="center"/>
          </w:tcPr>
          <w:p>
            <w:pPr>
              <w:widowControl/>
              <w:adjustRightInd w:val="0"/>
              <w:snapToGrid w:val="0"/>
              <w:jc w:val="center"/>
              <w:rPr>
                <w:rFonts w:eastAsia="宋体"/>
                <w:b/>
                <w:snapToGrid w:val="0"/>
                <w:kern w:val="0"/>
                <w:sz w:val="21"/>
                <w:szCs w:val="21"/>
              </w:rPr>
            </w:pPr>
            <w:r>
              <w:rPr>
                <w:rFonts w:hint="eastAsia" w:eastAsia="宋体"/>
                <w:b/>
                <w:snapToGrid w:val="0"/>
                <w:kern w:val="0"/>
                <w:sz w:val="21"/>
                <w:szCs w:val="21"/>
              </w:rPr>
              <w:t>　</w:t>
            </w:r>
          </w:p>
        </w:tc>
        <w:tc>
          <w:tcPr>
            <w:tcW w:w="655" w:type="pct"/>
            <w:shd w:val="clear" w:color="auto" w:fill="auto"/>
            <w:noWrap/>
            <w:vAlign w:val="center"/>
          </w:tcPr>
          <w:p>
            <w:pPr>
              <w:widowControl/>
              <w:adjustRightInd w:val="0"/>
              <w:snapToGrid w:val="0"/>
              <w:jc w:val="center"/>
              <w:rPr>
                <w:rFonts w:eastAsia="宋体"/>
                <w:b/>
                <w:snapToGrid w:val="0"/>
                <w:kern w:val="0"/>
                <w:sz w:val="21"/>
                <w:szCs w:val="21"/>
              </w:rPr>
            </w:pPr>
            <w:r>
              <w:rPr>
                <w:rFonts w:hint="eastAsia" w:eastAsia="宋体"/>
                <w:b/>
                <w:snapToGrid w:val="0"/>
                <w:kern w:val="0"/>
                <w:sz w:val="21"/>
                <w:szCs w:val="21"/>
              </w:rPr>
              <w:t>107</w:t>
            </w:r>
            <w:r>
              <w:rPr>
                <w:rFonts w:eastAsia="宋体"/>
                <w:b/>
                <w:snapToGrid w:val="0"/>
                <w:kern w:val="0"/>
                <w:sz w:val="21"/>
                <w:szCs w:val="21"/>
              </w:rPr>
              <w:t>6</w:t>
            </w:r>
          </w:p>
        </w:tc>
        <w:tc>
          <w:tcPr>
            <w:tcW w:w="514" w:type="pct"/>
            <w:shd w:val="clear" w:color="auto" w:fill="auto"/>
            <w:noWrap/>
            <w:vAlign w:val="center"/>
          </w:tcPr>
          <w:p>
            <w:pPr>
              <w:widowControl/>
              <w:adjustRightInd w:val="0"/>
              <w:snapToGrid w:val="0"/>
              <w:jc w:val="center"/>
              <w:rPr>
                <w:rFonts w:eastAsia="宋体"/>
                <w:b/>
                <w:snapToGrid w:val="0"/>
                <w:kern w:val="0"/>
                <w:sz w:val="21"/>
                <w:szCs w:val="21"/>
              </w:rPr>
            </w:pPr>
            <w:r>
              <w:rPr>
                <w:rFonts w:hint="eastAsia" w:eastAsia="宋体"/>
                <w:b/>
                <w:snapToGrid w:val="0"/>
                <w:kern w:val="0"/>
                <w:sz w:val="21"/>
                <w:szCs w:val="21"/>
              </w:rPr>
              <w:t>100%</w:t>
            </w:r>
          </w:p>
        </w:tc>
      </w:tr>
    </w:tbl>
    <w:p>
      <w:pPr>
        <w:spacing w:line="580" w:lineRule="exact"/>
        <w:ind w:firstLine="640" w:firstLineChars="200"/>
        <w:rPr>
          <w:rFonts w:ascii="仿宋_GB2312" w:hAnsi="仿宋_GB2312"/>
          <w:szCs w:val="32"/>
        </w:rPr>
      </w:pPr>
      <w:r>
        <w:rPr>
          <w:rFonts w:hint="eastAsia" w:ascii="仿宋_GB2312" w:hAnsi="仿宋_GB2312"/>
          <w:szCs w:val="32"/>
        </w:rPr>
        <w:t>各类补贴人数如下图：</w:t>
      </w:r>
    </w:p>
    <w:p>
      <w:pPr>
        <w:spacing w:line="580" w:lineRule="exact"/>
        <w:ind w:firstLine="560" w:firstLineChars="200"/>
        <w:jc w:val="right"/>
        <w:rPr>
          <w:rFonts w:ascii="仿宋_GB2312" w:hAnsi="仿宋_GB2312"/>
          <w:sz w:val="28"/>
          <w:szCs w:val="28"/>
        </w:rPr>
      </w:pPr>
      <w:r>
        <w:rPr>
          <w:rFonts w:hint="eastAsia" w:ascii="仿宋_GB2312" w:hAnsi="仿宋_GB2312"/>
          <w:sz w:val="28"/>
          <w:szCs w:val="28"/>
        </w:rPr>
        <w:t>单位：人次</w:t>
      </w:r>
    </w:p>
    <w:p>
      <w:pPr>
        <w:spacing w:line="240" w:lineRule="atLeast"/>
        <w:rPr>
          <w:rFonts w:ascii="仿宋_GB2312" w:hAnsi="仿宋_GB2312"/>
          <w:szCs w:val="32"/>
        </w:rPr>
      </w:pPr>
      <w:r>
        <w:drawing>
          <wp:inline distT="0" distB="0" distL="0" distR="0">
            <wp:extent cx="5821045" cy="2757805"/>
            <wp:effectExtent l="4445" t="4445" r="1651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80" w:lineRule="exact"/>
        <w:ind w:firstLine="480" w:firstLineChars="150"/>
        <w:rPr>
          <w:rFonts w:ascii="仿宋_GB2312" w:hAnsi="仿宋_GB2312"/>
          <w:szCs w:val="32"/>
        </w:rPr>
      </w:pPr>
      <w:bookmarkStart w:id="25" w:name="_Hlk72144553"/>
      <w:r>
        <w:rPr>
          <w:rFonts w:hint="eastAsia" w:ascii="仿宋_GB2312" w:hAnsi="仿宋_GB2312"/>
          <w:szCs w:val="32"/>
        </w:rPr>
        <w:t>其中享受补贴人数占比最高的三类补贴资金占总人数比率达6</w:t>
      </w:r>
      <w:r>
        <w:rPr>
          <w:rFonts w:ascii="仿宋_GB2312" w:hAnsi="仿宋_GB2312"/>
          <w:szCs w:val="32"/>
        </w:rPr>
        <w:t>1</w:t>
      </w:r>
      <w:r>
        <w:rPr>
          <w:rFonts w:hint="eastAsia" w:ascii="仿宋_GB2312" w:hAnsi="仿宋_GB2312"/>
          <w:szCs w:val="32"/>
        </w:rPr>
        <w:t>.10</w:t>
      </w:r>
      <w:r>
        <w:rPr>
          <w:rFonts w:ascii="仿宋_GB2312" w:hAnsi="仿宋_GB2312"/>
          <w:szCs w:val="32"/>
        </w:rPr>
        <w:t>%</w:t>
      </w:r>
      <w:r>
        <w:rPr>
          <w:rFonts w:hint="eastAsia" w:ascii="仿宋_GB2312" w:hAnsi="仿宋_GB2312"/>
          <w:szCs w:val="32"/>
        </w:rPr>
        <w:t>，分别为：就业实习资金2</w:t>
      </w:r>
      <w:r>
        <w:rPr>
          <w:rFonts w:ascii="仿宋_GB2312" w:hAnsi="仿宋_GB2312"/>
          <w:szCs w:val="32"/>
        </w:rPr>
        <w:t>6</w:t>
      </w:r>
      <w:r>
        <w:rPr>
          <w:rFonts w:hint="eastAsia" w:ascii="仿宋_GB2312" w:hAnsi="仿宋_GB2312"/>
          <w:szCs w:val="32"/>
        </w:rPr>
        <w:t>.00</w:t>
      </w:r>
      <w:r>
        <w:rPr>
          <w:rFonts w:ascii="仿宋_GB2312" w:hAnsi="仿宋_GB2312"/>
          <w:szCs w:val="32"/>
        </w:rPr>
        <w:t>%</w:t>
      </w:r>
      <w:r>
        <w:rPr>
          <w:rFonts w:hint="eastAsia" w:ascii="仿宋_GB2312" w:hAnsi="仿宋_GB2312"/>
          <w:szCs w:val="32"/>
        </w:rPr>
        <w:t>、房租物业水电费补贴17.92</w:t>
      </w:r>
      <w:r>
        <w:rPr>
          <w:rFonts w:ascii="仿宋_GB2312" w:hAnsi="仿宋_GB2312"/>
          <w:szCs w:val="32"/>
        </w:rPr>
        <w:t>%</w:t>
      </w:r>
      <w:r>
        <w:rPr>
          <w:rFonts w:hint="eastAsia" w:ascii="仿宋_GB2312" w:hAnsi="仿宋_GB2312"/>
          <w:szCs w:val="32"/>
        </w:rPr>
        <w:t>、职业培训补贴1</w:t>
      </w:r>
      <w:r>
        <w:rPr>
          <w:rFonts w:ascii="仿宋_GB2312" w:hAnsi="仿宋_GB2312"/>
          <w:szCs w:val="32"/>
        </w:rPr>
        <w:t>7</w:t>
      </w:r>
      <w:r>
        <w:rPr>
          <w:rFonts w:hint="eastAsia" w:ascii="仿宋_GB2312" w:hAnsi="仿宋_GB2312"/>
          <w:szCs w:val="32"/>
        </w:rPr>
        <w:t>.18</w:t>
      </w:r>
      <w:r>
        <w:rPr>
          <w:rFonts w:ascii="仿宋_GB2312" w:hAnsi="仿宋_GB2312"/>
          <w:szCs w:val="32"/>
        </w:rPr>
        <w:t>%</w:t>
      </w:r>
      <w:r>
        <w:rPr>
          <w:rFonts w:hint="eastAsia" w:ascii="仿宋_GB2312" w:hAnsi="仿宋_GB2312"/>
          <w:szCs w:val="32"/>
        </w:rPr>
        <w:t>。</w:t>
      </w:r>
    </w:p>
    <w:bookmarkEnd w:id="25"/>
    <w:p>
      <w:pPr>
        <w:pStyle w:val="43"/>
        <w:spacing w:line="580" w:lineRule="exact"/>
        <w:ind w:firstLine="643"/>
        <w:rPr>
          <w:rFonts w:ascii="仿宋_GB2312" w:hAnsi="仿宋_GB2312"/>
          <w:b/>
          <w:bCs/>
          <w:szCs w:val="32"/>
        </w:rPr>
      </w:pPr>
      <w:r>
        <w:rPr>
          <w:rFonts w:hint="eastAsia" w:ascii="仿宋_GB2312" w:hAnsi="仿宋_GB2312"/>
          <w:b/>
          <w:bCs/>
          <w:szCs w:val="32"/>
        </w:rPr>
        <w:t>6.资金投入和使用情况</w:t>
      </w:r>
    </w:p>
    <w:p>
      <w:pPr>
        <w:spacing w:line="580" w:lineRule="exact"/>
        <w:ind w:firstLine="640" w:firstLineChars="200"/>
        <w:rPr>
          <w:rFonts w:ascii="仿宋_GB2312" w:hAnsi="仿宋_GB2312"/>
          <w:bCs/>
          <w:szCs w:val="32"/>
        </w:rPr>
      </w:pPr>
      <w:r>
        <w:rPr>
          <w:rFonts w:hint="eastAsia" w:ascii="仿宋_GB2312" w:hAnsi="仿宋_GB2312"/>
          <w:bCs/>
          <w:szCs w:val="32"/>
        </w:rPr>
        <w:t>20</w:t>
      </w:r>
      <w:r>
        <w:rPr>
          <w:rFonts w:ascii="仿宋_GB2312" w:hAnsi="仿宋_GB2312"/>
          <w:bCs/>
          <w:szCs w:val="32"/>
        </w:rPr>
        <w:t>20</w:t>
      </w:r>
      <w:r>
        <w:rPr>
          <w:rFonts w:hint="eastAsia" w:ascii="仿宋_GB2312" w:hAnsi="仿宋_GB2312"/>
          <w:bCs/>
          <w:szCs w:val="32"/>
        </w:rPr>
        <w:t>年度该项目安排预算资金</w:t>
      </w:r>
      <w:r>
        <w:rPr>
          <w:rFonts w:ascii="仿宋_GB2312" w:hAnsi="仿宋_GB2312"/>
          <w:bCs/>
          <w:szCs w:val="32"/>
        </w:rPr>
        <w:t>651</w:t>
      </w:r>
      <w:r>
        <w:rPr>
          <w:rFonts w:hint="eastAsia" w:ascii="仿宋_GB2312" w:hAnsi="仿宋_GB2312"/>
          <w:bCs/>
          <w:szCs w:val="32"/>
        </w:rPr>
        <w:t>万元（中央资金</w:t>
      </w:r>
      <w:r>
        <w:rPr>
          <w:rFonts w:ascii="仿宋_GB2312" w:hAnsi="仿宋_GB2312"/>
          <w:bCs/>
          <w:szCs w:val="32"/>
        </w:rPr>
        <w:t>551</w:t>
      </w:r>
      <w:r>
        <w:rPr>
          <w:rFonts w:hint="eastAsia" w:ascii="仿宋_GB2312" w:hAnsi="仿宋_GB2312"/>
          <w:bCs/>
          <w:szCs w:val="32"/>
        </w:rPr>
        <w:t>万元，省级资金</w:t>
      </w:r>
      <w:r>
        <w:rPr>
          <w:rFonts w:ascii="仿宋_GB2312" w:hAnsi="仿宋_GB2312"/>
          <w:bCs/>
          <w:szCs w:val="32"/>
        </w:rPr>
        <w:t>1</w:t>
      </w:r>
      <w:r>
        <w:rPr>
          <w:rFonts w:hint="eastAsia" w:ascii="仿宋_GB2312" w:hAnsi="仿宋_GB2312"/>
          <w:bCs/>
          <w:szCs w:val="32"/>
        </w:rPr>
        <w:t>00万元），调减上年省级结余资金2</w:t>
      </w:r>
      <w:r>
        <w:rPr>
          <w:rFonts w:ascii="仿宋_GB2312" w:hAnsi="仿宋_GB2312"/>
          <w:bCs/>
          <w:szCs w:val="32"/>
        </w:rPr>
        <w:t>.06</w:t>
      </w:r>
      <w:r>
        <w:rPr>
          <w:rFonts w:hint="eastAsia" w:ascii="仿宋_GB2312" w:hAnsi="仿宋_GB2312"/>
          <w:bCs/>
          <w:szCs w:val="32"/>
        </w:rPr>
        <w:t>万元，实际支出</w:t>
      </w:r>
      <w:r>
        <w:rPr>
          <w:rFonts w:ascii="仿宋_GB2312" w:hAnsi="仿宋_GB2312"/>
          <w:bCs/>
          <w:szCs w:val="32"/>
        </w:rPr>
        <w:t>896.88</w:t>
      </w:r>
      <w:r>
        <w:rPr>
          <w:rFonts w:hint="eastAsia" w:ascii="仿宋_GB2312" w:hAnsi="仿宋_GB2312"/>
          <w:bCs/>
          <w:szCs w:val="32"/>
        </w:rPr>
        <w:t>万元（2</w:t>
      </w:r>
      <w:r>
        <w:rPr>
          <w:rFonts w:ascii="仿宋_GB2312" w:hAnsi="仿宋_GB2312"/>
          <w:bCs/>
          <w:szCs w:val="32"/>
        </w:rPr>
        <w:t>020</w:t>
      </w:r>
      <w:r>
        <w:rPr>
          <w:rFonts w:hint="eastAsia" w:ascii="仿宋_GB2312" w:hAnsi="仿宋_GB2312"/>
          <w:bCs/>
          <w:szCs w:val="32"/>
        </w:rPr>
        <w:t>年度预算</w:t>
      </w:r>
      <w:r>
        <w:rPr>
          <w:rFonts w:ascii="仿宋_GB2312" w:hAnsi="仿宋_GB2312"/>
          <w:bCs/>
          <w:szCs w:val="32"/>
        </w:rPr>
        <w:t>651</w:t>
      </w:r>
      <w:r>
        <w:rPr>
          <w:rFonts w:hint="eastAsia" w:ascii="仿宋_GB2312" w:hAnsi="仿宋_GB2312"/>
          <w:bCs/>
          <w:szCs w:val="32"/>
        </w:rPr>
        <w:t>万元，往年结余2</w:t>
      </w:r>
      <w:r>
        <w:rPr>
          <w:rFonts w:ascii="仿宋_GB2312" w:hAnsi="仿宋_GB2312"/>
          <w:bCs/>
          <w:szCs w:val="32"/>
        </w:rPr>
        <w:t>45.88</w:t>
      </w:r>
      <w:r>
        <w:rPr>
          <w:rFonts w:hint="eastAsia" w:ascii="仿宋_GB2312" w:hAnsi="仿宋_GB2312"/>
          <w:bCs/>
          <w:szCs w:val="32"/>
        </w:rPr>
        <w:t>万元），年末结余</w:t>
      </w:r>
      <w:r>
        <w:rPr>
          <w:rFonts w:ascii="仿宋_GB2312" w:hAnsi="仿宋_GB2312"/>
          <w:bCs/>
          <w:szCs w:val="32"/>
        </w:rPr>
        <w:t>9.34</w:t>
      </w:r>
      <w:r>
        <w:rPr>
          <w:rFonts w:hint="eastAsia" w:ascii="仿宋_GB2312" w:hAnsi="仿宋_GB2312"/>
          <w:bCs/>
          <w:szCs w:val="32"/>
        </w:rPr>
        <w:t>万元，具体支出明细如下表（单位：万元）：</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30" w:type="dxa"/>
          <w:left w:w="108" w:type="dxa"/>
          <w:bottom w:w="30" w:type="dxa"/>
          <w:right w:w="108" w:type="dxa"/>
        </w:tblCellMar>
      </w:tblPr>
      <w:tblGrid>
        <w:gridCol w:w="747"/>
        <w:gridCol w:w="2467"/>
        <w:gridCol w:w="3942"/>
        <w:gridCol w:w="1241"/>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blHeader/>
          <w:jc w:val="center"/>
        </w:trPr>
        <w:tc>
          <w:tcPr>
            <w:tcW w:w="402" w:type="pct"/>
            <w:tcBorders>
              <w:top w:val="single" w:color="auto" w:sz="12" w:space="0"/>
              <w:bottom w:val="single" w:color="auto" w:sz="4" w:space="0"/>
            </w:tcBorders>
            <w:shd w:val="clear" w:color="auto" w:fill="auto"/>
            <w:noWrap/>
            <w:vAlign w:val="center"/>
          </w:tcPr>
          <w:p>
            <w:pPr>
              <w:widowControl/>
              <w:adjustRightInd w:val="0"/>
              <w:snapToGrid w:val="0"/>
              <w:jc w:val="center"/>
              <w:rPr>
                <w:rFonts w:ascii="黑体" w:hAnsi="黑体" w:eastAsia="黑体" w:cs="黑体"/>
                <w:b/>
                <w:snapToGrid w:val="0"/>
                <w:kern w:val="0"/>
                <w:sz w:val="21"/>
                <w:szCs w:val="22"/>
              </w:rPr>
            </w:pPr>
            <w:r>
              <w:rPr>
                <w:rFonts w:hint="eastAsia" w:ascii="黑体" w:hAnsi="黑体" w:eastAsia="黑体" w:cs="黑体"/>
                <w:b/>
                <w:snapToGrid w:val="0"/>
                <w:kern w:val="0"/>
                <w:sz w:val="21"/>
                <w:szCs w:val="22"/>
              </w:rPr>
              <w:t>序号</w:t>
            </w:r>
          </w:p>
        </w:tc>
        <w:tc>
          <w:tcPr>
            <w:tcW w:w="1328"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补贴类别</w:t>
            </w:r>
          </w:p>
        </w:tc>
        <w:tc>
          <w:tcPr>
            <w:tcW w:w="2122"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明细</w:t>
            </w:r>
          </w:p>
        </w:tc>
        <w:tc>
          <w:tcPr>
            <w:tcW w:w="668"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支出金额</w:t>
            </w:r>
          </w:p>
        </w:tc>
        <w:tc>
          <w:tcPr>
            <w:tcW w:w="479"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占比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vMerge w:val="restart"/>
            <w:tcBorders>
              <w:top w:val="single" w:color="auto" w:sz="4" w:space="0"/>
            </w:tcBorders>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1</w:t>
            </w:r>
          </w:p>
        </w:tc>
        <w:tc>
          <w:tcPr>
            <w:tcW w:w="1328" w:type="pct"/>
            <w:vMerge w:val="restart"/>
            <w:tcBorders>
              <w:top w:val="single" w:color="auto" w:sz="4" w:space="0"/>
            </w:tcBorders>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职业培训补贴</w:t>
            </w:r>
          </w:p>
        </w:tc>
        <w:tc>
          <w:tcPr>
            <w:tcW w:w="2122" w:type="pct"/>
            <w:tcBorders>
              <w:top w:val="single" w:color="auto" w:sz="4" w:space="0"/>
            </w:tcBorders>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创业培训</w:t>
            </w:r>
          </w:p>
        </w:tc>
        <w:tc>
          <w:tcPr>
            <w:tcW w:w="668" w:type="pct"/>
            <w:tcBorders>
              <w:top w:val="single" w:color="auto" w:sz="4" w:space="0"/>
            </w:tcBorders>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6.48</w:t>
            </w:r>
          </w:p>
        </w:tc>
        <w:tc>
          <w:tcPr>
            <w:tcW w:w="890" w:type="dxa"/>
            <w:tcBorders>
              <w:top w:val="single" w:color="auto" w:sz="4" w:space="0"/>
            </w:tcBorders>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0.72%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vMerge w:val="continue"/>
            <w:shd w:val="clear" w:color="auto" w:fill="auto"/>
            <w:vAlign w:val="center"/>
          </w:tcPr>
          <w:p>
            <w:pPr>
              <w:widowControl/>
              <w:adjustRightInd w:val="0"/>
              <w:snapToGrid w:val="0"/>
              <w:jc w:val="left"/>
              <w:rPr>
                <w:rFonts w:eastAsia="宋体"/>
                <w:snapToGrid w:val="0"/>
                <w:kern w:val="0"/>
                <w:sz w:val="21"/>
                <w:szCs w:val="22"/>
              </w:rPr>
            </w:pPr>
          </w:p>
        </w:tc>
        <w:tc>
          <w:tcPr>
            <w:tcW w:w="1328" w:type="pct"/>
            <w:vMerge w:val="continue"/>
            <w:shd w:val="clear" w:color="auto" w:fill="auto"/>
            <w:vAlign w:val="center"/>
          </w:tcPr>
          <w:p>
            <w:pPr>
              <w:widowControl/>
              <w:adjustRightInd w:val="0"/>
              <w:snapToGrid w:val="0"/>
              <w:jc w:val="left"/>
              <w:rPr>
                <w:rFonts w:eastAsia="宋体"/>
                <w:snapToGrid w:val="0"/>
                <w:kern w:val="0"/>
                <w:sz w:val="21"/>
                <w:szCs w:val="20"/>
              </w:rPr>
            </w:pPr>
          </w:p>
        </w:tc>
        <w:tc>
          <w:tcPr>
            <w:tcW w:w="2122"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技能培训补贴</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15.91</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1.77%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2</w:t>
            </w:r>
          </w:p>
        </w:tc>
        <w:tc>
          <w:tcPr>
            <w:tcW w:w="1328"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职业技能鉴定补贴</w:t>
            </w:r>
          </w:p>
        </w:tc>
        <w:tc>
          <w:tcPr>
            <w:tcW w:w="2122"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技能鉴定补贴</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2.41</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vMerge w:val="restar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3</w:t>
            </w:r>
          </w:p>
        </w:tc>
        <w:tc>
          <w:tcPr>
            <w:tcW w:w="1328" w:type="pct"/>
            <w:vMerge w:val="restar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社会保险补贴</w:t>
            </w:r>
          </w:p>
        </w:tc>
        <w:tc>
          <w:tcPr>
            <w:tcW w:w="2122"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中小微企业</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4.02</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vMerge w:val="continue"/>
            <w:shd w:val="clear" w:color="auto" w:fill="auto"/>
            <w:vAlign w:val="center"/>
          </w:tcPr>
          <w:p>
            <w:pPr>
              <w:widowControl/>
              <w:adjustRightInd w:val="0"/>
              <w:snapToGrid w:val="0"/>
              <w:jc w:val="left"/>
              <w:rPr>
                <w:rFonts w:eastAsia="宋体"/>
                <w:snapToGrid w:val="0"/>
                <w:kern w:val="0"/>
                <w:sz w:val="21"/>
                <w:szCs w:val="22"/>
              </w:rPr>
            </w:pPr>
          </w:p>
        </w:tc>
        <w:tc>
          <w:tcPr>
            <w:tcW w:w="1328" w:type="pct"/>
            <w:vMerge w:val="continue"/>
            <w:shd w:val="clear" w:color="auto" w:fill="auto"/>
            <w:vAlign w:val="center"/>
          </w:tcPr>
          <w:p>
            <w:pPr>
              <w:widowControl/>
              <w:adjustRightInd w:val="0"/>
              <w:snapToGrid w:val="0"/>
              <w:jc w:val="left"/>
              <w:rPr>
                <w:rFonts w:eastAsia="宋体"/>
                <w:snapToGrid w:val="0"/>
                <w:kern w:val="0"/>
                <w:sz w:val="21"/>
                <w:szCs w:val="20"/>
              </w:rPr>
            </w:pPr>
          </w:p>
        </w:tc>
        <w:tc>
          <w:tcPr>
            <w:tcW w:w="2122"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就业困难大学生</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54.98</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6.13%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vMerge w:val="continue"/>
            <w:shd w:val="clear" w:color="auto" w:fill="auto"/>
            <w:vAlign w:val="center"/>
          </w:tcPr>
          <w:p>
            <w:pPr>
              <w:widowControl/>
              <w:adjustRightInd w:val="0"/>
              <w:snapToGrid w:val="0"/>
              <w:jc w:val="left"/>
              <w:rPr>
                <w:rFonts w:eastAsia="宋体"/>
                <w:snapToGrid w:val="0"/>
                <w:kern w:val="0"/>
                <w:sz w:val="21"/>
                <w:szCs w:val="22"/>
              </w:rPr>
            </w:pPr>
          </w:p>
        </w:tc>
        <w:tc>
          <w:tcPr>
            <w:tcW w:w="1328" w:type="pct"/>
            <w:vMerge w:val="continue"/>
            <w:shd w:val="clear" w:color="auto" w:fill="auto"/>
            <w:vAlign w:val="center"/>
          </w:tcPr>
          <w:p>
            <w:pPr>
              <w:widowControl/>
              <w:adjustRightInd w:val="0"/>
              <w:snapToGrid w:val="0"/>
              <w:jc w:val="left"/>
              <w:rPr>
                <w:rFonts w:eastAsia="宋体"/>
                <w:snapToGrid w:val="0"/>
                <w:kern w:val="0"/>
                <w:sz w:val="21"/>
                <w:szCs w:val="20"/>
              </w:rPr>
            </w:pPr>
          </w:p>
        </w:tc>
        <w:tc>
          <w:tcPr>
            <w:tcW w:w="2122"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灵活就业社保补贴</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14.64</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1.63%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4</w:t>
            </w:r>
          </w:p>
        </w:tc>
        <w:tc>
          <w:tcPr>
            <w:tcW w:w="1328"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岗位补贴</w:t>
            </w:r>
          </w:p>
        </w:tc>
        <w:tc>
          <w:tcPr>
            <w:tcW w:w="2122" w:type="pct"/>
            <w:shd w:val="clear" w:color="auto" w:fill="auto"/>
            <w:noWrap/>
            <w:vAlign w:val="center"/>
          </w:tcPr>
          <w:p>
            <w:pPr>
              <w:widowControl/>
              <w:adjustRightInd w:val="0"/>
              <w:snapToGrid w:val="0"/>
              <w:jc w:val="left"/>
              <w:rPr>
                <w:rFonts w:hint="eastAsia" w:eastAsia="宋体"/>
                <w:snapToGrid w:val="0"/>
                <w:kern w:val="0"/>
                <w:sz w:val="21"/>
                <w:szCs w:val="20"/>
                <w:lang w:eastAsia="zh-CN"/>
              </w:rPr>
            </w:pPr>
            <w:r>
              <w:rPr>
                <w:rFonts w:hint="eastAsia" w:eastAsia="宋体"/>
                <w:snapToGrid w:val="0"/>
                <w:kern w:val="0"/>
                <w:sz w:val="21"/>
                <w:szCs w:val="20"/>
              </w:rPr>
              <w:t>高校毕业生就业困难临时</w:t>
            </w:r>
            <w:bookmarkStart w:id="104" w:name="_GoBack"/>
            <w:bookmarkEnd w:id="104"/>
            <w:r>
              <w:rPr>
                <w:rFonts w:hint="eastAsia" w:eastAsia="宋体"/>
                <w:snapToGrid w:val="0"/>
                <w:kern w:val="0"/>
                <w:sz w:val="21"/>
                <w:szCs w:val="20"/>
                <w:lang w:eastAsia="zh-CN"/>
              </w:rPr>
              <w:t>公益性岗位</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152.95</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17.06%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5</w:t>
            </w:r>
          </w:p>
        </w:tc>
        <w:tc>
          <w:tcPr>
            <w:tcW w:w="1328"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就业见习补贴</w:t>
            </w:r>
          </w:p>
        </w:tc>
        <w:tc>
          <w:tcPr>
            <w:tcW w:w="2122"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　</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285.05</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31.78%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6</w:t>
            </w:r>
          </w:p>
        </w:tc>
        <w:tc>
          <w:tcPr>
            <w:tcW w:w="1328"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求职补贴</w:t>
            </w:r>
          </w:p>
        </w:tc>
        <w:tc>
          <w:tcPr>
            <w:tcW w:w="2122"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　</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2.00</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7</w:t>
            </w:r>
          </w:p>
        </w:tc>
        <w:tc>
          <w:tcPr>
            <w:tcW w:w="1328"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房租物业水电费补贴</w:t>
            </w:r>
          </w:p>
        </w:tc>
        <w:tc>
          <w:tcPr>
            <w:tcW w:w="2122"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　</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357.93</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39.91%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8</w:t>
            </w:r>
          </w:p>
        </w:tc>
        <w:tc>
          <w:tcPr>
            <w:tcW w:w="1328"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创业补贴</w:t>
            </w:r>
          </w:p>
        </w:tc>
        <w:tc>
          <w:tcPr>
            <w:tcW w:w="2122" w:type="pct"/>
            <w:shd w:val="clear" w:color="auto" w:fill="auto"/>
            <w:noWrap/>
            <w:vAlign w:val="center"/>
          </w:tcPr>
          <w:p>
            <w:pPr>
              <w:widowControl/>
              <w:adjustRightInd w:val="0"/>
              <w:snapToGrid w:val="0"/>
              <w:jc w:val="left"/>
              <w:rPr>
                <w:rFonts w:eastAsia="宋体"/>
                <w:snapToGrid w:val="0"/>
                <w:kern w:val="0"/>
                <w:sz w:val="21"/>
                <w:szCs w:val="20"/>
              </w:rPr>
            </w:pPr>
            <w:r>
              <w:rPr>
                <w:rFonts w:hint="eastAsia" w:eastAsia="宋体"/>
                <w:snapToGrid w:val="0"/>
                <w:kern w:val="0"/>
                <w:sz w:val="21"/>
                <w:szCs w:val="20"/>
              </w:rPr>
              <w:t>高校毕业生一次性创业补贴</w:t>
            </w:r>
          </w:p>
        </w:tc>
        <w:tc>
          <w:tcPr>
            <w:tcW w:w="668" w:type="pct"/>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0.50</w:t>
            </w:r>
          </w:p>
        </w:tc>
        <w:tc>
          <w:tcPr>
            <w:tcW w:w="890" w:type="dxa"/>
            <w:shd w:val="clear" w:color="auto" w:fill="auto"/>
            <w:noWrap/>
            <w:vAlign w:val="center"/>
          </w:tcPr>
          <w:p>
            <w:pPr>
              <w:widowControl/>
              <w:adjustRightInd w:val="0"/>
              <w:snapToGrid w:val="0"/>
              <w:jc w:val="center"/>
              <w:rPr>
                <w:rFonts w:eastAsia="宋体"/>
                <w:snapToGrid w:val="0"/>
                <w:kern w:val="0"/>
                <w:sz w:val="21"/>
                <w:szCs w:val="22"/>
              </w:rPr>
            </w:pPr>
            <w:r>
              <w:rPr>
                <w:rFonts w:hint="eastAsia" w:eastAsia="宋体"/>
                <w:snapToGrid w:val="0"/>
                <w:kern w:val="0"/>
                <w:sz w:val="21"/>
                <w:szCs w:val="22"/>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jc w:val="center"/>
        </w:trPr>
        <w:tc>
          <w:tcPr>
            <w:tcW w:w="402" w:type="pct"/>
            <w:shd w:val="clear" w:color="auto" w:fill="auto"/>
            <w:noWrap/>
            <w:vAlign w:val="center"/>
          </w:tcPr>
          <w:p>
            <w:pPr>
              <w:widowControl/>
              <w:adjustRightInd w:val="0"/>
              <w:snapToGrid w:val="0"/>
              <w:jc w:val="center"/>
              <w:rPr>
                <w:rFonts w:eastAsia="宋体"/>
                <w:b/>
                <w:snapToGrid w:val="0"/>
                <w:kern w:val="0"/>
                <w:sz w:val="21"/>
                <w:szCs w:val="22"/>
              </w:rPr>
            </w:pPr>
            <w:r>
              <w:rPr>
                <w:rFonts w:hint="eastAsia" w:eastAsia="宋体"/>
                <w:b/>
                <w:snapToGrid w:val="0"/>
                <w:kern w:val="0"/>
                <w:sz w:val="21"/>
                <w:szCs w:val="22"/>
              </w:rPr>
              <w:t>9</w:t>
            </w:r>
          </w:p>
        </w:tc>
        <w:tc>
          <w:tcPr>
            <w:tcW w:w="1328" w:type="pct"/>
            <w:shd w:val="clear" w:color="auto" w:fill="auto"/>
            <w:noWrap/>
            <w:vAlign w:val="center"/>
          </w:tcPr>
          <w:p>
            <w:pPr>
              <w:widowControl/>
              <w:adjustRightInd w:val="0"/>
              <w:snapToGrid w:val="0"/>
              <w:jc w:val="center"/>
              <w:rPr>
                <w:rFonts w:eastAsia="宋体"/>
                <w:b/>
                <w:snapToGrid w:val="0"/>
                <w:kern w:val="0"/>
                <w:sz w:val="21"/>
                <w:szCs w:val="20"/>
              </w:rPr>
            </w:pPr>
            <w:r>
              <w:rPr>
                <w:rFonts w:hint="eastAsia" w:eastAsia="宋体"/>
                <w:b/>
                <w:snapToGrid w:val="0"/>
                <w:kern w:val="0"/>
                <w:sz w:val="21"/>
                <w:szCs w:val="20"/>
              </w:rPr>
              <w:t>合计</w:t>
            </w:r>
          </w:p>
        </w:tc>
        <w:tc>
          <w:tcPr>
            <w:tcW w:w="2122" w:type="pct"/>
            <w:shd w:val="clear" w:color="auto" w:fill="auto"/>
            <w:noWrap/>
            <w:vAlign w:val="center"/>
          </w:tcPr>
          <w:p>
            <w:pPr>
              <w:widowControl/>
              <w:adjustRightInd w:val="0"/>
              <w:snapToGrid w:val="0"/>
              <w:jc w:val="center"/>
              <w:rPr>
                <w:rFonts w:eastAsia="宋体"/>
                <w:b/>
                <w:snapToGrid w:val="0"/>
                <w:kern w:val="0"/>
                <w:sz w:val="21"/>
                <w:szCs w:val="20"/>
              </w:rPr>
            </w:pPr>
            <w:r>
              <w:rPr>
                <w:rFonts w:hint="eastAsia" w:eastAsia="宋体"/>
                <w:b/>
                <w:snapToGrid w:val="0"/>
                <w:kern w:val="0"/>
                <w:sz w:val="21"/>
                <w:szCs w:val="20"/>
              </w:rPr>
              <w:t>　</w:t>
            </w:r>
          </w:p>
        </w:tc>
        <w:tc>
          <w:tcPr>
            <w:tcW w:w="668" w:type="pct"/>
            <w:shd w:val="clear" w:color="auto" w:fill="auto"/>
            <w:noWrap/>
            <w:vAlign w:val="center"/>
          </w:tcPr>
          <w:p>
            <w:pPr>
              <w:widowControl/>
              <w:adjustRightInd w:val="0"/>
              <w:snapToGrid w:val="0"/>
              <w:jc w:val="center"/>
              <w:rPr>
                <w:rFonts w:eastAsia="宋体"/>
                <w:b/>
                <w:snapToGrid w:val="0"/>
                <w:kern w:val="0"/>
                <w:sz w:val="21"/>
                <w:szCs w:val="22"/>
              </w:rPr>
            </w:pPr>
            <w:r>
              <w:rPr>
                <w:rFonts w:hint="eastAsia" w:eastAsia="宋体"/>
                <w:b/>
                <w:snapToGrid w:val="0"/>
                <w:kern w:val="0"/>
                <w:sz w:val="21"/>
                <w:szCs w:val="22"/>
              </w:rPr>
              <w:t>896.8</w:t>
            </w:r>
            <w:r>
              <w:rPr>
                <w:rFonts w:eastAsia="宋体"/>
                <w:b/>
                <w:snapToGrid w:val="0"/>
                <w:kern w:val="0"/>
                <w:sz w:val="21"/>
                <w:szCs w:val="22"/>
              </w:rPr>
              <w:t>8</w:t>
            </w:r>
          </w:p>
        </w:tc>
        <w:tc>
          <w:tcPr>
            <w:tcW w:w="479" w:type="pct"/>
            <w:shd w:val="clear" w:color="auto" w:fill="auto"/>
            <w:noWrap/>
            <w:vAlign w:val="center"/>
          </w:tcPr>
          <w:p>
            <w:pPr>
              <w:widowControl/>
              <w:adjustRightInd w:val="0"/>
              <w:snapToGrid w:val="0"/>
              <w:jc w:val="center"/>
              <w:rPr>
                <w:rFonts w:eastAsia="宋体"/>
                <w:b/>
                <w:snapToGrid w:val="0"/>
                <w:kern w:val="0"/>
                <w:sz w:val="21"/>
                <w:szCs w:val="22"/>
              </w:rPr>
            </w:pPr>
            <w:r>
              <w:rPr>
                <w:rFonts w:hint="eastAsia" w:eastAsia="宋体"/>
                <w:b/>
                <w:snapToGrid w:val="0"/>
                <w:kern w:val="0"/>
                <w:sz w:val="21"/>
                <w:szCs w:val="22"/>
              </w:rPr>
              <w:t>100%</w:t>
            </w:r>
          </w:p>
        </w:tc>
      </w:tr>
    </w:tbl>
    <w:p>
      <w:pPr>
        <w:ind w:firstLine="640" w:firstLineChars="200"/>
        <w:rPr>
          <w:rFonts w:ascii="仿宋_GB2312" w:hAnsi="仿宋_GB2312"/>
          <w:bCs/>
          <w:szCs w:val="32"/>
        </w:rPr>
      </w:pPr>
      <w:r>
        <w:rPr>
          <w:rFonts w:hint="eastAsia" w:ascii="仿宋_GB2312" w:hAnsi="仿宋_GB2312"/>
          <w:bCs/>
          <w:szCs w:val="32"/>
        </w:rPr>
        <w:t>各补贴类别具体支出占比如下图：</w:t>
      </w:r>
    </w:p>
    <w:p>
      <w:pPr>
        <w:jc w:val="center"/>
      </w:pPr>
      <w:r>
        <w:drawing>
          <wp:inline distT="0" distB="0" distL="0" distR="0">
            <wp:extent cx="5510530" cy="280479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80" w:lineRule="exact"/>
        <w:jc w:val="left"/>
      </w:pPr>
      <w:r>
        <w:rPr>
          <w:rFonts w:hint="eastAsia"/>
        </w:rPr>
        <w:t xml:space="preserve"> </w:t>
      </w:r>
      <w:r>
        <w:t xml:space="preserve">   </w:t>
      </w:r>
      <w:r>
        <w:rPr>
          <w:rFonts w:hint="eastAsia"/>
        </w:rPr>
        <w:t>其中，享受补贴资金金额占比最高的三类补贴资金占资金总额比率达</w:t>
      </w:r>
      <w:r>
        <w:t>88.7</w:t>
      </w:r>
      <w:r>
        <w:rPr>
          <w:rFonts w:hint="eastAsia"/>
        </w:rPr>
        <w:t>5%，分别为：房租物业水电费补贴</w:t>
      </w:r>
      <w:r>
        <w:t>39.9</w:t>
      </w:r>
      <w:r>
        <w:rPr>
          <w:rFonts w:hint="eastAsia"/>
        </w:rPr>
        <w:t>1%、就业实习资金</w:t>
      </w:r>
      <w:r>
        <w:t>31.</w:t>
      </w:r>
      <w:r>
        <w:rPr>
          <w:rFonts w:hint="eastAsia"/>
        </w:rPr>
        <w:t>78%、岗位补贴17</w:t>
      </w:r>
      <w:r>
        <w:t>.</w:t>
      </w:r>
      <w:r>
        <w:rPr>
          <w:rFonts w:hint="eastAsia"/>
        </w:rPr>
        <w:t>06%。</w:t>
      </w:r>
    </w:p>
    <w:p>
      <w:pPr>
        <w:pStyle w:val="3"/>
        <w:spacing w:before="0" w:after="0" w:line="580" w:lineRule="exact"/>
        <w:ind w:firstLine="643" w:firstLineChars="200"/>
        <w:rPr>
          <w:rFonts w:ascii="方正楷体" w:hAnsi="Times New Roman" w:eastAsia="方正楷体"/>
        </w:rPr>
      </w:pPr>
      <w:bookmarkStart w:id="26" w:name="_Toc7170"/>
      <w:bookmarkStart w:id="27" w:name="_Toc41137183"/>
      <w:bookmarkStart w:id="28" w:name="_Toc72161439"/>
      <w:r>
        <w:rPr>
          <w:rFonts w:hint="eastAsia" w:ascii="方正楷体" w:hAnsi="Times New Roman" w:eastAsia="方正楷体"/>
        </w:rPr>
        <w:t>（二）绩效目标</w:t>
      </w:r>
      <w:bookmarkEnd w:id="26"/>
      <w:bookmarkEnd w:id="27"/>
      <w:bookmarkEnd w:id="28"/>
    </w:p>
    <w:p>
      <w:pPr>
        <w:spacing w:line="580" w:lineRule="exact"/>
        <w:ind w:firstLine="640" w:firstLineChars="200"/>
        <w:rPr>
          <w:rFonts w:ascii="仿宋_GB2312" w:hAnsi="仿宋_GB2312"/>
          <w:szCs w:val="32"/>
        </w:rPr>
      </w:pPr>
      <w:r>
        <w:rPr>
          <w:rFonts w:hint="eastAsia" w:ascii="仿宋_GB2312" w:hAnsi="仿宋_GB2312"/>
          <w:szCs w:val="32"/>
        </w:rPr>
        <w:t>该项目绩效目标为就业创业服务，具体体现为将资金按规定用于公益性岗位社保补贴、公益性岗位补贴、求职补贴、就业见习补贴。</w:t>
      </w:r>
    </w:p>
    <w:p>
      <w:pPr>
        <w:pStyle w:val="2"/>
        <w:keepNext w:val="0"/>
        <w:keepLines w:val="0"/>
        <w:spacing w:before="0" w:after="0" w:line="580" w:lineRule="exact"/>
        <w:ind w:firstLine="643" w:firstLineChars="200"/>
        <w:jc w:val="left"/>
        <w:rPr>
          <w:rFonts w:ascii="黑体" w:hAnsi="黑体" w:eastAsia="黑体" w:cs="黑体"/>
          <w:sz w:val="32"/>
          <w:szCs w:val="32"/>
        </w:rPr>
      </w:pPr>
      <w:bookmarkStart w:id="29" w:name="_Toc72161440"/>
      <w:bookmarkStart w:id="30" w:name="_Toc41137184"/>
      <w:bookmarkStart w:id="31" w:name="_Toc38447886"/>
      <w:bookmarkStart w:id="32" w:name="_Toc38452630"/>
      <w:bookmarkStart w:id="33" w:name="_Toc3315"/>
      <w:r>
        <w:rPr>
          <w:rFonts w:hint="eastAsia" w:ascii="黑体" w:hAnsi="黑体" w:eastAsia="黑体" w:cs="黑体"/>
          <w:sz w:val="32"/>
          <w:szCs w:val="32"/>
        </w:rPr>
        <w:t>二、绩效评价工作开展情况</w:t>
      </w:r>
      <w:bookmarkEnd w:id="29"/>
      <w:bookmarkEnd w:id="30"/>
      <w:bookmarkEnd w:id="31"/>
      <w:bookmarkEnd w:id="32"/>
      <w:bookmarkEnd w:id="33"/>
    </w:p>
    <w:p>
      <w:pPr>
        <w:pStyle w:val="3"/>
        <w:spacing w:before="0" w:after="0" w:line="580" w:lineRule="exact"/>
        <w:ind w:firstLine="643" w:firstLineChars="200"/>
        <w:rPr>
          <w:rFonts w:ascii="方正楷体" w:hAnsi="Times New Roman" w:eastAsia="方正楷体"/>
        </w:rPr>
      </w:pPr>
      <w:bookmarkStart w:id="34" w:name="_Toc38452631"/>
      <w:bookmarkStart w:id="35" w:name="_Toc38447887"/>
      <w:bookmarkStart w:id="36" w:name="_Toc72161441"/>
      <w:bookmarkStart w:id="37" w:name="_Toc24259"/>
      <w:bookmarkStart w:id="38" w:name="_Toc41137185"/>
      <w:r>
        <w:rPr>
          <w:rFonts w:hint="eastAsia" w:ascii="方正楷体" w:hAnsi="Times New Roman" w:eastAsia="方正楷体"/>
        </w:rPr>
        <w:t>（一）绩效评价目的、对象和范围</w:t>
      </w:r>
      <w:bookmarkEnd w:id="34"/>
      <w:bookmarkEnd w:id="35"/>
      <w:bookmarkEnd w:id="36"/>
      <w:bookmarkEnd w:id="37"/>
      <w:bookmarkEnd w:id="38"/>
    </w:p>
    <w:p>
      <w:pPr>
        <w:pStyle w:val="43"/>
        <w:spacing w:line="580" w:lineRule="exact"/>
        <w:ind w:firstLine="643"/>
        <w:rPr>
          <w:b/>
          <w:bCs/>
          <w:szCs w:val="32"/>
        </w:rPr>
      </w:pPr>
      <w:r>
        <w:rPr>
          <w:rFonts w:hint="eastAsia"/>
          <w:b/>
          <w:bCs/>
          <w:szCs w:val="32"/>
        </w:rPr>
        <w:t>1.绩效评价目的</w:t>
      </w:r>
    </w:p>
    <w:p>
      <w:pPr>
        <w:spacing w:line="580" w:lineRule="exact"/>
        <w:ind w:firstLine="640" w:firstLineChars="200"/>
        <w:rPr>
          <w:szCs w:val="32"/>
        </w:rPr>
      </w:pPr>
      <w:r>
        <w:rPr>
          <w:rFonts w:hint="eastAsia"/>
          <w:szCs w:val="32"/>
        </w:rPr>
        <w:t>本次</w:t>
      </w:r>
      <w:r>
        <w:rPr>
          <w:szCs w:val="32"/>
        </w:rPr>
        <w:t>绩效评价旨在通过</w:t>
      </w:r>
      <w:r>
        <w:rPr>
          <w:rFonts w:hint="eastAsia"/>
          <w:szCs w:val="32"/>
        </w:rPr>
        <w:t>考核该项目的决策、过程、产出和效益情况，对项目支出的经济性、效率性、效益性和公平性进行客观、公正的测量、分析和评判。</w:t>
      </w:r>
      <w:r>
        <w:rPr>
          <w:szCs w:val="32"/>
        </w:rPr>
        <w:t>推动建立以绩效评价结果为导向的财政资金分配与管理制度，</w:t>
      </w:r>
      <w:r>
        <w:rPr>
          <w:rFonts w:hint="eastAsia"/>
          <w:szCs w:val="32"/>
        </w:rPr>
        <w:t>提升财政资金使用效益，为下一步</w:t>
      </w:r>
      <w:r>
        <w:rPr>
          <w:szCs w:val="32"/>
        </w:rPr>
        <w:t>资金</w:t>
      </w:r>
      <w:r>
        <w:rPr>
          <w:rFonts w:hint="eastAsia"/>
          <w:szCs w:val="32"/>
        </w:rPr>
        <w:t>预算安排、完善政策提供参考。</w:t>
      </w:r>
    </w:p>
    <w:p>
      <w:pPr>
        <w:pStyle w:val="43"/>
        <w:spacing w:line="580" w:lineRule="exact"/>
        <w:ind w:firstLine="643"/>
        <w:rPr>
          <w:b/>
          <w:bCs/>
          <w:szCs w:val="32"/>
        </w:rPr>
      </w:pPr>
      <w:r>
        <w:rPr>
          <w:rFonts w:hint="eastAsia"/>
          <w:b/>
          <w:bCs/>
          <w:szCs w:val="32"/>
        </w:rPr>
        <w:t>2.绩效评价对象</w:t>
      </w:r>
    </w:p>
    <w:p>
      <w:pPr>
        <w:spacing w:line="580" w:lineRule="exact"/>
        <w:ind w:firstLine="640" w:firstLineChars="200"/>
        <w:rPr>
          <w:rFonts w:ascii="仿宋_GB2312" w:hAnsi="仿宋_GB2312"/>
          <w:szCs w:val="32"/>
        </w:rPr>
      </w:pPr>
      <w:r>
        <w:rPr>
          <w:rFonts w:hint="eastAsia"/>
          <w:szCs w:val="32"/>
        </w:rPr>
        <w:t>评价对象为</w:t>
      </w:r>
      <w:r>
        <w:rPr>
          <w:rFonts w:hint="eastAsia" w:ascii="仿宋_GB2312" w:hAnsi="仿宋_GB2312"/>
          <w:szCs w:val="32"/>
        </w:rPr>
        <w:t>徐水区</w:t>
      </w:r>
      <w:r>
        <w:rPr>
          <w:rFonts w:ascii="仿宋_GB2312" w:hAnsi="仿宋_GB2312"/>
          <w:szCs w:val="32"/>
        </w:rPr>
        <w:t>2020</w:t>
      </w:r>
      <w:r>
        <w:rPr>
          <w:rFonts w:hint="eastAsia" w:ascii="仿宋_GB2312" w:hAnsi="仿宋_GB2312"/>
          <w:szCs w:val="32"/>
        </w:rPr>
        <w:t>年度就业补助资金项目。</w:t>
      </w:r>
    </w:p>
    <w:p>
      <w:pPr>
        <w:pStyle w:val="43"/>
        <w:spacing w:line="580" w:lineRule="exact"/>
        <w:ind w:firstLine="643"/>
        <w:rPr>
          <w:b/>
          <w:bCs/>
          <w:szCs w:val="32"/>
        </w:rPr>
      </w:pPr>
      <w:r>
        <w:rPr>
          <w:rFonts w:hint="eastAsia"/>
          <w:b/>
          <w:bCs/>
          <w:szCs w:val="32"/>
        </w:rPr>
        <w:t>3.绩效评价范围</w:t>
      </w:r>
    </w:p>
    <w:p>
      <w:pPr>
        <w:spacing w:line="580" w:lineRule="exact"/>
        <w:ind w:firstLine="640" w:firstLineChars="200"/>
        <w:rPr>
          <w:rFonts w:ascii="仿宋" w:hAnsi="仿宋" w:eastAsia="仿宋" w:cs="仿宋"/>
          <w:szCs w:val="32"/>
        </w:rPr>
      </w:pPr>
      <w:r>
        <w:rPr>
          <w:rFonts w:hint="eastAsia"/>
          <w:szCs w:val="32"/>
        </w:rPr>
        <w:t>本次绩效评价范围为2</w:t>
      </w:r>
      <w:r>
        <w:rPr>
          <w:szCs w:val="32"/>
        </w:rPr>
        <w:t>020</w:t>
      </w:r>
      <w:r>
        <w:rPr>
          <w:rFonts w:hint="eastAsia" w:ascii="仿宋_GB2312" w:hAnsi="仿宋_GB2312"/>
          <w:szCs w:val="32"/>
        </w:rPr>
        <w:t>年度就业补助资金项目的收入、支出情况，绩效目标、指标设定及完成情况，资金使用合规性，管理制度的建设及执行情况，项目产出数量、质量、时效及成本情况，项目产生的效益及群众对项目实施效果的满意程度。</w:t>
      </w:r>
    </w:p>
    <w:bookmarkEnd w:id="14"/>
    <w:p>
      <w:pPr>
        <w:pStyle w:val="3"/>
        <w:spacing w:before="0" w:after="0" w:line="580" w:lineRule="exact"/>
        <w:ind w:firstLine="643" w:firstLineChars="200"/>
        <w:rPr>
          <w:rFonts w:ascii="方正楷体" w:hAnsi="Times New Roman" w:eastAsia="方正楷体"/>
        </w:rPr>
      </w:pPr>
      <w:bookmarkStart w:id="39" w:name="_Toc38452632"/>
      <w:bookmarkStart w:id="40" w:name="_Toc72161442"/>
      <w:bookmarkStart w:id="41" w:name="_Toc38447888"/>
      <w:bookmarkStart w:id="42" w:name="_Toc41137186"/>
      <w:bookmarkStart w:id="43" w:name="_Toc16283"/>
      <w:bookmarkStart w:id="44" w:name="_Toc10977_WPSOffice_Type3"/>
      <w:r>
        <w:rPr>
          <w:rFonts w:hint="eastAsia" w:ascii="方正楷体" w:hAnsi="Times New Roman" w:eastAsia="方正楷体"/>
        </w:rPr>
        <w:t>（二）绩效评价原则、指标体系、依据、方法及标准</w:t>
      </w:r>
      <w:bookmarkEnd w:id="39"/>
      <w:bookmarkEnd w:id="40"/>
      <w:bookmarkEnd w:id="41"/>
      <w:bookmarkEnd w:id="42"/>
      <w:bookmarkEnd w:id="43"/>
    </w:p>
    <w:p>
      <w:pPr>
        <w:pStyle w:val="43"/>
        <w:spacing w:line="580" w:lineRule="exact"/>
        <w:ind w:left="640" w:firstLine="0" w:firstLineChars="0"/>
        <w:textAlignment w:val="baseline"/>
        <w:rPr>
          <w:rFonts w:ascii="仿宋_GB2312" w:cs="DengXian-Regular"/>
          <w:b/>
          <w:bCs/>
          <w:szCs w:val="32"/>
        </w:rPr>
      </w:pPr>
      <w:r>
        <w:rPr>
          <w:rFonts w:hint="eastAsia" w:ascii="仿宋_GB2312" w:cs="DengXian-Regular"/>
          <w:b/>
          <w:bCs/>
          <w:szCs w:val="32"/>
        </w:rPr>
        <w:t>1.绩效评价原则</w:t>
      </w:r>
    </w:p>
    <w:p>
      <w:pPr>
        <w:pStyle w:val="43"/>
        <w:spacing w:line="580" w:lineRule="exact"/>
        <w:ind w:firstLine="640"/>
        <w:textAlignment w:val="baseline"/>
        <w:rPr>
          <w:rFonts w:ascii="仿宋_GB2312" w:cs="DengXian-Regular"/>
          <w:szCs w:val="32"/>
        </w:rPr>
      </w:pPr>
      <w:r>
        <w:rPr>
          <w:rFonts w:hint="eastAsia" w:ascii="仿宋_GB2312" w:cs="DengXian-Regular"/>
          <w:szCs w:val="32"/>
        </w:rPr>
        <w:t>（1）科学公正。绩效评价应当运用科学合理的方法，按照规范的程序，对项目绩效进行客观、公正的反映。</w:t>
      </w:r>
    </w:p>
    <w:p>
      <w:pPr>
        <w:pStyle w:val="43"/>
        <w:spacing w:line="580" w:lineRule="exact"/>
        <w:ind w:firstLine="640"/>
        <w:textAlignment w:val="baseline"/>
        <w:rPr>
          <w:rFonts w:ascii="仿宋_GB2312" w:cs="DengXian-Regular"/>
          <w:szCs w:val="32"/>
        </w:rPr>
      </w:pPr>
      <w:r>
        <w:rPr>
          <w:rFonts w:hint="eastAsia" w:ascii="仿宋_GB2312" w:cs="DengXian-Regular"/>
          <w:szCs w:val="32"/>
        </w:rPr>
        <w:t>（2）统筹兼顾。单位自评、部门评价和财政评价应职责明确，各有侧重，相互衔接。</w:t>
      </w:r>
    </w:p>
    <w:p>
      <w:pPr>
        <w:pStyle w:val="43"/>
        <w:spacing w:line="580" w:lineRule="exact"/>
        <w:ind w:firstLine="640"/>
        <w:textAlignment w:val="baseline"/>
        <w:rPr>
          <w:rFonts w:ascii="仿宋_GB2312" w:cs="DengXian-Regular"/>
          <w:szCs w:val="32"/>
        </w:rPr>
      </w:pPr>
      <w:r>
        <w:rPr>
          <w:rFonts w:hint="eastAsia" w:ascii="仿宋_GB2312" w:cs="DengXian-Regular"/>
          <w:szCs w:val="32"/>
        </w:rPr>
        <w:t>（3）激励约束。绩效评价结果应与预算安排、政策调整、改进管理实质性挂钩，体现奖优罚劣和激励相容导向，有效要安排、低效要压减、无效要问责。</w:t>
      </w:r>
    </w:p>
    <w:p>
      <w:pPr>
        <w:pStyle w:val="43"/>
        <w:spacing w:line="580" w:lineRule="exact"/>
        <w:ind w:firstLine="640"/>
        <w:textAlignment w:val="baseline"/>
        <w:rPr>
          <w:rFonts w:ascii="仿宋_GB2312" w:cs="DengXian-Regular"/>
          <w:szCs w:val="32"/>
        </w:rPr>
      </w:pPr>
      <w:r>
        <w:rPr>
          <w:rFonts w:hint="eastAsia" w:ascii="仿宋_GB2312" w:cs="DengXian-Regular"/>
          <w:szCs w:val="32"/>
        </w:rPr>
        <w:t>（4）公开透明。绩效评价结果应依法依规公开，并自觉接受社会监督。</w:t>
      </w:r>
    </w:p>
    <w:p>
      <w:pPr>
        <w:pStyle w:val="43"/>
        <w:spacing w:line="580" w:lineRule="exact"/>
        <w:ind w:firstLine="643"/>
        <w:rPr>
          <w:b/>
          <w:bCs/>
          <w:szCs w:val="32"/>
        </w:rPr>
      </w:pPr>
      <w:r>
        <w:rPr>
          <w:rFonts w:hint="eastAsia"/>
          <w:b/>
          <w:bCs/>
          <w:szCs w:val="32"/>
        </w:rPr>
        <w:t>2.绩效评价指标体系</w:t>
      </w:r>
    </w:p>
    <w:bookmarkEnd w:id="44"/>
    <w:p>
      <w:pPr>
        <w:spacing w:line="580" w:lineRule="exact"/>
        <w:ind w:firstLine="640" w:firstLineChars="200"/>
        <w:rPr>
          <w:szCs w:val="32"/>
        </w:rPr>
      </w:pPr>
      <w:bookmarkStart w:id="45" w:name="_Toc16829_WPSOffice_Level1"/>
      <w:bookmarkStart w:id="46" w:name="_Toc4001_WPSOffice_Level1"/>
      <w:bookmarkStart w:id="47" w:name="_Toc8028_WPSOffice_Level1"/>
      <w:bookmarkStart w:id="48" w:name="_Toc24787_WPSOffice_Level1"/>
      <w:r>
        <w:rPr>
          <w:rFonts w:hint="eastAsia"/>
          <w:szCs w:val="32"/>
        </w:rPr>
        <w:t>（1）绩效指标体系设计。</w:t>
      </w:r>
      <w:r>
        <w:rPr>
          <w:szCs w:val="32"/>
        </w:rPr>
        <w:t>本次绩效评</w:t>
      </w:r>
      <w:r>
        <w:rPr>
          <w:rFonts w:hint="eastAsia"/>
          <w:szCs w:val="32"/>
        </w:rPr>
        <w:t>价</w:t>
      </w:r>
      <w:r>
        <w:rPr>
          <w:szCs w:val="32"/>
        </w:rPr>
        <w:t>指标体系</w:t>
      </w:r>
      <w:r>
        <w:rPr>
          <w:rFonts w:hint="eastAsia"/>
          <w:szCs w:val="32"/>
        </w:rPr>
        <w:t>按照财政部《关于印发&lt;项目支出绩效评价管理办法&gt;的通知》（财预〔2020〕10号）的有关要求设计，</w:t>
      </w:r>
      <w:r>
        <w:rPr>
          <w:szCs w:val="32"/>
        </w:rPr>
        <w:t>共4个一级指标、</w:t>
      </w:r>
      <w:r>
        <w:rPr>
          <w:rFonts w:hint="eastAsia"/>
          <w:szCs w:val="32"/>
        </w:rPr>
        <w:t>11</w:t>
      </w:r>
      <w:r>
        <w:rPr>
          <w:szCs w:val="32"/>
        </w:rPr>
        <w:t>个二级指标、</w:t>
      </w:r>
      <w:r>
        <w:rPr>
          <w:rFonts w:hint="eastAsia"/>
          <w:szCs w:val="32"/>
        </w:rPr>
        <w:t>21</w:t>
      </w:r>
      <w:r>
        <w:rPr>
          <w:szCs w:val="32"/>
        </w:rPr>
        <w:t>个三级指标</w:t>
      </w:r>
      <w:r>
        <w:rPr>
          <w:rFonts w:hint="eastAsia"/>
          <w:szCs w:val="32"/>
        </w:rPr>
        <w:t>（详见附件1）。指标体系</w:t>
      </w:r>
      <w:r>
        <w:rPr>
          <w:szCs w:val="32"/>
        </w:rPr>
        <w:t>分别从</w:t>
      </w:r>
      <w:r>
        <w:rPr>
          <w:rFonts w:hint="eastAsia"/>
          <w:szCs w:val="32"/>
        </w:rPr>
        <w:t>决策</w:t>
      </w:r>
      <w:r>
        <w:rPr>
          <w:szCs w:val="32"/>
        </w:rPr>
        <w:t>、</w:t>
      </w:r>
      <w:r>
        <w:rPr>
          <w:rFonts w:hint="eastAsia"/>
          <w:szCs w:val="32"/>
        </w:rPr>
        <w:t>过程</w:t>
      </w:r>
      <w:r>
        <w:rPr>
          <w:szCs w:val="32"/>
        </w:rPr>
        <w:t>、</w:t>
      </w:r>
      <w:r>
        <w:rPr>
          <w:rFonts w:hint="eastAsia"/>
          <w:szCs w:val="32"/>
        </w:rPr>
        <w:t>产出</w:t>
      </w:r>
      <w:r>
        <w:rPr>
          <w:szCs w:val="32"/>
        </w:rPr>
        <w:t>、</w:t>
      </w:r>
      <w:r>
        <w:rPr>
          <w:rFonts w:hint="eastAsia"/>
          <w:szCs w:val="32"/>
        </w:rPr>
        <w:t>效益</w:t>
      </w:r>
      <w:r>
        <w:rPr>
          <w:szCs w:val="32"/>
        </w:rPr>
        <w:t>出四个方面进行绩效评价</w:t>
      </w:r>
      <w:r>
        <w:rPr>
          <w:rFonts w:hint="eastAsia"/>
          <w:szCs w:val="32"/>
        </w:rPr>
        <w:t>。</w:t>
      </w:r>
    </w:p>
    <w:p>
      <w:pPr>
        <w:spacing w:line="580" w:lineRule="exact"/>
        <w:ind w:firstLine="640" w:firstLineChars="200"/>
        <w:rPr>
          <w:szCs w:val="32"/>
        </w:rPr>
      </w:pPr>
      <w:r>
        <w:rPr>
          <w:rFonts w:hint="eastAsia"/>
          <w:szCs w:val="32"/>
        </w:rPr>
        <w:t>（2）绩效评价等级。</w:t>
      </w:r>
      <w:r>
        <w:rPr>
          <w:szCs w:val="32"/>
        </w:rPr>
        <w:t>通过对指标体系量化评分，绩效评价分为四个等级，其中：</w:t>
      </w:r>
      <w:r>
        <w:rPr>
          <w:rFonts w:hint="eastAsia"/>
          <w:szCs w:val="32"/>
        </w:rPr>
        <w:t>绩效评价分值≥90为“优”；80≤分值＜90为“良”；60≤分值＜80为“中”；60分以下为“差”。</w:t>
      </w:r>
    </w:p>
    <w:p>
      <w:pPr>
        <w:pStyle w:val="43"/>
        <w:spacing w:line="580" w:lineRule="exact"/>
        <w:ind w:firstLine="643"/>
        <w:rPr>
          <w:b/>
          <w:bCs/>
          <w:szCs w:val="32"/>
        </w:rPr>
      </w:pPr>
      <w:r>
        <w:rPr>
          <w:rFonts w:hint="eastAsia"/>
          <w:b/>
          <w:bCs/>
          <w:szCs w:val="32"/>
        </w:rPr>
        <w:t>3.绩效评价依据</w:t>
      </w:r>
    </w:p>
    <w:p>
      <w:pPr>
        <w:spacing w:line="580" w:lineRule="exact"/>
        <w:ind w:firstLine="640" w:firstLineChars="200"/>
        <w:textAlignment w:val="baseline"/>
        <w:rPr>
          <w:rFonts w:ascii="仿宋_GB2312" w:cs="DengXian-Regular"/>
          <w:szCs w:val="32"/>
        </w:rPr>
      </w:pPr>
      <w:r>
        <w:rPr>
          <w:rFonts w:hint="eastAsia" w:ascii="仿宋_GB2312" w:cs="DengXian-Regular"/>
          <w:szCs w:val="32"/>
        </w:rPr>
        <w:t>（1）</w:t>
      </w:r>
      <w:r>
        <w:rPr>
          <w:rFonts w:ascii="仿宋_GB2312" w:cs="DengXian-Regular"/>
          <w:szCs w:val="32"/>
        </w:rPr>
        <w:t>《中华人民共和国预算法》；</w:t>
      </w:r>
    </w:p>
    <w:p>
      <w:pPr>
        <w:spacing w:line="580" w:lineRule="exact"/>
        <w:ind w:firstLine="640" w:firstLineChars="200"/>
        <w:textAlignment w:val="baseline"/>
        <w:rPr>
          <w:rFonts w:ascii="仿宋_GB2312" w:cs="DengXian-Regular"/>
          <w:szCs w:val="32"/>
        </w:rPr>
      </w:pPr>
      <w:r>
        <w:rPr>
          <w:rFonts w:hint="eastAsia" w:ascii="仿宋_GB2312" w:cs="DengXian-Regular"/>
          <w:szCs w:val="32"/>
        </w:rPr>
        <w:t>（2）中共中央国务院《关于全面实施预算绩效管理的意见》（中发〔2018〕34号）；</w:t>
      </w:r>
    </w:p>
    <w:p>
      <w:pPr>
        <w:spacing w:line="580" w:lineRule="exact"/>
        <w:ind w:firstLine="640" w:firstLineChars="200"/>
        <w:textAlignment w:val="baseline"/>
        <w:rPr>
          <w:rFonts w:ascii="仿宋_GB2312" w:cs="DengXian-Regular"/>
          <w:szCs w:val="32"/>
        </w:rPr>
      </w:pPr>
      <w:r>
        <w:rPr>
          <w:rFonts w:hint="eastAsia" w:ascii="仿宋_GB2312" w:cs="DengXian-Regular"/>
          <w:szCs w:val="32"/>
        </w:rPr>
        <w:t>（3）中共河北省委河北省人民政府</w:t>
      </w:r>
      <w:r>
        <w:rPr>
          <w:rFonts w:ascii="仿宋_GB2312" w:cs="DengXian-Regular"/>
          <w:szCs w:val="32"/>
        </w:rPr>
        <w:t>《</w:t>
      </w:r>
      <w:r>
        <w:rPr>
          <w:rFonts w:hint="eastAsia" w:ascii="仿宋_GB2312" w:cs="DengXian-Regular"/>
          <w:szCs w:val="32"/>
        </w:rPr>
        <w:t>关于全面实施预算绩效管理的实施意见</w:t>
      </w:r>
      <w:r>
        <w:rPr>
          <w:rFonts w:ascii="仿宋_GB2312" w:cs="DengXian-Regular"/>
          <w:szCs w:val="32"/>
        </w:rPr>
        <w:t>》（冀</w:t>
      </w:r>
      <w:r>
        <w:rPr>
          <w:rFonts w:hint="eastAsia" w:ascii="仿宋_GB2312" w:cs="DengXian-Regular"/>
          <w:szCs w:val="32"/>
        </w:rPr>
        <w:t>发〔2018〕54</w:t>
      </w:r>
      <w:r>
        <w:rPr>
          <w:rFonts w:ascii="仿宋_GB2312" w:cs="DengXian-Regular"/>
          <w:szCs w:val="32"/>
        </w:rPr>
        <w:t>号）</w:t>
      </w:r>
      <w:r>
        <w:rPr>
          <w:rFonts w:hint="eastAsia" w:ascii="仿宋_GB2312" w:cs="DengXian-Regular"/>
          <w:szCs w:val="32"/>
        </w:rPr>
        <w:t>；</w:t>
      </w:r>
    </w:p>
    <w:p>
      <w:pPr>
        <w:spacing w:line="580" w:lineRule="exact"/>
        <w:ind w:firstLine="640" w:firstLineChars="200"/>
        <w:textAlignment w:val="baseline"/>
        <w:rPr>
          <w:rFonts w:ascii="仿宋_GB2312" w:cs="DengXian-Regular"/>
          <w:szCs w:val="32"/>
        </w:rPr>
      </w:pPr>
      <w:r>
        <w:rPr>
          <w:rFonts w:hint="eastAsia" w:ascii="仿宋_GB2312" w:cs="DengXian-Regular"/>
          <w:szCs w:val="32"/>
        </w:rPr>
        <w:t>（4）财政部《项目支出绩效评价管理办法》（财预〔2020〕10</w:t>
      </w:r>
      <w:r>
        <w:rPr>
          <w:rFonts w:ascii="仿宋_GB2312" w:cs="DengXian-Regular"/>
          <w:szCs w:val="32"/>
        </w:rPr>
        <w:t>号</w:t>
      </w:r>
      <w:r>
        <w:rPr>
          <w:rFonts w:hint="eastAsia" w:ascii="仿宋_GB2312" w:cs="DengXian-Regular"/>
          <w:szCs w:val="32"/>
        </w:rPr>
        <w:t>）；</w:t>
      </w:r>
    </w:p>
    <w:p>
      <w:pPr>
        <w:spacing w:line="580" w:lineRule="exact"/>
        <w:ind w:firstLine="640" w:firstLineChars="200"/>
        <w:textAlignment w:val="baseline"/>
        <w:rPr>
          <w:rFonts w:ascii="仿宋_GB2312" w:cs="DengXian-Regular"/>
          <w:szCs w:val="32"/>
        </w:rPr>
      </w:pPr>
      <w:r>
        <w:rPr>
          <w:rFonts w:hint="eastAsia" w:ascii="仿宋_GB2312" w:cs="DengXian-Regular"/>
          <w:szCs w:val="32"/>
        </w:rPr>
        <w:t>（5）</w:t>
      </w:r>
      <w:r>
        <w:rPr>
          <w:rFonts w:hint="eastAsia"/>
          <w:szCs w:val="32"/>
        </w:rPr>
        <w:t>保定市徐水区财政局《关于开展2021年度财政重点绩效评价工作的通知》（徐政财字〔2021〕13号）；</w:t>
      </w:r>
    </w:p>
    <w:p>
      <w:pPr>
        <w:spacing w:line="580" w:lineRule="exact"/>
        <w:ind w:firstLine="640" w:firstLineChars="200"/>
        <w:rPr>
          <w:b/>
          <w:bCs/>
          <w:szCs w:val="32"/>
        </w:rPr>
      </w:pPr>
      <w:r>
        <w:rPr>
          <w:rFonts w:hint="eastAsia" w:ascii="仿宋_GB2312" w:cs="DengXian-Regular"/>
          <w:szCs w:val="32"/>
        </w:rPr>
        <w:t>（6）其他与项目绩效评价工作相关的资料。</w:t>
      </w:r>
    </w:p>
    <w:p>
      <w:pPr>
        <w:pStyle w:val="43"/>
        <w:spacing w:line="580" w:lineRule="exact"/>
        <w:ind w:firstLine="643"/>
        <w:rPr>
          <w:b/>
          <w:bCs/>
          <w:szCs w:val="32"/>
        </w:rPr>
      </w:pPr>
      <w:r>
        <w:rPr>
          <w:rFonts w:hint="eastAsia"/>
          <w:b/>
          <w:bCs/>
          <w:szCs w:val="32"/>
        </w:rPr>
        <w:t>4.绩效评价方法</w:t>
      </w:r>
    </w:p>
    <w:p>
      <w:pPr>
        <w:spacing w:line="580" w:lineRule="exact"/>
        <w:ind w:firstLine="640" w:firstLineChars="200"/>
        <w:rPr>
          <w:szCs w:val="32"/>
        </w:rPr>
      </w:pPr>
      <w:r>
        <w:rPr>
          <w:rFonts w:hint="eastAsia"/>
          <w:szCs w:val="32"/>
        </w:rPr>
        <w:t>本次绩效评价方法主要包括成本效益法、比较法、因素分析法、公众评判法。具体如下：</w:t>
      </w:r>
      <w:r>
        <w:rPr>
          <w:rFonts w:hint="eastAsia"/>
          <w:szCs w:val="32"/>
        </w:rPr>
        <w:br w:type="textWrapping"/>
      </w:r>
      <w:r>
        <w:rPr>
          <w:rFonts w:hint="eastAsia"/>
          <w:szCs w:val="32"/>
        </w:rPr>
        <w:t xml:space="preserve">    成本效益法：是指将投入与产出、效益进行关联性分析的方法。</w:t>
      </w:r>
    </w:p>
    <w:p>
      <w:pPr>
        <w:spacing w:line="580" w:lineRule="exact"/>
        <w:ind w:firstLine="640" w:firstLineChars="200"/>
        <w:rPr>
          <w:szCs w:val="32"/>
        </w:rPr>
      </w:pPr>
      <w:r>
        <w:rPr>
          <w:rFonts w:hint="eastAsia"/>
          <w:szCs w:val="32"/>
        </w:rPr>
        <w:t>比较法：是指将实施情况与绩效目标、历史情况、不同部门和地区同类支出情况进行比较的方法。</w:t>
      </w:r>
    </w:p>
    <w:p>
      <w:pPr>
        <w:spacing w:line="580" w:lineRule="exact"/>
        <w:ind w:firstLine="640" w:firstLineChars="200"/>
        <w:rPr>
          <w:szCs w:val="32"/>
        </w:rPr>
      </w:pPr>
      <w:r>
        <w:rPr>
          <w:rFonts w:hint="eastAsia"/>
          <w:szCs w:val="32"/>
        </w:rPr>
        <w:t>因素分析法：是指综合分析影响绩效目标实现、实施效果的内外部因素的方法。</w:t>
      </w:r>
    </w:p>
    <w:p>
      <w:pPr>
        <w:spacing w:line="580" w:lineRule="exact"/>
        <w:ind w:firstLine="640" w:firstLineChars="200"/>
        <w:rPr>
          <w:szCs w:val="32"/>
        </w:rPr>
      </w:pPr>
      <w:r>
        <w:rPr>
          <w:rFonts w:hint="eastAsia"/>
          <w:szCs w:val="32"/>
        </w:rPr>
        <w:t>公众评判法：是指通过公众问卷及抽样调查等方式进行评判的方法。</w:t>
      </w:r>
    </w:p>
    <w:p>
      <w:pPr>
        <w:pStyle w:val="43"/>
        <w:spacing w:line="580" w:lineRule="exact"/>
        <w:ind w:firstLine="643"/>
        <w:rPr>
          <w:b/>
          <w:bCs/>
          <w:szCs w:val="32"/>
        </w:rPr>
      </w:pPr>
      <w:r>
        <w:rPr>
          <w:rFonts w:hint="eastAsia"/>
          <w:b/>
          <w:bCs/>
          <w:szCs w:val="32"/>
        </w:rPr>
        <w:t>5.绩效评价标准</w:t>
      </w:r>
    </w:p>
    <w:p>
      <w:pPr>
        <w:spacing w:line="580" w:lineRule="exact"/>
        <w:ind w:firstLine="640" w:firstLineChars="200"/>
        <w:rPr>
          <w:szCs w:val="32"/>
        </w:rPr>
      </w:pPr>
      <w:r>
        <w:rPr>
          <w:rFonts w:hint="eastAsia"/>
          <w:szCs w:val="32"/>
        </w:rPr>
        <w:t>计划标准：以预先制定的目标、计划、预算等作为评价标准。</w:t>
      </w:r>
    </w:p>
    <w:p>
      <w:pPr>
        <w:spacing w:line="580" w:lineRule="exact"/>
        <w:ind w:firstLine="640" w:firstLineChars="200"/>
        <w:rPr>
          <w:szCs w:val="32"/>
        </w:rPr>
      </w:pPr>
      <w:r>
        <w:rPr>
          <w:rFonts w:hint="eastAsia"/>
          <w:szCs w:val="32"/>
        </w:rPr>
        <w:t>历史标准：参照同类指标的历史数据制定评价标准。</w:t>
      </w:r>
    </w:p>
    <w:p>
      <w:pPr>
        <w:spacing w:line="580" w:lineRule="exact"/>
        <w:ind w:firstLine="640" w:firstLineChars="200"/>
        <w:rPr>
          <w:szCs w:val="32"/>
        </w:rPr>
      </w:pPr>
      <w:r>
        <w:rPr>
          <w:rFonts w:hint="eastAsia"/>
          <w:szCs w:val="32"/>
        </w:rPr>
        <w:t>行业标准：参照国家、省公布的行业指标数据作为评价标准。</w:t>
      </w:r>
    </w:p>
    <w:p>
      <w:pPr>
        <w:pStyle w:val="3"/>
        <w:spacing w:before="0" w:after="0" w:line="580" w:lineRule="exact"/>
        <w:ind w:firstLine="643" w:firstLineChars="200"/>
        <w:rPr>
          <w:rFonts w:ascii="方正楷体" w:hAnsi="Times New Roman" w:eastAsia="方正楷体"/>
        </w:rPr>
      </w:pPr>
      <w:bookmarkStart w:id="49" w:name="_Toc38452633"/>
      <w:bookmarkStart w:id="50" w:name="_Toc41137187"/>
      <w:bookmarkStart w:id="51" w:name="_Toc72161443"/>
      <w:bookmarkStart w:id="52" w:name="_Toc3504"/>
      <w:bookmarkStart w:id="53" w:name="_Toc38447889"/>
      <w:r>
        <w:rPr>
          <w:rFonts w:hint="eastAsia" w:ascii="方正楷体" w:hAnsi="Times New Roman" w:eastAsia="方正楷体"/>
        </w:rPr>
        <w:t>（三）绩效评价工作过程</w:t>
      </w:r>
      <w:bookmarkEnd w:id="49"/>
      <w:bookmarkEnd w:id="50"/>
      <w:bookmarkEnd w:id="51"/>
      <w:bookmarkEnd w:id="52"/>
      <w:bookmarkEnd w:id="53"/>
    </w:p>
    <w:p>
      <w:pPr>
        <w:spacing w:line="580" w:lineRule="exact"/>
        <w:ind w:firstLine="640" w:firstLineChars="200"/>
        <w:textAlignment w:val="baseline"/>
        <w:rPr>
          <w:rFonts w:ascii="仿宋_GB2312" w:cs="DengXian-Regular"/>
          <w:szCs w:val="32"/>
        </w:rPr>
      </w:pPr>
      <w:r>
        <w:rPr>
          <w:rFonts w:hint="eastAsia" w:ascii="仿宋_GB2312" w:cs="DengXian-Regular"/>
          <w:szCs w:val="32"/>
        </w:rPr>
        <w:t>本次绩效评价工作经过了前期准备、绩效评价实施方案和指标体系制定、组织实施、绩效评价报告撰写四个阶段。</w:t>
      </w:r>
    </w:p>
    <w:p>
      <w:pPr>
        <w:pStyle w:val="43"/>
        <w:spacing w:line="580" w:lineRule="exact"/>
        <w:ind w:firstLine="643"/>
        <w:textAlignment w:val="baseline"/>
        <w:rPr>
          <w:rFonts w:ascii="仿宋_GB2312" w:cs="DengXian-Regular"/>
          <w:b/>
          <w:bCs/>
          <w:szCs w:val="32"/>
        </w:rPr>
      </w:pPr>
      <w:r>
        <w:rPr>
          <w:rFonts w:hint="eastAsia" w:ascii="仿宋_GB2312" w:cs="DengXian-Regular"/>
          <w:b/>
          <w:bCs/>
          <w:szCs w:val="32"/>
        </w:rPr>
        <w:t>1.前期准备阶段</w:t>
      </w:r>
    </w:p>
    <w:p>
      <w:pPr>
        <w:spacing w:line="580" w:lineRule="exact"/>
        <w:ind w:firstLine="640" w:firstLineChars="200"/>
        <w:textAlignment w:val="baseline"/>
        <w:rPr>
          <w:rFonts w:ascii="仿宋_GB2312" w:cs="DengXian-Regular"/>
          <w:szCs w:val="32"/>
        </w:rPr>
      </w:pPr>
      <w:r>
        <w:rPr>
          <w:rFonts w:hint="eastAsia" w:ascii="仿宋_GB2312" w:cs="DengXian-Regular"/>
          <w:szCs w:val="32"/>
        </w:rPr>
        <w:t>经与区人社局充分沟通，并充分收集相关资料，主要包括年初及预算绩效目标指标表、相关政策文件、相关管理制度、资金收支等相关资料，为制定绩效评价实施方案和指标体系奠定了基础。</w:t>
      </w:r>
    </w:p>
    <w:p>
      <w:pPr>
        <w:pStyle w:val="43"/>
        <w:spacing w:line="580" w:lineRule="exact"/>
        <w:ind w:firstLine="643"/>
        <w:textAlignment w:val="baseline"/>
        <w:rPr>
          <w:rFonts w:ascii="仿宋_GB2312" w:cs="DengXian-Regular"/>
          <w:b/>
          <w:bCs/>
          <w:szCs w:val="32"/>
        </w:rPr>
      </w:pPr>
      <w:r>
        <w:rPr>
          <w:rFonts w:hint="eastAsia" w:ascii="仿宋_GB2312" w:cs="DengXian-Regular"/>
          <w:b/>
          <w:bCs/>
          <w:szCs w:val="32"/>
        </w:rPr>
        <w:t>2.制定绩效评价实施方案和指标体系</w:t>
      </w:r>
    </w:p>
    <w:p>
      <w:pPr>
        <w:spacing w:line="580" w:lineRule="exact"/>
        <w:ind w:firstLine="640" w:firstLineChars="200"/>
        <w:textAlignment w:val="baseline"/>
        <w:rPr>
          <w:rFonts w:ascii="仿宋_GB2312" w:cs="DengXian-Regular"/>
          <w:szCs w:val="32"/>
        </w:rPr>
      </w:pPr>
      <w:r>
        <w:rPr>
          <w:rFonts w:hint="eastAsia" w:ascii="仿宋_GB2312" w:cs="DengXian-Regular"/>
          <w:szCs w:val="32"/>
        </w:rPr>
        <w:t>基于对</w:t>
      </w:r>
      <w:r>
        <w:rPr>
          <w:rFonts w:ascii="仿宋_GB2312" w:cs="DengXian-Regular"/>
          <w:szCs w:val="32"/>
        </w:rPr>
        <w:t>2020</w:t>
      </w:r>
      <w:r>
        <w:rPr>
          <w:rFonts w:hint="eastAsia" w:ascii="仿宋_GB2312" w:cs="DengXian-Regular"/>
          <w:szCs w:val="32"/>
        </w:rPr>
        <w:t>年度就业补助资金项目的相关资料的收集和了解，我们制定了绩效评价实施方案和指标体系，由保定市徐水区财政局相关人员对绩效评价实施方案及指标体系进行修正，确定最终实施方案及指标体系。</w:t>
      </w:r>
    </w:p>
    <w:p>
      <w:pPr>
        <w:pStyle w:val="43"/>
        <w:spacing w:line="580" w:lineRule="exact"/>
        <w:ind w:firstLine="643"/>
        <w:textAlignment w:val="baseline"/>
        <w:rPr>
          <w:rFonts w:ascii="仿宋_GB2312" w:cs="DengXian-Regular"/>
          <w:b/>
          <w:bCs/>
          <w:szCs w:val="32"/>
        </w:rPr>
      </w:pPr>
      <w:r>
        <w:rPr>
          <w:rFonts w:hint="eastAsia" w:ascii="仿宋_GB2312" w:cs="DengXian-Regular"/>
          <w:b/>
          <w:bCs/>
          <w:szCs w:val="32"/>
        </w:rPr>
        <w:t>3.组织实施阶段</w:t>
      </w:r>
    </w:p>
    <w:p>
      <w:pPr>
        <w:pStyle w:val="43"/>
        <w:spacing w:line="580" w:lineRule="exact"/>
        <w:ind w:firstLine="640"/>
        <w:textAlignment w:val="baseline"/>
        <w:rPr>
          <w:rFonts w:ascii="仿宋_GB2312" w:cs="DengXian-Regular"/>
          <w:szCs w:val="32"/>
        </w:rPr>
      </w:pPr>
      <w:r>
        <w:rPr>
          <w:rFonts w:hint="eastAsia" w:ascii="仿宋_GB2312" w:cs="DengXian-Regular"/>
          <w:szCs w:val="32"/>
        </w:rPr>
        <w:t>根据绩效评价实施方案和指标体系，对区人社局开展现场评价工作，包括查看项目绩效目标和指标，核对收入支出情况，查看单位相关制度制定及执行情况，查看相关公开公示信息及相关申请资料，随机选取服务对象进行满意度调查等。根据收集的数据、资料进行核对、比较、计算，对该项目进行评分。</w:t>
      </w:r>
    </w:p>
    <w:p>
      <w:pPr>
        <w:pStyle w:val="43"/>
        <w:spacing w:line="580" w:lineRule="exact"/>
        <w:ind w:firstLine="643"/>
        <w:textAlignment w:val="baseline"/>
        <w:rPr>
          <w:rFonts w:ascii="仿宋_GB2312" w:cs="DengXian-Regular"/>
          <w:b/>
          <w:bCs/>
          <w:szCs w:val="32"/>
        </w:rPr>
      </w:pPr>
      <w:r>
        <w:rPr>
          <w:rFonts w:hint="eastAsia" w:ascii="仿宋_GB2312" w:cs="DengXian-Regular"/>
          <w:b/>
          <w:bCs/>
          <w:szCs w:val="32"/>
        </w:rPr>
        <w:t>4.撰写绩效评价报告</w:t>
      </w:r>
    </w:p>
    <w:p>
      <w:pPr>
        <w:spacing w:line="580" w:lineRule="exact"/>
        <w:ind w:firstLine="640" w:firstLineChars="200"/>
        <w:textAlignment w:val="baseline"/>
        <w:rPr>
          <w:rFonts w:ascii="仿宋_GB2312" w:cs="DengXian-Regular"/>
          <w:szCs w:val="32"/>
        </w:rPr>
      </w:pPr>
      <w:r>
        <w:rPr>
          <w:rFonts w:hint="eastAsia" w:ascii="仿宋_GB2312" w:cs="DengXian-Regular"/>
          <w:szCs w:val="32"/>
        </w:rPr>
        <w:t>在完成对各评价指标评分定级的基础上，开始进行报告撰写工作。在该阶段，我们对所有的指标分值进行了重新复核，确保其一致性。报告撰写完成后经过内部讨论、与委托方交换沟通、审核修改，最终形成正式报告。</w:t>
      </w:r>
    </w:p>
    <w:p>
      <w:pPr>
        <w:pStyle w:val="2"/>
        <w:keepNext w:val="0"/>
        <w:keepLines w:val="0"/>
        <w:spacing w:before="0" w:after="0" w:line="580" w:lineRule="exact"/>
        <w:ind w:firstLine="643" w:firstLineChars="200"/>
        <w:jc w:val="left"/>
        <w:rPr>
          <w:rFonts w:ascii="黑体" w:hAnsi="黑体" w:eastAsia="黑体" w:cs="黑体"/>
          <w:sz w:val="32"/>
          <w:szCs w:val="32"/>
        </w:rPr>
      </w:pPr>
      <w:bookmarkStart w:id="54" w:name="_Toc38447890"/>
      <w:bookmarkStart w:id="55" w:name="_Toc38452634"/>
      <w:bookmarkStart w:id="56" w:name="_Toc14152"/>
      <w:bookmarkStart w:id="57" w:name="_Toc41137188"/>
      <w:bookmarkStart w:id="58" w:name="_Toc72161444"/>
      <w:r>
        <w:rPr>
          <w:rFonts w:hint="eastAsia" w:ascii="黑体" w:hAnsi="黑体" w:eastAsia="黑体" w:cs="黑体"/>
          <w:sz w:val="32"/>
          <w:szCs w:val="32"/>
        </w:rPr>
        <w:t>三、综合评价情况及评价结论</w:t>
      </w:r>
      <w:bookmarkEnd w:id="54"/>
      <w:bookmarkEnd w:id="55"/>
      <w:bookmarkEnd w:id="56"/>
      <w:bookmarkEnd w:id="57"/>
      <w:bookmarkEnd w:id="58"/>
    </w:p>
    <w:p>
      <w:pPr>
        <w:spacing w:line="580" w:lineRule="exact"/>
        <w:ind w:firstLine="640" w:firstLineChars="200"/>
        <w:rPr>
          <w:rFonts w:ascii="仿宋_GB2312" w:cs="DengXian-Regular"/>
          <w:szCs w:val="32"/>
        </w:rPr>
      </w:pPr>
      <w:r>
        <w:rPr>
          <w:rFonts w:hint="eastAsia" w:ascii="仿宋_GB2312" w:hAnsi="仿宋_GB2312"/>
          <w:szCs w:val="32"/>
        </w:rPr>
        <w:t>因该项目未制定详细的绩效目标，评价组将2020年的完成情况与2019年完成情况做一对比，以期客观公正评价项目的产出和效益情况。</w:t>
      </w:r>
    </w:p>
    <w:p>
      <w:pPr>
        <w:spacing w:line="580" w:lineRule="exact"/>
        <w:ind w:firstLine="640" w:firstLineChars="200"/>
        <w:rPr>
          <w:rFonts w:ascii="仿宋_GB2312" w:hAnsi="仿宋_GB2312"/>
          <w:color w:val="FF0000"/>
          <w:szCs w:val="32"/>
        </w:rPr>
      </w:pPr>
      <w:r>
        <w:rPr>
          <w:rFonts w:hint="eastAsia" w:ascii="仿宋_GB2312" w:cs="DengXian-Regular"/>
          <w:szCs w:val="32"/>
        </w:rPr>
        <w:t>整体上看，2020年度申请就业补贴人数</w:t>
      </w:r>
      <w:r>
        <w:rPr>
          <w:rFonts w:ascii="仿宋_GB2312" w:cs="DengXian-Regular"/>
          <w:szCs w:val="32"/>
        </w:rPr>
        <w:t>1076</w:t>
      </w:r>
      <w:r>
        <w:rPr>
          <w:rFonts w:hint="eastAsia" w:ascii="仿宋_GB2312" w:cs="DengXian-Regular"/>
          <w:szCs w:val="32"/>
        </w:rPr>
        <w:t>人，实际发放2</w:t>
      </w:r>
      <w:r>
        <w:rPr>
          <w:rFonts w:ascii="仿宋_GB2312" w:cs="DengXian-Regular"/>
          <w:szCs w:val="32"/>
        </w:rPr>
        <w:t>020</w:t>
      </w:r>
      <w:r>
        <w:rPr>
          <w:rFonts w:hint="eastAsia" w:ascii="仿宋_GB2312" w:cs="DengXian-Regular"/>
          <w:szCs w:val="32"/>
        </w:rPr>
        <w:t>年补贴人数</w:t>
      </w:r>
      <w:r>
        <w:rPr>
          <w:rFonts w:ascii="仿宋_GB2312" w:cs="DengXian-Regular"/>
          <w:szCs w:val="32"/>
        </w:rPr>
        <w:t>1076</w:t>
      </w:r>
      <w:r>
        <w:rPr>
          <w:rFonts w:hint="eastAsia" w:ascii="仿宋_GB2312" w:cs="DengXian-Regular"/>
          <w:szCs w:val="32"/>
        </w:rPr>
        <w:t>人，补发2</w:t>
      </w:r>
      <w:r>
        <w:rPr>
          <w:rFonts w:ascii="仿宋_GB2312" w:cs="DengXian-Regular"/>
          <w:szCs w:val="32"/>
        </w:rPr>
        <w:t>019</w:t>
      </w:r>
      <w:r>
        <w:rPr>
          <w:rFonts w:hint="eastAsia" w:ascii="仿宋_GB2312" w:cs="DengXian-Regular"/>
          <w:szCs w:val="32"/>
        </w:rPr>
        <w:t>年1人,当年补贴数</w:t>
      </w:r>
      <w:r>
        <w:rPr>
          <w:rFonts w:hint="eastAsia" w:ascii="仿宋_GB2312" w:hAnsi="仿宋"/>
          <w:szCs w:val="32"/>
        </w:rPr>
        <w:t>与应补贴人数一致，实际完成率100%。20</w:t>
      </w:r>
      <w:r>
        <w:rPr>
          <w:rFonts w:ascii="仿宋_GB2312" w:hAnsi="仿宋"/>
          <w:szCs w:val="32"/>
        </w:rPr>
        <w:t>20</w:t>
      </w:r>
      <w:r>
        <w:rPr>
          <w:rFonts w:hint="eastAsia" w:ascii="仿宋_GB2312" w:hAnsi="仿宋"/>
          <w:szCs w:val="32"/>
        </w:rPr>
        <w:t>年</w:t>
      </w:r>
      <w:r>
        <w:rPr>
          <w:rFonts w:hint="eastAsia" w:ascii="仿宋_GB2312" w:hAnsi="仿宋_GB2312"/>
          <w:szCs w:val="32"/>
        </w:rPr>
        <w:t>年末城镇登记失业率3.16%，与上年数据持平。当年全区新增就业人数4114人，</w:t>
      </w:r>
      <w:r>
        <w:rPr>
          <w:rFonts w:hint="eastAsia" w:ascii="仿宋_GB2312" w:hAnsi="仿宋"/>
          <w:szCs w:val="32"/>
        </w:rPr>
        <w:t>较上年数据有所增长。2</w:t>
      </w:r>
      <w:r>
        <w:rPr>
          <w:rFonts w:ascii="仿宋_GB2312" w:hAnsi="仿宋"/>
          <w:szCs w:val="32"/>
        </w:rPr>
        <w:t>020</w:t>
      </w:r>
      <w:r>
        <w:rPr>
          <w:rFonts w:hint="eastAsia" w:ascii="仿宋_GB2312" w:hAnsi="仿宋"/>
          <w:szCs w:val="32"/>
        </w:rPr>
        <w:t>年</w:t>
      </w:r>
      <w:r>
        <w:rPr>
          <w:rFonts w:hint="eastAsia" w:ascii="仿宋_GB2312" w:hAnsi="仿宋_GB2312"/>
          <w:szCs w:val="32"/>
        </w:rPr>
        <w:t>就业困难人员再就业人数498人，相较</w:t>
      </w:r>
      <w:r>
        <w:rPr>
          <w:rFonts w:hint="eastAsia" w:ascii="仿宋_GB2312" w:hAnsi="仿宋"/>
          <w:bCs/>
          <w:szCs w:val="32"/>
        </w:rPr>
        <w:t>201</w:t>
      </w:r>
      <w:r>
        <w:rPr>
          <w:rFonts w:ascii="仿宋_GB2312" w:hAnsi="仿宋"/>
          <w:bCs/>
          <w:szCs w:val="32"/>
        </w:rPr>
        <w:t>9</w:t>
      </w:r>
      <w:r>
        <w:rPr>
          <w:rFonts w:hint="eastAsia" w:ascii="仿宋_GB2312" w:hAnsi="仿宋"/>
          <w:bCs/>
          <w:szCs w:val="32"/>
        </w:rPr>
        <w:t>年就业困难人员再就业人数</w:t>
      </w:r>
      <w:r>
        <w:rPr>
          <w:rFonts w:ascii="仿宋_GB2312" w:hAnsi="仿宋"/>
          <w:bCs/>
          <w:szCs w:val="32"/>
        </w:rPr>
        <w:t>504</w:t>
      </w:r>
      <w:r>
        <w:rPr>
          <w:rFonts w:hint="eastAsia" w:ascii="仿宋_GB2312" w:hAnsi="仿宋"/>
          <w:bCs/>
          <w:szCs w:val="32"/>
        </w:rPr>
        <w:t>人，增长率不增反降。</w:t>
      </w:r>
    </w:p>
    <w:p>
      <w:pPr>
        <w:spacing w:line="580" w:lineRule="exact"/>
        <w:ind w:firstLine="640" w:firstLineChars="200"/>
        <w:rPr>
          <w:rFonts w:ascii="仿宋_GB2312" w:cs="DengXian-Regular"/>
          <w:bCs/>
          <w:szCs w:val="32"/>
        </w:rPr>
      </w:pPr>
      <w:r>
        <w:rPr>
          <w:rFonts w:hint="eastAsia" w:ascii="仿宋_GB2312" w:cs="DengXian-Regular"/>
          <w:szCs w:val="32"/>
        </w:rPr>
        <w:t>在项目实施过程中，</w:t>
      </w:r>
      <w:r>
        <w:rPr>
          <w:rFonts w:hint="eastAsia" w:ascii="仿宋_GB2312" w:cs="DengXian-Regular"/>
          <w:bCs/>
          <w:szCs w:val="32"/>
        </w:rPr>
        <w:t>区人社局结合保定市人力资源和社会保障局印发的《保定市就业困难认定办法》、《河北省就业创业资金管理办法》等相关办法制定了相应的财务管理制度、业务制度，并严格按相关制度执行。在补贴发放中，按照</w:t>
      </w:r>
      <w:r>
        <w:rPr>
          <w:rFonts w:hint="eastAsia" w:ascii="仿宋_GB2312" w:cs="DengXian-Regular"/>
          <w:szCs w:val="32"/>
        </w:rPr>
        <w:t>《河北省就业创业资金管理办法》规定的标准发放，并按要求公开公示，及时发放。问卷调查显示大部分受益群众对补贴发放的流程及资金拨付的及时性表示满意。</w:t>
      </w:r>
    </w:p>
    <w:p>
      <w:pPr>
        <w:spacing w:line="580" w:lineRule="exact"/>
        <w:ind w:firstLine="640" w:firstLineChars="200"/>
        <w:rPr>
          <w:rFonts w:ascii="仿宋_GB2312" w:cs="DengXian-Regular"/>
          <w:b/>
          <w:szCs w:val="32"/>
        </w:rPr>
      </w:pPr>
      <w:r>
        <w:rPr>
          <w:rFonts w:hint="eastAsia" w:ascii="仿宋_GB2312" w:cs="DengXian-Regular"/>
          <w:szCs w:val="32"/>
        </w:rPr>
        <w:t>通过本次绩效评价工作，我们也发现该项目在预算管理、过程管理、产出等方面仍存在一些不足之处。</w:t>
      </w:r>
    </w:p>
    <w:p>
      <w:pPr>
        <w:pStyle w:val="2"/>
        <w:keepNext w:val="0"/>
        <w:keepLines w:val="0"/>
        <w:spacing w:before="0" w:after="0" w:line="580" w:lineRule="exact"/>
        <w:ind w:firstLine="643" w:firstLineChars="200"/>
        <w:jc w:val="left"/>
        <w:rPr>
          <w:rFonts w:ascii="黑体" w:hAnsi="黑体" w:eastAsia="黑体" w:cs="黑体"/>
          <w:sz w:val="32"/>
          <w:szCs w:val="32"/>
        </w:rPr>
      </w:pPr>
      <w:bookmarkStart w:id="59" w:name="_Toc41137189"/>
      <w:bookmarkStart w:id="60" w:name="_Toc38447891"/>
      <w:bookmarkStart w:id="61" w:name="_Toc38452635"/>
      <w:bookmarkStart w:id="62" w:name="_Toc3561"/>
      <w:bookmarkStart w:id="63" w:name="_Toc72161445"/>
      <w:r>
        <w:rPr>
          <w:rFonts w:hint="eastAsia" w:ascii="黑体" w:hAnsi="黑体" w:eastAsia="黑体" w:cs="黑体"/>
          <w:sz w:val="32"/>
          <w:szCs w:val="32"/>
        </w:rPr>
        <w:t>四、绩效评价指标分析</w:t>
      </w:r>
      <w:bookmarkEnd w:id="59"/>
      <w:bookmarkEnd w:id="60"/>
      <w:bookmarkEnd w:id="61"/>
      <w:bookmarkEnd w:id="62"/>
      <w:bookmarkEnd w:id="63"/>
    </w:p>
    <w:p>
      <w:pPr>
        <w:spacing w:line="580" w:lineRule="exact"/>
        <w:ind w:firstLine="640" w:firstLineChars="200"/>
        <w:rPr>
          <w:rFonts w:ascii="仿宋_GB2312" w:hAnsi="仿宋"/>
          <w:szCs w:val="32"/>
        </w:rPr>
      </w:pPr>
      <w:r>
        <w:rPr>
          <w:rFonts w:hint="eastAsia" w:ascii="仿宋_GB2312" w:hAnsi="仿宋"/>
          <w:szCs w:val="32"/>
        </w:rPr>
        <w:t>通过对区人社局提供的项目资料检查和现场实地查看，该项目综合得分</w:t>
      </w:r>
      <w:r>
        <w:rPr>
          <w:rFonts w:ascii="仿宋_GB2312" w:hAnsi="仿宋"/>
          <w:szCs w:val="32"/>
        </w:rPr>
        <w:t>85</w:t>
      </w:r>
      <w:r>
        <w:rPr>
          <w:rFonts w:hint="eastAsia" w:ascii="仿宋_GB2312" w:hAnsi="仿宋"/>
          <w:szCs w:val="32"/>
        </w:rPr>
        <w:t>分，评价等级为“良”。各项得分情况明细如下：</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30" w:type="dxa"/>
          <w:left w:w="108" w:type="dxa"/>
          <w:bottom w:w="30" w:type="dxa"/>
          <w:right w:w="108" w:type="dxa"/>
        </w:tblCellMar>
      </w:tblPr>
      <w:tblGrid>
        <w:gridCol w:w="3540"/>
        <w:gridCol w:w="4270"/>
        <w:gridCol w:w="14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blHeader/>
        </w:trPr>
        <w:tc>
          <w:tcPr>
            <w:tcW w:w="1906"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4"/>
                <w:szCs w:val="21"/>
              </w:rPr>
            </w:pPr>
            <w:r>
              <w:rPr>
                <w:rFonts w:hint="eastAsia" w:ascii="黑体" w:hAnsi="黑体" w:eastAsia="黑体" w:cs="黑体"/>
                <w:b/>
                <w:bCs/>
                <w:snapToGrid w:val="0"/>
                <w:kern w:val="0"/>
                <w:sz w:val="24"/>
                <w:szCs w:val="21"/>
              </w:rPr>
              <w:t>一级指标</w:t>
            </w:r>
          </w:p>
        </w:tc>
        <w:tc>
          <w:tcPr>
            <w:tcW w:w="2299"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4"/>
                <w:szCs w:val="21"/>
              </w:rPr>
            </w:pPr>
            <w:r>
              <w:rPr>
                <w:rFonts w:hint="eastAsia" w:ascii="黑体" w:hAnsi="黑体" w:eastAsia="黑体" w:cs="黑体"/>
                <w:b/>
                <w:bCs/>
                <w:snapToGrid w:val="0"/>
                <w:kern w:val="0"/>
                <w:sz w:val="24"/>
                <w:szCs w:val="21"/>
              </w:rPr>
              <w:t>二级指标</w:t>
            </w:r>
          </w:p>
        </w:tc>
        <w:tc>
          <w:tcPr>
            <w:tcW w:w="795" w:type="pct"/>
            <w:tcBorders>
              <w:top w:val="single" w:color="auto" w:sz="12" w:space="0"/>
              <w:bottom w:val="single" w:color="auto" w:sz="4" w:space="0"/>
            </w:tcBorders>
            <w:shd w:val="clear" w:color="auto" w:fill="auto"/>
            <w:vAlign w:val="center"/>
          </w:tcPr>
          <w:p>
            <w:pPr>
              <w:widowControl/>
              <w:adjustRightInd w:val="0"/>
              <w:snapToGrid w:val="0"/>
              <w:jc w:val="center"/>
              <w:rPr>
                <w:rFonts w:ascii="黑体" w:hAnsi="黑体" w:eastAsia="黑体" w:cs="黑体"/>
                <w:b/>
                <w:bCs/>
                <w:snapToGrid w:val="0"/>
                <w:kern w:val="0"/>
                <w:sz w:val="24"/>
                <w:szCs w:val="21"/>
              </w:rPr>
            </w:pPr>
            <w:r>
              <w:rPr>
                <w:rFonts w:hint="eastAsia" w:ascii="黑体" w:hAnsi="黑体" w:eastAsia="黑体" w:cs="黑体"/>
                <w:b/>
                <w:bCs/>
                <w:snapToGrid w:val="0"/>
                <w:kern w:val="0"/>
                <w:sz w:val="24"/>
                <w:szCs w:val="21"/>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restart"/>
            <w:tcBorders>
              <w:top w:val="single" w:color="auto" w:sz="4" w:space="0"/>
            </w:tcBorders>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决策（13分）</w:t>
            </w:r>
          </w:p>
        </w:tc>
        <w:tc>
          <w:tcPr>
            <w:tcW w:w="2299" w:type="pct"/>
            <w:tcBorders>
              <w:top w:val="single" w:color="auto" w:sz="4" w:space="0"/>
            </w:tcBorders>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项目立项（4分）</w:t>
            </w:r>
          </w:p>
        </w:tc>
        <w:tc>
          <w:tcPr>
            <w:tcW w:w="795" w:type="pct"/>
            <w:tcBorders>
              <w:top w:val="single" w:color="auto" w:sz="4" w:space="0"/>
            </w:tcBorders>
            <w:shd w:val="clear" w:color="auto" w:fill="auto"/>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continue"/>
            <w:shd w:val="clear" w:color="auto" w:fill="auto"/>
            <w:vAlign w:val="center"/>
          </w:tcPr>
          <w:p>
            <w:pPr>
              <w:widowControl/>
              <w:adjustRightInd w:val="0"/>
              <w:snapToGrid w:val="0"/>
              <w:jc w:val="left"/>
              <w:rPr>
                <w:rFonts w:eastAsia="宋体"/>
                <w:snapToGrid w:val="0"/>
                <w:kern w:val="0"/>
                <w:sz w:val="24"/>
                <w:szCs w:val="21"/>
              </w:rPr>
            </w:pP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绩效目标（7分）</w:t>
            </w:r>
          </w:p>
        </w:tc>
        <w:tc>
          <w:tcPr>
            <w:tcW w:w="795" w:type="pct"/>
            <w:shd w:val="clear" w:color="auto" w:fill="auto"/>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continue"/>
            <w:shd w:val="clear" w:color="auto" w:fill="auto"/>
            <w:vAlign w:val="center"/>
          </w:tcPr>
          <w:p>
            <w:pPr>
              <w:widowControl/>
              <w:adjustRightInd w:val="0"/>
              <w:snapToGrid w:val="0"/>
              <w:jc w:val="left"/>
              <w:rPr>
                <w:rFonts w:eastAsia="宋体"/>
                <w:snapToGrid w:val="0"/>
                <w:kern w:val="0"/>
                <w:sz w:val="24"/>
                <w:szCs w:val="21"/>
              </w:rPr>
            </w:pP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资金投入（2分）</w:t>
            </w:r>
          </w:p>
        </w:tc>
        <w:tc>
          <w:tcPr>
            <w:tcW w:w="795" w:type="pct"/>
            <w:shd w:val="clear" w:color="auto" w:fill="auto"/>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restar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过程（27分）</w:t>
            </w: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资金管理（12分）</w:t>
            </w:r>
          </w:p>
        </w:tc>
        <w:tc>
          <w:tcPr>
            <w:tcW w:w="795" w:type="pct"/>
            <w:shd w:val="clear" w:color="auto" w:fill="auto"/>
            <w:noWrap/>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continue"/>
            <w:shd w:val="clear" w:color="auto" w:fill="auto"/>
            <w:vAlign w:val="center"/>
          </w:tcPr>
          <w:p>
            <w:pPr>
              <w:widowControl/>
              <w:adjustRightInd w:val="0"/>
              <w:snapToGrid w:val="0"/>
              <w:jc w:val="left"/>
              <w:rPr>
                <w:rFonts w:eastAsia="宋体"/>
                <w:snapToGrid w:val="0"/>
                <w:kern w:val="0"/>
                <w:sz w:val="24"/>
                <w:szCs w:val="21"/>
              </w:rPr>
            </w:pP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组织实施（15分）</w:t>
            </w:r>
          </w:p>
        </w:tc>
        <w:tc>
          <w:tcPr>
            <w:tcW w:w="795" w:type="pct"/>
            <w:shd w:val="clear" w:color="auto" w:fill="auto"/>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restar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产出（28分）</w:t>
            </w: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产出数量（7分）</w:t>
            </w:r>
          </w:p>
        </w:tc>
        <w:tc>
          <w:tcPr>
            <w:tcW w:w="795" w:type="pct"/>
            <w:shd w:val="clear" w:color="auto" w:fill="auto"/>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continue"/>
            <w:shd w:val="clear" w:color="auto" w:fill="auto"/>
            <w:vAlign w:val="center"/>
          </w:tcPr>
          <w:p>
            <w:pPr>
              <w:widowControl/>
              <w:adjustRightInd w:val="0"/>
              <w:snapToGrid w:val="0"/>
              <w:jc w:val="left"/>
              <w:rPr>
                <w:rFonts w:eastAsia="宋体"/>
                <w:snapToGrid w:val="0"/>
                <w:kern w:val="0"/>
                <w:sz w:val="24"/>
                <w:szCs w:val="21"/>
              </w:rPr>
            </w:pP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产出质量（7分）</w:t>
            </w:r>
          </w:p>
        </w:tc>
        <w:tc>
          <w:tcPr>
            <w:tcW w:w="795" w:type="pct"/>
            <w:shd w:val="clear" w:color="auto" w:fill="auto"/>
            <w:noWrap/>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continue"/>
            <w:shd w:val="clear" w:color="auto" w:fill="auto"/>
            <w:vAlign w:val="center"/>
          </w:tcPr>
          <w:p>
            <w:pPr>
              <w:widowControl/>
              <w:adjustRightInd w:val="0"/>
              <w:snapToGrid w:val="0"/>
              <w:jc w:val="left"/>
              <w:rPr>
                <w:rFonts w:eastAsia="宋体"/>
                <w:snapToGrid w:val="0"/>
                <w:kern w:val="0"/>
                <w:sz w:val="24"/>
                <w:szCs w:val="21"/>
              </w:rPr>
            </w:pP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产出时效（7分）</w:t>
            </w:r>
          </w:p>
        </w:tc>
        <w:tc>
          <w:tcPr>
            <w:tcW w:w="795" w:type="pct"/>
            <w:shd w:val="clear" w:color="auto" w:fill="auto"/>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continue"/>
            <w:shd w:val="clear" w:color="auto" w:fill="auto"/>
            <w:vAlign w:val="center"/>
          </w:tcPr>
          <w:p>
            <w:pPr>
              <w:widowControl/>
              <w:adjustRightInd w:val="0"/>
              <w:snapToGrid w:val="0"/>
              <w:jc w:val="left"/>
              <w:rPr>
                <w:rFonts w:eastAsia="宋体"/>
                <w:snapToGrid w:val="0"/>
                <w:kern w:val="0"/>
                <w:sz w:val="24"/>
                <w:szCs w:val="21"/>
              </w:rPr>
            </w:pP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产出成本（7分）</w:t>
            </w:r>
          </w:p>
        </w:tc>
        <w:tc>
          <w:tcPr>
            <w:tcW w:w="795" w:type="pct"/>
            <w:shd w:val="clear" w:color="auto" w:fill="auto"/>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restar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效果（32分）</w:t>
            </w: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项目效益（24分）</w:t>
            </w:r>
          </w:p>
        </w:tc>
        <w:tc>
          <w:tcPr>
            <w:tcW w:w="795" w:type="pct"/>
            <w:shd w:val="clear" w:color="auto" w:fill="auto"/>
            <w:noWrap/>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vMerge w:val="continue"/>
            <w:shd w:val="clear" w:color="auto" w:fill="auto"/>
            <w:vAlign w:val="center"/>
          </w:tcPr>
          <w:p>
            <w:pPr>
              <w:widowControl/>
              <w:adjustRightInd w:val="0"/>
              <w:snapToGrid w:val="0"/>
              <w:jc w:val="left"/>
              <w:rPr>
                <w:rFonts w:eastAsia="宋体"/>
                <w:snapToGrid w:val="0"/>
                <w:kern w:val="0"/>
                <w:sz w:val="24"/>
                <w:szCs w:val="21"/>
              </w:rPr>
            </w:pPr>
          </w:p>
        </w:tc>
        <w:tc>
          <w:tcPr>
            <w:tcW w:w="2299" w:type="pct"/>
            <w:shd w:val="clear" w:color="auto" w:fill="auto"/>
            <w:vAlign w:val="center"/>
          </w:tcPr>
          <w:p>
            <w:pPr>
              <w:widowControl/>
              <w:adjustRightInd w:val="0"/>
              <w:snapToGrid w:val="0"/>
              <w:jc w:val="center"/>
              <w:rPr>
                <w:rFonts w:eastAsia="宋体"/>
                <w:snapToGrid w:val="0"/>
                <w:kern w:val="0"/>
                <w:sz w:val="24"/>
                <w:szCs w:val="21"/>
              </w:rPr>
            </w:pPr>
            <w:r>
              <w:rPr>
                <w:rFonts w:hint="eastAsia" w:eastAsia="宋体"/>
                <w:snapToGrid w:val="0"/>
                <w:kern w:val="0"/>
                <w:sz w:val="24"/>
                <w:szCs w:val="21"/>
              </w:rPr>
              <w:t>满意度（8分）</w:t>
            </w:r>
          </w:p>
        </w:tc>
        <w:tc>
          <w:tcPr>
            <w:tcW w:w="795" w:type="pct"/>
            <w:shd w:val="clear" w:color="auto" w:fill="auto"/>
            <w:vAlign w:val="center"/>
          </w:tcPr>
          <w:p>
            <w:pPr>
              <w:widowControl/>
              <w:adjustRightInd w:val="0"/>
              <w:snapToGrid w:val="0"/>
              <w:jc w:val="center"/>
              <w:rPr>
                <w:rFonts w:eastAsia="宋体"/>
                <w:snapToGrid w:val="0"/>
                <w:kern w:val="0"/>
                <w:sz w:val="24"/>
                <w:szCs w:val="21"/>
              </w:rPr>
            </w:pPr>
            <w:r>
              <w:rPr>
                <w:rFonts w:eastAsia="宋体"/>
                <w:snapToGrid w:val="0"/>
                <w:kern w:val="0"/>
                <w:sz w:val="24"/>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397" w:hRule="atLeast"/>
        </w:trPr>
        <w:tc>
          <w:tcPr>
            <w:tcW w:w="1906" w:type="pct"/>
            <w:shd w:val="clear" w:color="auto" w:fill="auto"/>
            <w:noWrap/>
            <w:vAlign w:val="center"/>
          </w:tcPr>
          <w:p>
            <w:pPr>
              <w:widowControl/>
              <w:adjustRightInd w:val="0"/>
              <w:snapToGrid w:val="0"/>
              <w:jc w:val="center"/>
              <w:rPr>
                <w:rFonts w:eastAsia="宋体"/>
                <w:b/>
                <w:snapToGrid w:val="0"/>
                <w:kern w:val="0"/>
                <w:sz w:val="24"/>
                <w:szCs w:val="21"/>
              </w:rPr>
            </w:pPr>
            <w:r>
              <w:rPr>
                <w:rFonts w:hint="eastAsia" w:eastAsia="宋体"/>
                <w:b/>
                <w:snapToGrid w:val="0"/>
                <w:kern w:val="0"/>
                <w:sz w:val="24"/>
                <w:szCs w:val="21"/>
              </w:rPr>
              <w:t>合计</w:t>
            </w:r>
          </w:p>
        </w:tc>
        <w:tc>
          <w:tcPr>
            <w:tcW w:w="2299" w:type="pct"/>
            <w:shd w:val="clear" w:color="auto" w:fill="auto"/>
            <w:vAlign w:val="center"/>
          </w:tcPr>
          <w:p>
            <w:pPr>
              <w:widowControl/>
              <w:adjustRightInd w:val="0"/>
              <w:snapToGrid w:val="0"/>
              <w:jc w:val="center"/>
              <w:rPr>
                <w:rFonts w:eastAsia="宋体"/>
                <w:b/>
                <w:snapToGrid w:val="0"/>
                <w:kern w:val="0"/>
                <w:sz w:val="24"/>
                <w:szCs w:val="21"/>
              </w:rPr>
            </w:pPr>
            <w:r>
              <w:rPr>
                <w:rFonts w:eastAsia="宋体"/>
                <w:b/>
                <w:snapToGrid w:val="0"/>
                <w:kern w:val="0"/>
                <w:sz w:val="24"/>
                <w:szCs w:val="21"/>
              </w:rPr>
              <w:t>　</w:t>
            </w:r>
          </w:p>
        </w:tc>
        <w:tc>
          <w:tcPr>
            <w:tcW w:w="795" w:type="pct"/>
            <w:shd w:val="clear" w:color="auto" w:fill="auto"/>
            <w:noWrap/>
            <w:vAlign w:val="center"/>
          </w:tcPr>
          <w:p>
            <w:pPr>
              <w:widowControl/>
              <w:adjustRightInd w:val="0"/>
              <w:snapToGrid w:val="0"/>
              <w:jc w:val="center"/>
              <w:rPr>
                <w:rFonts w:eastAsia="宋体"/>
                <w:b/>
                <w:snapToGrid w:val="0"/>
                <w:kern w:val="0"/>
                <w:sz w:val="24"/>
                <w:szCs w:val="21"/>
              </w:rPr>
            </w:pPr>
            <w:r>
              <w:rPr>
                <w:rFonts w:eastAsia="宋体"/>
                <w:b/>
                <w:snapToGrid w:val="0"/>
                <w:kern w:val="0"/>
                <w:sz w:val="24"/>
                <w:szCs w:val="21"/>
              </w:rPr>
              <w:t>85</w:t>
            </w:r>
          </w:p>
        </w:tc>
      </w:tr>
    </w:tbl>
    <w:p>
      <w:pPr>
        <w:pStyle w:val="3"/>
        <w:spacing w:before="0" w:after="0" w:line="580" w:lineRule="exact"/>
        <w:ind w:firstLine="643" w:firstLineChars="200"/>
        <w:rPr>
          <w:rFonts w:hint="eastAsia" w:ascii="方正楷体" w:hAnsi="Times New Roman" w:eastAsia="方正楷体"/>
        </w:rPr>
      </w:pPr>
      <w:bookmarkStart w:id="64" w:name="_Toc38447892"/>
      <w:bookmarkStart w:id="65" w:name="_Toc8951"/>
      <w:bookmarkStart w:id="66" w:name="_Toc72161446"/>
      <w:bookmarkStart w:id="67" w:name="_Toc38452636"/>
      <w:bookmarkStart w:id="68" w:name="_Toc41137190"/>
      <w:r>
        <w:rPr>
          <w:rFonts w:hint="eastAsia" w:ascii="方正楷体" w:hAnsi="Times New Roman" w:eastAsia="方正楷体"/>
        </w:rPr>
        <w:t>（一）决策</w:t>
      </w:r>
      <w:bookmarkEnd w:id="64"/>
      <w:bookmarkEnd w:id="65"/>
      <w:bookmarkEnd w:id="66"/>
      <w:bookmarkEnd w:id="67"/>
      <w:bookmarkEnd w:id="68"/>
      <w:r>
        <w:rPr>
          <w:rFonts w:hint="eastAsia" w:ascii="方正楷体" w:hAnsi="Times New Roman" w:eastAsia="方正楷体"/>
        </w:rPr>
        <w:t>（1</w:t>
      </w:r>
      <w:r>
        <w:rPr>
          <w:rFonts w:ascii="方正楷体" w:hAnsi="Times New Roman" w:eastAsia="方正楷体"/>
        </w:rPr>
        <w:t>3</w:t>
      </w:r>
      <w:r>
        <w:rPr>
          <w:rFonts w:hint="eastAsia" w:ascii="方正楷体" w:hAnsi="Times New Roman" w:eastAsia="方正楷体"/>
        </w:rPr>
        <w:t>分）</w:t>
      </w:r>
    </w:p>
    <w:p>
      <w:pPr>
        <w:spacing w:line="580" w:lineRule="exact"/>
        <w:ind w:firstLine="640" w:firstLineChars="200"/>
        <w:rPr>
          <w:rFonts w:ascii="仿宋_GB2312" w:hAnsi="仿宋"/>
          <w:szCs w:val="32"/>
        </w:rPr>
      </w:pPr>
      <w:r>
        <w:rPr>
          <w:rFonts w:ascii="仿宋_GB2312" w:hAnsi="仿宋"/>
          <w:szCs w:val="32"/>
        </w:rPr>
        <w:t>决策绩效指标满分13分，得分11分，</w:t>
      </w:r>
      <w:r>
        <w:rPr>
          <w:rFonts w:hint="eastAsia" w:ascii="仿宋_GB2312" w:hAnsi="仿宋"/>
          <w:szCs w:val="32"/>
        </w:rPr>
        <w:t>得分率8</w:t>
      </w:r>
      <w:r>
        <w:rPr>
          <w:rFonts w:ascii="仿宋_GB2312" w:hAnsi="仿宋"/>
          <w:szCs w:val="32"/>
        </w:rPr>
        <w:t>4%</w:t>
      </w:r>
      <w:r>
        <w:rPr>
          <w:rFonts w:hint="eastAsia" w:ascii="仿宋_GB2312" w:hAnsi="仿宋"/>
          <w:szCs w:val="32"/>
        </w:rPr>
        <w:t>，</w:t>
      </w:r>
      <w:r>
        <w:rPr>
          <w:rFonts w:ascii="仿宋_GB2312" w:hAnsi="仿宋"/>
          <w:szCs w:val="32"/>
        </w:rPr>
        <w:t>主要扣分原因为绩效指标编制不细化</w:t>
      </w:r>
      <w:r>
        <w:rPr>
          <w:rFonts w:hint="eastAsia" w:ascii="仿宋_GB2312" w:hAnsi="仿宋"/>
          <w:szCs w:val="32"/>
        </w:rPr>
        <w:t>和预算编制不够准确</w:t>
      </w:r>
      <w:r>
        <w:rPr>
          <w:rFonts w:ascii="仿宋_GB2312" w:hAnsi="仿宋"/>
          <w:szCs w:val="32"/>
        </w:rPr>
        <w:t>。</w:t>
      </w:r>
    </w:p>
    <w:p>
      <w:pPr>
        <w:spacing w:line="580" w:lineRule="exact"/>
        <w:ind w:firstLine="643" w:firstLineChars="200"/>
        <w:rPr>
          <w:rFonts w:ascii="方正楷体" w:hAnsi="仿宋" w:eastAsia="方正楷体"/>
          <w:b/>
          <w:bCs/>
          <w:szCs w:val="32"/>
        </w:rPr>
      </w:pPr>
      <w:r>
        <w:rPr>
          <w:rFonts w:hint="eastAsia" w:ascii="仿宋_GB2312" w:hAnsi="仿宋"/>
          <w:b/>
          <w:bCs/>
          <w:szCs w:val="32"/>
        </w:rPr>
        <w:t>1.项目立项（4分）</w:t>
      </w:r>
      <w:r>
        <w:rPr>
          <w:rFonts w:hint="eastAsia" w:ascii="仿宋_GB2312" w:hAnsi="仿宋"/>
          <w:szCs w:val="32"/>
        </w:rPr>
        <w:t>经检查，该项目承担单位为区人社局，与部门职责相符；项目资金来源为一般公共预算，属于公共财政支持范围；该项目符合《河北省就业创业资金管理办法》、河北省财政厅河北省人社厅《关于加强公益性岗位开发管理工作的通知》及《保定市青年就业见习三年计划实施方案》等相关法律法规及相关政策要求。该项目列入了区人社局20</w:t>
      </w:r>
      <w:r>
        <w:rPr>
          <w:rFonts w:ascii="仿宋_GB2312" w:hAnsi="仿宋"/>
          <w:szCs w:val="32"/>
        </w:rPr>
        <w:t>20</w:t>
      </w:r>
      <w:r>
        <w:rPr>
          <w:rFonts w:hint="eastAsia" w:ascii="仿宋_GB2312" w:hAnsi="仿宋"/>
          <w:szCs w:val="32"/>
        </w:rPr>
        <w:t>年项目调整预算并经相关部门审批，且制定了《就业促进工程实施方案》、《职业技能培训工程实施方案》，项目立项依据较充分，程序较规范。</w:t>
      </w:r>
    </w:p>
    <w:p>
      <w:pPr>
        <w:spacing w:line="580" w:lineRule="exact"/>
        <w:ind w:firstLine="640" w:firstLineChars="200"/>
        <w:jc w:val="left"/>
        <w:rPr>
          <w:rFonts w:ascii="仿宋_GB2312" w:hAnsi="仿宋"/>
          <w:szCs w:val="32"/>
        </w:rPr>
      </w:pPr>
      <w:r>
        <w:rPr>
          <w:rFonts w:hint="eastAsia" w:ascii="仿宋_GB2312" w:hAnsi="仿宋"/>
          <w:szCs w:val="32"/>
        </w:rPr>
        <w:t>该指标满分</w:t>
      </w:r>
      <w:r>
        <w:rPr>
          <w:rFonts w:ascii="仿宋_GB2312" w:hAnsi="仿宋"/>
          <w:szCs w:val="32"/>
        </w:rPr>
        <w:t>4</w:t>
      </w:r>
      <w:r>
        <w:rPr>
          <w:rFonts w:hint="eastAsia" w:ascii="仿宋_GB2312" w:hAnsi="仿宋"/>
          <w:szCs w:val="32"/>
        </w:rPr>
        <w:t>分，实际得分</w:t>
      </w:r>
      <w:r>
        <w:rPr>
          <w:rFonts w:ascii="仿宋_GB2312" w:hAnsi="仿宋"/>
          <w:szCs w:val="32"/>
        </w:rPr>
        <w:t>4</w:t>
      </w:r>
      <w:r>
        <w:rPr>
          <w:rFonts w:hint="eastAsia" w:ascii="仿宋_GB2312" w:hAnsi="仿宋"/>
          <w:szCs w:val="32"/>
        </w:rPr>
        <w:t>分。</w:t>
      </w:r>
    </w:p>
    <w:p>
      <w:pPr>
        <w:spacing w:line="580" w:lineRule="exact"/>
        <w:ind w:firstLine="643" w:firstLineChars="200"/>
        <w:rPr>
          <w:rFonts w:ascii="仿宋_GB2312" w:hAnsi="仿宋_GB2312"/>
          <w:szCs w:val="32"/>
        </w:rPr>
      </w:pPr>
      <w:r>
        <w:rPr>
          <w:rFonts w:hint="eastAsia" w:ascii="仿宋_GB2312" w:hAnsi="仿宋"/>
          <w:b/>
          <w:bCs/>
          <w:szCs w:val="32"/>
        </w:rPr>
        <w:t>2.绩效目标（7分）</w:t>
      </w:r>
      <w:r>
        <w:rPr>
          <w:rFonts w:hint="eastAsia" w:ascii="仿宋_GB2312" w:hAnsi="仿宋"/>
          <w:szCs w:val="32"/>
        </w:rPr>
        <w:t>经检查，该项目制定年初预算时未设定该项目绩效目标，经预算调整后设定绩效目标为“就业创业服务”，执行过程中又将绩效目标细化为“</w:t>
      </w:r>
      <w:r>
        <w:rPr>
          <w:rFonts w:hint="eastAsia" w:ascii="仿宋_GB2312" w:hAnsi="仿宋_GB2312"/>
          <w:szCs w:val="32"/>
        </w:rPr>
        <w:t>将资金按规定用于公益性岗位社保补贴、公益性岗位补贴、求职补贴、就业见习补贴</w:t>
      </w:r>
      <w:r>
        <w:rPr>
          <w:rFonts w:hint="eastAsia" w:ascii="仿宋_GB2312" w:hAnsi="仿宋"/>
          <w:szCs w:val="32"/>
        </w:rPr>
        <w:t>”，未见</w:t>
      </w:r>
      <w:r>
        <w:rPr>
          <w:rFonts w:hint="eastAsia" w:ascii="仿宋_GB2312" w:hAnsi="仿宋_GB2312"/>
          <w:szCs w:val="32"/>
        </w:rPr>
        <w:t>职业培训补贴、职业技能鉴定补贴创业补贴、房租物业水电费补贴、创业补贴四类补贴的支出计划，预算确定支出范围与实际支出范围不完全匹配，</w:t>
      </w:r>
      <w:r>
        <w:rPr>
          <w:rFonts w:hint="eastAsia" w:ascii="仿宋_GB2312" w:hAnsi="仿宋"/>
          <w:szCs w:val="32"/>
        </w:rPr>
        <w:t>且绩效目标未具体量化，无法与预算确定的资金量相匹配，不利于对项目绩效目标实际完成情况进行考核。绩效指标明确性酌情扣1分。</w:t>
      </w:r>
    </w:p>
    <w:p>
      <w:pPr>
        <w:spacing w:line="580" w:lineRule="exact"/>
        <w:ind w:firstLine="640"/>
        <w:jc w:val="left"/>
        <w:rPr>
          <w:rFonts w:ascii="仿宋_GB2312" w:hAnsi="仿宋"/>
          <w:szCs w:val="32"/>
        </w:rPr>
      </w:pPr>
      <w:r>
        <w:rPr>
          <w:rFonts w:hint="eastAsia" w:ascii="仿宋_GB2312" w:hAnsi="仿宋"/>
          <w:szCs w:val="32"/>
        </w:rPr>
        <w:t>该指标满分</w:t>
      </w:r>
      <w:r>
        <w:rPr>
          <w:rFonts w:ascii="仿宋_GB2312" w:hAnsi="仿宋"/>
          <w:szCs w:val="32"/>
        </w:rPr>
        <w:t>7</w:t>
      </w:r>
      <w:r>
        <w:rPr>
          <w:rFonts w:hint="eastAsia" w:ascii="仿宋_GB2312" w:hAnsi="仿宋"/>
          <w:szCs w:val="32"/>
        </w:rPr>
        <w:t>分，该指标实际得分</w:t>
      </w:r>
      <w:r>
        <w:rPr>
          <w:rFonts w:ascii="仿宋_GB2312" w:hAnsi="仿宋"/>
          <w:szCs w:val="32"/>
        </w:rPr>
        <w:t>6</w:t>
      </w:r>
      <w:r>
        <w:rPr>
          <w:rFonts w:hint="eastAsia" w:ascii="仿宋_GB2312" w:hAnsi="仿宋"/>
          <w:szCs w:val="32"/>
        </w:rPr>
        <w:t>分。</w:t>
      </w:r>
    </w:p>
    <w:p>
      <w:pPr>
        <w:spacing w:line="580" w:lineRule="exact"/>
        <w:ind w:firstLine="643" w:firstLineChars="200"/>
        <w:jc w:val="left"/>
        <w:rPr>
          <w:rFonts w:ascii="仿宋_GB2312" w:hAnsi="仿宋"/>
          <w:b/>
          <w:bCs/>
          <w:szCs w:val="32"/>
        </w:rPr>
      </w:pPr>
      <w:r>
        <w:rPr>
          <w:rFonts w:hint="eastAsia" w:ascii="仿宋_GB2312" w:hAnsi="仿宋"/>
          <w:b/>
          <w:bCs/>
          <w:szCs w:val="32"/>
        </w:rPr>
        <w:t>3．资金投入（2分）</w:t>
      </w:r>
      <w:r>
        <w:rPr>
          <w:rFonts w:hint="eastAsia" w:ascii="仿宋_GB2312" w:hAnsi="仿宋"/>
          <w:szCs w:val="32"/>
        </w:rPr>
        <w:t>经检查，该项目预算编制不完整，</w:t>
      </w:r>
      <w:r>
        <w:rPr>
          <w:rFonts w:hint="eastAsia" w:ascii="仿宋_GB2312" w:hAnsi="仿宋_GB2312"/>
          <w:bCs/>
          <w:szCs w:val="32"/>
        </w:rPr>
        <w:t>人社局</w:t>
      </w:r>
      <w:r>
        <w:rPr>
          <w:rFonts w:hint="eastAsia" w:ascii="仿宋_GB2312" w:hAnsi="仿宋"/>
          <w:szCs w:val="32"/>
        </w:rPr>
        <w:t>制定年初预算时</w:t>
      </w:r>
      <w:r>
        <w:rPr>
          <w:rFonts w:hint="eastAsia" w:ascii="仿宋_GB2312" w:hAnsi="仿宋_GB2312"/>
          <w:bCs/>
          <w:szCs w:val="32"/>
        </w:rPr>
        <w:t>仅</w:t>
      </w:r>
      <w:r>
        <w:rPr>
          <w:rFonts w:hint="eastAsia" w:ascii="仿宋_GB2312" w:hAnsi="仿宋"/>
          <w:szCs w:val="32"/>
        </w:rPr>
        <w:t>将本年度上级下达资金列入</w:t>
      </w:r>
      <w:r>
        <w:rPr>
          <w:rFonts w:hint="eastAsia" w:ascii="仿宋_GB2312" w:hAnsi="仿宋_GB2312"/>
          <w:bCs/>
          <w:szCs w:val="32"/>
        </w:rPr>
        <w:t>调整预算</w:t>
      </w:r>
      <w:r>
        <w:rPr>
          <w:rFonts w:hint="eastAsia" w:ascii="仿宋_GB2312" w:hAnsi="仿宋"/>
          <w:szCs w:val="32"/>
        </w:rPr>
        <w:t>，未将年初结余资金纳入预算支出范围， 2</w:t>
      </w:r>
      <w:r>
        <w:rPr>
          <w:rFonts w:hint="eastAsia" w:ascii="仿宋_GB2312" w:hAnsi="仿宋_GB2312"/>
          <w:bCs/>
          <w:szCs w:val="32"/>
        </w:rPr>
        <w:t>0</w:t>
      </w:r>
      <w:r>
        <w:rPr>
          <w:rFonts w:ascii="仿宋_GB2312" w:hAnsi="仿宋_GB2312"/>
          <w:bCs/>
          <w:szCs w:val="32"/>
        </w:rPr>
        <w:t>20</w:t>
      </w:r>
      <w:r>
        <w:rPr>
          <w:rFonts w:hint="eastAsia" w:ascii="仿宋_GB2312" w:hAnsi="仿宋_GB2312"/>
          <w:bCs/>
          <w:szCs w:val="32"/>
        </w:rPr>
        <w:t>年度项目调整预算资金</w:t>
      </w:r>
      <w:r>
        <w:rPr>
          <w:rFonts w:ascii="仿宋_GB2312" w:hAnsi="仿宋_GB2312"/>
          <w:bCs/>
          <w:szCs w:val="32"/>
        </w:rPr>
        <w:t>651</w:t>
      </w:r>
      <w:r>
        <w:rPr>
          <w:rFonts w:hint="eastAsia" w:ascii="仿宋_GB2312" w:hAnsi="仿宋_GB2312"/>
          <w:bCs/>
          <w:szCs w:val="32"/>
        </w:rPr>
        <w:t>万元，实际支出</w:t>
      </w:r>
      <w:r>
        <w:rPr>
          <w:rFonts w:ascii="仿宋_GB2312" w:hAnsi="仿宋_GB2312"/>
          <w:bCs/>
          <w:szCs w:val="32"/>
        </w:rPr>
        <w:t>896.88</w:t>
      </w:r>
      <w:r>
        <w:rPr>
          <w:rFonts w:hint="eastAsia" w:ascii="仿宋_GB2312" w:hAnsi="仿宋_GB2312"/>
          <w:bCs/>
          <w:szCs w:val="32"/>
        </w:rPr>
        <w:t>万元（2</w:t>
      </w:r>
      <w:r>
        <w:rPr>
          <w:rFonts w:ascii="仿宋_GB2312" w:hAnsi="仿宋_GB2312"/>
          <w:bCs/>
          <w:szCs w:val="32"/>
        </w:rPr>
        <w:t>020</w:t>
      </w:r>
      <w:r>
        <w:rPr>
          <w:rFonts w:hint="eastAsia" w:ascii="仿宋_GB2312" w:hAnsi="仿宋_GB2312"/>
          <w:bCs/>
          <w:szCs w:val="32"/>
        </w:rPr>
        <w:t>年度6</w:t>
      </w:r>
      <w:r>
        <w:rPr>
          <w:rFonts w:ascii="仿宋_GB2312" w:hAnsi="仿宋_GB2312"/>
          <w:bCs/>
          <w:szCs w:val="32"/>
        </w:rPr>
        <w:t>51</w:t>
      </w:r>
      <w:r>
        <w:rPr>
          <w:rFonts w:hint="eastAsia" w:ascii="仿宋_GB2312" w:hAnsi="仿宋_GB2312"/>
          <w:bCs/>
          <w:szCs w:val="32"/>
        </w:rPr>
        <w:t>万元，往年结余2</w:t>
      </w:r>
      <w:r>
        <w:rPr>
          <w:rFonts w:ascii="仿宋_GB2312" w:hAnsi="仿宋_GB2312"/>
          <w:bCs/>
          <w:szCs w:val="32"/>
        </w:rPr>
        <w:t>45.88</w:t>
      </w:r>
      <w:r>
        <w:rPr>
          <w:rFonts w:hint="eastAsia" w:ascii="仿宋_GB2312" w:hAnsi="仿宋_GB2312"/>
          <w:bCs/>
          <w:szCs w:val="32"/>
        </w:rPr>
        <w:t>万元），年末结余</w:t>
      </w:r>
      <w:r>
        <w:rPr>
          <w:rFonts w:ascii="仿宋_GB2312" w:hAnsi="仿宋_GB2312"/>
          <w:bCs/>
          <w:szCs w:val="32"/>
        </w:rPr>
        <w:t>9.34</w:t>
      </w:r>
      <w:r>
        <w:rPr>
          <w:rFonts w:hint="eastAsia" w:ascii="仿宋_GB2312" w:hAnsi="仿宋_GB2312"/>
          <w:bCs/>
          <w:szCs w:val="32"/>
        </w:rPr>
        <w:t>万元，</w:t>
      </w:r>
      <w:r>
        <w:rPr>
          <w:rFonts w:hint="eastAsia" w:ascii="仿宋_GB2312" w:hAnsi="仿宋"/>
          <w:szCs w:val="32"/>
        </w:rPr>
        <w:t>累计结余资金2年以上，年末资金未及时上缴财政。酌情扣1分。</w:t>
      </w:r>
    </w:p>
    <w:p>
      <w:pPr>
        <w:spacing w:line="580" w:lineRule="exact"/>
        <w:ind w:firstLine="640" w:firstLineChars="200"/>
        <w:jc w:val="left"/>
        <w:rPr>
          <w:rFonts w:ascii="仿宋_GB2312" w:hAnsi="仿宋"/>
          <w:szCs w:val="32"/>
        </w:rPr>
      </w:pPr>
      <w:r>
        <w:rPr>
          <w:rFonts w:hint="eastAsia" w:ascii="仿宋_GB2312" w:hAnsi="仿宋"/>
          <w:szCs w:val="32"/>
        </w:rPr>
        <w:t>该指标满分得分</w:t>
      </w:r>
      <w:r>
        <w:rPr>
          <w:rFonts w:ascii="仿宋_GB2312" w:hAnsi="仿宋"/>
          <w:szCs w:val="32"/>
        </w:rPr>
        <w:t>2</w:t>
      </w:r>
      <w:r>
        <w:rPr>
          <w:rFonts w:hint="eastAsia" w:ascii="仿宋_GB2312" w:hAnsi="仿宋"/>
          <w:szCs w:val="32"/>
        </w:rPr>
        <w:t>分。该指标实际得分1分。</w:t>
      </w:r>
    </w:p>
    <w:p>
      <w:pPr>
        <w:pStyle w:val="3"/>
        <w:spacing w:before="0" w:after="0" w:line="580" w:lineRule="exact"/>
        <w:ind w:firstLine="643" w:firstLineChars="200"/>
        <w:rPr>
          <w:rFonts w:ascii="方正楷体" w:hAnsi="Times New Roman" w:eastAsia="方正楷体"/>
        </w:rPr>
      </w:pPr>
      <w:bookmarkStart w:id="69" w:name="_Toc72161447"/>
      <w:bookmarkStart w:id="70" w:name="_Toc38452637"/>
      <w:bookmarkStart w:id="71" w:name="_Toc38447893"/>
      <w:bookmarkStart w:id="72" w:name="_Toc41137191"/>
      <w:bookmarkStart w:id="73" w:name="_Toc8048"/>
      <w:r>
        <w:rPr>
          <w:rFonts w:hint="eastAsia" w:ascii="方正楷体" w:hAnsi="Times New Roman" w:eastAsia="方正楷体"/>
        </w:rPr>
        <w:t>（二）过程（27分）</w:t>
      </w:r>
      <w:bookmarkEnd w:id="69"/>
      <w:bookmarkEnd w:id="70"/>
      <w:bookmarkEnd w:id="71"/>
      <w:bookmarkEnd w:id="72"/>
      <w:bookmarkEnd w:id="73"/>
    </w:p>
    <w:p>
      <w:pPr>
        <w:spacing w:line="580" w:lineRule="exact"/>
        <w:ind w:firstLine="640" w:firstLineChars="200"/>
        <w:rPr>
          <w:rFonts w:ascii="仿宋_GB2312" w:hAnsi="仿宋"/>
          <w:szCs w:val="32"/>
        </w:rPr>
      </w:pPr>
      <w:r>
        <w:rPr>
          <w:rFonts w:hint="eastAsia" w:ascii="仿宋_GB2312" w:hAnsi="仿宋"/>
          <w:szCs w:val="32"/>
        </w:rPr>
        <w:t>过程</w:t>
      </w:r>
      <w:r>
        <w:rPr>
          <w:rFonts w:ascii="仿宋_GB2312" w:hAnsi="仿宋"/>
          <w:szCs w:val="32"/>
        </w:rPr>
        <w:t>绩效指标满分27分，得分26分，主要扣分原因</w:t>
      </w:r>
      <w:r>
        <w:rPr>
          <w:rFonts w:hint="eastAsia" w:ascii="仿宋_GB2312" w:hAnsi="仿宋"/>
          <w:szCs w:val="32"/>
        </w:rPr>
        <w:t>，在专项资金中列支其他资金支出。</w:t>
      </w:r>
    </w:p>
    <w:p>
      <w:pPr>
        <w:spacing w:line="580" w:lineRule="exact"/>
        <w:ind w:firstLine="643" w:firstLineChars="200"/>
        <w:rPr>
          <w:rFonts w:ascii="仿宋_GB2312" w:hAnsi="仿宋"/>
          <w:szCs w:val="32"/>
        </w:rPr>
      </w:pPr>
      <w:r>
        <w:rPr>
          <w:rFonts w:hint="eastAsia" w:ascii="仿宋_GB2312" w:hAnsi="仿宋"/>
          <w:b/>
          <w:bCs/>
          <w:szCs w:val="32"/>
        </w:rPr>
        <w:t>1.资金管理（12分）</w:t>
      </w:r>
      <w:r>
        <w:rPr>
          <w:rFonts w:hint="eastAsia" w:ascii="仿宋_GB2312" w:hAnsi="仿宋"/>
          <w:szCs w:val="32"/>
        </w:rPr>
        <w:t>经评价，该项目经调整后预算资金</w:t>
      </w:r>
      <w:r>
        <w:rPr>
          <w:rFonts w:ascii="仿宋_GB2312" w:hAnsi="仿宋"/>
          <w:szCs w:val="32"/>
        </w:rPr>
        <w:t>651</w:t>
      </w:r>
      <w:r>
        <w:rPr>
          <w:rFonts w:hint="eastAsia" w:ascii="仿宋_GB2312" w:hAnsi="仿宋"/>
          <w:szCs w:val="32"/>
        </w:rPr>
        <w:t>万元，20</w:t>
      </w:r>
      <w:r>
        <w:rPr>
          <w:rFonts w:ascii="仿宋_GB2312" w:hAnsi="仿宋"/>
          <w:szCs w:val="32"/>
        </w:rPr>
        <w:t>20</w:t>
      </w:r>
      <w:r>
        <w:rPr>
          <w:rFonts w:hint="eastAsia" w:ascii="仿宋_GB2312" w:hAnsi="仿宋"/>
          <w:szCs w:val="32"/>
        </w:rPr>
        <w:t>年实际到位资金</w:t>
      </w:r>
      <w:r>
        <w:rPr>
          <w:rFonts w:ascii="仿宋_GB2312" w:hAnsi="仿宋"/>
          <w:szCs w:val="32"/>
        </w:rPr>
        <w:t>651</w:t>
      </w:r>
      <w:r>
        <w:rPr>
          <w:rFonts w:hint="eastAsia" w:ascii="仿宋_GB2312" w:hAnsi="仿宋"/>
          <w:szCs w:val="32"/>
        </w:rPr>
        <w:t>万元，资金到位率为100%。实际支出本年度专项资金</w:t>
      </w:r>
      <w:r>
        <w:rPr>
          <w:rFonts w:ascii="仿宋_GB2312" w:hAnsi="仿宋"/>
          <w:szCs w:val="32"/>
        </w:rPr>
        <w:t>651</w:t>
      </w:r>
      <w:r>
        <w:rPr>
          <w:rFonts w:hint="eastAsia" w:ascii="仿宋_GB2312" w:hAnsi="仿宋"/>
          <w:szCs w:val="32"/>
        </w:rPr>
        <w:t>万元，预算执行率</w:t>
      </w:r>
      <w:r>
        <w:rPr>
          <w:rFonts w:ascii="仿宋_GB2312" w:hAnsi="仿宋"/>
          <w:szCs w:val="32"/>
        </w:rPr>
        <w:t>100</w:t>
      </w:r>
      <w:r>
        <w:rPr>
          <w:rFonts w:hint="eastAsia" w:ascii="仿宋_GB2312" w:hAnsi="仿宋"/>
          <w:szCs w:val="32"/>
        </w:rPr>
        <w:t>%。评价发现，在专项资金专账核算明细账中发现列支“奖励创业担保贷款经费”及相应费用1万，未严格按照专项核算的要求管理专项资金。资金使用合规性扣1分。</w:t>
      </w:r>
    </w:p>
    <w:p>
      <w:pPr>
        <w:spacing w:line="580" w:lineRule="exact"/>
        <w:ind w:firstLine="640"/>
        <w:rPr>
          <w:rFonts w:ascii="仿宋_GB2312" w:hAnsi="仿宋_GB2312"/>
          <w:szCs w:val="32"/>
        </w:rPr>
      </w:pPr>
      <w:r>
        <w:rPr>
          <w:rFonts w:hint="eastAsia" w:ascii="仿宋_GB2312" w:hAnsi="仿宋"/>
          <w:szCs w:val="32"/>
        </w:rPr>
        <w:t>该指标满分</w:t>
      </w:r>
      <w:r>
        <w:rPr>
          <w:rFonts w:ascii="仿宋_GB2312" w:hAnsi="仿宋"/>
          <w:szCs w:val="32"/>
        </w:rPr>
        <w:t>12</w:t>
      </w:r>
      <w:r>
        <w:rPr>
          <w:rFonts w:hint="eastAsia" w:ascii="仿宋_GB2312" w:hAnsi="仿宋"/>
          <w:szCs w:val="32"/>
        </w:rPr>
        <w:t>分。</w:t>
      </w:r>
      <w:r>
        <w:rPr>
          <w:rFonts w:hint="eastAsia" w:ascii="仿宋_GB2312" w:hAnsi="仿宋_GB2312"/>
          <w:szCs w:val="32"/>
        </w:rPr>
        <w:t>该指标实际得分</w:t>
      </w:r>
      <w:r>
        <w:rPr>
          <w:rFonts w:ascii="仿宋_GB2312" w:hAnsi="仿宋_GB2312"/>
          <w:szCs w:val="32"/>
        </w:rPr>
        <w:t>11</w:t>
      </w:r>
      <w:r>
        <w:rPr>
          <w:rFonts w:hint="eastAsia" w:ascii="仿宋_GB2312" w:hAnsi="仿宋_GB2312"/>
          <w:szCs w:val="32"/>
        </w:rPr>
        <w:t>分。</w:t>
      </w:r>
    </w:p>
    <w:p>
      <w:pPr>
        <w:spacing w:line="580" w:lineRule="exact"/>
        <w:ind w:firstLine="643" w:firstLineChars="200"/>
        <w:rPr>
          <w:rFonts w:ascii="仿宋_GB2312" w:hAnsi="仿宋"/>
          <w:szCs w:val="32"/>
        </w:rPr>
      </w:pPr>
      <w:r>
        <w:rPr>
          <w:rFonts w:hint="eastAsia" w:ascii="仿宋_GB2312" w:hAnsi="仿宋"/>
          <w:b/>
          <w:bCs/>
          <w:szCs w:val="32"/>
        </w:rPr>
        <w:t>2．组织实施（15分）</w:t>
      </w:r>
      <w:r>
        <w:rPr>
          <w:rFonts w:hint="eastAsia" w:ascii="仿宋_GB2312" w:hAnsi="仿宋"/>
          <w:szCs w:val="32"/>
        </w:rPr>
        <w:t>经评价，区人社局制定了《财务管理制度》及《业务制度》，相关制度较健全，基本能够保障项目的顺利实施。制度执行基本有效，支出手续较完备，补助资金申请等资料符合《河北省就业创业资金管理办法》的相关规定且档案资料较齐全。区人社局开立了“徐水人社”公众号，不定期在公众号上发布相关政策及职位招聘等相关信息，对补贴信息进行公开公示，公开公示信息基本符合要求，除此之外，区人社局还不定期举行“促进创新创业”的现场宣传活动，且通过问卷调查，大多数群众是通过当地相关部门的宣传得知该政策的，政策宣传比较到位。区人社局不定期对培训机构等享受补贴人群进行监管，并填写“培训监管情况表”，监督机制较完善。</w:t>
      </w:r>
    </w:p>
    <w:p>
      <w:pPr>
        <w:spacing w:line="580" w:lineRule="exact"/>
        <w:ind w:firstLine="640" w:firstLineChars="200"/>
        <w:rPr>
          <w:rFonts w:ascii="仿宋_GB2312" w:hAnsi="仿宋"/>
          <w:szCs w:val="32"/>
        </w:rPr>
      </w:pPr>
      <w:r>
        <w:rPr>
          <w:rFonts w:hint="eastAsia" w:ascii="仿宋_GB2312" w:hAnsi="仿宋"/>
          <w:szCs w:val="32"/>
        </w:rPr>
        <w:t>该指标实际得分</w:t>
      </w:r>
      <w:r>
        <w:rPr>
          <w:rFonts w:ascii="仿宋_GB2312" w:hAnsi="仿宋"/>
          <w:szCs w:val="32"/>
        </w:rPr>
        <w:t>15</w:t>
      </w:r>
      <w:r>
        <w:rPr>
          <w:rFonts w:hint="eastAsia" w:ascii="仿宋_GB2312" w:hAnsi="仿宋"/>
          <w:szCs w:val="32"/>
        </w:rPr>
        <w:t>分。该指标实际得15分。</w:t>
      </w:r>
    </w:p>
    <w:p>
      <w:pPr>
        <w:pStyle w:val="3"/>
        <w:spacing w:before="0" w:after="0" w:line="580" w:lineRule="exact"/>
        <w:ind w:firstLine="643" w:firstLineChars="200"/>
        <w:rPr>
          <w:rFonts w:ascii="方正楷体" w:hAnsi="Times New Roman" w:eastAsia="方正楷体"/>
        </w:rPr>
      </w:pPr>
      <w:bookmarkStart w:id="74" w:name="_Toc9161"/>
      <w:bookmarkStart w:id="75" w:name="_Toc38452638"/>
      <w:bookmarkStart w:id="76" w:name="_Toc41137192"/>
      <w:bookmarkStart w:id="77" w:name="_Toc38447894"/>
      <w:bookmarkStart w:id="78" w:name="_Toc72161448"/>
      <w:r>
        <w:rPr>
          <w:rFonts w:hint="eastAsia" w:ascii="方正楷体" w:hAnsi="Times New Roman" w:eastAsia="方正楷体"/>
        </w:rPr>
        <w:t>（三）产出（28分）</w:t>
      </w:r>
      <w:bookmarkEnd w:id="74"/>
      <w:bookmarkEnd w:id="75"/>
      <w:bookmarkEnd w:id="76"/>
      <w:bookmarkEnd w:id="77"/>
      <w:bookmarkEnd w:id="78"/>
    </w:p>
    <w:p>
      <w:pPr>
        <w:spacing w:line="580" w:lineRule="exact"/>
        <w:ind w:firstLine="640" w:firstLineChars="200"/>
        <w:rPr>
          <w:szCs w:val="32"/>
        </w:rPr>
      </w:pPr>
      <w:r>
        <w:rPr>
          <w:rFonts w:hint="eastAsia"/>
          <w:szCs w:val="32"/>
        </w:rPr>
        <w:t>过程</w:t>
      </w:r>
      <w:r>
        <w:rPr>
          <w:szCs w:val="32"/>
        </w:rPr>
        <w:t>绩效指标满分28分，得分</w:t>
      </w:r>
      <w:r>
        <w:t>25</w:t>
      </w:r>
      <w:r>
        <w:rPr>
          <w:szCs w:val="32"/>
        </w:rPr>
        <w:t>分，主要扣分原因为</w:t>
      </w:r>
      <w:r>
        <w:rPr>
          <w:rFonts w:hint="eastAsia"/>
          <w:szCs w:val="32"/>
        </w:rPr>
        <w:t>职业技能培训合格率较低。</w:t>
      </w:r>
    </w:p>
    <w:p>
      <w:pPr>
        <w:spacing w:line="580" w:lineRule="exact"/>
        <w:ind w:firstLine="640" w:firstLineChars="200"/>
        <w:rPr>
          <w:rFonts w:ascii="仿宋_GB2312" w:hAnsi="仿宋"/>
          <w:szCs w:val="32"/>
        </w:rPr>
      </w:pPr>
      <w:r>
        <w:rPr>
          <w:rFonts w:hint="eastAsia" w:ascii="仿宋_GB2312" w:hAnsi="仿宋"/>
          <w:szCs w:val="32"/>
        </w:rPr>
        <w:t>经检查，20</w:t>
      </w:r>
      <w:r>
        <w:rPr>
          <w:rFonts w:ascii="仿宋_GB2312" w:hAnsi="仿宋"/>
          <w:szCs w:val="32"/>
        </w:rPr>
        <w:t>20</w:t>
      </w:r>
      <w:r>
        <w:rPr>
          <w:rFonts w:hint="eastAsia" w:ascii="仿宋_GB2312" w:hAnsi="仿宋"/>
          <w:szCs w:val="32"/>
        </w:rPr>
        <w:t>年申请人员中符合补贴条件且申请资料合规的人数共计</w:t>
      </w:r>
      <w:r>
        <w:rPr>
          <w:rFonts w:ascii="仿宋_GB2312" w:hAnsi="仿宋"/>
          <w:szCs w:val="32"/>
        </w:rPr>
        <w:t>1076</w:t>
      </w:r>
      <w:r>
        <w:rPr>
          <w:rFonts w:hint="eastAsia" w:ascii="仿宋_GB2312" w:hAnsi="仿宋"/>
          <w:szCs w:val="32"/>
        </w:rPr>
        <w:t>人，20</w:t>
      </w:r>
      <w:r>
        <w:rPr>
          <w:rFonts w:ascii="仿宋_GB2312" w:hAnsi="仿宋"/>
          <w:szCs w:val="32"/>
        </w:rPr>
        <w:t>20</w:t>
      </w:r>
      <w:r>
        <w:rPr>
          <w:rFonts w:hint="eastAsia" w:ascii="仿宋_GB2312" w:hAnsi="仿宋"/>
          <w:szCs w:val="32"/>
        </w:rPr>
        <w:t>年实际发放补贴人数共计</w:t>
      </w:r>
      <w:r>
        <w:rPr>
          <w:rFonts w:ascii="仿宋_GB2312" w:hAnsi="仿宋"/>
          <w:szCs w:val="32"/>
        </w:rPr>
        <w:t>1077</w:t>
      </w:r>
      <w:r>
        <w:rPr>
          <w:rFonts w:hint="eastAsia" w:ascii="仿宋_GB2312" w:hAnsi="仿宋"/>
          <w:szCs w:val="32"/>
        </w:rPr>
        <w:t>人，其中因2</w:t>
      </w:r>
      <w:r>
        <w:rPr>
          <w:rFonts w:ascii="仿宋_GB2312" w:hAnsi="仿宋"/>
          <w:szCs w:val="32"/>
        </w:rPr>
        <w:t>019</w:t>
      </w:r>
      <w:r>
        <w:rPr>
          <w:rFonts w:hint="eastAsia" w:ascii="仿宋_GB2312" w:hAnsi="仿宋"/>
          <w:szCs w:val="32"/>
        </w:rPr>
        <w:t>年底系统结算延期到2</w:t>
      </w:r>
      <w:r>
        <w:rPr>
          <w:rFonts w:ascii="仿宋_GB2312" w:hAnsi="仿宋"/>
          <w:szCs w:val="32"/>
        </w:rPr>
        <w:t>020</w:t>
      </w:r>
      <w:r>
        <w:rPr>
          <w:rFonts w:hint="eastAsia" w:ascii="仿宋_GB2312" w:hAnsi="仿宋"/>
          <w:szCs w:val="32"/>
        </w:rPr>
        <w:t>年拨付资金1人。当年实际补贴人数与应补贴人数一致，实际完成率100%。20</w:t>
      </w:r>
      <w:r>
        <w:rPr>
          <w:rFonts w:ascii="仿宋_GB2312" w:hAnsi="仿宋"/>
          <w:szCs w:val="32"/>
        </w:rPr>
        <w:t>20</w:t>
      </w:r>
      <w:r>
        <w:rPr>
          <w:rFonts w:hint="eastAsia" w:ascii="仿宋_GB2312" w:hAnsi="仿宋"/>
          <w:szCs w:val="32"/>
        </w:rPr>
        <w:t>年参加职业技能培训的报名人数为</w:t>
      </w:r>
      <w:r>
        <w:rPr>
          <w:rFonts w:ascii="仿宋_GB2312" w:hAnsi="仿宋"/>
          <w:szCs w:val="32"/>
        </w:rPr>
        <w:t>201</w:t>
      </w:r>
      <w:r>
        <w:rPr>
          <w:rFonts w:hint="eastAsia" w:ascii="仿宋_GB2312" w:hAnsi="仿宋"/>
          <w:szCs w:val="32"/>
        </w:rPr>
        <w:t>人，实际培训合格人数为</w:t>
      </w:r>
      <w:r>
        <w:rPr>
          <w:rFonts w:ascii="仿宋_GB2312" w:hAnsi="仿宋"/>
          <w:szCs w:val="32"/>
        </w:rPr>
        <w:t>115</w:t>
      </w:r>
      <w:r>
        <w:rPr>
          <w:rFonts w:hint="eastAsia" w:ascii="仿宋_GB2312" w:hAnsi="仿宋"/>
          <w:szCs w:val="32"/>
        </w:rPr>
        <w:t>人，职业技能培训合格率=（</w:t>
      </w:r>
      <w:r>
        <w:rPr>
          <w:rFonts w:ascii="仿宋_GB2312" w:hAnsi="仿宋"/>
          <w:szCs w:val="32"/>
        </w:rPr>
        <w:t>115</w:t>
      </w:r>
      <w:r>
        <w:rPr>
          <w:rFonts w:hint="eastAsia" w:ascii="仿宋_GB2312" w:hAnsi="仿宋"/>
          <w:szCs w:val="32"/>
        </w:rPr>
        <w:t>/</w:t>
      </w:r>
      <w:r>
        <w:rPr>
          <w:rFonts w:ascii="仿宋_GB2312" w:hAnsi="仿宋"/>
          <w:szCs w:val="32"/>
        </w:rPr>
        <w:t>201</w:t>
      </w:r>
      <w:r>
        <w:rPr>
          <w:rFonts w:hint="eastAsia" w:ascii="仿宋_GB2312" w:hAnsi="仿宋"/>
          <w:szCs w:val="32"/>
        </w:rPr>
        <w:t>）*100%=57%。职业技能培训合格率较低的原因主要包括考勤天数不符合规定、中途退学、未取得资格证书或者合格证等。该项目涉及的八类补贴，均按资金管理办法规定的流程（包括申请人提交资料、审核资料、公开公示、发放补贴）及时间进行发放，补贴发放及时。该项目20</w:t>
      </w:r>
      <w:r>
        <w:rPr>
          <w:rFonts w:ascii="仿宋_GB2312" w:hAnsi="仿宋"/>
          <w:szCs w:val="32"/>
        </w:rPr>
        <w:t>20</w:t>
      </w:r>
      <w:r>
        <w:rPr>
          <w:rFonts w:hint="eastAsia" w:ascii="仿宋_GB2312" w:hAnsi="仿宋"/>
          <w:szCs w:val="32"/>
        </w:rPr>
        <w:t>年各补贴类别按补贴标准计算的应补贴金额896.87万元与实际补贴金额896.87万元一致，补贴发放准确率为100%。</w:t>
      </w:r>
    </w:p>
    <w:p>
      <w:pPr>
        <w:spacing w:line="580" w:lineRule="exact"/>
        <w:ind w:firstLine="640" w:firstLineChars="200"/>
        <w:rPr>
          <w:rFonts w:ascii="仿宋_GB2312" w:hAnsi="仿宋"/>
          <w:szCs w:val="32"/>
        </w:rPr>
      </w:pPr>
      <w:r>
        <w:rPr>
          <w:rFonts w:hint="eastAsia" w:ascii="仿宋_GB2312" w:hAnsi="仿宋"/>
          <w:szCs w:val="32"/>
        </w:rPr>
        <w:t>该指标满分</w:t>
      </w:r>
      <w:r>
        <w:rPr>
          <w:rFonts w:ascii="仿宋_GB2312" w:hAnsi="仿宋"/>
          <w:szCs w:val="32"/>
        </w:rPr>
        <w:t>28</w:t>
      </w:r>
      <w:r>
        <w:rPr>
          <w:rFonts w:hint="eastAsia" w:ascii="仿宋_GB2312" w:hAnsi="仿宋"/>
          <w:szCs w:val="32"/>
        </w:rPr>
        <w:t>分。实际得分</w:t>
      </w:r>
      <w:r>
        <w:rPr>
          <w:rFonts w:ascii="仿宋_GB2312" w:hAnsi="仿宋"/>
          <w:szCs w:val="32"/>
        </w:rPr>
        <w:t>25</w:t>
      </w:r>
      <w:r>
        <w:rPr>
          <w:rFonts w:hint="eastAsia" w:ascii="仿宋_GB2312" w:hAnsi="仿宋"/>
          <w:szCs w:val="32"/>
        </w:rPr>
        <w:t>分，其中职业技能培训合格率满分7分，实际得分=57%*7=4分，扣3分。</w:t>
      </w:r>
    </w:p>
    <w:bookmarkEnd w:id="45"/>
    <w:bookmarkEnd w:id="46"/>
    <w:bookmarkEnd w:id="47"/>
    <w:bookmarkEnd w:id="48"/>
    <w:p>
      <w:pPr>
        <w:pStyle w:val="3"/>
        <w:spacing w:before="0" w:after="0" w:line="580" w:lineRule="exact"/>
        <w:ind w:firstLine="643" w:firstLineChars="200"/>
        <w:rPr>
          <w:rFonts w:ascii="方正楷体" w:hAnsi="Times New Roman" w:eastAsia="方正楷体"/>
        </w:rPr>
      </w:pPr>
      <w:bookmarkStart w:id="79" w:name="_Toc38452639"/>
      <w:bookmarkStart w:id="80" w:name="_Toc72161449"/>
      <w:bookmarkStart w:id="81" w:name="_Toc25439"/>
      <w:bookmarkStart w:id="82" w:name="_Toc41137193"/>
      <w:bookmarkStart w:id="83" w:name="_Toc38447895"/>
      <w:bookmarkStart w:id="84" w:name="_Toc29686_WPSOffice_Level1"/>
      <w:bookmarkStart w:id="85" w:name="_Toc10979_WPSOffice_Level1"/>
      <w:bookmarkStart w:id="86" w:name="_Toc10725_WPSOffice_Level1"/>
      <w:bookmarkStart w:id="87" w:name="_Toc3770_WPSOffice_Level1"/>
      <w:bookmarkStart w:id="88" w:name="_Toc8381_WPSOffice_Level1"/>
      <w:r>
        <w:rPr>
          <w:rFonts w:hint="eastAsia" w:ascii="方正楷体" w:hAnsi="Times New Roman" w:eastAsia="方正楷体"/>
        </w:rPr>
        <w:t>（四）效益（32分）</w:t>
      </w:r>
      <w:bookmarkEnd w:id="79"/>
      <w:bookmarkEnd w:id="80"/>
      <w:bookmarkEnd w:id="81"/>
      <w:bookmarkEnd w:id="82"/>
      <w:bookmarkEnd w:id="83"/>
    </w:p>
    <w:p>
      <w:pPr>
        <w:spacing w:line="580" w:lineRule="exact"/>
        <w:ind w:firstLine="640" w:firstLineChars="200"/>
        <w:rPr>
          <w:rFonts w:ascii="仿宋_GB2312" w:hAnsi="仿宋"/>
          <w:szCs w:val="32"/>
        </w:rPr>
      </w:pPr>
      <w:r>
        <w:rPr>
          <w:rFonts w:hint="eastAsia"/>
          <w:szCs w:val="32"/>
        </w:rPr>
        <w:t>效益</w:t>
      </w:r>
      <w:r>
        <w:rPr>
          <w:szCs w:val="32"/>
        </w:rPr>
        <w:t>绩效指标满分32分，得分</w:t>
      </w:r>
      <w:r>
        <w:t>23</w:t>
      </w:r>
      <w:r>
        <w:rPr>
          <w:szCs w:val="32"/>
        </w:rPr>
        <w:t>分，主要扣分原因为</w:t>
      </w:r>
      <w:r>
        <w:rPr>
          <w:rFonts w:hint="eastAsia" w:ascii="仿宋_GB2312" w:hAnsi="仿宋"/>
          <w:szCs w:val="32"/>
        </w:rPr>
        <w:t>就业困难人员再就业增长率未达标，满意度指标扣1分。</w:t>
      </w:r>
    </w:p>
    <w:p>
      <w:pPr>
        <w:spacing w:line="580" w:lineRule="exact"/>
        <w:ind w:firstLine="643" w:firstLineChars="200"/>
        <w:rPr>
          <w:rFonts w:ascii="仿宋_GB2312" w:hAnsi="仿宋"/>
          <w:szCs w:val="32"/>
        </w:rPr>
      </w:pPr>
      <w:r>
        <w:rPr>
          <w:rFonts w:hint="eastAsia" w:ascii="仿宋_GB2312" w:hAnsi="仿宋"/>
          <w:b/>
          <w:bCs/>
          <w:szCs w:val="32"/>
        </w:rPr>
        <w:t>1.项目效益（24分）</w:t>
      </w:r>
      <w:r>
        <w:rPr>
          <w:rFonts w:hint="eastAsia" w:ascii="仿宋_GB2312" w:hAnsi="仿宋"/>
          <w:szCs w:val="32"/>
        </w:rPr>
        <w:t>201</w:t>
      </w:r>
      <w:r>
        <w:rPr>
          <w:rFonts w:ascii="仿宋_GB2312" w:hAnsi="仿宋"/>
          <w:szCs w:val="32"/>
        </w:rPr>
        <w:t>9</w:t>
      </w:r>
      <w:r>
        <w:rPr>
          <w:rFonts w:hint="eastAsia" w:ascii="仿宋_GB2312" w:hAnsi="仿宋"/>
          <w:szCs w:val="32"/>
        </w:rPr>
        <w:t>年年初至报告期末城镇新增就业人数</w:t>
      </w:r>
      <w:r>
        <w:rPr>
          <w:rFonts w:ascii="仿宋_GB2312" w:hAnsi="仿宋"/>
          <w:szCs w:val="32"/>
        </w:rPr>
        <w:t>4016</w:t>
      </w:r>
      <w:r>
        <w:rPr>
          <w:rFonts w:hint="eastAsia" w:ascii="仿宋_GB2312" w:hAnsi="仿宋"/>
          <w:szCs w:val="32"/>
        </w:rPr>
        <w:t>人，20</w:t>
      </w:r>
      <w:r>
        <w:rPr>
          <w:rFonts w:ascii="仿宋_GB2312" w:hAnsi="仿宋"/>
          <w:szCs w:val="32"/>
        </w:rPr>
        <w:t>20</w:t>
      </w:r>
      <w:r>
        <w:rPr>
          <w:rFonts w:hint="eastAsia" w:ascii="仿宋_GB2312" w:hAnsi="仿宋"/>
          <w:szCs w:val="32"/>
        </w:rPr>
        <w:t>年初至报告期末城镇新增就业人数4</w:t>
      </w:r>
      <w:r>
        <w:rPr>
          <w:rFonts w:ascii="仿宋_GB2312" w:hAnsi="仿宋"/>
          <w:szCs w:val="32"/>
        </w:rPr>
        <w:t>114</w:t>
      </w:r>
      <w:r>
        <w:rPr>
          <w:rFonts w:hint="eastAsia" w:ascii="仿宋_GB2312" w:hAnsi="仿宋"/>
          <w:szCs w:val="32"/>
        </w:rPr>
        <w:t>人，新增就业人数增长率＞0。</w:t>
      </w:r>
      <w:r>
        <w:rPr>
          <w:rFonts w:hint="eastAsia" w:ascii="仿宋_GB2312" w:hAnsi="仿宋"/>
          <w:bCs/>
          <w:szCs w:val="32"/>
        </w:rPr>
        <w:t>201</w:t>
      </w:r>
      <w:r>
        <w:rPr>
          <w:rFonts w:ascii="仿宋_GB2312" w:hAnsi="仿宋"/>
          <w:bCs/>
          <w:szCs w:val="32"/>
        </w:rPr>
        <w:t>9</w:t>
      </w:r>
      <w:r>
        <w:rPr>
          <w:rFonts w:hint="eastAsia" w:ascii="仿宋_GB2312" w:hAnsi="仿宋"/>
          <w:bCs/>
          <w:szCs w:val="32"/>
        </w:rPr>
        <w:t>年就业困难人员再就业人数</w:t>
      </w:r>
      <w:r>
        <w:rPr>
          <w:rFonts w:ascii="仿宋_GB2312" w:hAnsi="仿宋"/>
          <w:bCs/>
          <w:szCs w:val="32"/>
        </w:rPr>
        <w:t>504</w:t>
      </w:r>
      <w:r>
        <w:rPr>
          <w:rFonts w:hint="eastAsia" w:ascii="仿宋_GB2312" w:hAnsi="仿宋"/>
          <w:bCs/>
          <w:szCs w:val="32"/>
        </w:rPr>
        <w:t>人，20</w:t>
      </w:r>
      <w:r>
        <w:rPr>
          <w:rFonts w:ascii="仿宋_GB2312" w:hAnsi="仿宋"/>
          <w:bCs/>
          <w:szCs w:val="32"/>
        </w:rPr>
        <w:t>20</w:t>
      </w:r>
      <w:r>
        <w:rPr>
          <w:rFonts w:hint="eastAsia" w:ascii="仿宋_GB2312" w:hAnsi="仿宋"/>
          <w:bCs/>
          <w:szCs w:val="32"/>
        </w:rPr>
        <w:t>年就业困难人员再就业人数</w:t>
      </w:r>
      <w:r>
        <w:rPr>
          <w:rFonts w:ascii="仿宋_GB2312" w:hAnsi="仿宋"/>
          <w:bCs/>
          <w:szCs w:val="32"/>
        </w:rPr>
        <w:t>498</w:t>
      </w:r>
      <w:r>
        <w:rPr>
          <w:rFonts w:hint="eastAsia" w:ascii="仿宋_GB2312" w:hAnsi="仿宋"/>
          <w:bCs/>
          <w:szCs w:val="32"/>
        </w:rPr>
        <w:t>人，就业困难人员再就业增长率为-</w:t>
      </w:r>
      <w:r>
        <w:rPr>
          <w:rFonts w:ascii="仿宋_GB2312" w:hAnsi="仿宋"/>
          <w:bCs/>
          <w:szCs w:val="32"/>
        </w:rPr>
        <w:t>1%</w:t>
      </w:r>
      <w:r>
        <w:rPr>
          <w:rFonts w:hint="eastAsia" w:ascii="仿宋_GB2312" w:hAnsi="仿宋"/>
          <w:bCs/>
          <w:szCs w:val="32"/>
        </w:rPr>
        <w:t>，增长率</w:t>
      </w:r>
      <w:r>
        <w:rPr>
          <w:rFonts w:hint="eastAsia" w:ascii="仿宋_GB2312" w:hAnsi="仿宋"/>
          <w:szCs w:val="32"/>
        </w:rPr>
        <w:t>＜0，该指标满分8分，实际不得分。20</w:t>
      </w:r>
      <w:r>
        <w:rPr>
          <w:rFonts w:ascii="仿宋_GB2312" w:hAnsi="仿宋"/>
          <w:szCs w:val="32"/>
        </w:rPr>
        <w:t>20</w:t>
      </w:r>
      <w:r>
        <w:rPr>
          <w:rFonts w:hint="eastAsia" w:ascii="仿宋_GB2312" w:hAnsi="仿宋"/>
          <w:szCs w:val="32"/>
        </w:rPr>
        <w:t>年末失业率3.16%，与2</w:t>
      </w:r>
      <w:r>
        <w:rPr>
          <w:rFonts w:ascii="仿宋_GB2312" w:hAnsi="仿宋"/>
          <w:szCs w:val="32"/>
        </w:rPr>
        <w:t>019</w:t>
      </w:r>
      <w:r>
        <w:rPr>
          <w:rFonts w:hint="eastAsia" w:ascii="仿宋_GB2312" w:hAnsi="仿宋"/>
          <w:szCs w:val="32"/>
        </w:rPr>
        <w:t>年失业率数据持平。</w:t>
      </w:r>
    </w:p>
    <w:p>
      <w:pPr>
        <w:spacing w:line="580" w:lineRule="exact"/>
        <w:ind w:firstLine="643" w:firstLineChars="200"/>
        <w:rPr>
          <w:rFonts w:ascii="仿宋_GB2312" w:hAnsi="仿宋"/>
          <w:b/>
          <w:bCs/>
          <w:szCs w:val="32"/>
        </w:rPr>
      </w:pPr>
      <w:r>
        <w:rPr>
          <w:rFonts w:hint="eastAsia" w:ascii="仿宋_GB2312" w:hAnsi="仿宋"/>
          <w:b/>
          <w:bCs/>
          <w:szCs w:val="32"/>
        </w:rPr>
        <w:t>2．满意度（8分）</w:t>
      </w:r>
    </w:p>
    <w:p>
      <w:pPr>
        <w:spacing w:line="580" w:lineRule="exact"/>
        <w:ind w:firstLine="640"/>
        <w:rPr>
          <w:rFonts w:ascii="仿宋_GB2312" w:hAnsi="宋体"/>
          <w:szCs w:val="32"/>
          <w:u w:color="000000"/>
        </w:rPr>
      </w:pPr>
      <w:r>
        <w:rPr>
          <w:szCs w:val="32"/>
        </w:rPr>
        <w:t>通过电话回访</w:t>
      </w:r>
      <w:r>
        <w:rPr>
          <w:rFonts w:hint="eastAsia"/>
          <w:szCs w:val="32"/>
        </w:rPr>
        <w:t>、</w:t>
      </w:r>
      <w:r>
        <w:rPr>
          <w:szCs w:val="32"/>
        </w:rPr>
        <w:t>发放问卷调查，受益对象对该政策和项目的实施满意度较高，本次</w:t>
      </w:r>
      <w:r>
        <w:rPr>
          <w:rFonts w:hint="eastAsia"/>
          <w:szCs w:val="32"/>
        </w:rPr>
        <w:t>对</w:t>
      </w:r>
      <w:r>
        <w:rPr>
          <w:szCs w:val="32"/>
        </w:rPr>
        <w:t>受益对象进行</w:t>
      </w:r>
      <w:r>
        <w:rPr>
          <w:rFonts w:hint="eastAsia"/>
          <w:szCs w:val="32"/>
        </w:rPr>
        <w:t>随机抽查</w:t>
      </w:r>
      <w:r>
        <w:rPr>
          <w:szCs w:val="32"/>
        </w:rPr>
        <w:t>，</w:t>
      </w:r>
      <w:r>
        <w:rPr>
          <w:rFonts w:hint="eastAsia"/>
          <w:szCs w:val="32"/>
        </w:rPr>
        <w:t>调查结果基本满意，</w:t>
      </w:r>
      <w:r>
        <w:rPr>
          <w:rFonts w:hint="eastAsia" w:ascii="仿宋_GB2312" w:hAnsi="宋体"/>
          <w:szCs w:val="32"/>
          <w:u w:color="000000"/>
        </w:rPr>
        <w:t>具体调查情况如下：</w:t>
      </w:r>
    </w:p>
    <w:p>
      <w:pPr>
        <w:spacing w:line="580" w:lineRule="exact"/>
        <w:jc w:val="center"/>
        <w:textAlignment w:val="baseline"/>
        <w:rPr>
          <w:rFonts w:ascii="宋体" w:hAnsi="宋体" w:eastAsia="宋体" w:cs="宋体"/>
          <w:b/>
          <w:bCs/>
          <w:szCs w:val="32"/>
          <w:u w:color="000000"/>
        </w:rPr>
      </w:pPr>
      <w:r>
        <w:rPr>
          <w:rFonts w:hint="eastAsia" w:ascii="宋体" w:hAnsi="宋体" w:eastAsia="宋体" w:cs="宋体"/>
          <w:b/>
          <w:bCs/>
          <w:szCs w:val="32"/>
          <w:u w:color="000000"/>
        </w:rPr>
        <w:t>群众满意度调查问卷汇总表</w:t>
      </w:r>
    </w:p>
    <w:tbl>
      <w:tblPr>
        <w:tblStyle w:val="20"/>
        <w:tblW w:w="8702" w:type="dxa"/>
        <w:jc w:val="center"/>
        <w:tblLayout w:type="fixed"/>
        <w:tblCellMar>
          <w:top w:w="15" w:type="dxa"/>
          <w:left w:w="15" w:type="dxa"/>
          <w:bottom w:w="15" w:type="dxa"/>
          <w:right w:w="15" w:type="dxa"/>
        </w:tblCellMar>
      </w:tblPr>
      <w:tblGrid>
        <w:gridCol w:w="2700"/>
        <w:gridCol w:w="1417"/>
        <w:gridCol w:w="946"/>
        <w:gridCol w:w="1464"/>
        <w:gridCol w:w="1086"/>
        <w:gridCol w:w="1089"/>
      </w:tblGrid>
      <w:tr>
        <w:tblPrEx>
          <w:tblCellMar>
            <w:top w:w="15" w:type="dxa"/>
            <w:left w:w="15" w:type="dxa"/>
            <w:bottom w:w="15" w:type="dxa"/>
            <w:right w:w="15" w:type="dxa"/>
          </w:tblCellMar>
        </w:tblPrEx>
        <w:trPr>
          <w:trHeight w:val="454"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宋体"/>
                <w:b/>
                <w:bCs/>
                <w:sz w:val="21"/>
                <w:szCs w:val="21"/>
                <w:u w:color="000000"/>
              </w:rPr>
            </w:pPr>
            <w:r>
              <w:rPr>
                <w:rFonts w:eastAsia="宋体"/>
                <w:b/>
                <w:bCs/>
                <w:sz w:val="21"/>
                <w:szCs w:val="21"/>
                <w:u w:color="000000"/>
              </w:rPr>
              <w:t>调查项目</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宋体"/>
                <w:b/>
                <w:bCs/>
                <w:sz w:val="21"/>
                <w:szCs w:val="21"/>
                <w:u w:color="000000"/>
              </w:rPr>
            </w:pPr>
            <w:r>
              <w:rPr>
                <w:rFonts w:eastAsia="宋体"/>
                <w:b/>
                <w:bCs/>
                <w:sz w:val="21"/>
                <w:szCs w:val="21"/>
                <w:u w:color="000000"/>
              </w:rPr>
              <w:t>满意/非常了解</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宋体"/>
                <w:b/>
                <w:bCs/>
                <w:sz w:val="21"/>
                <w:szCs w:val="21"/>
                <w:u w:color="000000"/>
              </w:rPr>
            </w:pPr>
            <w:r>
              <w:rPr>
                <w:rFonts w:eastAsia="宋体"/>
                <w:b/>
                <w:bCs/>
                <w:sz w:val="21"/>
                <w:szCs w:val="21"/>
                <w:u w:color="000000"/>
              </w:rPr>
              <w:t>一般</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宋体"/>
                <w:b/>
                <w:bCs/>
                <w:sz w:val="21"/>
                <w:szCs w:val="21"/>
                <w:u w:color="000000"/>
              </w:rPr>
            </w:pPr>
            <w:r>
              <w:rPr>
                <w:rFonts w:eastAsia="宋体"/>
                <w:b/>
                <w:bCs/>
                <w:sz w:val="21"/>
                <w:szCs w:val="21"/>
                <w:u w:color="000000"/>
              </w:rPr>
              <w:t>不满意/不了解</w:t>
            </w:r>
          </w:p>
        </w:tc>
        <w:tc>
          <w:tcPr>
            <w:tcW w:w="108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宋体"/>
                <w:b/>
                <w:bCs/>
                <w:sz w:val="21"/>
                <w:szCs w:val="21"/>
                <w:u w:color="000000"/>
              </w:rPr>
            </w:pPr>
            <w:r>
              <w:rPr>
                <w:rFonts w:eastAsia="宋体"/>
                <w:b/>
                <w:bCs/>
                <w:sz w:val="21"/>
                <w:szCs w:val="21"/>
                <w:u w:color="000000"/>
              </w:rPr>
              <w:t>合计</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宋体"/>
                <w:b/>
                <w:bCs/>
                <w:sz w:val="21"/>
                <w:szCs w:val="21"/>
                <w:u w:color="000000"/>
              </w:rPr>
            </w:pPr>
            <w:r>
              <w:rPr>
                <w:rFonts w:eastAsia="宋体"/>
                <w:b/>
                <w:bCs/>
                <w:sz w:val="21"/>
                <w:szCs w:val="21"/>
                <w:u w:color="000000"/>
              </w:rPr>
              <w:t>单项得分</w:t>
            </w:r>
          </w:p>
        </w:tc>
      </w:tr>
      <w:tr>
        <w:tblPrEx>
          <w:tblCellMar>
            <w:top w:w="15" w:type="dxa"/>
            <w:left w:w="15" w:type="dxa"/>
            <w:bottom w:w="15" w:type="dxa"/>
            <w:right w:w="15" w:type="dxa"/>
          </w:tblCellMar>
        </w:tblPrEx>
        <w:trPr>
          <w:trHeight w:val="454" w:hRule="atLeast"/>
          <w:jc w:val="center"/>
        </w:trPr>
        <w:tc>
          <w:tcPr>
            <w:tcW w:w="270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eastAsia="宋体"/>
                <w:sz w:val="21"/>
                <w:szCs w:val="21"/>
                <w:u w:color="000000"/>
              </w:rPr>
            </w:pPr>
            <w:r>
              <w:rPr>
                <w:rFonts w:eastAsia="宋体"/>
                <w:sz w:val="21"/>
                <w:szCs w:val="21"/>
                <w:u w:color="000000"/>
              </w:rPr>
              <w:t>您对就业补助政策是否了解</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eastAsia="宋体"/>
                <w:sz w:val="21"/>
                <w:szCs w:val="21"/>
                <w:u w:color="000000"/>
              </w:rPr>
              <w:t>8.5</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eastAsia="宋体"/>
                <w:sz w:val="21"/>
                <w:szCs w:val="21"/>
                <w:u w:color="000000"/>
              </w:rPr>
              <w:t>1.5</w:t>
            </w: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p>
        </w:tc>
        <w:tc>
          <w:tcPr>
            <w:tcW w:w="108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hint="eastAsia" w:eastAsia="宋体"/>
                <w:sz w:val="21"/>
                <w:szCs w:val="21"/>
                <w:u w:color="000000"/>
              </w:rPr>
              <w:t>1</w:t>
            </w:r>
            <w:r>
              <w:rPr>
                <w:rFonts w:eastAsia="宋体"/>
                <w:sz w:val="21"/>
                <w:szCs w:val="21"/>
                <w:u w:color="000000"/>
              </w:rPr>
              <w:t>0</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eastAsia="宋体"/>
                <w:sz w:val="21"/>
                <w:szCs w:val="21"/>
                <w:u w:color="000000"/>
              </w:rPr>
              <w:t>9.4</w:t>
            </w:r>
          </w:p>
        </w:tc>
      </w:tr>
      <w:tr>
        <w:tblPrEx>
          <w:tblCellMar>
            <w:top w:w="15" w:type="dxa"/>
            <w:left w:w="15" w:type="dxa"/>
            <w:bottom w:w="15" w:type="dxa"/>
            <w:right w:w="15" w:type="dxa"/>
          </w:tblCellMar>
        </w:tblPrEx>
        <w:trPr>
          <w:trHeight w:val="454" w:hRule="atLeast"/>
          <w:jc w:val="center"/>
        </w:trPr>
        <w:tc>
          <w:tcPr>
            <w:tcW w:w="270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eastAsia="宋体"/>
                <w:sz w:val="21"/>
                <w:szCs w:val="21"/>
                <w:u w:color="000000"/>
              </w:rPr>
            </w:pPr>
            <w:r>
              <w:rPr>
                <w:rFonts w:eastAsia="宋体"/>
                <w:sz w:val="21"/>
                <w:szCs w:val="21"/>
                <w:u w:color="000000"/>
              </w:rPr>
              <w:t>您对就业补助资金的发放流程是否满意</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eastAsia="宋体"/>
                <w:sz w:val="21"/>
                <w:szCs w:val="21"/>
                <w:u w:color="000000"/>
              </w:rPr>
              <w:t>9</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eastAsia="宋体"/>
                <w:sz w:val="21"/>
                <w:szCs w:val="21"/>
                <w:u w:color="000000"/>
              </w:rPr>
              <w:t>0.5</w:t>
            </w: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hint="eastAsia" w:eastAsia="宋体"/>
                <w:sz w:val="21"/>
                <w:szCs w:val="21"/>
                <w:u w:color="000000"/>
              </w:rPr>
              <w:t>0</w:t>
            </w:r>
            <w:r>
              <w:rPr>
                <w:rFonts w:eastAsia="宋体"/>
                <w:sz w:val="21"/>
                <w:szCs w:val="21"/>
                <w:u w:color="000000"/>
              </w:rPr>
              <w:t>.5</w:t>
            </w:r>
          </w:p>
        </w:tc>
        <w:tc>
          <w:tcPr>
            <w:tcW w:w="108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hint="eastAsia" w:eastAsia="宋体"/>
                <w:sz w:val="21"/>
                <w:szCs w:val="21"/>
                <w:u w:color="000000"/>
              </w:rPr>
              <w:t>1</w:t>
            </w:r>
            <w:r>
              <w:rPr>
                <w:rFonts w:eastAsia="宋体"/>
                <w:sz w:val="21"/>
                <w:szCs w:val="21"/>
                <w:u w:color="000000"/>
              </w:rPr>
              <w:t>0</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eastAsia="宋体"/>
                <w:sz w:val="21"/>
                <w:szCs w:val="21"/>
                <w:u w:color="000000"/>
              </w:rPr>
              <w:t>9.3</w:t>
            </w:r>
          </w:p>
        </w:tc>
      </w:tr>
      <w:tr>
        <w:tblPrEx>
          <w:tblCellMar>
            <w:top w:w="15" w:type="dxa"/>
            <w:left w:w="15" w:type="dxa"/>
            <w:bottom w:w="15" w:type="dxa"/>
            <w:right w:w="15" w:type="dxa"/>
          </w:tblCellMar>
        </w:tblPrEx>
        <w:trPr>
          <w:trHeight w:val="454" w:hRule="atLeast"/>
          <w:jc w:val="center"/>
        </w:trPr>
        <w:tc>
          <w:tcPr>
            <w:tcW w:w="270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eastAsia="宋体"/>
                <w:sz w:val="21"/>
                <w:szCs w:val="21"/>
                <w:u w:color="000000"/>
              </w:rPr>
            </w:pPr>
            <w:r>
              <w:rPr>
                <w:rFonts w:eastAsia="宋体"/>
                <w:sz w:val="21"/>
                <w:szCs w:val="21"/>
                <w:u w:color="000000"/>
              </w:rPr>
              <w:t>您对就业补助资金的发放及时性是否满意</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eastAsia="宋体"/>
                <w:sz w:val="21"/>
                <w:szCs w:val="21"/>
                <w:u w:color="000000"/>
              </w:rPr>
              <w:t>9.5</w:t>
            </w: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hint="eastAsia" w:eastAsia="宋体"/>
                <w:sz w:val="21"/>
                <w:szCs w:val="21"/>
                <w:u w:color="000000"/>
              </w:rPr>
              <w:t>0</w:t>
            </w:r>
            <w:r>
              <w:rPr>
                <w:rFonts w:eastAsia="宋体"/>
                <w:sz w:val="21"/>
                <w:szCs w:val="21"/>
                <w:u w:color="000000"/>
              </w:rPr>
              <w:t>.5</w:t>
            </w:r>
          </w:p>
        </w:tc>
        <w:tc>
          <w:tcPr>
            <w:tcW w:w="108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hint="eastAsia" w:eastAsia="宋体"/>
                <w:sz w:val="21"/>
                <w:szCs w:val="21"/>
                <w:u w:color="000000"/>
              </w:rPr>
              <w:t>1</w:t>
            </w:r>
            <w:r>
              <w:rPr>
                <w:rFonts w:eastAsia="宋体"/>
                <w:sz w:val="21"/>
                <w:szCs w:val="21"/>
                <w:u w:color="000000"/>
              </w:rPr>
              <w:t>0</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eastAsia="宋体"/>
                <w:sz w:val="21"/>
                <w:szCs w:val="21"/>
                <w:u w:color="000000"/>
              </w:rPr>
            </w:pPr>
            <w:r>
              <w:rPr>
                <w:rFonts w:eastAsia="宋体"/>
                <w:sz w:val="21"/>
                <w:szCs w:val="21"/>
                <w:u w:color="000000"/>
              </w:rPr>
              <w:t>9.5</w:t>
            </w:r>
          </w:p>
        </w:tc>
      </w:tr>
    </w:tbl>
    <w:p>
      <w:pPr>
        <w:spacing w:line="580" w:lineRule="exact"/>
        <w:ind w:firstLine="640" w:firstLineChars="200"/>
        <w:textAlignment w:val="baseline"/>
        <w:rPr>
          <w:rFonts w:ascii="仿宋_GB2312" w:hAnsi="宋体"/>
          <w:szCs w:val="32"/>
          <w:u w:color="000000"/>
        </w:rPr>
      </w:pPr>
      <w:r>
        <w:rPr>
          <w:rFonts w:hint="eastAsia" w:ascii="仿宋_GB2312" w:hAnsi="宋体"/>
          <w:szCs w:val="32"/>
          <w:u w:color="000000"/>
        </w:rPr>
        <w:t>调查问卷共分为3个单项，每个单项满分为10分。其中：每一单项满分为10分：满意为10分，一般为6分，不满意为0分。</w:t>
      </w:r>
    </w:p>
    <w:p>
      <w:pPr>
        <w:spacing w:line="580" w:lineRule="exact"/>
        <w:ind w:firstLine="640" w:firstLineChars="200"/>
        <w:textAlignment w:val="baseline"/>
        <w:rPr>
          <w:rFonts w:ascii="仿宋_GB2312" w:hAnsi="宋体"/>
          <w:szCs w:val="32"/>
          <w:u w:color="000000"/>
        </w:rPr>
      </w:pPr>
      <w:r>
        <w:rPr>
          <w:rFonts w:hint="eastAsia" w:ascii="仿宋_GB2312" w:hAnsi="宋体"/>
          <w:szCs w:val="32"/>
          <w:u w:color="000000"/>
        </w:rPr>
        <w:t>经计算，总体得分为9</w:t>
      </w:r>
      <w:r>
        <w:rPr>
          <w:rFonts w:ascii="仿宋_GB2312" w:hAnsi="宋体"/>
          <w:szCs w:val="32"/>
          <w:u w:color="000000"/>
        </w:rPr>
        <w:t>.4</w:t>
      </w:r>
      <w:r>
        <w:rPr>
          <w:rFonts w:hint="eastAsia" w:ascii="仿宋_GB2312" w:hAnsi="宋体"/>
          <w:szCs w:val="32"/>
          <w:u w:color="000000"/>
        </w:rPr>
        <w:t>分，满意度为9</w:t>
      </w:r>
      <w:r>
        <w:rPr>
          <w:rFonts w:ascii="仿宋_GB2312" w:hAnsi="宋体"/>
          <w:szCs w:val="32"/>
          <w:u w:color="000000"/>
        </w:rPr>
        <w:t>4</w:t>
      </w:r>
      <w:r>
        <w:rPr>
          <w:rFonts w:hint="eastAsia" w:ascii="仿宋_GB2312" w:hAnsi="宋体"/>
          <w:szCs w:val="32"/>
          <w:u w:color="000000"/>
        </w:rPr>
        <w:t>%，得分</w:t>
      </w:r>
      <w:r>
        <w:rPr>
          <w:rFonts w:ascii="仿宋_GB2312" w:hAnsi="宋体"/>
          <w:szCs w:val="32"/>
          <w:u w:color="000000"/>
        </w:rPr>
        <w:t>7</w:t>
      </w:r>
      <w:r>
        <w:rPr>
          <w:rFonts w:hint="eastAsia" w:ascii="仿宋_GB2312" w:hAnsi="宋体"/>
          <w:szCs w:val="32"/>
          <w:u w:color="000000"/>
        </w:rPr>
        <w:t>分。</w:t>
      </w:r>
    </w:p>
    <w:p>
      <w:pPr>
        <w:spacing w:line="580" w:lineRule="exact"/>
        <w:ind w:firstLine="640" w:firstLineChars="200"/>
        <w:rPr>
          <w:rFonts w:ascii="仿宋_GB2312" w:hAnsi="宋体"/>
          <w:szCs w:val="32"/>
          <w:u w:color="000000"/>
        </w:rPr>
      </w:pPr>
      <w:r>
        <w:rPr>
          <w:rFonts w:hint="eastAsia" w:ascii="仿宋_GB2312" w:hAnsi="宋体"/>
          <w:szCs w:val="32"/>
          <w:u w:color="000000"/>
        </w:rPr>
        <w:t>该指标满分3</w:t>
      </w:r>
      <w:r>
        <w:rPr>
          <w:rFonts w:ascii="仿宋_GB2312" w:hAnsi="宋体"/>
          <w:szCs w:val="32"/>
          <w:u w:color="000000"/>
        </w:rPr>
        <w:t>2</w:t>
      </w:r>
      <w:r>
        <w:rPr>
          <w:rFonts w:hint="eastAsia" w:ascii="仿宋_GB2312" w:hAnsi="宋体"/>
          <w:szCs w:val="32"/>
          <w:u w:color="000000"/>
        </w:rPr>
        <w:t>分。该指标实际得分</w:t>
      </w:r>
      <w:r>
        <w:rPr>
          <w:rFonts w:ascii="仿宋_GB2312" w:hAnsi="宋体"/>
          <w:szCs w:val="32"/>
          <w:u w:color="000000"/>
        </w:rPr>
        <w:t>23</w:t>
      </w:r>
      <w:r>
        <w:rPr>
          <w:rFonts w:hint="eastAsia" w:ascii="仿宋_GB2312" w:hAnsi="宋体"/>
          <w:szCs w:val="32"/>
          <w:u w:color="000000"/>
        </w:rPr>
        <w:t>分。</w:t>
      </w:r>
    </w:p>
    <w:p>
      <w:pPr>
        <w:pStyle w:val="2"/>
        <w:keepNext w:val="0"/>
        <w:keepLines w:val="0"/>
        <w:numPr>
          <w:ilvl w:val="0"/>
          <w:numId w:val="2"/>
        </w:numPr>
        <w:spacing w:before="0" w:after="0" w:line="580" w:lineRule="exact"/>
        <w:ind w:firstLine="643" w:firstLineChars="200"/>
        <w:jc w:val="left"/>
        <w:rPr>
          <w:rFonts w:ascii="黑体" w:hAnsi="黑体" w:eastAsia="黑体" w:cs="黑体"/>
          <w:sz w:val="32"/>
          <w:szCs w:val="32"/>
        </w:rPr>
      </w:pPr>
      <w:bookmarkStart w:id="89" w:name="_Toc38447896"/>
      <w:bookmarkStart w:id="90" w:name="_Toc38452640"/>
      <w:bookmarkStart w:id="91" w:name="_Toc41137194"/>
      <w:bookmarkStart w:id="92" w:name="_Toc72161450"/>
      <w:bookmarkStart w:id="93" w:name="_Toc20719"/>
      <w:bookmarkStart w:id="94" w:name="_Toc8882_WPSOffice_Level1"/>
      <w:r>
        <w:rPr>
          <w:rFonts w:hint="eastAsia" w:ascii="黑体" w:hAnsi="黑体" w:eastAsia="黑体" w:cs="黑体"/>
          <w:sz w:val="32"/>
          <w:szCs w:val="32"/>
        </w:rPr>
        <w:t>存在问题</w:t>
      </w:r>
      <w:bookmarkEnd w:id="89"/>
      <w:bookmarkEnd w:id="90"/>
      <w:bookmarkEnd w:id="91"/>
      <w:bookmarkEnd w:id="92"/>
      <w:bookmarkEnd w:id="93"/>
      <w:bookmarkStart w:id="95" w:name="_Toc38452641"/>
      <w:bookmarkStart w:id="96" w:name="_Toc38447897"/>
    </w:p>
    <w:bookmarkEnd w:id="95"/>
    <w:bookmarkEnd w:id="96"/>
    <w:p>
      <w:pPr>
        <w:pStyle w:val="43"/>
        <w:spacing w:line="580" w:lineRule="exact"/>
        <w:ind w:firstLine="643"/>
        <w:rPr>
          <w:rFonts w:ascii="仿宋_GB2312" w:hAnsi="仿宋"/>
          <w:szCs w:val="32"/>
        </w:rPr>
      </w:pPr>
      <w:r>
        <w:rPr>
          <w:rFonts w:hint="eastAsia" w:ascii="仿宋_GB2312" w:hAnsi="仿宋" w:cs="仿宋"/>
          <w:b/>
          <w:szCs w:val="32"/>
        </w:rPr>
        <w:t>1.</w:t>
      </w:r>
      <w:r>
        <w:rPr>
          <w:rFonts w:hint="eastAsia" w:ascii="仿宋_GB2312" w:hAnsi="仿宋"/>
          <w:b/>
          <w:szCs w:val="32"/>
        </w:rPr>
        <w:t xml:space="preserve"> </w:t>
      </w:r>
      <w:r>
        <w:rPr>
          <w:rFonts w:hint="eastAsia" w:ascii="仿宋_GB2312" w:hAnsi="仿宋"/>
          <w:szCs w:val="32"/>
        </w:rPr>
        <w:t xml:space="preserve">绩效目标未具体量化，可衡量性较差。该项目制定的绩效目标为“就业创业服务”，绩效目标未具体量化，无法与预算确定的资金量相匹配，不利于对项目绩效目标完成情况进行考核。 </w:t>
      </w:r>
      <w:r>
        <w:rPr>
          <w:rFonts w:ascii="仿宋_GB2312" w:hAnsi="仿宋"/>
          <w:szCs w:val="32"/>
        </w:rPr>
        <w:t xml:space="preserve">            </w:t>
      </w:r>
    </w:p>
    <w:p>
      <w:pPr>
        <w:pStyle w:val="43"/>
        <w:spacing w:line="580" w:lineRule="exact"/>
        <w:ind w:firstLine="643"/>
        <w:rPr>
          <w:rFonts w:ascii="仿宋_GB2312" w:hAnsi="仿宋"/>
          <w:szCs w:val="32"/>
        </w:rPr>
      </w:pPr>
      <w:r>
        <w:rPr>
          <w:rFonts w:hint="eastAsia" w:ascii="仿宋_GB2312" w:hAnsi="仿宋" w:cs="仿宋"/>
          <w:b/>
          <w:szCs w:val="32"/>
        </w:rPr>
        <w:t>2</w:t>
      </w:r>
      <w:r>
        <w:rPr>
          <w:rFonts w:ascii="仿宋_GB2312" w:hAnsi="仿宋" w:cs="仿宋"/>
          <w:b/>
          <w:szCs w:val="32"/>
        </w:rPr>
        <w:t>.</w:t>
      </w:r>
      <w:r>
        <w:rPr>
          <w:rFonts w:ascii="仿宋_GB2312" w:hAnsi="仿宋" w:cs="仿宋"/>
          <w:bCs/>
          <w:szCs w:val="32"/>
        </w:rPr>
        <w:t xml:space="preserve"> </w:t>
      </w:r>
      <w:r>
        <w:rPr>
          <w:rFonts w:hint="eastAsia" w:ascii="仿宋_GB2312" w:hAnsi="仿宋" w:cs="仿宋"/>
          <w:bCs/>
          <w:szCs w:val="32"/>
        </w:rPr>
        <w:t>预算编制不完整，结余资金未及时上缴财政。</w:t>
      </w:r>
      <w:r>
        <w:rPr>
          <w:rFonts w:hint="eastAsia" w:ascii="仿宋_GB2312" w:hAnsi="仿宋"/>
          <w:szCs w:val="32"/>
        </w:rPr>
        <w:t>区人社局</w:t>
      </w:r>
      <w:r>
        <w:rPr>
          <w:rFonts w:ascii="仿宋_GB2312" w:hAnsi="仿宋"/>
          <w:szCs w:val="32"/>
        </w:rPr>
        <w:t>2020</w:t>
      </w:r>
      <w:r>
        <w:rPr>
          <w:rFonts w:hint="eastAsia" w:ascii="仿宋_GB2312" w:hAnsi="仿宋"/>
          <w:szCs w:val="32"/>
        </w:rPr>
        <w:t>年部门项目支出预算“就业补助资金”预算金额为</w:t>
      </w:r>
      <w:r>
        <w:rPr>
          <w:rFonts w:ascii="仿宋_GB2312" w:hAnsi="仿宋"/>
          <w:szCs w:val="32"/>
        </w:rPr>
        <w:t>651</w:t>
      </w:r>
      <w:r>
        <w:rPr>
          <w:rFonts w:hint="eastAsia" w:ascii="仿宋_GB2312" w:hAnsi="仿宋"/>
          <w:szCs w:val="32"/>
        </w:rPr>
        <w:t>万元，实际支出</w:t>
      </w:r>
      <w:r>
        <w:rPr>
          <w:rFonts w:ascii="仿宋_GB2312" w:hAnsi="仿宋"/>
          <w:szCs w:val="32"/>
        </w:rPr>
        <w:t>896.88</w:t>
      </w:r>
      <w:r>
        <w:rPr>
          <w:rFonts w:hint="eastAsia" w:ascii="仿宋_GB2312" w:hAnsi="仿宋"/>
          <w:szCs w:val="32"/>
        </w:rPr>
        <w:t>万元（2</w:t>
      </w:r>
      <w:r>
        <w:rPr>
          <w:rFonts w:ascii="仿宋_GB2312" w:hAnsi="仿宋"/>
          <w:szCs w:val="32"/>
        </w:rPr>
        <w:t>020</w:t>
      </w:r>
      <w:r>
        <w:rPr>
          <w:rFonts w:hint="eastAsia" w:ascii="仿宋_GB2312" w:hAnsi="仿宋"/>
          <w:szCs w:val="32"/>
        </w:rPr>
        <w:t>年度资金6</w:t>
      </w:r>
      <w:r>
        <w:rPr>
          <w:rFonts w:ascii="仿宋_GB2312" w:hAnsi="仿宋"/>
          <w:szCs w:val="32"/>
        </w:rPr>
        <w:t>51</w:t>
      </w:r>
      <w:r>
        <w:rPr>
          <w:rFonts w:hint="eastAsia" w:ascii="仿宋_GB2312" w:hAnsi="仿宋"/>
          <w:szCs w:val="32"/>
        </w:rPr>
        <w:t>万元，年初结余资金</w:t>
      </w:r>
      <w:r>
        <w:rPr>
          <w:rFonts w:ascii="仿宋_GB2312" w:hAnsi="仿宋_GB2312"/>
          <w:szCs w:val="32"/>
        </w:rPr>
        <w:t>245.88</w:t>
      </w:r>
      <w:r>
        <w:rPr>
          <w:rFonts w:hint="eastAsia" w:ascii="仿宋_GB2312" w:hAnsi="仿宋"/>
          <w:szCs w:val="32"/>
        </w:rPr>
        <w:t>万元），区人社局只将该项目2</w:t>
      </w:r>
      <w:r>
        <w:rPr>
          <w:rFonts w:ascii="仿宋_GB2312" w:hAnsi="仿宋"/>
          <w:szCs w:val="32"/>
        </w:rPr>
        <w:t>020</w:t>
      </w:r>
      <w:r>
        <w:rPr>
          <w:rFonts w:hint="eastAsia" w:ascii="仿宋_GB2312" w:hAnsi="仿宋"/>
          <w:szCs w:val="32"/>
        </w:rPr>
        <w:t>年度下达资金列入调整预算，未将年初结余资金列入该项目年初预算，预算编制不完整；年末结余资金结存2年以上，未及时上缴财政。</w:t>
      </w:r>
    </w:p>
    <w:p>
      <w:pPr>
        <w:pStyle w:val="43"/>
        <w:spacing w:line="580" w:lineRule="exact"/>
        <w:ind w:firstLine="643"/>
        <w:rPr>
          <w:rFonts w:ascii="仿宋_GB2312" w:hAnsi="仿宋"/>
          <w:szCs w:val="32"/>
        </w:rPr>
      </w:pPr>
      <w:r>
        <w:rPr>
          <w:rFonts w:ascii="仿宋_GB2312" w:hAnsi="仿宋"/>
          <w:b/>
          <w:bCs/>
          <w:szCs w:val="32"/>
        </w:rPr>
        <w:t>3</w:t>
      </w:r>
      <w:r>
        <w:rPr>
          <w:rFonts w:hint="eastAsia" w:ascii="仿宋_GB2312" w:hAnsi="仿宋"/>
          <w:b/>
          <w:bCs/>
          <w:szCs w:val="32"/>
        </w:rPr>
        <w:t>.</w:t>
      </w:r>
      <w:r>
        <w:rPr>
          <w:rFonts w:hint="eastAsia" w:ascii="仿宋_GB2312" w:hAnsi="仿宋_GB2312"/>
          <w:szCs w:val="32"/>
        </w:rPr>
        <w:t xml:space="preserve"> 未严格按照专项资金管理要求进行专项核算，</w:t>
      </w:r>
      <w:r>
        <w:rPr>
          <w:rFonts w:hint="eastAsia" w:ascii="仿宋_GB2312" w:hAnsi="仿宋"/>
          <w:szCs w:val="32"/>
        </w:rPr>
        <w:t>专项资金中列支其他项目费用。区人社局在该项目中列支“奖励创业担保贷款经费</w:t>
      </w:r>
      <w:r>
        <w:rPr>
          <w:rFonts w:ascii="仿宋_GB2312" w:hAnsi="仿宋"/>
          <w:szCs w:val="32"/>
        </w:rPr>
        <w:t>”</w:t>
      </w:r>
      <w:r>
        <w:rPr>
          <w:rFonts w:hint="eastAsia" w:ascii="仿宋_GB2312" w:hAnsi="仿宋"/>
          <w:szCs w:val="32"/>
        </w:rPr>
        <w:t>及相应费用1万。</w:t>
      </w:r>
      <w:r>
        <w:rPr>
          <w:rFonts w:ascii="仿宋_GB2312" w:hAnsi="仿宋"/>
          <w:szCs w:val="32"/>
        </w:rPr>
        <w:t xml:space="preserve"> </w:t>
      </w:r>
    </w:p>
    <w:p>
      <w:pPr>
        <w:pStyle w:val="43"/>
        <w:spacing w:line="580" w:lineRule="exact"/>
        <w:ind w:firstLine="643"/>
        <w:rPr>
          <w:rFonts w:ascii="仿宋_GB2312" w:hAnsi="仿宋"/>
          <w:szCs w:val="32"/>
        </w:rPr>
      </w:pPr>
      <w:r>
        <w:rPr>
          <w:rFonts w:ascii="仿宋_GB2312" w:hAnsi="仿宋"/>
          <w:b/>
          <w:bCs/>
          <w:szCs w:val="32"/>
        </w:rPr>
        <w:t>4</w:t>
      </w:r>
      <w:r>
        <w:rPr>
          <w:rFonts w:hint="eastAsia" w:ascii="仿宋_GB2312" w:hAnsi="仿宋"/>
          <w:b/>
          <w:bCs/>
          <w:szCs w:val="32"/>
        </w:rPr>
        <w:t>.</w:t>
      </w:r>
      <w:r>
        <w:rPr>
          <w:rFonts w:hint="eastAsia" w:ascii="仿宋_GB2312" w:hAnsi="仿宋"/>
          <w:szCs w:val="32"/>
        </w:rPr>
        <w:t>职业技能培训合格率较低，产出质量较差。</w:t>
      </w:r>
      <w:r>
        <w:rPr>
          <w:rFonts w:ascii="仿宋_GB2312" w:hAnsi="仿宋"/>
          <w:szCs w:val="32"/>
        </w:rPr>
        <w:t>2020</w:t>
      </w:r>
      <w:r>
        <w:rPr>
          <w:rFonts w:hint="eastAsia" w:ascii="仿宋_GB2312" w:hAnsi="仿宋"/>
          <w:szCs w:val="32"/>
        </w:rPr>
        <w:t>年参加职业技能培训的报名人数为1285人，实际培训合格人数为741人，职业技能培训合格率57.67%。职业技能培训合格率较低的原因主要包括考勤天数不符合规定、中途退学、未取得资格证书或者合格证等。</w:t>
      </w:r>
    </w:p>
    <w:p>
      <w:pPr>
        <w:pStyle w:val="43"/>
        <w:spacing w:line="580" w:lineRule="exact"/>
        <w:ind w:firstLine="643"/>
        <w:rPr>
          <w:rFonts w:ascii="仿宋_GB2312" w:hAnsi="仿宋"/>
          <w:szCs w:val="32"/>
        </w:rPr>
      </w:pPr>
      <w:r>
        <w:rPr>
          <w:rFonts w:hint="eastAsia" w:ascii="仿宋_GB2312" w:hAnsi="仿宋"/>
          <w:b/>
          <w:bCs/>
          <w:szCs w:val="32"/>
        </w:rPr>
        <w:t>5</w:t>
      </w:r>
      <w:r>
        <w:rPr>
          <w:rFonts w:ascii="仿宋_GB2312" w:hAnsi="仿宋"/>
          <w:b/>
          <w:bCs/>
          <w:szCs w:val="32"/>
        </w:rPr>
        <w:t>.</w:t>
      </w:r>
      <w:r>
        <w:rPr>
          <w:rFonts w:hint="eastAsia" w:ascii="仿宋_GB2312" w:hAnsi="仿宋"/>
          <w:szCs w:val="32"/>
        </w:rPr>
        <w:t>就业困难人员再就业增长率不达标。</w:t>
      </w:r>
      <w:r>
        <w:rPr>
          <w:rFonts w:hint="eastAsia" w:ascii="仿宋_GB2312" w:hAnsi="仿宋"/>
          <w:bCs/>
          <w:szCs w:val="32"/>
        </w:rPr>
        <w:t>20</w:t>
      </w:r>
      <w:r>
        <w:rPr>
          <w:rFonts w:ascii="仿宋_GB2312" w:hAnsi="仿宋"/>
          <w:bCs/>
          <w:szCs w:val="32"/>
        </w:rPr>
        <w:t>20</w:t>
      </w:r>
      <w:r>
        <w:rPr>
          <w:rFonts w:hint="eastAsia" w:ascii="仿宋_GB2312" w:hAnsi="仿宋"/>
          <w:bCs/>
          <w:szCs w:val="32"/>
        </w:rPr>
        <w:t>年就业困难人员再就业人数</w:t>
      </w:r>
      <w:r>
        <w:rPr>
          <w:rFonts w:ascii="仿宋_GB2312" w:hAnsi="仿宋"/>
          <w:bCs/>
          <w:szCs w:val="32"/>
        </w:rPr>
        <w:t>498</w:t>
      </w:r>
      <w:r>
        <w:rPr>
          <w:rFonts w:hint="eastAsia" w:ascii="仿宋_GB2312" w:hAnsi="仿宋"/>
          <w:bCs/>
          <w:szCs w:val="32"/>
        </w:rPr>
        <w:t>人，就业困难人员再就业增长率为-</w:t>
      </w:r>
      <w:r>
        <w:rPr>
          <w:rFonts w:ascii="仿宋_GB2312" w:hAnsi="仿宋"/>
          <w:bCs/>
          <w:szCs w:val="32"/>
        </w:rPr>
        <w:t>1%</w:t>
      </w:r>
      <w:r>
        <w:rPr>
          <w:rFonts w:hint="eastAsia" w:ascii="仿宋_GB2312" w:hAnsi="仿宋"/>
          <w:bCs/>
          <w:szCs w:val="32"/>
        </w:rPr>
        <w:t>，增长率</w:t>
      </w:r>
      <w:r>
        <w:rPr>
          <w:rFonts w:hint="eastAsia" w:ascii="仿宋_GB2312" w:hAnsi="仿宋"/>
          <w:szCs w:val="32"/>
        </w:rPr>
        <w:t>＜0。经了解，就业困难人员再就业增长率不达标的原因主要为受新冠疫情影响，经济增速的下滑导致失业率的上升，对就业市场产生负面的影响。</w:t>
      </w:r>
    </w:p>
    <w:p>
      <w:pPr>
        <w:pStyle w:val="2"/>
        <w:keepNext w:val="0"/>
        <w:keepLines w:val="0"/>
        <w:numPr>
          <w:ilvl w:val="0"/>
          <w:numId w:val="2"/>
        </w:numPr>
        <w:spacing w:before="0" w:after="0" w:line="580" w:lineRule="exact"/>
        <w:ind w:firstLine="643" w:firstLineChars="200"/>
        <w:jc w:val="left"/>
        <w:rPr>
          <w:rFonts w:ascii="黑体" w:hAnsi="黑体" w:eastAsia="黑体" w:cs="黑体"/>
          <w:sz w:val="32"/>
          <w:szCs w:val="32"/>
        </w:rPr>
      </w:pPr>
      <w:bookmarkStart w:id="97" w:name="_Toc38452643"/>
      <w:bookmarkStart w:id="98" w:name="_Toc4794"/>
      <w:bookmarkStart w:id="99" w:name="_Toc41137199"/>
      <w:bookmarkStart w:id="100" w:name="_Toc38447899"/>
      <w:bookmarkStart w:id="101" w:name="_Toc72161451"/>
      <w:r>
        <w:rPr>
          <w:rFonts w:hint="eastAsia" w:ascii="黑体" w:hAnsi="黑体" w:eastAsia="黑体" w:cs="黑体"/>
          <w:sz w:val="32"/>
          <w:szCs w:val="32"/>
        </w:rPr>
        <w:t>有关建议</w:t>
      </w:r>
      <w:bookmarkEnd w:id="97"/>
      <w:bookmarkEnd w:id="98"/>
      <w:bookmarkEnd w:id="99"/>
      <w:bookmarkEnd w:id="100"/>
      <w:bookmarkEnd w:id="101"/>
    </w:p>
    <w:p>
      <w:pPr>
        <w:spacing w:line="580" w:lineRule="exact"/>
        <w:ind w:firstLine="640" w:firstLineChars="200"/>
        <w:rPr>
          <w:rFonts w:ascii="仿宋_GB2312" w:hAnsi="仿宋"/>
          <w:szCs w:val="32"/>
        </w:rPr>
      </w:pPr>
      <w:r>
        <w:rPr>
          <w:rFonts w:hint="eastAsia" w:ascii="仿宋_GB2312" w:hAnsi="仿宋"/>
          <w:szCs w:val="32"/>
        </w:rPr>
        <w:t>针对上述发现的问题，为进一步提升项目单位今后的项目管理水平，提出以下建议：</w:t>
      </w:r>
    </w:p>
    <w:p>
      <w:pPr>
        <w:pStyle w:val="43"/>
        <w:spacing w:line="580" w:lineRule="exact"/>
        <w:ind w:firstLine="643"/>
        <w:rPr>
          <w:rFonts w:ascii="仿宋_GB2312" w:hAnsi="仿宋"/>
          <w:b/>
          <w:bCs/>
          <w:szCs w:val="32"/>
        </w:rPr>
      </w:pPr>
      <w:r>
        <w:rPr>
          <w:rFonts w:hint="eastAsia" w:ascii="仿宋_GB2312" w:hAnsi="仿宋"/>
          <w:b/>
          <w:bCs/>
          <w:szCs w:val="32"/>
        </w:rPr>
        <w:t>1.</w:t>
      </w:r>
      <w:r>
        <w:rPr>
          <w:rFonts w:hint="eastAsia" w:ascii="仿宋_GB2312" w:hAnsi="仿宋"/>
          <w:szCs w:val="32"/>
        </w:rPr>
        <w:t xml:space="preserve"> </w:t>
      </w:r>
      <w:r>
        <w:rPr>
          <w:rFonts w:hint="eastAsia" w:ascii="仿宋_GB2312" w:hAnsi="仿宋_GB2312"/>
          <w:szCs w:val="32"/>
        </w:rPr>
        <w:t>制定可衡量、可量化的绩效目标，充分发挥绩效目标的考核衡量作用。</w:t>
      </w:r>
      <w:r>
        <w:rPr>
          <w:rFonts w:hint="eastAsia" w:ascii="仿宋_GB2312" w:hAnsi="仿宋"/>
          <w:szCs w:val="32"/>
        </w:rPr>
        <w:t>项目单位在制定绩效目标时应充分考虑绩效目标与预算确定的资金量的匹配性，并将绩效目标量化，便于对目标的实现情况进行考核，充分发挥绩效目标的考核衡量作用。</w:t>
      </w:r>
    </w:p>
    <w:p>
      <w:pPr>
        <w:pStyle w:val="43"/>
        <w:spacing w:line="580" w:lineRule="exact"/>
        <w:ind w:firstLine="643"/>
        <w:rPr>
          <w:rFonts w:ascii="仿宋_GB2312" w:hAnsi="仿宋"/>
          <w:szCs w:val="32"/>
        </w:rPr>
      </w:pPr>
      <w:r>
        <w:rPr>
          <w:rFonts w:hint="eastAsia" w:ascii="仿宋_GB2312" w:hAnsi="仿宋"/>
          <w:b/>
          <w:bCs/>
          <w:szCs w:val="32"/>
        </w:rPr>
        <w:t>2.</w:t>
      </w:r>
      <w:r>
        <w:rPr>
          <w:rFonts w:ascii="仿宋_GB2312" w:hAnsi="仿宋"/>
          <w:szCs w:val="32"/>
        </w:rPr>
        <w:t xml:space="preserve"> </w:t>
      </w:r>
      <w:r>
        <w:rPr>
          <w:rFonts w:hint="eastAsia" w:ascii="仿宋_GB2312" w:hAnsi="仿宋_GB2312"/>
          <w:szCs w:val="32"/>
        </w:rPr>
        <w:t>科学编制预算，充分发挥预算约束作用，及时对结余资金进行清理。</w:t>
      </w:r>
      <w:r>
        <w:rPr>
          <w:rFonts w:hint="eastAsia" w:ascii="仿宋_GB2312" w:hAnsi="仿宋"/>
          <w:szCs w:val="32"/>
        </w:rPr>
        <w:t>项目相关单位应强化预算的基础编制工作，结合项目上年度执行情况及预算年度预计变动情况，科学、合理、全面、准确地确定项目支出预算金额，提高预算编制质量，同时预算编制过程中要加强财务与相关业务部门的沟通，使预算编制更切合实际，充分发挥预算约束作用。并增强结余资金的管理，使财政资金更好的发挥效益。</w:t>
      </w:r>
    </w:p>
    <w:p>
      <w:pPr>
        <w:pStyle w:val="43"/>
        <w:spacing w:line="580" w:lineRule="exact"/>
        <w:ind w:firstLine="643"/>
        <w:rPr>
          <w:rFonts w:ascii="仿宋_GB2312" w:hAnsi="仿宋_GB2312"/>
          <w:szCs w:val="32"/>
        </w:rPr>
      </w:pPr>
      <w:r>
        <w:rPr>
          <w:rFonts w:hint="eastAsia" w:ascii="仿宋_GB2312" w:hAnsi="仿宋"/>
          <w:b/>
          <w:bCs/>
          <w:szCs w:val="32"/>
        </w:rPr>
        <w:t>3</w:t>
      </w:r>
      <w:r>
        <w:rPr>
          <w:rFonts w:ascii="仿宋_GB2312" w:hAnsi="仿宋"/>
          <w:b/>
          <w:bCs/>
          <w:szCs w:val="32"/>
        </w:rPr>
        <w:t>.</w:t>
      </w:r>
      <w:r>
        <w:rPr>
          <w:rFonts w:hint="eastAsia" w:ascii="仿宋_GB2312" w:hAnsi="仿宋"/>
          <w:szCs w:val="32"/>
        </w:rPr>
        <w:t>专项</w:t>
      </w:r>
      <w:r>
        <w:rPr>
          <w:rFonts w:hint="eastAsia" w:ascii="仿宋_GB2312" w:hAnsi="仿宋_GB2312"/>
          <w:szCs w:val="32"/>
        </w:rPr>
        <w:t>资金使用单位要严格按财务管理的有关规定，实行专项核算，按照规定用途正确使用资金，保证资金的使用效益。</w:t>
      </w:r>
    </w:p>
    <w:p>
      <w:pPr>
        <w:pStyle w:val="43"/>
        <w:spacing w:line="580" w:lineRule="exact"/>
        <w:ind w:firstLine="643"/>
        <w:rPr>
          <w:rFonts w:ascii="仿宋_GB2312" w:hAnsi="宋体"/>
          <w:szCs w:val="32"/>
          <w:u w:color="000000"/>
        </w:rPr>
      </w:pPr>
      <w:r>
        <w:rPr>
          <w:rFonts w:ascii="仿宋_GB2312" w:hAnsi="宋体"/>
          <w:b/>
          <w:bCs/>
          <w:szCs w:val="32"/>
          <w:u w:color="000000"/>
        </w:rPr>
        <w:t>4</w:t>
      </w:r>
      <w:r>
        <w:rPr>
          <w:rFonts w:hint="eastAsia" w:ascii="仿宋_GB2312" w:hAnsi="宋体"/>
          <w:b/>
          <w:bCs/>
          <w:szCs w:val="32"/>
          <w:u w:color="000000"/>
        </w:rPr>
        <w:t>.</w:t>
      </w:r>
      <w:r>
        <w:rPr>
          <w:rFonts w:hint="eastAsia" w:ascii="仿宋_GB2312" w:hAnsi="宋体"/>
          <w:szCs w:val="32"/>
          <w:u w:color="000000"/>
        </w:rPr>
        <w:t>项目单位应该创新思路，站在学员的角度，充分了解学员的实际需求，调查学员未坚持到课程结束及未参加考试的根本原因，对症下药，提高职业技能培训合格率，充分发挥职业培训的作用，提高就业困难人群的就业率，从而真正发挥就业补助资金的作用。</w:t>
      </w:r>
    </w:p>
    <w:p>
      <w:pPr>
        <w:spacing w:line="580" w:lineRule="exact"/>
        <w:ind w:firstLine="643" w:firstLineChars="200"/>
        <w:rPr>
          <w:rFonts w:ascii="仿宋_GB2312" w:hAnsi="宋体"/>
          <w:szCs w:val="32"/>
          <w:u w:color="000000"/>
        </w:rPr>
      </w:pPr>
      <w:r>
        <w:rPr>
          <w:rFonts w:ascii="仿宋_GB2312" w:hAnsi="宋体"/>
          <w:b/>
          <w:bCs/>
          <w:szCs w:val="32"/>
          <w:u w:color="000000"/>
        </w:rPr>
        <w:t>5.</w:t>
      </w:r>
      <w:r>
        <w:rPr>
          <w:rFonts w:hint="eastAsia" w:ascii="仿宋_GB2312" w:hAnsi="宋体"/>
          <w:szCs w:val="32"/>
          <w:u w:color="000000"/>
        </w:rPr>
        <w:t>后疫情时代，疫情进入常态化防控阶段，国家出台了一系列稳就业的政策，建议相关责任单位针对失业和就业困难群体进行重点帮扶，运用多种就业政策，稳定就业基础。</w:t>
      </w:r>
    </w:p>
    <w:p>
      <w:pPr>
        <w:spacing w:line="580" w:lineRule="exact"/>
        <w:ind w:firstLine="640" w:firstLineChars="200"/>
        <w:rPr>
          <w:rFonts w:ascii="仿宋_GB2312" w:hAnsi="宋体"/>
          <w:szCs w:val="32"/>
          <w:u w:color="000000"/>
        </w:rPr>
      </w:pPr>
    </w:p>
    <w:p>
      <w:pPr>
        <w:spacing w:line="580" w:lineRule="exact"/>
        <w:ind w:firstLine="640" w:firstLineChars="200"/>
        <w:rPr>
          <w:rFonts w:ascii="仿宋_GB2312" w:hAnsi="宋体"/>
          <w:szCs w:val="32"/>
          <w:u w:color="000000"/>
        </w:rPr>
      </w:pPr>
    </w:p>
    <w:p>
      <w:pPr>
        <w:spacing w:line="580" w:lineRule="exact"/>
        <w:rPr>
          <w:rFonts w:ascii="仿宋_GB2312" w:hAnsi="宋体"/>
          <w:szCs w:val="32"/>
          <w:u w:color="000000"/>
        </w:rPr>
      </w:pPr>
      <w:r>
        <w:rPr>
          <w:rFonts w:hint="eastAsia" w:ascii="仿宋" w:hAnsi="仿宋" w:eastAsia="仿宋" w:cs="仿宋"/>
          <w:szCs w:val="32"/>
        </w:rPr>
        <w:t>附件：</w:t>
      </w:r>
      <w:bookmarkEnd w:id="94"/>
      <w:bookmarkStart w:id="102" w:name="_Toc22134_WPSOffice_Level1"/>
      <w:r>
        <w:rPr>
          <w:rFonts w:hint="eastAsia" w:ascii="仿宋" w:hAnsi="仿宋" w:eastAsia="仿宋" w:cs="仿宋"/>
          <w:szCs w:val="32"/>
        </w:rPr>
        <w:t>1．徐水区</w:t>
      </w:r>
      <w:r>
        <w:rPr>
          <w:rFonts w:ascii="仿宋" w:hAnsi="仿宋" w:eastAsia="仿宋" w:cs="仿宋"/>
          <w:szCs w:val="32"/>
        </w:rPr>
        <w:t>2020</w:t>
      </w:r>
      <w:r>
        <w:rPr>
          <w:rFonts w:hint="eastAsia" w:ascii="仿宋" w:hAnsi="仿宋" w:eastAsia="仿宋" w:cs="仿宋"/>
          <w:szCs w:val="32"/>
        </w:rPr>
        <w:t>年度就业补助资金项目绩效评价体系</w:t>
      </w:r>
    </w:p>
    <w:bookmarkEnd w:id="102"/>
    <w:p>
      <w:pPr>
        <w:spacing w:line="580" w:lineRule="exact"/>
        <w:ind w:firstLine="640" w:firstLineChars="200"/>
        <w:rPr>
          <w:rFonts w:ascii="仿宋" w:hAnsi="仿宋" w:eastAsia="仿宋" w:cs="仿宋"/>
          <w:szCs w:val="32"/>
        </w:rPr>
      </w:pPr>
      <w:r>
        <w:rPr>
          <w:rFonts w:hint="eastAsia" w:ascii="仿宋" w:hAnsi="仿宋" w:eastAsia="仿宋" w:cs="仿宋"/>
          <w:szCs w:val="32"/>
        </w:rPr>
        <w:t>　2．群众满意度调查问卷</w:t>
      </w:r>
    </w:p>
    <w:bookmarkEnd w:id="84"/>
    <w:bookmarkEnd w:id="85"/>
    <w:bookmarkEnd w:id="86"/>
    <w:bookmarkEnd w:id="87"/>
    <w:bookmarkEnd w:id="88"/>
    <w:p>
      <w:pPr>
        <w:spacing w:line="580" w:lineRule="exact"/>
        <w:rPr>
          <w:szCs w:val="32"/>
        </w:rPr>
      </w:pPr>
    </w:p>
    <w:p>
      <w:pPr>
        <w:spacing w:line="580" w:lineRule="exact"/>
        <w:rPr>
          <w:szCs w:val="32"/>
        </w:rPr>
      </w:pPr>
    </w:p>
    <w:p>
      <w:pPr>
        <w:spacing w:line="580" w:lineRule="exact"/>
        <w:rPr>
          <w:szCs w:val="32"/>
        </w:rPr>
      </w:pPr>
    </w:p>
    <w:p>
      <w:pPr>
        <w:spacing w:line="580" w:lineRule="exact"/>
        <w:rPr>
          <w:szCs w:val="32"/>
        </w:rPr>
      </w:pPr>
    </w:p>
    <w:p>
      <w:pPr>
        <w:spacing w:line="580" w:lineRule="exact"/>
        <w:ind w:right="640"/>
        <w:rPr>
          <w:szCs w:val="32"/>
        </w:rPr>
      </w:pPr>
      <w:r>
        <w:rPr>
          <w:rFonts w:hint="eastAsia"/>
          <w:szCs w:val="32"/>
        </w:rPr>
        <w:t xml:space="preserve">河北德永会计师事务所 </w:t>
      </w:r>
      <w:r>
        <w:rPr>
          <w:szCs w:val="32"/>
        </w:rPr>
        <w:t xml:space="preserve">            </w:t>
      </w:r>
      <w:r>
        <w:rPr>
          <w:rFonts w:hint="eastAsia"/>
          <w:szCs w:val="32"/>
        </w:rPr>
        <w:t>中国注册会计师：</w:t>
      </w:r>
    </w:p>
    <w:p>
      <w:pPr>
        <w:pStyle w:val="8"/>
        <w:spacing w:line="360" w:lineRule="auto"/>
        <w:ind w:right="320" w:rightChars="100" w:firstLine="800" w:firstLineChars="250"/>
        <w:jc w:val="left"/>
        <w:rPr>
          <w:rFonts w:ascii="Times New Roman" w:hAnsi="Times New Roman" w:cs="Times New Roman"/>
          <w:szCs w:val="32"/>
        </w:rPr>
      </w:pPr>
      <w:r>
        <w:rPr>
          <w:rFonts w:hint="eastAsia" w:ascii="Times New Roman" w:hAnsi="Times New Roman" w:cs="Times New Roman"/>
          <w:szCs w:val="32"/>
        </w:rPr>
        <w:t>有限公司</w:t>
      </w:r>
    </w:p>
    <w:p>
      <w:pPr>
        <w:pStyle w:val="8"/>
        <w:spacing w:line="660" w:lineRule="exact"/>
        <w:ind w:right="640" w:firstLine="480" w:firstLineChars="150"/>
        <w:rPr>
          <w:rFonts w:ascii="Times New Roman" w:hAnsi="Times New Roman" w:cs="Times New Roman"/>
          <w:szCs w:val="32"/>
        </w:rPr>
      </w:pPr>
      <w:r>
        <w:rPr>
          <w:rFonts w:hint="eastAsia" w:ascii="Times New Roman" w:hAnsi="Times New Roman" w:cs="Times New Roman"/>
          <w:szCs w:val="32"/>
        </w:rPr>
        <w:t xml:space="preserve">中国·石家庄 </w:t>
      </w:r>
      <w:r>
        <w:rPr>
          <w:rFonts w:ascii="Times New Roman" w:hAnsi="Times New Roman" w:cs="Times New Roman"/>
          <w:szCs w:val="32"/>
        </w:rPr>
        <w:t xml:space="preserve">                  </w:t>
      </w:r>
      <w:r>
        <w:rPr>
          <w:rFonts w:hint="eastAsia" w:ascii="Times New Roman" w:hAnsi="Times New Roman" w:cs="Times New Roman"/>
          <w:szCs w:val="32"/>
        </w:rPr>
        <w:t>中国注册会计师：</w:t>
      </w:r>
    </w:p>
    <w:p>
      <w:pPr>
        <w:rPr>
          <w:szCs w:val="32"/>
        </w:rPr>
      </w:pPr>
    </w:p>
    <w:p>
      <w:pPr>
        <w:pStyle w:val="8"/>
        <w:spacing w:line="660" w:lineRule="exact"/>
        <w:ind w:right="640" w:firstLine="4960" w:firstLineChars="1550"/>
        <w:rPr>
          <w:rFonts w:ascii="Times New Roman" w:hAnsi="Times New Roman" w:cs="Times New Roman"/>
          <w:szCs w:val="32"/>
        </w:rPr>
      </w:pPr>
      <w:r>
        <w:rPr>
          <w:rFonts w:hint="eastAsia" w:ascii="Times New Roman" w:hAnsi="Times New Roman" w:cs="Times New Roman"/>
          <w:szCs w:val="32"/>
        </w:rPr>
        <w:t>二〇二一年六月三十日</w:t>
      </w:r>
    </w:p>
    <w:p>
      <w:pPr>
        <w:rPr>
          <w:szCs w:val="32"/>
        </w:rPr>
      </w:pPr>
    </w:p>
    <w:p>
      <w:pPr>
        <w:ind w:right="480"/>
        <w:jc w:val="right"/>
        <w:rPr>
          <w:szCs w:val="32"/>
        </w:rPr>
        <w:sectPr>
          <w:footerReference r:id="rId4" w:type="default"/>
          <w:pgSz w:w="11906" w:h="16838"/>
          <w:pgMar w:top="2098" w:right="1304" w:bottom="1871" w:left="1531" w:header="851" w:footer="992" w:gutter="0"/>
          <w:pgNumType w:start="1"/>
          <w:cols w:space="720" w:num="1"/>
          <w:docGrid w:type="lines" w:linePitch="415" w:charSpace="0"/>
        </w:sectPr>
      </w:pPr>
    </w:p>
    <w:p>
      <w:pPr>
        <w:spacing w:line="240" w:lineRule="exact"/>
        <w:jc w:val="left"/>
        <w:rPr>
          <w:sz w:val="24"/>
        </w:rPr>
      </w:pPr>
      <w:r>
        <w:rPr>
          <w:rFonts w:hint="eastAsia"/>
          <w:sz w:val="28"/>
          <w:szCs w:val="28"/>
        </w:rPr>
        <w:t>附件1：</w:t>
      </w:r>
    </w:p>
    <w:p>
      <w:pPr>
        <w:spacing w:line="240" w:lineRule="exact"/>
        <w:jc w:val="center"/>
        <w:rPr>
          <w:sz w:val="24"/>
        </w:rPr>
      </w:pPr>
      <w:r>
        <w:rPr>
          <w:rFonts w:hint="eastAsia"/>
          <w:sz w:val="24"/>
        </w:rPr>
        <w:t>徐水区2020年度就业补助资金项目绩效评价指标体系</w:t>
      </w:r>
    </w:p>
    <w:p>
      <w:pPr>
        <w:spacing w:line="240" w:lineRule="exact"/>
        <w:jc w:val="left"/>
        <w:rPr>
          <w:sz w:val="22"/>
          <w:szCs w:val="22"/>
        </w:rPr>
      </w:pPr>
      <w:r>
        <w:rPr>
          <w:rFonts w:hint="eastAsia"/>
          <w:sz w:val="22"/>
          <w:szCs w:val="22"/>
        </w:rPr>
        <w:t>被评价单位:保定市徐水区人力资源和社会保障局</w:t>
      </w:r>
    </w:p>
    <w:tbl>
      <w:tblPr>
        <w:tblStyle w:val="22"/>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30" w:type="dxa"/>
          <w:left w:w="108" w:type="dxa"/>
          <w:bottom w:w="30" w:type="dxa"/>
          <w:right w:w="108" w:type="dxa"/>
        </w:tblCellMar>
      </w:tblPr>
      <w:tblGrid>
        <w:gridCol w:w="738"/>
        <w:gridCol w:w="911"/>
        <w:gridCol w:w="1304"/>
        <w:gridCol w:w="569"/>
        <w:gridCol w:w="3272"/>
        <w:gridCol w:w="3614"/>
        <w:gridCol w:w="3288"/>
        <w:gridCol w:w="690"/>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blHeader/>
        </w:trPr>
        <w:tc>
          <w:tcPr>
            <w:tcW w:w="231" w:type="pct"/>
            <w:tcBorders>
              <w:top w:val="single" w:color="auto" w:sz="12" w:space="0"/>
              <w:bottom w:val="single" w:color="auto" w:sz="4" w:space="0"/>
            </w:tcBorders>
            <w:shd w:val="clear" w:color="auto" w:fill="D8D8D8" w:themeFill="background1" w:themeFillShade="D9"/>
            <w:vAlign w:val="center"/>
          </w:tcPr>
          <w:p>
            <w:pPr>
              <w:widowControl/>
              <w:adjustRightInd w:val="0"/>
              <w:snapToGrid w:val="0"/>
              <w:jc w:val="center"/>
              <w:rPr>
                <w:rFonts w:eastAsia="宋体"/>
                <w:b/>
                <w:bCs/>
                <w:snapToGrid w:val="0"/>
                <w:kern w:val="0"/>
                <w:sz w:val="21"/>
                <w:szCs w:val="18"/>
              </w:rPr>
            </w:pPr>
            <w:r>
              <w:rPr>
                <w:rFonts w:hint="eastAsia" w:eastAsia="宋体"/>
                <w:b/>
                <w:bCs/>
                <w:snapToGrid w:val="0"/>
                <w:kern w:val="0"/>
                <w:sz w:val="21"/>
                <w:szCs w:val="18"/>
              </w:rPr>
              <w:t>一级指标</w:t>
            </w:r>
          </w:p>
        </w:tc>
        <w:tc>
          <w:tcPr>
            <w:tcW w:w="285" w:type="pct"/>
            <w:tcBorders>
              <w:top w:val="single" w:color="auto" w:sz="12" w:space="0"/>
              <w:bottom w:val="single" w:color="auto" w:sz="4" w:space="0"/>
            </w:tcBorders>
            <w:shd w:val="clear" w:color="auto" w:fill="D8D8D8" w:themeFill="background1" w:themeFillShade="D9"/>
            <w:vAlign w:val="center"/>
          </w:tcPr>
          <w:p>
            <w:pPr>
              <w:widowControl/>
              <w:adjustRightInd w:val="0"/>
              <w:snapToGrid w:val="0"/>
              <w:jc w:val="center"/>
              <w:rPr>
                <w:rFonts w:eastAsia="宋体"/>
                <w:b/>
                <w:bCs/>
                <w:snapToGrid w:val="0"/>
                <w:kern w:val="0"/>
                <w:sz w:val="21"/>
                <w:szCs w:val="18"/>
              </w:rPr>
            </w:pPr>
            <w:r>
              <w:rPr>
                <w:rFonts w:hint="eastAsia" w:eastAsia="宋体"/>
                <w:b/>
                <w:bCs/>
                <w:snapToGrid w:val="0"/>
                <w:kern w:val="0"/>
                <w:sz w:val="21"/>
                <w:szCs w:val="18"/>
              </w:rPr>
              <w:t>二级指标</w:t>
            </w:r>
          </w:p>
        </w:tc>
        <w:tc>
          <w:tcPr>
            <w:tcW w:w="408" w:type="pct"/>
            <w:tcBorders>
              <w:top w:val="single" w:color="auto" w:sz="12" w:space="0"/>
              <w:bottom w:val="single" w:color="auto" w:sz="4" w:space="0"/>
            </w:tcBorders>
            <w:shd w:val="clear" w:color="auto" w:fill="D8D8D8" w:themeFill="background1" w:themeFillShade="D9"/>
            <w:vAlign w:val="center"/>
          </w:tcPr>
          <w:p>
            <w:pPr>
              <w:widowControl/>
              <w:adjustRightInd w:val="0"/>
              <w:snapToGrid w:val="0"/>
              <w:jc w:val="center"/>
              <w:rPr>
                <w:rFonts w:eastAsia="宋体"/>
                <w:b/>
                <w:bCs/>
                <w:snapToGrid w:val="0"/>
                <w:kern w:val="0"/>
                <w:sz w:val="21"/>
                <w:szCs w:val="18"/>
              </w:rPr>
            </w:pPr>
            <w:r>
              <w:rPr>
                <w:rFonts w:hint="eastAsia" w:eastAsia="宋体"/>
                <w:b/>
                <w:bCs/>
                <w:snapToGrid w:val="0"/>
                <w:kern w:val="0"/>
                <w:sz w:val="21"/>
                <w:szCs w:val="18"/>
              </w:rPr>
              <w:t>三级指标</w:t>
            </w:r>
          </w:p>
        </w:tc>
        <w:tc>
          <w:tcPr>
            <w:tcW w:w="178" w:type="pct"/>
            <w:tcBorders>
              <w:top w:val="single" w:color="auto" w:sz="12" w:space="0"/>
              <w:bottom w:val="single" w:color="auto" w:sz="4" w:space="0"/>
            </w:tcBorders>
            <w:shd w:val="clear" w:color="auto" w:fill="D8D8D8" w:themeFill="background1" w:themeFillShade="D9"/>
            <w:vAlign w:val="center"/>
          </w:tcPr>
          <w:p>
            <w:pPr>
              <w:widowControl/>
              <w:adjustRightInd w:val="0"/>
              <w:snapToGrid w:val="0"/>
              <w:jc w:val="center"/>
              <w:rPr>
                <w:rFonts w:eastAsia="宋体"/>
                <w:b/>
                <w:bCs/>
                <w:snapToGrid w:val="0"/>
                <w:kern w:val="0"/>
                <w:sz w:val="21"/>
                <w:szCs w:val="18"/>
              </w:rPr>
            </w:pPr>
            <w:r>
              <w:rPr>
                <w:rFonts w:hint="eastAsia" w:eastAsia="宋体"/>
                <w:b/>
                <w:bCs/>
                <w:snapToGrid w:val="0"/>
                <w:kern w:val="0"/>
                <w:sz w:val="21"/>
                <w:szCs w:val="18"/>
              </w:rPr>
              <w:t>分值</w:t>
            </w:r>
          </w:p>
        </w:tc>
        <w:tc>
          <w:tcPr>
            <w:tcW w:w="1024" w:type="pct"/>
            <w:tcBorders>
              <w:top w:val="single" w:color="auto" w:sz="12" w:space="0"/>
              <w:bottom w:val="single" w:color="auto" w:sz="4" w:space="0"/>
            </w:tcBorders>
            <w:shd w:val="clear" w:color="auto" w:fill="D8D8D8" w:themeFill="background1" w:themeFillShade="D9"/>
            <w:vAlign w:val="center"/>
          </w:tcPr>
          <w:p>
            <w:pPr>
              <w:widowControl/>
              <w:adjustRightInd w:val="0"/>
              <w:snapToGrid w:val="0"/>
              <w:jc w:val="center"/>
              <w:rPr>
                <w:rFonts w:eastAsia="宋体"/>
                <w:b/>
                <w:bCs/>
                <w:snapToGrid w:val="0"/>
                <w:kern w:val="0"/>
                <w:sz w:val="21"/>
                <w:szCs w:val="18"/>
              </w:rPr>
            </w:pPr>
            <w:r>
              <w:rPr>
                <w:rFonts w:hint="eastAsia" w:eastAsia="宋体"/>
                <w:b/>
                <w:bCs/>
                <w:snapToGrid w:val="0"/>
                <w:kern w:val="0"/>
                <w:sz w:val="21"/>
                <w:szCs w:val="18"/>
              </w:rPr>
              <w:t>指标解释</w:t>
            </w:r>
          </w:p>
        </w:tc>
        <w:tc>
          <w:tcPr>
            <w:tcW w:w="1131" w:type="pct"/>
            <w:tcBorders>
              <w:top w:val="single" w:color="auto" w:sz="12" w:space="0"/>
              <w:bottom w:val="single" w:color="auto" w:sz="4" w:space="0"/>
            </w:tcBorders>
            <w:shd w:val="clear" w:color="auto" w:fill="D8D8D8" w:themeFill="background1" w:themeFillShade="D9"/>
            <w:vAlign w:val="center"/>
          </w:tcPr>
          <w:p>
            <w:pPr>
              <w:widowControl/>
              <w:adjustRightInd w:val="0"/>
              <w:snapToGrid w:val="0"/>
              <w:jc w:val="center"/>
              <w:rPr>
                <w:rFonts w:eastAsia="宋体"/>
                <w:b/>
                <w:bCs/>
                <w:snapToGrid w:val="0"/>
                <w:kern w:val="0"/>
                <w:sz w:val="21"/>
                <w:szCs w:val="18"/>
              </w:rPr>
            </w:pPr>
            <w:r>
              <w:rPr>
                <w:rFonts w:hint="eastAsia" w:eastAsia="宋体"/>
                <w:b/>
                <w:bCs/>
                <w:snapToGrid w:val="0"/>
                <w:kern w:val="0"/>
                <w:sz w:val="21"/>
                <w:szCs w:val="18"/>
              </w:rPr>
              <w:t>指标说明</w:t>
            </w:r>
          </w:p>
        </w:tc>
        <w:tc>
          <w:tcPr>
            <w:tcW w:w="1029" w:type="pct"/>
            <w:tcBorders>
              <w:top w:val="single" w:color="auto" w:sz="12" w:space="0"/>
              <w:bottom w:val="single" w:color="auto" w:sz="4" w:space="0"/>
            </w:tcBorders>
            <w:shd w:val="clear" w:color="auto" w:fill="D8D8D8" w:themeFill="background1" w:themeFillShade="D9"/>
            <w:vAlign w:val="center"/>
          </w:tcPr>
          <w:p>
            <w:pPr>
              <w:widowControl/>
              <w:adjustRightInd w:val="0"/>
              <w:snapToGrid w:val="0"/>
              <w:jc w:val="center"/>
              <w:rPr>
                <w:rFonts w:eastAsia="宋体"/>
                <w:b/>
                <w:bCs/>
                <w:snapToGrid w:val="0"/>
                <w:kern w:val="0"/>
                <w:sz w:val="21"/>
                <w:szCs w:val="18"/>
              </w:rPr>
            </w:pPr>
            <w:r>
              <w:rPr>
                <w:rFonts w:hint="eastAsia" w:eastAsia="宋体"/>
                <w:b/>
                <w:bCs/>
                <w:snapToGrid w:val="0"/>
                <w:kern w:val="0"/>
                <w:sz w:val="21"/>
                <w:szCs w:val="18"/>
              </w:rPr>
              <w:t>评分标准</w:t>
            </w:r>
          </w:p>
        </w:tc>
        <w:tc>
          <w:tcPr>
            <w:tcW w:w="216" w:type="pct"/>
            <w:tcBorders>
              <w:top w:val="single" w:color="auto" w:sz="12" w:space="0"/>
              <w:bottom w:val="single" w:color="auto" w:sz="4" w:space="0"/>
            </w:tcBorders>
            <w:shd w:val="clear" w:color="auto" w:fill="D8D8D8" w:themeFill="background1" w:themeFillShade="D9"/>
            <w:vAlign w:val="center"/>
          </w:tcPr>
          <w:p>
            <w:pPr>
              <w:widowControl/>
              <w:adjustRightInd w:val="0"/>
              <w:snapToGrid w:val="0"/>
              <w:jc w:val="center"/>
              <w:rPr>
                <w:rFonts w:eastAsia="宋体"/>
                <w:b/>
                <w:bCs/>
                <w:snapToGrid w:val="0"/>
                <w:kern w:val="0"/>
                <w:sz w:val="21"/>
                <w:szCs w:val="18"/>
              </w:rPr>
            </w:pPr>
            <w:r>
              <w:rPr>
                <w:rFonts w:hint="eastAsia" w:eastAsia="宋体"/>
                <w:b/>
                <w:bCs/>
                <w:snapToGrid w:val="0"/>
                <w:kern w:val="0"/>
                <w:sz w:val="21"/>
                <w:szCs w:val="18"/>
              </w:rPr>
              <w:t>评分</w:t>
            </w:r>
          </w:p>
        </w:tc>
        <w:tc>
          <w:tcPr>
            <w:tcW w:w="497" w:type="pct"/>
            <w:tcBorders>
              <w:top w:val="single" w:color="auto" w:sz="12" w:space="0"/>
              <w:bottom w:val="single" w:color="auto" w:sz="4" w:space="0"/>
            </w:tcBorders>
            <w:shd w:val="clear" w:color="auto" w:fill="D8D8D8" w:themeFill="background1" w:themeFillShade="D9"/>
            <w:vAlign w:val="center"/>
          </w:tcPr>
          <w:p>
            <w:pPr>
              <w:widowControl/>
              <w:adjustRightInd w:val="0"/>
              <w:snapToGrid w:val="0"/>
              <w:jc w:val="center"/>
              <w:rPr>
                <w:rFonts w:eastAsia="宋体"/>
                <w:b/>
                <w:bCs/>
                <w:snapToGrid w:val="0"/>
                <w:kern w:val="0"/>
                <w:sz w:val="21"/>
                <w:szCs w:val="18"/>
              </w:rPr>
            </w:pPr>
            <w:r>
              <w:rPr>
                <w:rFonts w:hint="eastAsia" w:eastAsia="宋体"/>
                <w:b/>
                <w:bCs/>
                <w:snapToGrid w:val="0"/>
                <w:kern w:val="0"/>
                <w:sz w:val="21"/>
                <w:szCs w:val="18"/>
              </w:rPr>
              <w:t>扣分原因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restart"/>
            <w:tcBorders>
              <w:top w:val="single" w:color="auto" w:sz="4" w:space="0"/>
            </w:tcBorders>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决策（13分）</w:t>
            </w:r>
          </w:p>
        </w:tc>
        <w:tc>
          <w:tcPr>
            <w:tcW w:w="285" w:type="pct"/>
            <w:vMerge w:val="restart"/>
            <w:tcBorders>
              <w:top w:val="single" w:color="auto" w:sz="4" w:space="0"/>
            </w:tcBorders>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项目立项（4分）</w:t>
            </w:r>
          </w:p>
        </w:tc>
        <w:tc>
          <w:tcPr>
            <w:tcW w:w="408" w:type="pct"/>
            <w:tcBorders>
              <w:top w:val="single" w:color="auto" w:sz="4" w:space="0"/>
            </w:tcBorders>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立项依据充分性</w:t>
            </w:r>
          </w:p>
        </w:tc>
        <w:tc>
          <w:tcPr>
            <w:tcW w:w="178" w:type="pct"/>
            <w:tcBorders>
              <w:top w:val="single" w:color="auto" w:sz="4" w:space="0"/>
            </w:tcBorders>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tcBorders>
              <w:top w:val="single" w:color="auto" w:sz="4" w:space="0"/>
            </w:tcBorders>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项目立项是否符合法律法规、相关政策、发展规划以及部门职责，用以反映和考核项目申请依据情况。</w:t>
            </w:r>
          </w:p>
        </w:tc>
        <w:tc>
          <w:tcPr>
            <w:tcW w:w="1131" w:type="pct"/>
            <w:tcBorders>
              <w:top w:val="single" w:color="auto" w:sz="4" w:space="0"/>
            </w:tcBorders>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项目立项是否符合国家法律法规和相关政策；②项目申请是否符合行业发展规划和政策要求；③项目申请是否与部门职责相符，属于部门履职所需；④项目是否属于公共财政支持范围，是否符合中央、地方权责支出责分原则。</w:t>
            </w:r>
          </w:p>
        </w:tc>
        <w:tc>
          <w:tcPr>
            <w:tcW w:w="1029" w:type="pct"/>
            <w:tcBorders>
              <w:top w:val="single" w:color="auto" w:sz="4" w:space="0"/>
            </w:tcBorders>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根据被评价单位提供项目申请相关资料，完全符合得满分，缺一项扣</w:t>
            </w:r>
            <w:r>
              <w:rPr>
                <w:rFonts w:eastAsia="宋体"/>
                <w:snapToGrid w:val="0"/>
                <w:kern w:val="0"/>
                <w:sz w:val="21"/>
                <w:szCs w:val="18"/>
              </w:rPr>
              <w:t>0.5</w:t>
            </w:r>
            <w:r>
              <w:rPr>
                <w:rFonts w:hint="eastAsia" w:eastAsia="宋体"/>
                <w:snapToGrid w:val="0"/>
                <w:kern w:val="0"/>
                <w:sz w:val="21"/>
                <w:szCs w:val="18"/>
              </w:rPr>
              <w:t>分，扣完为止。</w:t>
            </w:r>
          </w:p>
        </w:tc>
        <w:tc>
          <w:tcPr>
            <w:tcW w:w="216" w:type="pct"/>
            <w:tcBorders>
              <w:top w:val="single" w:color="auto" w:sz="4" w:space="0"/>
            </w:tcBorders>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tcBorders>
              <w:top w:val="single" w:color="auto" w:sz="4" w:space="0"/>
            </w:tcBorders>
            <w:shd w:val="clear" w:color="auto" w:fill="auto"/>
            <w:noWrap/>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立项程序规范性</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项目立项过程是否符合相关要求，用以反映和考核项目申请的规范情况。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评价要点：①项目是否按照规定程序申请设立；②申请文件、资料是否符合相关要求；③项目是否经过部门绩效评估；④项目是否制定实施方案。</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根据被评价单位提供项目申请相关资料，完全符合得满分，缺一项扣</w:t>
            </w:r>
            <w:r>
              <w:rPr>
                <w:rFonts w:eastAsia="宋体"/>
                <w:snapToGrid w:val="0"/>
                <w:kern w:val="0"/>
                <w:sz w:val="21"/>
                <w:szCs w:val="18"/>
              </w:rPr>
              <w:t>0.5</w:t>
            </w:r>
            <w:r>
              <w:rPr>
                <w:rFonts w:hint="eastAsia" w:eastAsia="宋体"/>
                <w:snapToGrid w:val="0"/>
                <w:kern w:val="0"/>
                <w:sz w:val="21"/>
                <w:szCs w:val="18"/>
              </w:rPr>
              <w:t>分，扣完为止。</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noWrap/>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restar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绩效目标</w:t>
            </w:r>
            <w:r>
              <w:rPr>
                <w:rFonts w:hint="eastAsia" w:eastAsia="宋体"/>
                <w:snapToGrid w:val="0"/>
                <w:kern w:val="0"/>
                <w:sz w:val="21"/>
                <w:szCs w:val="18"/>
              </w:rPr>
              <w:br w:type="textWrapping"/>
            </w:r>
            <w:r>
              <w:rPr>
                <w:rFonts w:hint="eastAsia" w:eastAsia="宋体"/>
                <w:snapToGrid w:val="0"/>
                <w:kern w:val="0"/>
                <w:sz w:val="21"/>
                <w:szCs w:val="18"/>
              </w:rPr>
              <w:t>（7分）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绩效目标合理性</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项目所设定的绩效目标是否依据充分，是否符合客观实际，用以反映和考核项目绩效目标与项目实施的相符情况。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评价要点：①项目是否有绩效目标；②项目绩效目标与实际工作内容是否具有相关性；③是否与预算确定的项目投资额或资金量相匹配；④项目产出效益和效果是否符合正常的业绩水平。</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根据被评价单位提供项目绩效目标相关资料，有绩效目标、绩效目标与实际工作内容相关、与预算确定的项目投资额匹配、产出效益和效果符合正常的业绩水平得满分，缺一项扣</w:t>
            </w:r>
            <w:r>
              <w:rPr>
                <w:rFonts w:eastAsia="宋体"/>
                <w:snapToGrid w:val="0"/>
                <w:kern w:val="0"/>
                <w:sz w:val="21"/>
                <w:szCs w:val="18"/>
              </w:rPr>
              <w:t>1</w:t>
            </w:r>
            <w:r>
              <w:rPr>
                <w:rFonts w:hint="eastAsia" w:eastAsia="宋体"/>
                <w:snapToGrid w:val="0"/>
                <w:kern w:val="0"/>
                <w:sz w:val="21"/>
                <w:szCs w:val="18"/>
              </w:rPr>
              <w:t>分，扣完为止。</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绩效指标明确性</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3</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依据绩效目标设定的绩效指标是否清晰、细化、可衡量等，用以反映和考核项目绩效目标的明细化情况。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评价要点：①是否将项目绩效目标细化分解为具体的绩效指标；②是否通过清晰、可衡量的指标值予以体现；③是否与项目目标任务数或计划数相对应。</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根据被评价单位提供项目绩效指标相关资料，绩效指标清晰可衡量、与项目目标任务数相对应得满分，缺一项扣</w:t>
            </w:r>
            <w:r>
              <w:rPr>
                <w:rFonts w:eastAsia="宋体"/>
                <w:snapToGrid w:val="0"/>
                <w:kern w:val="0"/>
                <w:sz w:val="21"/>
                <w:szCs w:val="18"/>
              </w:rPr>
              <w:t>1</w:t>
            </w:r>
            <w:r>
              <w:rPr>
                <w:rFonts w:hint="eastAsia" w:eastAsia="宋体"/>
                <w:snapToGrid w:val="0"/>
                <w:kern w:val="0"/>
                <w:sz w:val="21"/>
                <w:szCs w:val="18"/>
              </w:rPr>
              <w:t>分，扣完为止。</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noWrap/>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未量化细化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资金投入</w:t>
            </w:r>
            <w:r>
              <w:rPr>
                <w:rFonts w:hint="eastAsia" w:eastAsia="宋体"/>
                <w:snapToGrid w:val="0"/>
                <w:kern w:val="0"/>
                <w:sz w:val="21"/>
                <w:szCs w:val="18"/>
              </w:rPr>
              <w:br w:type="textWrapping"/>
            </w:r>
            <w:r>
              <w:rPr>
                <w:rFonts w:hint="eastAsia" w:eastAsia="宋体"/>
                <w:snapToGrid w:val="0"/>
                <w:kern w:val="0"/>
                <w:sz w:val="21"/>
                <w:szCs w:val="18"/>
              </w:rPr>
              <w:t>（2分）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预算编制科学性</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项目预算编制是否经过科学论证、有明确标准，资金预算是否与项目实施相适应，用反映和考核项目预算编制科学性、合理性情况。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评价要点：①预算编制是否经过科学论证；②预算内容与项目内容是否匹配；③资金预算测算依据是否充分，是否按标准编制；④预算确定的项目投资额是否与工作任务相匹配。</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根据被评价单位提供项目预算相关资料，预算编制经过科学论证、内容与项目内容相匹配、测算依据充分且按标准编制、项目投资额与工作任务相匹配得满分，缺一项扣</w:t>
            </w:r>
            <w:r>
              <w:rPr>
                <w:rFonts w:eastAsia="宋体"/>
                <w:snapToGrid w:val="0"/>
                <w:kern w:val="0"/>
                <w:sz w:val="21"/>
                <w:szCs w:val="18"/>
              </w:rPr>
              <w:t>0.5</w:t>
            </w:r>
            <w:r>
              <w:rPr>
                <w:rFonts w:hint="eastAsia" w:eastAsia="宋体"/>
                <w:snapToGrid w:val="0"/>
                <w:kern w:val="0"/>
                <w:sz w:val="21"/>
                <w:szCs w:val="18"/>
              </w:rPr>
              <w:t>分，扣完为止。</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1</w:t>
            </w:r>
          </w:p>
        </w:tc>
        <w:tc>
          <w:tcPr>
            <w:tcW w:w="497" w:type="pct"/>
            <w:shd w:val="clear" w:color="auto" w:fill="auto"/>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年初未编制预算，均为年中追加调整预算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restar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过程（27分）</w:t>
            </w:r>
          </w:p>
        </w:tc>
        <w:tc>
          <w:tcPr>
            <w:tcW w:w="285" w:type="pct"/>
            <w:vMerge w:val="restar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资金管理</w:t>
            </w:r>
            <w:r>
              <w:rPr>
                <w:rFonts w:hint="eastAsia" w:eastAsia="宋体"/>
                <w:snapToGrid w:val="0"/>
                <w:kern w:val="0"/>
                <w:sz w:val="21"/>
                <w:szCs w:val="18"/>
              </w:rPr>
              <w:br w:type="textWrapping"/>
            </w:r>
            <w:r>
              <w:rPr>
                <w:rFonts w:hint="eastAsia" w:eastAsia="宋体"/>
                <w:snapToGrid w:val="0"/>
                <w:kern w:val="0"/>
                <w:sz w:val="21"/>
                <w:szCs w:val="18"/>
              </w:rPr>
              <w:t>（12分）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资金到位率</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实际到位资金与预算资金的比率，用以反映和考核资金落实情况对项目实施的总体保障程度。</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资金到位率</w:t>
            </w:r>
            <w:r>
              <w:rPr>
                <w:rFonts w:eastAsia="宋体"/>
                <w:snapToGrid w:val="0"/>
                <w:kern w:val="0"/>
                <w:sz w:val="21"/>
                <w:szCs w:val="18"/>
              </w:rPr>
              <w:t>=</w:t>
            </w:r>
            <w:r>
              <w:rPr>
                <w:rFonts w:hint="eastAsia" w:eastAsia="宋体"/>
                <w:snapToGrid w:val="0"/>
                <w:kern w:val="0"/>
                <w:sz w:val="21"/>
                <w:szCs w:val="18"/>
              </w:rPr>
              <w:t>（实际到位资金</w:t>
            </w:r>
            <w:r>
              <w:rPr>
                <w:rFonts w:eastAsia="宋体"/>
                <w:snapToGrid w:val="0"/>
                <w:kern w:val="0"/>
                <w:sz w:val="21"/>
                <w:szCs w:val="18"/>
              </w:rPr>
              <w:t>/</w:t>
            </w:r>
            <w:r>
              <w:rPr>
                <w:rFonts w:hint="eastAsia" w:eastAsia="宋体"/>
                <w:snapToGrid w:val="0"/>
                <w:kern w:val="0"/>
                <w:sz w:val="21"/>
                <w:szCs w:val="18"/>
              </w:rPr>
              <w:t>预算资金）</w:t>
            </w:r>
            <w:r>
              <w:rPr>
                <w:rFonts w:eastAsia="宋体"/>
                <w:snapToGrid w:val="0"/>
                <w:kern w:val="0"/>
                <w:sz w:val="21"/>
                <w:szCs w:val="18"/>
              </w:rPr>
              <w:t>*100%</w:t>
            </w:r>
          </w:p>
        </w:tc>
        <w:tc>
          <w:tcPr>
            <w:tcW w:w="1029" w:type="pct"/>
            <w:shd w:val="clear" w:color="auto" w:fill="auto"/>
            <w:noWrap/>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实际得分</w:t>
            </w:r>
            <w:r>
              <w:rPr>
                <w:rFonts w:eastAsia="宋体"/>
                <w:snapToGrid w:val="0"/>
                <w:kern w:val="0"/>
                <w:sz w:val="21"/>
                <w:szCs w:val="18"/>
              </w:rPr>
              <w:t>=</w:t>
            </w:r>
            <w:r>
              <w:rPr>
                <w:rFonts w:hint="eastAsia" w:eastAsia="宋体"/>
                <w:snapToGrid w:val="0"/>
                <w:kern w:val="0"/>
                <w:sz w:val="21"/>
                <w:szCs w:val="18"/>
              </w:rPr>
              <w:t>资金到位率</w:t>
            </w:r>
            <w:r>
              <w:rPr>
                <w:rFonts w:eastAsia="宋体"/>
                <w:snapToGrid w:val="0"/>
                <w:kern w:val="0"/>
                <w:sz w:val="21"/>
                <w:szCs w:val="18"/>
              </w:rPr>
              <w:t>*4</w:t>
            </w:r>
          </w:p>
        </w:tc>
        <w:tc>
          <w:tcPr>
            <w:tcW w:w="216" w:type="pct"/>
            <w:shd w:val="clear" w:color="auto" w:fill="auto"/>
            <w:noWrap/>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预算执行率</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项目预算资金是否按计划执行，用以反映或考核项目预算执行情况。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预算执行率</w:t>
            </w:r>
            <w:r>
              <w:rPr>
                <w:rFonts w:eastAsia="宋体"/>
                <w:snapToGrid w:val="0"/>
                <w:kern w:val="0"/>
                <w:sz w:val="21"/>
                <w:szCs w:val="18"/>
              </w:rPr>
              <w:t>=</w:t>
            </w:r>
            <w:r>
              <w:rPr>
                <w:rFonts w:hint="eastAsia" w:eastAsia="宋体"/>
                <w:snapToGrid w:val="0"/>
                <w:kern w:val="0"/>
                <w:sz w:val="21"/>
                <w:szCs w:val="18"/>
              </w:rPr>
              <w:t>（实际支出资金</w:t>
            </w:r>
            <w:r>
              <w:rPr>
                <w:rFonts w:eastAsia="宋体"/>
                <w:snapToGrid w:val="0"/>
                <w:kern w:val="0"/>
                <w:sz w:val="21"/>
                <w:szCs w:val="18"/>
              </w:rPr>
              <w:t>/</w:t>
            </w:r>
            <w:r>
              <w:rPr>
                <w:rFonts w:hint="eastAsia" w:eastAsia="宋体"/>
                <w:snapToGrid w:val="0"/>
                <w:kern w:val="0"/>
                <w:sz w:val="21"/>
                <w:szCs w:val="18"/>
              </w:rPr>
              <w:t>实际到位资金）</w:t>
            </w:r>
            <w:r>
              <w:rPr>
                <w:rFonts w:eastAsia="宋体"/>
                <w:snapToGrid w:val="0"/>
                <w:kern w:val="0"/>
                <w:sz w:val="21"/>
                <w:szCs w:val="18"/>
              </w:rPr>
              <w:t>*100%</w:t>
            </w:r>
          </w:p>
        </w:tc>
        <w:tc>
          <w:tcPr>
            <w:tcW w:w="1029" w:type="pct"/>
            <w:shd w:val="clear" w:color="auto" w:fill="auto"/>
            <w:noWrap/>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实际得分</w:t>
            </w:r>
            <w:r>
              <w:rPr>
                <w:rFonts w:eastAsia="宋体"/>
                <w:snapToGrid w:val="0"/>
                <w:kern w:val="0"/>
                <w:sz w:val="21"/>
                <w:szCs w:val="18"/>
              </w:rPr>
              <w:t>=</w:t>
            </w:r>
            <w:r>
              <w:rPr>
                <w:rFonts w:hint="eastAsia" w:eastAsia="宋体"/>
                <w:snapToGrid w:val="0"/>
                <w:kern w:val="0"/>
                <w:sz w:val="21"/>
                <w:szCs w:val="18"/>
              </w:rPr>
              <w:t>预算执行率</w:t>
            </w:r>
            <w:r>
              <w:rPr>
                <w:rFonts w:eastAsia="宋体"/>
                <w:snapToGrid w:val="0"/>
                <w:kern w:val="0"/>
                <w:sz w:val="21"/>
                <w:szCs w:val="18"/>
              </w:rPr>
              <w:t>*4</w:t>
            </w:r>
          </w:p>
        </w:tc>
        <w:tc>
          <w:tcPr>
            <w:tcW w:w="216" w:type="pct"/>
            <w:shd w:val="clear" w:color="auto" w:fill="auto"/>
            <w:noWrap/>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资金使用合规性</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项目资金使用是否符合相关的财务管理制度规定，用以反映和考核项目资金的规范运行情况。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评价要点：①是否符合国家财经和财务管理制度以及有关专项资金管理办法规定；②资金的拨付是否有完整的审批程序和手续；③是否符合预算或合同规定用途；④是否存在截留、挤占、挪用、虚列支出等情况。</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完全符合得满分，缺一项扣</w:t>
            </w:r>
            <w:r>
              <w:rPr>
                <w:rFonts w:eastAsia="宋体"/>
                <w:snapToGrid w:val="0"/>
                <w:kern w:val="0"/>
                <w:sz w:val="21"/>
                <w:szCs w:val="18"/>
              </w:rPr>
              <w:t>1</w:t>
            </w:r>
            <w:r>
              <w:rPr>
                <w:rFonts w:hint="eastAsia" w:eastAsia="宋体"/>
                <w:snapToGrid w:val="0"/>
                <w:kern w:val="0"/>
                <w:sz w:val="21"/>
                <w:szCs w:val="18"/>
              </w:rPr>
              <w:t>分，扣完为止。</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3</w:t>
            </w:r>
          </w:p>
        </w:tc>
        <w:tc>
          <w:tcPr>
            <w:tcW w:w="497" w:type="pct"/>
            <w:shd w:val="clear" w:color="auto" w:fill="auto"/>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专账核算中列支其他收入及费用</w:t>
            </w:r>
            <w:r>
              <w:rPr>
                <w:rFonts w:eastAsia="宋体"/>
                <w:snapToGrid w:val="0"/>
                <w:kern w:val="0"/>
                <w:sz w:val="21"/>
                <w:szCs w:val="16"/>
              </w:rPr>
              <w:t>1</w:t>
            </w:r>
            <w:r>
              <w:rPr>
                <w:rFonts w:hint="eastAsia" w:eastAsia="宋体"/>
                <w:snapToGrid w:val="0"/>
                <w:kern w:val="0"/>
                <w:sz w:val="21"/>
                <w:szCs w:val="16"/>
              </w:rPr>
              <w:t>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restar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组织实施</w:t>
            </w:r>
            <w:r>
              <w:rPr>
                <w:rFonts w:hint="eastAsia" w:eastAsia="宋体"/>
                <w:snapToGrid w:val="0"/>
                <w:kern w:val="0"/>
                <w:sz w:val="21"/>
                <w:szCs w:val="18"/>
              </w:rPr>
              <w:br w:type="textWrapping"/>
            </w:r>
            <w:r>
              <w:rPr>
                <w:rFonts w:hint="eastAsia" w:eastAsia="宋体"/>
                <w:snapToGrid w:val="0"/>
                <w:kern w:val="0"/>
                <w:sz w:val="21"/>
                <w:szCs w:val="18"/>
              </w:rPr>
              <w:t>（15分）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管理制度健全性</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项目实施单位的财务和业务管理制度是否健全，用以反映和考核财务和业务管理制度对项目顺利实施的保障情况。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评价要点：①是否已制定或具有相应的财务和业务管理制度；②财务和业务管理制度是否合法、合规、完整。</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已制定或具有相应财务制度和业务管理制度且合法、合规、完整得满分，缺一项扣</w:t>
            </w:r>
            <w:r>
              <w:rPr>
                <w:rFonts w:eastAsia="宋体"/>
                <w:snapToGrid w:val="0"/>
                <w:kern w:val="0"/>
                <w:sz w:val="21"/>
                <w:szCs w:val="18"/>
              </w:rPr>
              <w:t>2</w:t>
            </w:r>
            <w:r>
              <w:rPr>
                <w:rFonts w:hint="eastAsia" w:eastAsia="宋体"/>
                <w:snapToGrid w:val="0"/>
                <w:kern w:val="0"/>
                <w:sz w:val="21"/>
                <w:szCs w:val="18"/>
              </w:rPr>
              <w:t>分。</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noWrap/>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制度执行有效性</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5</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项目实施是否符合相关管理规定，用以反映和考核相关管理制度的有效执行情况。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评价要点：①是否遵守相关法律法规和相关管理规定；②项目支出手续是否完备；③项目补助资金申请等资料是否齐全并及时归档；④项目资料审批是否合规；⑤项目实施的人员条件、信息支撑等是否落实到位。</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完全符合得满分，缺一项扣</w:t>
            </w:r>
            <w:r>
              <w:rPr>
                <w:rFonts w:eastAsia="宋体"/>
                <w:snapToGrid w:val="0"/>
                <w:kern w:val="0"/>
                <w:sz w:val="21"/>
                <w:szCs w:val="18"/>
              </w:rPr>
              <w:t>1</w:t>
            </w:r>
            <w:r>
              <w:rPr>
                <w:rFonts w:hint="eastAsia" w:eastAsia="宋体"/>
                <w:snapToGrid w:val="0"/>
                <w:kern w:val="0"/>
                <w:sz w:val="21"/>
                <w:szCs w:val="18"/>
              </w:rPr>
              <w:t>分，扣完为止。</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5</w:t>
            </w:r>
          </w:p>
        </w:tc>
        <w:tc>
          <w:tcPr>
            <w:tcW w:w="497" w:type="pct"/>
            <w:shd w:val="clear" w:color="auto" w:fill="auto"/>
            <w:noWrap/>
            <w:vAlign w:val="center"/>
          </w:tcPr>
          <w:p>
            <w:pPr>
              <w:widowControl/>
              <w:adjustRightInd w:val="0"/>
              <w:snapToGrid w:val="0"/>
              <w:jc w:val="center"/>
              <w:rPr>
                <w:rFonts w:eastAsia="宋体"/>
                <w:snapToGrid w:val="0"/>
                <w:kern w:val="0"/>
                <w:sz w:val="21"/>
                <w:szCs w:val="16"/>
              </w:rPr>
            </w:pPr>
            <w:r>
              <w:rPr>
                <w:rFonts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公开公示</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人社部门是否按规定对相关信息进行公开公示，用以反映和考核接受公众监督情况。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评价要点：①相关单位是否建立了公开公示制度；②是否按规定进行公开公示。</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对相关信息按规定进行公开公示，得满分，否则酌情扣分。</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政策宣传</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政策宣传，用以反映和考核人社部门对政策的宣传情况。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评价要点：是否开展政策宣传活动宣传就业补助资金政策。</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进行宣传且效果良好得满分；否则酌情扣分。</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过程监督</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是否完善监督、监管、日常巡查机制，用以反映和考核人社部门对项目的过程监管情况。</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评价要点：①是否完善监督、监管、日常巡查机制；②是否进行日常监管。</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建立相关机制且进行日常监督得满分；否则酌情扣分。</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2</w:t>
            </w:r>
          </w:p>
        </w:tc>
        <w:tc>
          <w:tcPr>
            <w:tcW w:w="497" w:type="pct"/>
            <w:shd w:val="clear" w:color="auto" w:fill="auto"/>
            <w:noWrap/>
            <w:vAlign w:val="center"/>
          </w:tcPr>
          <w:p>
            <w:pPr>
              <w:widowControl/>
              <w:adjustRightInd w:val="0"/>
              <w:snapToGrid w:val="0"/>
              <w:jc w:val="left"/>
              <w:rPr>
                <w:rFonts w:eastAsia="宋体"/>
                <w:snapToGrid w:val="0"/>
                <w:kern w:val="0"/>
                <w:sz w:val="21"/>
              </w:rPr>
            </w:pPr>
            <w:r>
              <w:rPr>
                <w:rFonts w:hint="eastAsia" w:eastAsia="宋体"/>
                <w:snapToGrid w:val="0"/>
                <w:kern w:val="0"/>
                <w:sz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restar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产出（28分）</w:t>
            </w:r>
          </w:p>
        </w:tc>
        <w:tc>
          <w:tcPr>
            <w:tcW w:w="285"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产出数量</w:t>
            </w:r>
            <w:r>
              <w:rPr>
                <w:rFonts w:hint="eastAsia" w:eastAsia="宋体"/>
                <w:snapToGrid w:val="0"/>
                <w:kern w:val="0"/>
                <w:sz w:val="21"/>
                <w:szCs w:val="18"/>
              </w:rPr>
              <w:br w:type="textWrapping"/>
            </w:r>
            <w:r>
              <w:rPr>
                <w:rFonts w:hint="eastAsia" w:eastAsia="宋体"/>
                <w:snapToGrid w:val="0"/>
                <w:kern w:val="0"/>
                <w:sz w:val="21"/>
                <w:szCs w:val="18"/>
              </w:rPr>
              <w:t>（7分）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实际补贴完成率</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实际补贴人数与计划补贴人数的比率，用以反映和考核项目产出数量目标的实现程度。</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实际完成率</w:t>
            </w:r>
            <w:r>
              <w:rPr>
                <w:rFonts w:eastAsia="宋体"/>
                <w:snapToGrid w:val="0"/>
                <w:kern w:val="0"/>
                <w:sz w:val="21"/>
                <w:szCs w:val="18"/>
              </w:rPr>
              <w:t>=</w:t>
            </w:r>
            <w:r>
              <w:rPr>
                <w:rFonts w:hint="eastAsia" w:eastAsia="宋体"/>
                <w:snapToGrid w:val="0"/>
                <w:kern w:val="0"/>
                <w:sz w:val="21"/>
                <w:szCs w:val="18"/>
              </w:rPr>
              <w:t>（实际补贴人数</w:t>
            </w:r>
            <w:r>
              <w:rPr>
                <w:rFonts w:eastAsia="宋体"/>
                <w:snapToGrid w:val="0"/>
                <w:kern w:val="0"/>
                <w:sz w:val="21"/>
                <w:szCs w:val="18"/>
              </w:rPr>
              <w:t>/</w:t>
            </w:r>
            <w:r>
              <w:rPr>
                <w:rFonts w:hint="eastAsia" w:eastAsia="宋体"/>
                <w:snapToGrid w:val="0"/>
                <w:kern w:val="0"/>
                <w:sz w:val="21"/>
                <w:szCs w:val="18"/>
              </w:rPr>
              <w:t>计划补贴人数）</w:t>
            </w:r>
            <w:r>
              <w:rPr>
                <w:rFonts w:eastAsia="宋体"/>
                <w:snapToGrid w:val="0"/>
                <w:kern w:val="0"/>
                <w:sz w:val="21"/>
                <w:szCs w:val="18"/>
              </w:rPr>
              <w:t>*100%</w:t>
            </w:r>
            <w:r>
              <w:rPr>
                <w:rFonts w:hint="eastAsia" w:eastAsia="宋体"/>
                <w:snapToGrid w:val="0"/>
                <w:kern w:val="0"/>
                <w:sz w:val="21"/>
                <w:szCs w:val="18"/>
              </w:rPr>
              <w:t>。</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实际得分</w:t>
            </w:r>
            <w:r>
              <w:rPr>
                <w:rFonts w:eastAsia="宋体"/>
                <w:snapToGrid w:val="0"/>
                <w:kern w:val="0"/>
                <w:sz w:val="21"/>
                <w:szCs w:val="18"/>
              </w:rPr>
              <w:t>=</w:t>
            </w:r>
            <w:r>
              <w:rPr>
                <w:rFonts w:hint="eastAsia" w:eastAsia="宋体"/>
                <w:snapToGrid w:val="0"/>
                <w:kern w:val="0"/>
                <w:sz w:val="21"/>
                <w:szCs w:val="18"/>
              </w:rPr>
              <w:t>实际补贴完成率</w:t>
            </w:r>
            <w:r>
              <w:rPr>
                <w:rFonts w:eastAsia="宋体"/>
                <w:snapToGrid w:val="0"/>
                <w:kern w:val="0"/>
                <w:sz w:val="21"/>
                <w:szCs w:val="18"/>
              </w:rPr>
              <w:t>*7</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497" w:type="pct"/>
            <w:shd w:val="clear" w:color="auto" w:fill="auto"/>
            <w:noWrap/>
            <w:vAlign w:val="center"/>
          </w:tcPr>
          <w:p>
            <w:pPr>
              <w:widowControl/>
              <w:adjustRightInd w:val="0"/>
              <w:snapToGrid w:val="0"/>
              <w:jc w:val="center"/>
              <w:rPr>
                <w:rFonts w:eastAsia="宋体"/>
                <w:snapToGrid w:val="0"/>
                <w:kern w:val="0"/>
                <w:sz w:val="21"/>
                <w:szCs w:val="16"/>
              </w:rPr>
            </w:pPr>
            <w:r>
              <w:rPr>
                <w:rFonts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产出质量</w:t>
            </w:r>
            <w:r>
              <w:rPr>
                <w:rFonts w:hint="eastAsia" w:eastAsia="宋体"/>
                <w:snapToGrid w:val="0"/>
                <w:kern w:val="0"/>
                <w:sz w:val="21"/>
                <w:szCs w:val="18"/>
              </w:rPr>
              <w:br w:type="textWrapping"/>
            </w:r>
            <w:r>
              <w:rPr>
                <w:rFonts w:hint="eastAsia" w:eastAsia="宋体"/>
                <w:snapToGrid w:val="0"/>
                <w:kern w:val="0"/>
                <w:sz w:val="21"/>
                <w:szCs w:val="18"/>
              </w:rPr>
              <w:t>（7分）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职业技能培训合格率</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职业技能培训合格人数与参加职业技能培训人数的比率，用以反映和考核项目产出质量目标的实现程度。</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职业技能培训合格率</w:t>
            </w:r>
            <w:r>
              <w:rPr>
                <w:rFonts w:eastAsia="宋体"/>
                <w:snapToGrid w:val="0"/>
                <w:kern w:val="0"/>
                <w:sz w:val="21"/>
                <w:szCs w:val="18"/>
              </w:rPr>
              <w:t>=</w:t>
            </w:r>
            <w:r>
              <w:rPr>
                <w:rFonts w:hint="eastAsia" w:eastAsia="宋体"/>
                <w:snapToGrid w:val="0"/>
                <w:kern w:val="0"/>
                <w:sz w:val="21"/>
                <w:szCs w:val="18"/>
              </w:rPr>
              <w:t>（职业技能培训合格人数</w:t>
            </w:r>
            <w:r>
              <w:rPr>
                <w:rFonts w:eastAsia="宋体"/>
                <w:snapToGrid w:val="0"/>
                <w:kern w:val="0"/>
                <w:sz w:val="21"/>
                <w:szCs w:val="18"/>
              </w:rPr>
              <w:t>/</w:t>
            </w:r>
            <w:r>
              <w:rPr>
                <w:rFonts w:hint="eastAsia" w:eastAsia="宋体"/>
                <w:snapToGrid w:val="0"/>
                <w:kern w:val="0"/>
                <w:sz w:val="21"/>
                <w:szCs w:val="18"/>
              </w:rPr>
              <w:t>参加职业技能培训人数）</w:t>
            </w:r>
            <w:r>
              <w:rPr>
                <w:rFonts w:eastAsia="宋体"/>
                <w:snapToGrid w:val="0"/>
                <w:kern w:val="0"/>
                <w:sz w:val="21"/>
                <w:szCs w:val="18"/>
              </w:rPr>
              <w:t>*100%</w:t>
            </w:r>
            <w:r>
              <w:rPr>
                <w:rFonts w:hint="eastAsia" w:eastAsia="宋体"/>
                <w:snapToGrid w:val="0"/>
                <w:kern w:val="0"/>
                <w:sz w:val="21"/>
                <w:szCs w:val="18"/>
              </w:rPr>
              <w:t>。</w:t>
            </w:r>
          </w:p>
        </w:tc>
        <w:tc>
          <w:tcPr>
            <w:tcW w:w="1029" w:type="pct"/>
            <w:shd w:val="clear" w:color="auto" w:fill="auto"/>
            <w:noWrap/>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实际得分</w:t>
            </w:r>
            <w:r>
              <w:rPr>
                <w:rFonts w:eastAsia="宋体"/>
                <w:snapToGrid w:val="0"/>
                <w:kern w:val="0"/>
                <w:sz w:val="21"/>
                <w:szCs w:val="18"/>
              </w:rPr>
              <w:t>=</w:t>
            </w:r>
            <w:r>
              <w:rPr>
                <w:rFonts w:hint="eastAsia" w:eastAsia="宋体"/>
                <w:snapToGrid w:val="0"/>
                <w:kern w:val="0"/>
                <w:sz w:val="21"/>
                <w:szCs w:val="18"/>
              </w:rPr>
              <w:t>职业技能培训合格率</w:t>
            </w:r>
            <w:r>
              <w:rPr>
                <w:rFonts w:eastAsia="宋体"/>
                <w:snapToGrid w:val="0"/>
                <w:kern w:val="0"/>
                <w:sz w:val="21"/>
                <w:szCs w:val="18"/>
              </w:rPr>
              <w:t>*7</w:t>
            </w:r>
          </w:p>
        </w:tc>
        <w:tc>
          <w:tcPr>
            <w:tcW w:w="216" w:type="pct"/>
            <w:shd w:val="clear" w:color="auto" w:fill="auto"/>
            <w:noWrap/>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4</w:t>
            </w:r>
          </w:p>
        </w:tc>
        <w:tc>
          <w:tcPr>
            <w:tcW w:w="497" w:type="pct"/>
            <w:shd w:val="clear" w:color="auto" w:fill="auto"/>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产出时效</w:t>
            </w:r>
            <w:r>
              <w:rPr>
                <w:rFonts w:hint="eastAsia" w:eastAsia="宋体"/>
                <w:snapToGrid w:val="0"/>
                <w:kern w:val="0"/>
                <w:sz w:val="21"/>
                <w:szCs w:val="18"/>
              </w:rPr>
              <w:br w:type="textWrapping"/>
            </w:r>
            <w:r>
              <w:rPr>
                <w:rFonts w:hint="eastAsia" w:eastAsia="宋体"/>
                <w:snapToGrid w:val="0"/>
                <w:kern w:val="0"/>
                <w:sz w:val="21"/>
                <w:szCs w:val="18"/>
              </w:rPr>
              <w:t>（7分）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补贴发放及时性</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补贴资金发放是否及时，用以反映和考核项目产出时效目标的实现程度。</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评价要点：补贴资金是否按规定时间及时发放。</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及时发放得满分，否则酌情扣分。</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497" w:type="pct"/>
            <w:shd w:val="clear" w:color="auto" w:fill="auto"/>
            <w:noWrap/>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产出成本</w:t>
            </w:r>
            <w:r>
              <w:rPr>
                <w:rFonts w:hint="eastAsia" w:eastAsia="宋体"/>
                <w:snapToGrid w:val="0"/>
                <w:kern w:val="0"/>
                <w:sz w:val="21"/>
                <w:szCs w:val="18"/>
              </w:rPr>
              <w:br w:type="textWrapping"/>
            </w:r>
            <w:r>
              <w:rPr>
                <w:rFonts w:hint="eastAsia" w:eastAsia="宋体"/>
                <w:snapToGrid w:val="0"/>
                <w:kern w:val="0"/>
                <w:sz w:val="21"/>
                <w:szCs w:val="18"/>
              </w:rPr>
              <w:t>（7分）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补贴发放准确率</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应补贴金额与实际补贴金额的一致性，用以反映和考核补贴发放的准确程度。</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补贴发放准确率</w:t>
            </w:r>
            <w:r>
              <w:rPr>
                <w:rFonts w:eastAsia="宋体"/>
                <w:snapToGrid w:val="0"/>
                <w:kern w:val="0"/>
                <w:sz w:val="21"/>
                <w:szCs w:val="18"/>
              </w:rPr>
              <w:t>=</w:t>
            </w:r>
            <w:r>
              <w:rPr>
                <w:rFonts w:hint="eastAsia" w:eastAsia="宋体"/>
                <w:snapToGrid w:val="0"/>
                <w:kern w:val="0"/>
                <w:sz w:val="21"/>
                <w:szCs w:val="18"/>
              </w:rPr>
              <w:t>（实际补贴金额</w:t>
            </w:r>
            <w:r>
              <w:rPr>
                <w:rFonts w:eastAsia="宋体"/>
                <w:snapToGrid w:val="0"/>
                <w:kern w:val="0"/>
                <w:sz w:val="21"/>
                <w:szCs w:val="18"/>
              </w:rPr>
              <w:t>/</w:t>
            </w:r>
            <w:r>
              <w:rPr>
                <w:rFonts w:hint="eastAsia" w:eastAsia="宋体"/>
                <w:snapToGrid w:val="0"/>
                <w:kern w:val="0"/>
                <w:sz w:val="21"/>
                <w:szCs w:val="18"/>
              </w:rPr>
              <w:t>应补贴金额）</w:t>
            </w:r>
            <w:r>
              <w:rPr>
                <w:rFonts w:eastAsia="宋体"/>
                <w:snapToGrid w:val="0"/>
                <w:kern w:val="0"/>
                <w:sz w:val="21"/>
                <w:szCs w:val="18"/>
              </w:rPr>
              <w:t>*100%</w:t>
            </w:r>
          </w:p>
        </w:tc>
        <w:tc>
          <w:tcPr>
            <w:tcW w:w="1029" w:type="pct"/>
            <w:shd w:val="clear" w:color="auto" w:fill="auto"/>
            <w:noWrap/>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实际得分</w:t>
            </w:r>
            <w:r>
              <w:rPr>
                <w:rFonts w:eastAsia="宋体"/>
                <w:snapToGrid w:val="0"/>
                <w:kern w:val="0"/>
                <w:sz w:val="21"/>
                <w:szCs w:val="18"/>
              </w:rPr>
              <w:t>=</w:t>
            </w:r>
            <w:r>
              <w:rPr>
                <w:rFonts w:hint="eastAsia" w:eastAsia="宋体"/>
                <w:snapToGrid w:val="0"/>
                <w:kern w:val="0"/>
                <w:sz w:val="21"/>
                <w:szCs w:val="18"/>
              </w:rPr>
              <w:t>补贴发放准确率</w:t>
            </w:r>
            <w:r>
              <w:rPr>
                <w:rFonts w:eastAsia="宋体"/>
                <w:snapToGrid w:val="0"/>
                <w:kern w:val="0"/>
                <w:sz w:val="21"/>
                <w:szCs w:val="18"/>
              </w:rPr>
              <w:t>*7</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497" w:type="pct"/>
            <w:shd w:val="clear" w:color="auto" w:fill="auto"/>
            <w:noWrap/>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restar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效果（32分）</w:t>
            </w:r>
          </w:p>
        </w:tc>
        <w:tc>
          <w:tcPr>
            <w:tcW w:w="285" w:type="pct"/>
            <w:vMerge w:val="restar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项目效益</w:t>
            </w:r>
            <w:r>
              <w:rPr>
                <w:rFonts w:hint="eastAsia" w:eastAsia="宋体"/>
                <w:snapToGrid w:val="0"/>
                <w:kern w:val="0"/>
                <w:sz w:val="21"/>
                <w:szCs w:val="18"/>
              </w:rPr>
              <w:br w:type="textWrapping"/>
            </w:r>
            <w:r>
              <w:rPr>
                <w:rFonts w:hint="eastAsia" w:eastAsia="宋体"/>
                <w:snapToGrid w:val="0"/>
                <w:kern w:val="0"/>
                <w:sz w:val="21"/>
                <w:szCs w:val="18"/>
              </w:rPr>
              <w:t>（24分）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新增就业人数增长率</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本年新增就业人数较上年新增就业人数的增长率，用以反映和考核补贴产生的社会效益。</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新增就业人数增长率</w:t>
            </w:r>
            <w:r>
              <w:rPr>
                <w:rFonts w:eastAsia="宋体"/>
                <w:snapToGrid w:val="0"/>
                <w:kern w:val="0"/>
                <w:sz w:val="21"/>
                <w:szCs w:val="18"/>
              </w:rPr>
              <w:t>=[</w:t>
            </w:r>
            <w:r>
              <w:rPr>
                <w:rFonts w:hint="eastAsia" w:eastAsia="宋体"/>
                <w:snapToGrid w:val="0"/>
                <w:kern w:val="0"/>
                <w:sz w:val="21"/>
                <w:szCs w:val="18"/>
              </w:rPr>
              <w:t>（本年新增就业人数</w:t>
            </w:r>
            <w:r>
              <w:rPr>
                <w:rFonts w:eastAsia="宋体"/>
                <w:snapToGrid w:val="0"/>
                <w:kern w:val="0"/>
                <w:sz w:val="21"/>
                <w:szCs w:val="18"/>
              </w:rPr>
              <w:t>-</w:t>
            </w:r>
            <w:r>
              <w:rPr>
                <w:rFonts w:hint="eastAsia" w:eastAsia="宋体"/>
                <w:snapToGrid w:val="0"/>
                <w:kern w:val="0"/>
                <w:sz w:val="21"/>
                <w:szCs w:val="18"/>
              </w:rPr>
              <w:t>上年新增就业人数）</w:t>
            </w:r>
            <w:r>
              <w:rPr>
                <w:rFonts w:eastAsia="宋体"/>
                <w:snapToGrid w:val="0"/>
                <w:kern w:val="0"/>
                <w:sz w:val="21"/>
                <w:szCs w:val="18"/>
              </w:rPr>
              <w:t>/</w:t>
            </w:r>
            <w:r>
              <w:rPr>
                <w:rFonts w:hint="eastAsia" w:eastAsia="宋体"/>
                <w:snapToGrid w:val="0"/>
                <w:kern w:val="0"/>
                <w:sz w:val="21"/>
                <w:szCs w:val="18"/>
              </w:rPr>
              <w:t>上年新增就业人数</w:t>
            </w:r>
            <w:r>
              <w:rPr>
                <w:rFonts w:eastAsia="宋体"/>
                <w:snapToGrid w:val="0"/>
                <w:kern w:val="0"/>
                <w:sz w:val="21"/>
                <w:szCs w:val="18"/>
              </w:rPr>
              <w:t>]*100%</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新增就业人数增长率≥</w:t>
            </w:r>
            <w:r>
              <w:rPr>
                <w:rFonts w:eastAsia="宋体"/>
                <w:snapToGrid w:val="0"/>
                <w:kern w:val="0"/>
                <w:sz w:val="21"/>
                <w:szCs w:val="18"/>
              </w:rPr>
              <w:t>0</w:t>
            </w:r>
            <w:r>
              <w:rPr>
                <w:rFonts w:hint="eastAsia" w:eastAsia="宋体"/>
                <w:snapToGrid w:val="0"/>
                <w:kern w:val="0"/>
                <w:sz w:val="21"/>
                <w:szCs w:val="18"/>
              </w:rPr>
              <w:t>得满分，否则不得分。</w:t>
            </w:r>
          </w:p>
        </w:tc>
        <w:tc>
          <w:tcPr>
            <w:tcW w:w="216" w:type="pct"/>
            <w:shd w:val="clear" w:color="auto" w:fill="auto"/>
            <w:noWrap/>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497" w:type="pct"/>
            <w:shd w:val="clear" w:color="auto" w:fill="auto"/>
            <w:noWrap/>
            <w:vAlign w:val="center"/>
          </w:tcPr>
          <w:p>
            <w:pPr>
              <w:widowControl/>
              <w:adjustRightInd w:val="0"/>
              <w:snapToGrid w:val="0"/>
              <w:jc w:val="center"/>
              <w:rPr>
                <w:rFonts w:eastAsia="宋体"/>
                <w:snapToGrid w:val="0"/>
                <w:kern w:val="0"/>
                <w:sz w:val="21"/>
                <w:szCs w:val="20"/>
              </w:rPr>
            </w:pPr>
            <w:r>
              <w:rPr>
                <w:rFonts w:hint="eastAsia" w:eastAsia="宋体"/>
                <w:snapToGrid w:val="0"/>
                <w:kern w:val="0"/>
                <w:sz w:val="21"/>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就业困难人员再就业增长率</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本年就业困难人员再就业人数较上年就业困难人员再就业人数的增长率，用以反映和考核补贴产生的社会效益。</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就业困难人员再就业增长率</w:t>
            </w:r>
            <w:r>
              <w:rPr>
                <w:rFonts w:eastAsia="宋体"/>
                <w:snapToGrid w:val="0"/>
                <w:kern w:val="0"/>
                <w:sz w:val="21"/>
                <w:szCs w:val="18"/>
              </w:rPr>
              <w:t>=[</w:t>
            </w:r>
            <w:r>
              <w:rPr>
                <w:rFonts w:hint="eastAsia" w:eastAsia="宋体"/>
                <w:snapToGrid w:val="0"/>
                <w:kern w:val="0"/>
                <w:sz w:val="21"/>
                <w:szCs w:val="18"/>
              </w:rPr>
              <w:t>（本年就业困难人员再就业人数</w:t>
            </w:r>
            <w:r>
              <w:rPr>
                <w:rFonts w:eastAsia="宋体"/>
                <w:snapToGrid w:val="0"/>
                <w:kern w:val="0"/>
                <w:sz w:val="21"/>
                <w:szCs w:val="18"/>
              </w:rPr>
              <w:t>-</w:t>
            </w:r>
            <w:r>
              <w:rPr>
                <w:rFonts w:hint="eastAsia" w:eastAsia="宋体"/>
                <w:snapToGrid w:val="0"/>
                <w:kern w:val="0"/>
                <w:sz w:val="21"/>
                <w:szCs w:val="18"/>
              </w:rPr>
              <w:t>上年就业困难人员再就业人数）</w:t>
            </w:r>
            <w:r>
              <w:rPr>
                <w:rFonts w:eastAsia="宋体"/>
                <w:snapToGrid w:val="0"/>
                <w:kern w:val="0"/>
                <w:sz w:val="21"/>
                <w:szCs w:val="18"/>
              </w:rPr>
              <w:t>/</w:t>
            </w:r>
            <w:r>
              <w:rPr>
                <w:rFonts w:hint="eastAsia" w:eastAsia="宋体"/>
                <w:snapToGrid w:val="0"/>
                <w:kern w:val="0"/>
                <w:sz w:val="21"/>
                <w:szCs w:val="18"/>
              </w:rPr>
              <w:t>上年就业困难人员再就业人数</w:t>
            </w:r>
            <w:r>
              <w:rPr>
                <w:rFonts w:eastAsia="宋体"/>
                <w:snapToGrid w:val="0"/>
                <w:kern w:val="0"/>
                <w:sz w:val="21"/>
                <w:szCs w:val="18"/>
              </w:rPr>
              <w:t>]*100%</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就业困难人员再就业增长率≥</w:t>
            </w:r>
            <w:r>
              <w:rPr>
                <w:rFonts w:eastAsia="宋体"/>
                <w:snapToGrid w:val="0"/>
                <w:kern w:val="0"/>
                <w:sz w:val="21"/>
                <w:szCs w:val="18"/>
              </w:rPr>
              <w:t>0</w:t>
            </w:r>
            <w:r>
              <w:rPr>
                <w:rFonts w:hint="eastAsia" w:eastAsia="宋体"/>
                <w:snapToGrid w:val="0"/>
                <w:kern w:val="0"/>
                <w:sz w:val="21"/>
                <w:szCs w:val="18"/>
              </w:rPr>
              <w:t>得满分，否则不得分。</w:t>
            </w:r>
          </w:p>
        </w:tc>
        <w:tc>
          <w:tcPr>
            <w:tcW w:w="216" w:type="pct"/>
            <w:shd w:val="clear" w:color="auto" w:fill="auto"/>
            <w:noWrap/>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0</w:t>
            </w:r>
          </w:p>
        </w:tc>
        <w:tc>
          <w:tcPr>
            <w:tcW w:w="497" w:type="pct"/>
            <w:shd w:val="clear" w:color="auto" w:fill="auto"/>
            <w:noWrap/>
            <w:vAlign w:val="center"/>
          </w:tcPr>
          <w:p>
            <w:pPr>
              <w:widowControl/>
              <w:adjustRightInd w:val="0"/>
              <w:snapToGrid w:val="0"/>
              <w:jc w:val="center"/>
              <w:rPr>
                <w:rFonts w:eastAsia="宋体"/>
                <w:snapToGrid w:val="0"/>
                <w:kern w:val="0"/>
                <w:sz w:val="21"/>
                <w:szCs w:val="16"/>
              </w:rPr>
            </w:pPr>
            <w:r>
              <w:rPr>
                <w:rFonts w:eastAsia="宋体"/>
                <w:snapToGrid w:val="0"/>
                <w:kern w:val="0"/>
                <w:sz w:val="21"/>
                <w:szCs w:val="16"/>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年末失业率下降率</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本年末失业率较上年末失业率下降比率，用以反映和考核补贴产生的社会效益。</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年末失业率下降率</w:t>
            </w:r>
            <w:r>
              <w:rPr>
                <w:rFonts w:eastAsia="宋体"/>
                <w:snapToGrid w:val="0"/>
                <w:kern w:val="0"/>
                <w:sz w:val="21"/>
                <w:szCs w:val="18"/>
              </w:rPr>
              <w:t>=[</w:t>
            </w:r>
            <w:r>
              <w:rPr>
                <w:rFonts w:hint="eastAsia" w:eastAsia="宋体"/>
                <w:snapToGrid w:val="0"/>
                <w:kern w:val="0"/>
                <w:sz w:val="21"/>
                <w:szCs w:val="18"/>
              </w:rPr>
              <w:t>（本年末失业率</w:t>
            </w:r>
            <w:r>
              <w:rPr>
                <w:rFonts w:eastAsia="宋体"/>
                <w:snapToGrid w:val="0"/>
                <w:kern w:val="0"/>
                <w:sz w:val="21"/>
                <w:szCs w:val="18"/>
              </w:rPr>
              <w:t>-</w:t>
            </w:r>
            <w:r>
              <w:rPr>
                <w:rFonts w:hint="eastAsia" w:eastAsia="宋体"/>
                <w:snapToGrid w:val="0"/>
                <w:kern w:val="0"/>
                <w:sz w:val="21"/>
                <w:szCs w:val="18"/>
              </w:rPr>
              <w:t>上年末失业率）</w:t>
            </w:r>
            <w:r>
              <w:rPr>
                <w:rFonts w:eastAsia="宋体"/>
                <w:snapToGrid w:val="0"/>
                <w:kern w:val="0"/>
                <w:sz w:val="21"/>
                <w:szCs w:val="18"/>
              </w:rPr>
              <w:t>/</w:t>
            </w:r>
            <w:r>
              <w:rPr>
                <w:rFonts w:hint="eastAsia" w:eastAsia="宋体"/>
                <w:snapToGrid w:val="0"/>
                <w:kern w:val="0"/>
                <w:sz w:val="21"/>
                <w:szCs w:val="18"/>
              </w:rPr>
              <w:t>上年末失业率</w:t>
            </w:r>
            <w:r>
              <w:rPr>
                <w:rFonts w:eastAsia="宋体"/>
                <w:snapToGrid w:val="0"/>
                <w:kern w:val="0"/>
                <w:sz w:val="21"/>
                <w:szCs w:val="18"/>
              </w:rPr>
              <w:t>]*100%</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年末失业率下降率≤</w:t>
            </w:r>
            <w:r>
              <w:rPr>
                <w:rFonts w:eastAsia="宋体"/>
                <w:snapToGrid w:val="0"/>
                <w:kern w:val="0"/>
                <w:sz w:val="21"/>
                <w:szCs w:val="18"/>
              </w:rPr>
              <w:t>0</w:t>
            </w:r>
            <w:r>
              <w:rPr>
                <w:rFonts w:hint="eastAsia" w:eastAsia="宋体"/>
                <w:snapToGrid w:val="0"/>
                <w:kern w:val="0"/>
                <w:sz w:val="21"/>
                <w:szCs w:val="18"/>
              </w:rPr>
              <w:t>得满分，否则不得分。</w:t>
            </w:r>
          </w:p>
        </w:tc>
        <w:tc>
          <w:tcPr>
            <w:tcW w:w="216" w:type="pct"/>
            <w:shd w:val="clear" w:color="auto" w:fill="auto"/>
            <w:noWrap/>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497" w:type="pct"/>
            <w:shd w:val="clear" w:color="auto" w:fill="auto"/>
            <w:noWrap/>
            <w:vAlign w:val="center"/>
          </w:tcPr>
          <w:p>
            <w:pPr>
              <w:widowControl/>
              <w:adjustRightInd w:val="0"/>
              <w:snapToGrid w:val="0"/>
              <w:jc w:val="center"/>
              <w:rPr>
                <w:rFonts w:eastAsia="宋体"/>
                <w:snapToGrid w:val="0"/>
                <w:kern w:val="0"/>
                <w:sz w:val="21"/>
                <w:szCs w:val="16"/>
              </w:rPr>
            </w:pPr>
            <w:r>
              <w:rPr>
                <w:rFonts w:eastAsia="宋体"/>
                <w:snapToGrid w:val="0"/>
                <w:kern w:val="0"/>
                <w:sz w:val="21"/>
                <w:szCs w:val="16"/>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vMerge w:val="continue"/>
            <w:shd w:val="clear" w:color="auto" w:fill="auto"/>
            <w:vAlign w:val="center"/>
          </w:tcPr>
          <w:p>
            <w:pPr>
              <w:widowControl/>
              <w:adjustRightInd w:val="0"/>
              <w:snapToGrid w:val="0"/>
              <w:jc w:val="left"/>
              <w:rPr>
                <w:rFonts w:eastAsia="宋体"/>
                <w:snapToGrid w:val="0"/>
                <w:kern w:val="0"/>
                <w:sz w:val="21"/>
                <w:szCs w:val="18"/>
              </w:rPr>
            </w:pPr>
          </w:p>
        </w:tc>
        <w:tc>
          <w:tcPr>
            <w:tcW w:w="285"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满意度</w:t>
            </w:r>
            <w:r>
              <w:rPr>
                <w:rFonts w:hint="eastAsia" w:eastAsia="宋体"/>
                <w:snapToGrid w:val="0"/>
                <w:kern w:val="0"/>
                <w:sz w:val="21"/>
                <w:szCs w:val="18"/>
              </w:rPr>
              <w:br w:type="textWrapping"/>
            </w:r>
            <w:r>
              <w:rPr>
                <w:rFonts w:hint="eastAsia" w:eastAsia="宋体"/>
                <w:snapToGrid w:val="0"/>
                <w:kern w:val="0"/>
                <w:sz w:val="21"/>
                <w:szCs w:val="18"/>
              </w:rPr>
              <w:t>（8分）</w:t>
            </w:r>
          </w:p>
        </w:tc>
        <w:tc>
          <w:tcPr>
            <w:tcW w:w="408" w:type="pct"/>
            <w:shd w:val="clear" w:color="auto" w:fill="auto"/>
            <w:vAlign w:val="center"/>
          </w:tcPr>
          <w:p>
            <w:pPr>
              <w:widowControl/>
              <w:adjustRightInd w:val="0"/>
              <w:snapToGrid w:val="0"/>
              <w:jc w:val="center"/>
              <w:rPr>
                <w:rFonts w:eastAsia="宋体"/>
                <w:snapToGrid w:val="0"/>
                <w:kern w:val="0"/>
                <w:sz w:val="21"/>
                <w:szCs w:val="18"/>
              </w:rPr>
            </w:pPr>
            <w:r>
              <w:rPr>
                <w:rFonts w:hint="eastAsia" w:eastAsia="宋体"/>
                <w:snapToGrid w:val="0"/>
                <w:kern w:val="0"/>
                <w:sz w:val="21"/>
                <w:szCs w:val="18"/>
              </w:rPr>
              <w:t>满意度</w:t>
            </w:r>
          </w:p>
        </w:tc>
        <w:tc>
          <w:tcPr>
            <w:tcW w:w="178"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8</w:t>
            </w:r>
          </w:p>
        </w:tc>
        <w:tc>
          <w:tcPr>
            <w:tcW w:w="1024"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社会公众或受益对象对项目实施效果的满意程度。</w:t>
            </w:r>
          </w:p>
        </w:tc>
        <w:tc>
          <w:tcPr>
            <w:tcW w:w="1131"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社会公众或受益对象是指因该项目实施而受到影响的部门（单位）、群体或个人。一般采取社会调查的方式。</w:t>
            </w:r>
          </w:p>
        </w:tc>
        <w:tc>
          <w:tcPr>
            <w:tcW w:w="1029" w:type="pct"/>
            <w:shd w:val="clear" w:color="auto" w:fill="auto"/>
            <w:vAlign w:val="center"/>
          </w:tcPr>
          <w:p>
            <w:pPr>
              <w:widowControl/>
              <w:adjustRightInd w:val="0"/>
              <w:snapToGrid w:val="0"/>
              <w:jc w:val="left"/>
              <w:rPr>
                <w:rFonts w:eastAsia="宋体"/>
                <w:snapToGrid w:val="0"/>
                <w:kern w:val="0"/>
                <w:sz w:val="21"/>
                <w:szCs w:val="18"/>
              </w:rPr>
            </w:pPr>
            <w:r>
              <w:rPr>
                <w:rFonts w:hint="eastAsia" w:eastAsia="宋体"/>
                <w:snapToGrid w:val="0"/>
                <w:kern w:val="0"/>
                <w:sz w:val="21"/>
                <w:szCs w:val="18"/>
              </w:rPr>
              <w:t>发放问卷调查，若群众满意率大于等于</w:t>
            </w:r>
            <w:r>
              <w:rPr>
                <w:rFonts w:eastAsia="宋体"/>
                <w:snapToGrid w:val="0"/>
                <w:kern w:val="0"/>
                <w:sz w:val="21"/>
                <w:szCs w:val="18"/>
              </w:rPr>
              <w:t>95%</w:t>
            </w:r>
            <w:r>
              <w:rPr>
                <w:rFonts w:hint="eastAsia" w:eastAsia="宋体"/>
                <w:snapToGrid w:val="0"/>
                <w:kern w:val="0"/>
                <w:sz w:val="21"/>
                <w:szCs w:val="18"/>
              </w:rPr>
              <w:t>，得满分；否则，每降低</w:t>
            </w:r>
            <w:r>
              <w:rPr>
                <w:rFonts w:eastAsia="宋体"/>
                <w:snapToGrid w:val="0"/>
                <w:kern w:val="0"/>
                <w:sz w:val="21"/>
                <w:szCs w:val="18"/>
              </w:rPr>
              <w:t>1%</w:t>
            </w:r>
            <w:r>
              <w:rPr>
                <w:rFonts w:hint="eastAsia" w:eastAsia="宋体"/>
                <w:snapToGrid w:val="0"/>
                <w:kern w:val="0"/>
                <w:sz w:val="21"/>
                <w:szCs w:val="18"/>
              </w:rPr>
              <w:t>扣</w:t>
            </w:r>
            <w:r>
              <w:rPr>
                <w:rFonts w:eastAsia="宋体"/>
                <w:snapToGrid w:val="0"/>
                <w:kern w:val="0"/>
                <w:sz w:val="21"/>
                <w:szCs w:val="18"/>
              </w:rPr>
              <w:t>1</w:t>
            </w:r>
            <w:r>
              <w:rPr>
                <w:rFonts w:hint="eastAsia" w:eastAsia="宋体"/>
                <w:snapToGrid w:val="0"/>
                <w:kern w:val="0"/>
                <w:sz w:val="21"/>
                <w:szCs w:val="18"/>
              </w:rPr>
              <w:t>分，扣完为止。</w:t>
            </w:r>
          </w:p>
        </w:tc>
        <w:tc>
          <w:tcPr>
            <w:tcW w:w="216" w:type="pct"/>
            <w:shd w:val="clear" w:color="auto" w:fill="auto"/>
            <w:vAlign w:val="center"/>
          </w:tcPr>
          <w:p>
            <w:pPr>
              <w:widowControl/>
              <w:adjustRightInd w:val="0"/>
              <w:snapToGrid w:val="0"/>
              <w:jc w:val="center"/>
              <w:rPr>
                <w:rFonts w:eastAsia="宋体"/>
                <w:snapToGrid w:val="0"/>
                <w:kern w:val="0"/>
                <w:sz w:val="21"/>
                <w:szCs w:val="18"/>
              </w:rPr>
            </w:pPr>
            <w:r>
              <w:rPr>
                <w:rFonts w:eastAsia="宋体"/>
                <w:snapToGrid w:val="0"/>
                <w:kern w:val="0"/>
                <w:sz w:val="21"/>
                <w:szCs w:val="18"/>
              </w:rPr>
              <w:t>7</w:t>
            </w:r>
          </w:p>
        </w:tc>
        <w:tc>
          <w:tcPr>
            <w:tcW w:w="497" w:type="pct"/>
            <w:shd w:val="clear" w:color="auto" w:fill="auto"/>
            <w:vAlign w:val="center"/>
          </w:tcPr>
          <w:p>
            <w:pPr>
              <w:widowControl/>
              <w:adjustRightInd w:val="0"/>
              <w:snapToGrid w:val="0"/>
              <w:jc w:val="center"/>
              <w:rPr>
                <w:rFonts w:eastAsia="宋体"/>
                <w:snapToGrid w:val="0"/>
                <w:kern w:val="0"/>
                <w:sz w:val="21"/>
                <w:szCs w:val="16"/>
              </w:rPr>
            </w:pPr>
            <w:r>
              <w:rPr>
                <w:rFonts w:hint="eastAsia" w:eastAsia="宋体"/>
                <w:snapToGrid w:val="0"/>
                <w:kern w:val="0"/>
                <w:sz w:val="21"/>
                <w:szCs w:val="16"/>
              </w:rPr>
              <w:t>9</w:t>
            </w:r>
            <w:r>
              <w:rPr>
                <w:rFonts w:eastAsia="宋体"/>
                <w:snapToGrid w:val="0"/>
                <w:kern w:val="0"/>
                <w:sz w:val="21"/>
                <w:szCs w:val="16"/>
              </w:rPr>
              <w:t>5</w:t>
            </w:r>
            <w:r>
              <w:rPr>
                <w:rFonts w:hint="eastAsia" w:eastAsia="宋体"/>
                <w:snapToGrid w:val="0"/>
                <w:kern w:val="0"/>
                <w:sz w:val="21"/>
                <w:szCs w:val="16"/>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108" w:type="dxa"/>
            <w:bottom w:w="30" w:type="dxa"/>
            <w:right w:w="108" w:type="dxa"/>
          </w:tblCellMar>
        </w:tblPrEx>
        <w:trPr>
          <w:cantSplit/>
          <w:trHeight w:val="405" w:hRule="atLeast"/>
        </w:trPr>
        <w:tc>
          <w:tcPr>
            <w:tcW w:w="231" w:type="pct"/>
            <w:shd w:val="clear" w:color="auto" w:fill="auto"/>
            <w:noWrap/>
            <w:vAlign w:val="center"/>
          </w:tcPr>
          <w:p>
            <w:pPr>
              <w:widowControl/>
              <w:adjustRightInd w:val="0"/>
              <w:snapToGrid w:val="0"/>
              <w:jc w:val="center"/>
              <w:rPr>
                <w:rFonts w:eastAsia="宋体"/>
                <w:b/>
                <w:snapToGrid w:val="0"/>
                <w:kern w:val="0"/>
                <w:sz w:val="21"/>
                <w:szCs w:val="18"/>
              </w:rPr>
            </w:pPr>
            <w:r>
              <w:rPr>
                <w:rFonts w:hint="eastAsia" w:eastAsia="宋体"/>
                <w:b/>
                <w:snapToGrid w:val="0"/>
                <w:kern w:val="0"/>
                <w:sz w:val="21"/>
                <w:szCs w:val="18"/>
              </w:rPr>
              <w:t>合计</w:t>
            </w:r>
          </w:p>
        </w:tc>
        <w:tc>
          <w:tcPr>
            <w:tcW w:w="285" w:type="pct"/>
            <w:shd w:val="clear" w:color="auto" w:fill="auto"/>
            <w:vAlign w:val="center"/>
          </w:tcPr>
          <w:p>
            <w:pPr>
              <w:widowControl/>
              <w:adjustRightInd w:val="0"/>
              <w:snapToGrid w:val="0"/>
              <w:jc w:val="center"/>
              <w:rPr>
                <w:rFonts w:eastAsia="宋体"/>
                <w:b/>
                <w:snapToGrid w:val="0"/>
                <w:kern w:val="0"/>
                <w:sz w:val="21"/>
                <w:szCs w:val="18"/>
              </w:rPr>
            </w:pPr>
            <w:r>
              <w:rPr>
                <w:rFonts w:eastAsia="宋体"/>
                <w:b/>
                <w:snapToGrid w:val="0"/>
                <w:kern w:val="0"/>
                <w:sz w:val="21"/>
                <w:szCs w:val="18"/>
              </w:rPr>
              <w:t>　</w:t>
            </w:r>
          </w:p>
        </w:tc>
        <w:tc>
          <w:tcPr>
            <w:tcW w:w="408" w:type="pct"/>
            <w:shd w:val="clear" w:color="auto" w:fill="auto"/>
            <w:vAlign w:val="center"/>
          </w:tcPr>
          <w:p>
            <w:pPr>
              <w:widowControl/>
              <w:adjustRightInd w:val="0"/>
              <w:snapToGrid w:val="0"/>
              <w:jc w:val="center"/>
              <w:rPr>
                <w:rFonts w:eastAsia="宋体"/>
                <w:b/>
                <w:snapToGrid w:val="0"/>
                <w:kern w:val="0"/>
                <w:sz w:val="21"/>
                <w:szCs w:val="18"/>
              </w:rPr>
            </w:pPr>
            <w:r>
              <w:rPr>
                <w:rFonts w:eastAsia="宋体"/>
                <w:b/>
                <w:snapToGrid w:val="0"/>
                <w:kern w:val="0"/>
                <w:sz w:val="21"/>
                <w:szCs w:val="18"/>
              </w:rPr>
              <w:t>　</w:t>
            </w:r>
          </w:p>
        </w:tc>
        <w:tc>
          <w:tcPr>
            <w:tcW w:w="178" w:type="pct"/>
            <w:shd w:val="clear" w:color="auto" w:fill="auto"/>
            <w:vAlign w:val="center"/>
          </w:tcPr>
          <w:p>
            <w:pPr>
              <w:widowControl/>
              <w:adjustRightInd w:val="0"/>
              <w:snapToGrid w:val="0"/>
              <w:jc w:val="center"/>
              <w:rPr>
                <w:rFonts w:eastAsia="宋体"/>
                <w:b/>
                <w:snapToGrid w:val="0"/>
                <w:kern w:val="0"/>
                <w:sz w:val="21"/>
                <w:szCs w:val="18"/>
              </w:rPr>
            </w:pPr>
            <w:r>
              <w:rPr>
                <w:rFonts w:eastAsia="宋体"/>
                <w:b/>
                <w:snapToGrid w:val="0"/>
                <w:kern w:val="0"/>
                <w:sz w:val="21"/>
                <w:szCs w:val="18"/>
              </w:rPr>
              <w:t>100</w:t>
            </w:r>
          </w:p>
        </w:tc>
        <w:tc>
          <w:tcPr>
            <w:tcW w:w="1024" w:type="pct"/>
            <w:shd w:val="clear" w:color="auto" w:fill="auto"/>
            <w:vAlign w:val="center"/>
          </w:tcPr>
          <w:p>
            <w:pPr>
              <w:widowControl/>
              <w:adjustRightInd w:val="0"/>
              <w:snapToGrid w:val="0"/>
              <w:jc w:val="left"/>
              <w:rPr>
                <w:rFonts w:eastAsia="宋体"/>
                <w:b/>
                <w:snapToGrid w:val="0"/>
                <w:kern w:val="0"/>
                <w:sz w:val="21"/>
                <w:szCs w:val="18"/>
              </w:rPr>
            </w:pPr>
            <w:r>
              <w:rPr>
                <w:rFonts w:eastAsia="宋体"/>
                <w:b/>
                <w:snapToGrid w:val="0"/>
                <w:kern w:val="0"/>
                <w:sz w:val="21"/>
                <w:szCs w:val="18"/>
              </w:rPr>
              <w:t>　</w:t>
            </w:r>
          </w:p>
        </w:tc>
        <w:tc>
          <w:tcPr>
            <w:tcW w:w="1131" w:type="pct"/>
            <w:shd w:val="clear" w:color="auto" w:fill="auto"/>
            <w:noWrap/>
            <w:vAlign w:val="center"/>
          </w:tcPr>
          <w:p>
            <w:pPr>
              <w:widowControl/>
              <w:adjustRightInd w:val="0"/>
              <w:snapToGrid w:val="0"/>
              <w:jc w:val="left"/>
              <w:rPr>
                <w:rFonts w:eastAsia="宋体"/>
                <w:b/>
                <w:snapToGrid w:val="0"/>
                <w:kern w:val="0"/>
                <w:sz w:val="21"/>
                <w:szCs w:val="18"/>
              </w:rPr>
            </w:pPr>
            <w:r>
              <w:rPr>
                <w:rFonts w:eastAsia="宋体"/>
                <w:b/>
                <w:snapToGrid w:val="0"/>
                <w:kern w:val="0"/>
                <w:sz w:val="21"/>
                <w:szCs w:val="18"/>
              </w:rPr>
              <w:t>　</w:t>
            </w:r>
          </w:p>
        </w:tc>
        <w:tc>
          <w:tcPr>
            <w:tcW w:w="1029" w:type="pct"/>
            <w:shd w:val="clear" w:color="auto" w:fill="auto"/>
            <w:noWrap/>
            <w:vAlign w:val="center"/>
          </w:tcPr>
          <w:p>
            <w:pPr>
              <w:widowControl/>
              <w:adjustRightInd w:val="0"/>
              <w:snapToGrid w:val="0"/>
              <w:jc w:val="left"/>
              <w:rPr>
                <w:rFonts w:eastAsia="宋体"/>
                <w:b/>
                <w:snapToGrid w:val="0"/>
                <w:kern w:val="0"/>
                <w:sz w:val="21"/>
                <w:szCs w:val="18"/>
              </w:rPr>
            </w:pPr>
            <w:r>
              <w:rPr>
                <w:rFonts w:eastAsia="宋体"/>
                <w:b/>
                <w:snapToGrid w:val="0"/>
                <w:kern w:val="0"/>
                <w:sz w:val="21"/>
                <w:szCs w:val="18"/>
              </w:rPr>
              <w:t>　</w:t>
            </w:r>
          </w:p>
        </w:tc>
        <w:tc>
          <w:tcPr>
            <w:tcW w:w="216" w:type="pct"/>
            <w:shd w:val="clear" w:color="auto" w:fill="auto"/>
            <w:noWrap/>
            <w:vAlign w:val="center"/>
          </w:tcPr>
          <w:p>
            <w:pPr>
              <w:widowControl/>
              <w:adjustRightInd w:val="0"/>
              <w:snapToGrid w:val="0"/>
              <w:jc w:val="center"/>
              <w:rPr>
                <w:rFonts w:eastAsia="宋体"/>
                <w:b/>
                <w:snapToGrid w:val="0"/>
                <w:kern w:val="0"/>
                <w:sz w:val="21"/>
                <w:szCs w:val="18"/>
              </w:rPr>
            </w:pPr>
            <w:r>
              <w:rPr>
                <w:rFonts w:eastAsia="宋体"/>
                <w:b/>
                <w:snapToGrid w:val="0"/>
                <w:kern w:val="0"/>
                <w:sz w:val="21"/>
                <w:szCs w:val="18"/>
              </w:rPr>
              <w:t>85</w:t>
            </w:r>
          </w:p>
        </w:tc>
        <w:tc>
          <w:tcPr>
            <w:tcW w:w="497" w:type="pct"/>
            <w:shd w:val="clear" w:color="auto" w:fill="auto"/>
            <w:noWrap/>
            <w:vAlign w:val="center"/>
          </w:tcPr>
          <w:p>
            <w:pPr>
              <w:widowControl/>
              <w:adjustRightInd w:val="0"/>
              <w:snapToGrid w:val="0"/>
              <w:jc w:val="center"/>
              <w:rPr>
                <w:rFonts w:eastAsia="宋体"/>
                <w:b/>
                <w:snapToGrid w:val="0"/>
                <w:kern w:val="0"/>
                <w:sz w:val="21"/>
                <w:szCs w:val="16"/>
              </w:rPr>
            </w:pPr>
            <w:r>
              <w:rPr>
                <w:rFonts w:eastAsia="宋体"/>
                <w:b/>
                <w:snapToGrid w:val="0"/>
                <w:kern w:val="0"/>
                <w:sz w:val="21"/>
                <w:szCs w:val="16"/>
              </w:rPr>
              <w:t>　</w:t>
            </w:r>
          </w:p>
        </w:tc>
      </w:tr>
    </w:tbl>
    <w:p>
      <w:pPr>
        <w:jc w:val="left"/>
        <w:rPr>
          <w:sz w:val="28"/>
          <w:szCs w:val="28"/>
        </w:rPr>
      </w:pPr>
    </w:p>
    <w:p>
      <w:pPr>
        <w:spacing w:line="500" w:lineRule="exact"/>
        <w:ind w:right="334"/>
        <w:jc w:val="center"/>
        <w:rPr>
          <w:rFonts w:ascii="宋体" w:hAnsi="宋体" w:eastAsia="宋体" w:cs="宋体"/>
          <w:b/>
          <w:bCs/>
          <w:spacing w:val="-1"/>
          <w:kern w:val="0"/>
          <w:sz w:val="36"/>
          <w:szCs w:val="36"/>
        </w:rPr>
        <w:sectPr>
          <w:footerReference r:id="rId5" w:type="default"/>
          <w:pgSz w:w="16838" w:h="11906" w:orient="landscape"/>
          <w:pgMar w:top="720" w:right="567" w:bottom="567" w:left="567" w:header="851" w:footer="992" w:gutter="0"/>
          <w:cols w:space="720" w:num="1"/>
          <w:docGrid w:type="lines" w:linePitch="435" w:charSpace="0"/>
        </w:sectPr>
      </w:pPr>
      <w:bookmarkStart w:id="103" w:name="_Toc2363"/>
    </w:p>
    <w:p>
      <w:pPr>
        <w:spacing w:line="500" w:lineRule="exact"/>
        <w:ind w:right="334"/>
        <w:jc w:val="center"/>
        <w:rPr>
          <w:rFonts w:ascii="宋体" w:hAnsi="宋体" w:eastAsia="宋体" w:cs="宋体"/>
          <w:b/>
          <w:bCs/>
          <w:kern w:val="0"/>
          <w:sz w:val="36"/>
          <w:szCs w:val="36"/>
        </w:rPr>
      </w:pPr>
      <w:r>
        <w:rPr>
          <w:rFonts w:hint="eastAsia" w:ascii="宋体" w:hAnsi="宋体" w:eastAsia="宋体" w:cs="宋体"/>
          <w:b/>
          <w:bCs/>
          <w:spacing w:val="-1"/>
          <w:kern w:val="0"/>
          <w:sz w:val="36"/>
          <w:szCs w:val="36"/>
        </w:rPr>
        <w:t>群众满意度调查问卷</w:t>
      </w:r>
      <w:bookmarkEnd w:id="103"/>
    </w:p>
    <w:p>
      <w:pPr>
        <w:spacing w:line="400" w:lineRule="exact"/>
        <w:jc w:val="center"/>
        <w:rPr>
          <w:rFonts w:ascii="宋体" w:hAnsi="宋体" w:eastAsia="宋体" w:cs="宋体"/>
          <w:b/>
          <w:bCs/>
          <w:kern w:val="0"/>
          <w:sz w:val="28"/>
          <w:szCs w:val="28"/>
        </w:rPr>
      </w:pPr>
    </w:p>
    <w:p>
      <w:pPr>
        <w:spacing w:line="360" w:lineRule="auto"/>
        <w:ind w:left="102" w:right="113" w:firstLine="568" w:firstLineChars="200"/>
        <w:rPr>
          <w:rFonts w:ascii="宋体" w:hAnsi="宋体" w:eastAsia="宋体" w:cs="宋体"/>
          <w:b/>
          <w:bCs/>
          <w:kern w:val="0"/>
          <w:sz w:val="18"/>
          <w:szCs w:val="18"/>
        </w:rPr>
      </w:pPr>
      <w:r>
        <w:rPr>
          <w:rFonts w:hint="eastAsia" w:ascii="宋体" w:hAnsi="宋体" w:eastAsia="宋体" w:cs="宋体"/>
          <w:spacing w:val="2"/>
          <w:kern w:val="0"/>
          <w:sz w:val="28"/>
          <w:szCs w:val="28"/>
        </w:rPr>
        <w:t>您好！我们是河北德永会计师事务所安排的调查员。为做好徐水区2019年就业补助资金项目绩效评价工作，</w:t>
      </w:r>
      <w:r>
        <w:rPr>
          <w:rFonts w:hint="eastAsia" w:ascii="宋体" w:hAnsi="宋体" w:eastAsia="宋体" w:cs="宋体"/>
          <w:kern w:val="0"/>
          <w:sz w:val="28"/>
          <w:szCs w:val="28"/>
        </w:rPr>
        <w:t>了解服务对象对该项目实施效益的</w:t>
      </w:r>
      <w:r>
        <w:rPr>
          <w:rFonts w:hint="eastAsia" w:ascii="宋体" w:hAnsi="宋体" w:eastAsia="宋体" w:cs="宋体"/>
          <w:spacing w:val="-1"/>
          <w:kern w:val="0"/>
          <w:sz w:val="28"/>
          <w:szCs w:val="28"/>
        </w:rPr>
        <w:t>满意度，我们做了调</w:t>
      </w:r>
      <w:r>
        <w:rPr>
          <w:rFonts w:hint="eastAsia" w:ascii="宋体" w:hAnsi="宋体" w:eastAsia="宋体" w:cs="宋体"/>
          <w:spacing w:val="2"/>
          <w:kern w:val="0"/>
          <w:sz w:val="28"/>
          <w:szCs w:val="28"/>
        </w:rPr>
        <w:t>查问卷。您所填的问卷将是匿名的，对于您的问卷内</w:t>
      </w:r>
      <w:r>
        <w:rPr>
          <w:rFonts w:hint="eastAsia" w:ascii="宋体" w:hAnsi="宋体" w:eastAsia="宋体" w:cs="宋体"/>
          <w:kern w:val="0"/>
          <w:sz w:val="28"/>
          <w:szCs w:val="28"/>
        </w:rPr>
        <w:t>容我们将严格予以保密。</w:t>
      </w:r>
      <w:r>
        <w:rPr>
          <w:rFonts w:hint="eastAsia" w:ascii="宋体" w:hAnsi="宋体" w:eastAsia="宋体" w:cs="宋体"/>
          <w:b/>
          <w:bCs/>
          <w:kern w:val="0"/>
          <w:szCs w:val="32"/>
        </w:rPr>
        <w:t>谢谢您的合作！</w:t>
      </w:r>
    </w:p>
    <w:p>
      <w:pPr>
        <w:spacing w:line="360" w:lineRule="auto"/>
        <w:ind w:left="102" w:right="113" w:firstLine="556" w:firstLineChars="200"/>
        <w:rPr>
          <w:rFonts w:ascii="宋体" w:hAnsi="宋体" w:eastAsia="宋体" w:cs="宋体"/>
          <w:spacing w:val="-1"/>
          <w:kern w:val="0"/>
          <w:sz w:val="28"/>
          <w:szCs w:val="28"/>
        </w:rPr>
      </w:pPr>
      <w:r>
        <w:rPr>
          <w:rFonts w:hint="eastAsia" w:ascii="宋体" w:hAnsi="宋体" w:eastAsia="宋体" w:cs="宋体"/>
          <w:spacing w:val="-1"/>
          <w:kern w:val="0"/>
          <w:sz w:val="28"/>
          <w:szCs w:val="28"/>
        </w:rPr>
        <w:t>请在您认为符合的选项打“√”</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1、您对就业补助政策是否了解：</w:t>
      </w:r>
    </w:p>
    <w:p>
      <w:pPr>
        <w:spacing w:line="360" w:lineRule="auto"/>
        <w:ind w:left="102"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①非常了解②一般③不了解</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2、您通过何种途径知道就业补助资金政策的：</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①当地相关部门宣传</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②电视等媒体</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③亲朋好友</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④其他</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3、您对就业补助资金的发放流程是否满意：</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①满意②一般③不满意</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4、您对就业补助资金的发放及时性是否满意：</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①满意②一般③不满意</w:t>
      </w:r>
    </w:p>
    <w:p>
      <w:pPr>
        <w:spacing w:line="360" w:lineRule="auto"/>
        <w:ind w:right="113" w:firstLine="568" w:firstLineChars="200"/>
        <w:rPr>
          <w:rFonts w:ascii="宋体" w:hAnsi="宋体" w:eastAsia="宋体" w:cs="宋体"/>
          <w:spacing w:val="2"/>
          <w:kern w:val="0"/>
          <w:sz w:val="28"/>
          <w:szCs w:val="28"/>
        </w:rPr>
      </w:pPr>
      <w:r>
        <w:rPr>
          <w:rFonts w:hint="eastAsia" w:ascii="宋体" w:hAnsi="宋体" w:eastAsia="宋体" w:cs="宋体"/>
          <w:spacing w:val="2"/>
          <w:kern w:val="0"/>
          <w:sz w:val="28"/>
          <w:szCs w:val="28"/>
        </w:rPr>
        <w:t>5、您对本区就业补助政策还有哪些意见和建议：</w:t>
      </w:r>
    </w:p>
    <w:p>
      <w:pPr>
        <w:jc w:val="left"/>
        <w:rPr>
          <w:sz w:val="28"/>
          <w:szCs w:val="28"/>
        </w:rPr>
      </w:pPr>
    </w:p>
    <w:sectPr>
      <w:pgSz w:w="11906" w:h="16838"/>
      <w:pgMar w:top="2098" w:right="1304" w:bottom="1871" w:left="1531"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方正小标宋">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
    <w:altName w:val="宋体"/>
    <w:panose1 w:val="00000000000000000000"/>
    <w:charset w:val="86"/>
    <w:family w:val="roman"/>
    <w:pitch w:val="default"/>
    <w:sig w:usb0="00000000" w:usb1="00000000" w:usb2="00000000" w:usb3="00000000" w:csb0="00000000"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8" o:spid="_x0000_s205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1"/>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2D272"/>
    <w:multiLevelType w:val="singleLevel"/>
    <w:tmpl w:val="82B2D272"/>
    <w:lvl w:ilvl="0" w:tentative="0">
      <w:start w:val="1"/>
      <w:numFmt w:val="decimal"/>
      <w:suff w:val="nothing"/>
      <w:lvlText w:val="（%1）"/>
      <w:lvlJc w:val="left"/>
    </w:lvl>
  </w:abstractNum>
  <w:abstractNum w:abstractNumId="1">
    <w:nsid w:val="057AC957"/>
    <w:multiLevelType w:val="singleLevel"/>
    <w:tmpl w:val="057AC95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60"/>
  <w:drawingGridVerticalSpacing w:val="435"/>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1E5F"/>
    <w:rsid w:val="000010C2"/>
    <w:rsid w:val="00001F2B"/>
    <w:rsid w:val="00012133"/>
    <w:rsid w:val="000127ED"/>
    <w:rsid w:val="00013FC1"/>
    <w:rsid w:val="00023124"/>
    <w:rsid w:val="00023AE0"/>
    <w:rsid w:val="00025EB2"/>
    <w:rsid w:val="00027D39"/>
    <w:rsid w:val="0003088F"/>
    <w:rsid w:val="00030F3E"/>
    <w:rsid w:val="00032A68"/>
    <w:rsid w:val="00035039"/>
    <w:rsid w:val="00035501"/>
    <w:rsid w:val="00037E06"/>
    <w:rsid w:val="00045441"/>
    <w:rsid w:val="00050492"/>
    <w:rsid w:val="00050C99"/>
    <w:rsid w:val="00051573"/>
    <w:rsid w:val="00051A2C"/>
    <w:rsid w:val="00054281"/>
    <w:rsid w:val="00054505"/>
    <w:rsid w:val="000574AC"/>
    <w:rsid w:val="00057D87"/>
    <w:rsid w:val="000600A7"/>
    <w:rsid w:val="000618D4"/>
    <w:rsid w:val="000626EF"/>
    <w:rsid w:val="00065465"/>
    <w:rsid w:val="00067BA4"/>
    <w:rsid w:val="00072BB7"/>
    <w:rsid w:val="000730AB"/>
    <w:rsid w:val="00073A66"/>
    <w:rsid w:val="00076155"/>
    <w:rsid w:val="00076992"/>
    <w:rsid w:val="000812D8"/>
    <w:rsid w:val="00082716"/>
    <w:rsid w:val="000835BD"/>
    <w:rsid w:val="000848CE"/>
    <w:rsid w:val="000856A2"/>
    <w:rsid w:val="00085772"/>
    <w:rsid w:val="00085C52"/>
    <w:rsid w:val="000867B8"/>
    <w:rsid w:val="00086F23"/>
    <w:rsid w:val="000872B6"/>
    <w:rsid w:val="00093980"/>
    <w:rsid w:val="0009475F"/>
    <w:rsid w:val="00095700"/>
    <w:rsid w:val="000A1C0A"/>
    <w:rsid w:val="000A5380"/>
    <w:rsid w:val="000A5B26"/>
    <w:rsid w:val="000A5CF7"/>
    <w:rsid w:val="000A650F"/>
    <w:rsid w:val="000A6550"/>
    <w:rsid w:val="000B0BAF"/>
    <w:rsid w:val="000B1E3C"/>
    <w:rsid w:val="000B33E8"/>
    <w:rsid w:val="000B49A5"/>
    <w:rsid w:val="000B67C0"/>
    <w:rsid w:val="000B700A"/>
    <w:rsid w:val="000B771D"/>
    <w:rsid w:val="000C05C1"/>
    <w:rsid w:val="000C090B"/>
    <w:rsid w:val="000C2860"/>
    <w:rsid w:val="000C4D9C"/>
    <w:rsid w:val="000C6532"/>
    <w:rsid w:val="000D1760"/>
    <w:rsid w:val="000D18DB"/>
    <w:rsid w:val="000D2198"/>
    <w:rsid w:val="000D56D9"/>
    <w:rsid w:val="000D641B"/>
    <w:rsid w:val="000D6C36"/>
    <w:rsid w:val="000D7925"/>
    <w:rsid w:val="000E00D4"/>
    <w:rsid w:val="000E1099"/>
    <w:rsid w:val="000E26D7"/>
    <w:rsid w:val="000E34E8"/>
    <w:rsid w:val="000E56E4"/>
    <w:rsid w:val="000E7CE4"/>
    <w:rsid w:val="000F577C"/>
    <w:rsid w:val="000F65B4"/>
    <w:rsid w:val="00100EF9"/>
    <w:rsid w:val="00103E8D"/>
    <w:rsid w:val="00105032"/>
    <w:rsid w:val="0011012C"/>
    <w:rsid w:val="00110162"/>
    <w:rsid w:val="00112699"/>
    <w:rsid w:val="00112BBF"/>
    <w:rsid w:val="001135AB"/>
    <w:rsid w:val="00113937"/>
    <w:rsid w:val="001167A3"/>
    <w:rsid w:val="0012193F"/>
    <w:rsid w:val="001235AB"/>
    <w:rsid w:val="001279E6"/>
    <w:rsid w:val="00133B6C"/>
    <w:rsid w:val="001366BD"/>
    <w:rsid w:val="00136726"/>
    <w:rsid w:val="00140BC0"/>
    <w:rsid w:val="00141A9B"/>
    <w:rsid w:val="001432E8"/>
    <w:rsid w:val="00143421"/>
    <w:rsid w:val="00144559"/>
    <w:rsid w:val="001445E3"/>
    <w:rsid w:val="00150D14"/>
    <w:rsid w:val="001516F7"/>
    <w:rsid w:val="00154E73"/>
    <w:rsid w:val="0015755E"/>
    <w:rsid w:val="00161B12"/>
    <w:rsid w:val="00163F80"/>
    <w:rsid w:val="00164A3D"/>
    <w:rsid w:val="001711E9"/>
    <w:rsid w:val="001725F8"/>
    <w:rsid w:val="00173C54"/>
    <w:rsid w:val="00177F9C"/>
    <w:rsid w:val="001809B6"/>
    <w:rsid w:val="001822CD"/>
    <w:rsid w:val="00192F21"/>
    <w:rsid w:val="00193394"/>
    <w:rsid w:val="00193523"/>
    <w:rsid w:val="00194B36"/>
    <w:rsid w:val="001A1082"/>
    <w:rsid w:val="001A12C4"/>
    <w:rsid w:val="001A1659"/>
    <w:rsid w:val="001A1879"/>
    <w:rsid w:val="001A1ECF"/>
    <w:rsid w:val="001A2339"/>
    <w:rsid w:val="001A2955"/>
    <w:rsid w:val="001A6C46"/>
    <w:rsid w:val="001A72D0"/>
    <w:rsid w:val="001A7C67"/>
    <w:rsid w:val="001A7EC5"/>
    <w:rsid w:val="001B56B6"/>
    <w:rsid w:val="001B5FEE"/>
    <w:rsid w:val="001C03C2"/>
    <w:rsid w:val="001C08F9"/>
    <w:rsid w:val="001C192E"/>
    <w:rsid w:val="001C2634"/>
    <w:rsid w:val="001C681B"/>
    <w:rsid w:val="001D2DAE"/>
    <w:rsid w:val="001D569B"/>
    <w:rsid w:val="001D5909"/>
    <w:rsid w:val="001E07F2"/>
    <w:rsid w:val="001E0ECA"/>
    <w:rsid w:val="001E297E"/>
    <w:rsid w:val="001E4011"/>
    <w:rsid w:val="001E57BD"/>
    <w:rsid w:val="001E6218"/>
    <w:rsid w:val="001E6F70"/>
    <w:rsid w:val="001E7909"/>
    <w:rsid w:val="001F14C4"/>
    <w:rsid w:val="001F2702"/>
    <w:rsid w:val="001F4C99"/>
    <w:rsid w:val="001F4CE7"/>
    <w:rsid w:val="001F56F9"/>
    <w:rsid w:val="001F5FE8"/>
    <w:rsid w:val="00201D7C"/>
    <w:rsid w:val="00202046"/>
    <w:rsid w:val="0020486C"/>
    <w:rsid w:val="00204A96"/>
    <w:rsid w:val="00205B74"/>
    <w:rsid w:val="002064F6"/>
    <w:rsid w:val="00206E2F"/>
    <w:rsid w:val="0021331A"/>
    <w:rsid w:val="00213BA5"/>
    <w:rsid w:val="00213C34"/>
    <w:rsid w:val="00214369"/>
    <w:rsid w:val="002144EC"/>
    <w:rsid w:val="00223414"/>
    <w:rsid w:val="002273CC"/>
    <w:rsid w:val="002324EC"/>
    <w:rsid w:val="002328AC"/>
    <w:rsid w:val="00240DA0"/>
    <w:rsid w:val="00241D05"/>
    <w:rsid w:val="00241DE4"/>
    <w:rsid w:val="00241DEB"/>
    <w:rsid w:val="0024281E"/>
    <w:rsid w:val="00245501"/>
    <w:rsid w:val="00245EEB"/>
    <w:rsid w:val="00251664"/>
    <w:rsid w:val="00252E58"/>
    <w:rsid w:val="002542FF"/>
    <w:rsid w:val="00254C5A"/>
    <w:rsid w:val="00256F95"/>
    <w:rsid w:val="00260A11"/>
    <w:rsid w:val="00264A01"/>
    <w:rsid w:val="00264D85"/>
    <w:rsid w:val="00266275"/>
    <w:rsid w:val="002662B2"/>
    <w:rsid w:val="00267882"/>
    <w:rsid w:val="00267CAF"/>
    <w:rsid w:val="00271A96"/>
    <w:rsid w:val="00271AF9"/>
    <w:rsid w:val="00271FF7"/>
    <w:rsid w:val="002740A8"/>
    <w:rsid w:val="0027589D"/>
    <w:rsid w:val="002766BB"/>
    <w:rsid w:val="00283F04"/>
    <w:rsid w:val="00285F2D"/>
    <w:rsid w:val="002917FB"/>
    <w:rsid w:val="002926DB"/>
    <w:rsid w:val="0029292A"/>
    <w:rsid w:val="002964F4"/>
    <w:rsid w:val="002A24D8"/>
    <w:rsid w:val="002A4F27"/>
    <w:rsid w:val="002B41E0"/>
    <w:rsid w:val="002B4BBA"/>
    <w:rsid w:val="002B6BED"/>
    <w:rsid w:val="002B7949"/>
    <w:rsid w:val="002C0411"/>
    <w:rsid w:val="002C34AD"/>
    <w:rsid w:val="002C41C4"/>
    <w:rsid w:val="002C5474"/>
    <w:rsid w:val="002D097F"/>
    <w:rsid w:val="002D2976"/>
    <w:rsid w:val="002E0FFB"/>
    <w:rsid w:val="002E24B7"/>
    <w:rsid w:val="002E2919"/>
    <w:rsid w:val="002E5A08"/>
    <w:rsid w:val="002E6A3A"/>
    <w:rsid w:val="002F1626"/>
    <w:rsid w:val="002F3ABC"/>
    <w:rsid w:val="00301C47"/>
    <w:rsid w:val="003026F0"/>
    <w:rsid w:val="00302EB3"/>
    <w:rsid w:val="00303093"/>
    <w:rsid w:val="003055C5"/>
    <w:rsid w:val="003066EE"/>
    <w:rsid w:val="003074CE"/>
    <w:rsid w:val="00314841"/>
    <w:rsid w:val="003153B8"/>
    <w:rsid w:val="00316991"/>
    <w:rsid w:val="00316D48"/>
    <w:rsid w:val="003179E6"/>
    <w:rsid w:val="003215C7"/>
    <w:rsid w:val="003218BB"/>
    <w:rsid w:val="003256B2"/>
    <w:rsid w:val="00326B18"/>
    <w:rsid w:val="00330FF2"/>
    <w:rsid w:val="00335B26"/>
    <w:rsid w:val="00335C7E"/>
    <w:rsid w:val="00336B28"/>
    <w:rsid w:val="00336DC6"/>
    <w:rsid w:val="003378C8"/>
    <w:rsid w:val="00341E79"/>
    <w:rsid w:val="00341E8B"/>
    <w:rsid w:val="003444CF"/>
    <w:rsid w:val="0034529C"/>
    <w:rsid w:val="0034606A"/>
    <w:rsid w:val="003525AE"/>
    <w:rsid w:val="00354448"/>
    <w:rsid w:val="00354D1D"/>
    <w:rsid w:val="00355A11"/>
    <w:rsid w:val="00355B19"/>
    <w:rsid w:val="00356A6A"/>
    <w:rsid w:val="00356C55"/>
    <w:rsid w:val="0035710E"/>
    <w:rsid w:val="003572E9"/>
    <w:rsid w:val="00357442"/>
    <w:rsid w:val="0036255A"/>
    <w:rsid w:val="003648A2"/>
    <w:rsid w:val="00370DE5"/>
    <w:rsid w:val="00373EFB"/>
    <w:rsid w:val="0037782C"/>
    <w:rsid w:val="00387B6F"/>
    <w:rsid w:val="00391A2C"/>
    <w:rsid w:val="003921F3"/>
    <w:rsid w:val="0039321E"/>
    <w:rsid w:val="00393B3B"/>
    <w:rsid w:val="00393B7B"/>
    <w:rsid w:val="003948D5"/>
    <w:rsid w:val="0039539C"/>
    <w:rsid w:val="00397A60"/>
    <w:rsid w:val="00397AB6"/>
    <w:rsid w:val="003A3CAB"/>
    <w:rsid w:val="003A4FF8"/>
    <w:rsid w:val="003A5051"/>
    <w:rsid w:val="003A5D40"/>
    <w:rsid w:val="003A629C"/>
    <w:rsid w:val="003A741D"/>
    <w:rsid w:val="003A786B"/>
    <w:rsid w:val="003B03F1"/>
    <w:rsid w:val="003B24FF"/>
    <w:rsid w:val="003B4159"/>
    <w:rsid w:val="003B6199"/>
    <w:rsid w:val="003B6864"/>
    <w:rsid w:val="003B7E36"/>
    <w:rsid w:val="003C5409"/>
    <w:rsid w:val="003C5F0C"/>
    <w:rsid w:val="003C7A5D"/>
    <w:rsid w:val="003D0106"/>
    <w:rsid w:val="003D0C31"/>
    <w:rsid w:val="003D1A0E"/>
    <w:rsid w:val="003D6BF0"/>
    <w:rsid w:val="003D6C6B"/>
    <w:rsid w:val="003E0FD1"/>
    <w:rsid w:val="003E1D0E"/>
    <w:rsid w:val="003E4128"/>
    <w:rsid w:val="003E413A"/>
    <w:rsid w:val="003E41CD"/>
    <w:rsid w:val="003E4268"/>
    <w:rsid w:val="003E4706"/>
    <w:rsid w:val="003E63CC"/>
    <w:rsid w:val="003E6E2A"/>
    <w:rsid w:val="003F279E"/>
    <w:rsid w:val="003F5AA2"/>
    <w:rsid w:val="003F5F6E"/>
    <w:rsid w:val="003F7080"/>
    <w:rsid w:val="00401C63"/>
    <w:rsid w:val="00401DE5"/>
    <w:rsid w:val="00403637"/>
    <w:rsid w:val="004060E9"/>
    <w:rsid w:val="00406C3B"/>
    <w:rsid w:val="00412824"/>
    <w:rsid w:val="00413202"/>
    <w:rsid w:val="00413EE3"/>
    <w:rsid w:val="004153AE"/>
    <w:rsid w:val="004178BA"/>
    <w:rsid w:val="004241FA"/>
    <w:rsid w:val="00426843"/>
    <w:rsid w:val="00427366"/>
    <w:rsid w:val="0043228D"/>
    <w:rsid w:val="004364AF"/>
    <w:rsid w:val="00440FCC"/>
    <w:rsid w:val="0044112E"/>
    <w:rsid w:val="0044457D"/>
    <w:rsid w:val="00445B8F"/>
    <w:rsid w:val="00446C28"/>
    <w:rsid w:val="0044749C"/>
    <w:rsid w:val="004500FC"/>
    <w:rsid w:val="00451699"/>
    <w:rsid w:val="00451C48"/>
    <w:rsid w:val="004520FE"/>
    <w:rsid w:val="0045396E"/>
    <w:rsid w:val="00456251"/>
    <w:rsid w:val="00456DEC"/>
    <w:rsid w:val="00456FD8"/>
    <w:rsid w:val="004610F5"/>
    <w:rsid w:val="0046385C"/>
    <w:rsid w:val="00465D10"/>
    <w:rsid w:val="004769B4"/>
    <w:rsid w:val="00481EDD"/>
    <w:rsid w:val="00482F18"/>
    <w:rsid w:val="00483E4E"/>
    <w:rsid w:val="00485ED7"/>
    <w:rsid w:val="00487CFE"/>
    <w:rsid w:val="00492DFD"/>
    <w:rsid w:val="00494661"/>
    <w:rsid w:val="004A52A6"/>
    <w:rsid w:val="004A56D2"/>
    <w:rsid w:val="004A5BBC"/>
    <w:rsid w:val="004A6A14"/>
    <w:rsid w:val="004B0C10"/>
    <w:rsid w:val="004B21C1"/>
    <w:rsid w:val="004B2F1F"/>
    <w:rsid w:val="004B68FB"/>
    <w:rsid w:val="004C62F3"/>
    <w:rsid w:val="004D34E4"/>
    <w:rsid w:val="004D50D4"/>
    <w:rsid w:val="004D74FF"/>
    <w:rsid w:val="004D75C3"/>
    <w:rsid w:val="004E0119"/>
    <w:rsid w:val="004E29D1"/>
    <w:rsid w:val="004E2AD9"/>
    <w:rsid w:val="004E5A4D"/>
    <w:rsid w:val="004E5DF4"/>
    <w:rsid w:val="004F05EF"/>
    <w:rsid w:val="004F3C29"/>
    <w:rsid w:val="004F4185"/>
    <w:rsid w:val="004F56CD"/>
    <w:rsid w:val="004F715B"/>
    <w:rsid w:val="004F7869"/>
    <w:rsid w:val="004F7EBA"/>
    <w:rsid w:val="005001C2"/>
    <w:rsid w:val="00502627"/>
    <w:rsid w:val="005032C0"/>
    <w:rsid w:val="00505D0C"/>
    <w:rsid w:val="00511E09"/>
    <w:rsid w:val="00514C14"/>
    <w:rsid w:val="0051742B"/>
    <w:rsid w:val="00517C6E"/>
    <w:rsid w:val="0052387F"/>
    <w:rsid w:val="00526B25"/>
    <w:rsid w:val="00530198"/>
    <w:rsid w:val="0053223C"/>
    <w:rsid w:val="00537136"/>
    <w:rsid w:val="00540956"/>
    <w:rsid w:val="005444CB"/>
    <w:rsid w:val="0054613E"/>
    <w:rsid w:val="00547A56"/>
    <w:rsid w:val="0055166F"/>
    <w:rsid w:val="00551F57"/>
    <w:rsid w:val="0055330F"/>
    <w:rsid w:val="00561AE1"/>
    <w:rsid w:val="005623B5"/>
    <w:rsid w:val="00563311"/>
    <w:rsid w:val="0056357C"/>
    <w:rsid w:val="00581B11"/>
    <w:rsid w:val="00584649"/>
    <w:rsid w:val="00585168"/>
    <w:rsid w:val="00586498"/>
    <w:rsid w:val="0058666D"/>
    <w:rsid w:val="00587917"/>
    <w:rsid w:val="005879EE"/>
    <w:rsid w:val="00590EFD"/>
    <w:rsid w:val="0059521A"/>
    <w:rsid w:val="005A03F2"/>
    <w:rsid w:val="005A1938"/>
    <w:rsid w:val="005A19CA"/>
    <w:rsid w:val="005A1ED9"/>
    <w:rsid w:val="005A304B"/>
    <w:rsid w:val="005A633F"/>
    <w:rsid w:val="005A6A16"/>
    <w:rsid w:val="005B1DD9"/>
    <w:rsid w:val="005B41FA"/>
    <w:rsid w:val="005B637F"/>
    <w:rsid w:val="005C03E6"/>
    <w:rsid w:val="005C2AF4"/>
    <w:rsid w:val="005C2B12"/>
    <w:rsid w:val="005C3930"/>
    <w:rsid w:val="005C491A"/>
    <w:rsid w:val="005C6BB2"/>
    <w:rsid w:val="005D14DC"/>
    <w:rsid w:val="005D21C3"/>
    <w:rsid w:val="005D246E"/>
    <w:rsid w:val="005D2AFB"/>
    <w:rsid w:val="005D2B10"/>
    <w:rsid w:val="005D545C"/>
    <w:rsid w:val="005D5E4D"/>
    <w:rsid w:val="005E28C2"/>
    <w:rsid w:val="005E3D09"/>
    <w:rsid w:val="005E404E"/>
    <w:rsid w:val="005E485A"/>
    <w:rsid w:val="005F3666"/>
    <w:rsid w:val="005F41E1"/>
    <w:rsid w:val="005F6EEC"/>
    <w:rsid w:val="00600E7C"/>
    <w:rsid w:val="006013EF"/>
    <w:rsid w:val="006050F1"/>
    <w:rsid w:val="00606EFE"/>
    <w:rsid w:val="00613F60"/>
    <w:rsid w:val="006162CE"/>
    <w:rsid w:val="00623408"/>
    <w:rsid w:val="00625985"/>
    <w:rsid w:val="00627A65"/>
    <w:rsid w:val="0063067F"/>
    <w:rsid w:val="00633592"/>
    <w:rsid w:val="006340DA"/>
    <w:rsid w:val="006345E8"/>
    <w:rsid w:val="0063753E"/>
    <w:rsid w:val="0064195F"/>
    <w:rsid w:val="00643249"/>
    <w:rsid w:val="006479EF"/>
    <w:rsid w:val="00650E8E"/>
    <w:rsid w:val="0065587A"/>
    <w:rsid w:val="00661630"/>
    <w:rsid w:val="00661CE1"/>
    <w:rsid w:val="0066276F"/>
    <w:rsid w:val="00663712"/>
    <w:rsid w:val="00671424"/>
    <w:rsid w:val="00676D37"/>
    <w:rsid w:val="00676F20"/>
    <w:rsid w:val="00680677"/>
    <w:rsid w:val="00680AF6"/>
    <w:rsid w:val="00682FED"/>
    <w:rsid w:val="00685C63"/>
    <w:rsid w:val="00690440"/>
    <w:rsid w:val="00697B4F"/>
    <w:rsid w:val="00697DA0"/>
    <w:rsid w:val="006A11F3"/>
    <w:rsid w:val="006A140B"/>
    <w:rsid w:val="006A1BC1"/>
    <w:rsid w:val="006A31EE"/>
    <w:rsid w:val="006A5CD5"/>
    <w:rsid w:val="006B2440"/>
    <w:rsid w:val="006B25FF"/>
    <w:rsid w:val="006B3718"/>
    <w:rsid w:val="006B585B"/>
    <w:rsid w:val="006B59D8"/>
    <w:rsid w:val="006C06D7"/>
    <w:rsid w:val="006C0AF0"/>
    <w:rsid w:val="006C4CB9"/>
    <w:rsid w:val="006D1009"/>
    <w:rsid w:val="006D416C"/>
    <w:rsid w:val="006D4685"/>
    <w:rsid w:val="006D612D"/>
    <w:rsid w:val="006E093A"/>
    <w:rsid w:val="006E132A"/>
    <w:rsid w:val="006E4728"/>
    <w:rsid w:val="006E5F4F"/>
    <w:rsid w:val="006E6030"/>
    <w:rsid w:val="006E623C"/>
    <w:rsid w:val="006E68C6"/>
    <w:rsid w:val="006F2400"/>
    <w:rsid w:val="006F3D52"/>
    <w:rsid w:val="006F5790"/>
    <w:rsid w:val="006F6666"/>
    <w:rsid w:val="00700AB7"/>
    <w:rsid w:val="00701060"/>
    <w:rsid w:val="00701137"/>
    <w:rsid w:val="00701BD0"/>
    <w:rsid w:val="00713BAC"/>
    <w:rsid w:val="0071775A"/>
    <w:rsid w:val="00720F8E"/>
    <w:rsid w:val="0072115C"/>
    <w:rsid w:val="00723B3D"/>
    <w:rsid w:val="0072634E"/>
    <w:rsid w:val="00727491"/>
    <w:rsid w:val="00732CDF"/>
    <w:rsid w:val="007338C1"/>
    <w:rsid w:val="00736891"/>
    <w:rsid w:val="00740620"/>
    <w:rsid w:val="00747C7E"/>
    <w:rsid w:val="00750ABC"/>
    <w:rsid w:val="00752986"/>
    <w:rsid w:val="007570CF"/>
    <w:rsid w:val="007649AB"/>
    <w:rsid w:val="0076516B"/>
    <w:rsid w:val="007659F4"/>
    <w:rsid w:val="00767C58"/>
    <w:rsid w:val="007703F2"/>
    <w:rsid w:val="00772DC7"/>
    <w:rsid w:val="00774C87"/>
    <w:rsid w:val="007831C0"/>
    <w:rsid w:val="00783C2B"/>
    <w:rsid w:val="00783EBB"/>
    <w:rsid w:val="007913E7"/>
    <w:rsid w:val="007920B9"/>
    <w:rsid w:val="00795CFF"/>
    <w:rsid w:val="00796888"/>
    <w:rsid w:val="00796EF8"/>
    <w:rsid w:val="007A3F31"/>
    <w:rsid w:val="007A6981"/>
    <w:rsid w:val="007B02ED"/>
    <w:rsid w:val="007B07B2"/>
    <w:rsid w:val="007B0F25"/>
    <w:rsid w:val="007B3876"/>
    <w:rsid w:val="007B402E"/>
    <w:rsid w:val="007B605C"/>
    <w:rsid w:val="007B73E1"/>
    <w:rsid w:val="007C0280"/>
    <w:rsid w:val="007C31C6"/>
    <w:rsid w:val="007C4E1C"/>
    <w:rsid w:val="007C74DC"/>
    <w:rsid w:val="007D189D"/>
    <w:rsid w:val="007D5837"/>
    <w:rsid w:val="007D7C22"/>
    <w:rsid w:val="007E0468"/>
    <w:rsid w:val="007E15FC"/>
    <w:rsid w:val="007E3D9E"/>
    <w:rsid w:val="007E4AE2"/>
    <w:rsid w:val="007E4C65"/>
    <w:rsid w:val="007E7ECE"/>
    <w:rsid w:val="007E7FA3"/>
    <w:rsid w:val="007F444F"/>
    <w:rsid w:val="007F7B9D"/>
    <w:rsid w:val="0080164D"/>
    <w:rsid w:val="008033AB"/>
    <w:rsid w:val="00805AB8"/>
    <w:rsid w:val="0080611B"/>
    <w:rsid w:val="008077C3"/>
    <w:rsid w:val="00807A62"/>
    <w:rsid w:val="00812818"/>
    <w:rsid w:val="00812F5B"/>
    <w:rsid w:val="00815727"/>
    <w:rsid w:val="00815788"/>
    <w:rsid w:val="008205BC"/>
    <w:rsid w:val="00822273"/>
    <w:rsid w:val="00823449"/>
    <w:rsid w:val="00826CE1"/>
    <w:rsid w:val="00826F6B"/>
    <w:rsid w:val="0083211B"/>
    <w:rsid w:val="008348F7"/>
    <w:rsid w:val="00836FCD"/>
    <w:rsid w:val="00837260"/>
    <w:rsid w:val="008400CE"/>
    <w:rsid w:val="0084170B"/>
    <w:rsid w:val="0085220E"/>
    <w:rsid w:val="0085233A"/>
    <w:rsid w:val="00852D0E"/>
    <w:rsid w:val="00853915"/>
    <w:rsid w:val="00855A4E"/>
    <w:rsid w:val="00856A52"/>
    <w:rsid w:val="0086188A"/>
    <w:rsid w:val="00862461"/>
    <w:rsid w:val="00863E53"/>
    <w:rsid w:val="00866310"/>
    <w:rsid w:val="008679EA"/>
    <w:rsid w:val="008717F4"/>
    <w:rsid w:val="00873DC7"/>
    <w:rsid w:val="008751F1"/>
    <w:rsid w:val="00876675"/>
    <w:rsid w:val="00876FC0"/>
    <w:rsid w:val="00880F66"/>
    <w:rsid w:val="008815B1"/>
    <w:rsid w:val="00882830"/>
    <w:rsid w:val="008851F5"/>
    <w:rsid w:val="00890C04"/>
    <w:rsid w:val="00892762"/>
    <w:rsid w:val="00893718"/>
    <w:rsid w:val="00895857"/>
    <w:rsid w:val="0089654E"/>
    <w:rsid w:val="008A16E7"/>
    <w:rsid w:val="008A25C1"/>
    <w:rsid w:val="008A2876"/>
    <w:rsid w:val="008A449A"/>
    <w:rsid w:val="008B1D6D"/>
    <w:rsid w:val="008B2A0F"/>
    <w:rsid w:val="008B381C"/>
    <w:rsid w:val="008B3F93"/>
    <w:rsid w:val="008B537A"/>
    <w:rsid w:val="008B6FC9"/>
    <w:rsid w:val="008C076D"/>
    <w:rsid w:val="008C5A34"/>
    <w:rsid w:val="008D1F65"/>
    <w:rsid w:val="008D418F"/>
    <w:rsid w:val="008D5410"/>
    <w:rsid w:val="008E03FD"/>
    <w:rsid w:val="008E3511"/>
    <w:rsid w:val="008E3B61"/>
    <w:rsid w:val="008E3C27"/>
    <w:rsid w:val="008F1C8A"/>
    <w:rsid w:val="008F249C"/>
    <w:rsid w:val="008F5192"/>
    <w:rsid w:val="00900C46"/>
    <w:rsid w:val="00900E1D"/>
    <w:rsid w:val="00901306"/>
    <w:rsid w:val="00904C3C"/>
    <w:rsid w:val="009065B0"/>
    <w:rsid w:val="00911922"/>
    <w:rsid w:val="00911D85"/>
    <w:rsid w:val="00914B09"/>
    <w:rsid w:val="00916346"/>
    <w:rsid w:val="00926829"/>
    <w:rsid w:val="0092787E"/>
    <w:rsid w:val="009305CA"/>
    <w:rsid w:val="00931910"/>
    <w:rsid w:val="00932363"/>
    <w:rsid w:val="009324A9"/>
    <w:rsid w:val="00933D13"/>
    <w:rsid w:val="00935FFA"/>
    <w:rsid w:val="00937E6D"/>
    <w:rsid w:val="00940520"/>
    <w:rsid w:val="00943709"/>
    <w:rsid w:val="00943C55"/>
    <w:rsid w:val="00945E63"/>
    <w:rsid w:val="00945FD5"/>
    <w:rsid w:val="00947A20"/>
    <w:rsid w:val="00952E7D"/>
    <w:rsid w:val="00953248"/>
    <w:rsid w:val="00953B09"/>
    <w:rsid w:val="00954975"/>
    <w:rsid w:val="00956578"/>
    <w:rsid w:val="0095721C"/>
    <w:rsid w:val="00957AFE"/>
    <w:rsid w:val="009665F5"/>
    <w:rsid w:val="009666E6"/>
    <w:rsid w:val="00970A00"/>
    <w:rsid w:val="009734C6"/>
    <w:rsid w:val="009774E0"/>
    <w:rsid w:val="009775A4"/>
    <w:rsid w:val="00980B38"/>
    <w:rsid w:val="00980E26"/>
    <w:rsid w:val="009812A9"/>
    <w:rsid w:val="009813E2"/>
    <w:rsid w:val="00981597"/>
    <w:rsid w:val="00982B1D"/>
    <w:rsid w:val="0098489B"/>
    <w:rsid w:val="009862C8"/>
    <w:rsid w:val="00990B2D"/>
    <w:rsid w:val="00990F40"/>
    <w:rsid w:val="009919B9"/>
    <w:rsid w:val="00991B91"/>
    <w:rsid w:val="009A1CC2"/>
    <w:rsid w:val="009A223C"/>
    <w:rsid w:val="009A2F38"/>
    <w:rsid w:val="009A5A3D"/>
    <w:rsid w:val="009A6246"/>
    <w:rsid w:val="009A7708"/>
    <w:rsid w:val="009B24A6"/>
    <w:rsid w:val="009B2917"/>
    <w:rsid w:val="009B48A3"/>
    <w:rsid w:val="009B6CA5"/>
    <w:rsid w:val="009C0514"/>
    <w:rsid w:val="009C076E"/>
    <w:rsid w:val="009C0F93"/>
    <w:rsid w:val="009C103E"/>
    <w:rsid w:val="009C1C5C"/>
    <w:rsid w:val="009C2FD4"/>
    <w:rsid w:val="009C351E"/>
    <w:rsid w:val="009C51A1"/>
    <w:rsid w:val="009C6F85"/>
    <w:rsid w:val="009C7958"/>
    <w:rsid w:val="009D0420"/>
    <w:rsid w:val="009D0BD7"/>
    <w:rsid w:val="009D2610"/>
    <w:rsid w:val="009D2A0A"/>
    <w:rsid w:val="009E002D"/>
    <w:rsid w:val="009E025D"/>
    <w:rsid w:val="009E14A3"/>
    <w:rsid w:val="009E1D10"/>
    <w:rsid w:val="009E213D"/>
    <w:rsid w:val="009E50B7"/>
    <w:rsid w:val="009E7FC0"/>
    <w:rsid w:val="009F2A98"/>
    <w:rsid w:val="009F36DA"/>
    <w:rsid w:val="009F4647"/>
    <w:rsid w:val="009F4B09"/>
    <w:rsid w:val="009F7AF9"/>
    <w:rsid w:val="00A01F94"/>
    <w:rsid w:val="00A02E08"/>
    <w:rsid w:val="00A07653"/>
    <w:rsid w:val="00A11D42"/>
    <w:rsid w:val="00A11E5F"/>
    <w:rsid w:val="00A21192"/>
    <w:rsid w:val="00A217BB"/>
    <w:rsid w:val="00A22862"/>
    <w:rsid w:val="00A229D8"/>
    <w:rsid w:val="00A23A94"/>
    <w:rsid w:val="00A23D20"/>
    <w:rsid w:val="00A32F90"/>
    <w:rsid w:val="00A3597E"/>
    <w:rsid w:val="00A35A4B"/>
    <w:rsid w:val="00A37EB6"/>
    <w:rsid w:val="00A40D1A"/>
    <w:rsid w:val="00A43258"/>
    <w:rsid w:val="00A43900"/>
    <w:rsid w:val="00A44419"/>
    <w:rsid w:val="00A4503B"/>
    <w:rsid w:val="00A4581C"/>
    <w:rsid w:val="00A45B2C"/>
    <w:rsid w:val="00A45D8E"/>
    <w:rsid w:val="00A50A46"/>
    <w:rsid w:val="00A50A9B"/>
    <w:rsid w:val="00A516A6"/>
    <w:rsid w:val="00A519D2"/>
    <w:rsid w:val="00A51AA4"/>
    <w:rsid w:val="00A5726D"/>
    <w:rsid w:val="00A606E3"/>
    <w:rsid w:val="00A618E7"/>
    <w:rsid w:val="00A637B6"/>
    <w:rsid w:val="00A72701"/>
    <w:rsid w:val="00A741DC"/>
    <w:rsid w:val="00A75824"/>
    <w:rsid w:val="00A81241"/>
    <w:rsid w:val="00A83506"/>
    <w:rsid w:val="00A841DC"/>
    <w:rsid w:val="00A84874"/>
    <w:rsid w:val="00A856CF"/>
    <w:rsid w:val="00A85EB7"/>
    <w:rsid w:val="00A86BAE"/>
    <w:rsid w:val="00A91C65"/>
    <w:rsid w:val="00A94837"/>
    <w:rsid w:val="00A95303"/>
    <w:rsid w:val="00A96E14"/>
    <w:rsid w:val="00A97344"/>
    <w:rsid w:val="00AA0765"/>
    <w:rsid w:val="00AA0789"/>
    <w:rsid w:val="00AA08CD"/>
    <w:rsid w:val="00AA0983"/>
    <w:rsid w:val="00AA134E"/>
    <w:rsid w:val="00AA364E"/>
    <w:rsid w:val="00AA7660"/>
    <w:rsid w:val="00AA7B8B"/>
    <w:rsid w:val="00AB078A"/>
    <w:rsid w:val="00AB323A"/>
    <w:rsid w:val="00AB3BBF"/>
    <w:rsid w:val="00AB3D70"/>
    <w:rsid w:val="00AB3D9D"/>
    <w:rsid w:val="00AB45A6"/>
    <w:rsid w:val="00AB4A8E"/>
    <w:rsid w:val="00AC2C2C"/>
    <w:rsid w:val="00AC31EA"/>
    <w:rsid w:val="00AC3ABE"/>
    <w:rsid w:val="00AC7BEA"/>
    <w:rsid w:val="00AD4FD4"/>
    <w:rsid w:val="00AD5A97"/>
    <w:rsid w:val="00AD7475"/>
    <w:rsid w:val="00AD7BAD"/>
    <w:rsid w:val="00AE2342"/>
    <w:rsid w:val="00AF1ED2"/>
    <w:rsid w:val="00AF221D"/>
    <w:rsid w:val="00AF4A5A"/>
    <w:rsid w:val="00AF57CB"/>
    <w:rsid w:val="00AF7718"/>
    <w:rsid w:val="00AF7BBA"/>
    <w:rsid w:val="00B10813"/>
    <w:rsid w:val="00B109CE"/>
    <w:rsid w:val="00B11953"/>
    <w:rsid w:val="00B122FF"/>
    <w:rsid w:val="00B127AE"/>
    <w:rsid w:val="00B13067"/>
    <w:rsid w:val="00B1388A"/>
    <w:rsid w:val="00B1618A"/>
    <w:rsid w:val="00B17FC9"/>
    <w:rsid w:val="00B20191"/>
    <w:rsid w:val="00B23646"/>
    <w:rsid w:val="00B25846"/>
    <w:rsid w:val="00B33919"/>
    <w:rsid w:val="00B34A0C"/>
    <w:rsid w:val="00B34EE0"/>
    <w:rsid w:val="00B358F5"/>
    <w:rsid w:val="00B363F7"/>
    <w:rsid w:val="00B42A7C"/>
    <w:rsid w:val="00B433AD"/>
    <w:rsid w:val="00B45388"/>
    <w:rsid w:val="00B45AE9"/>
    <w:rsid w:val="00B54EE3"/>
    <w:rsid w:val="00B60961"/>
    <w:rsid w:val="00B61279"/>
    <w:rsid w:val="00B613B5"/>
    <w:rsid w:val="00B617EE"/>
    <w:rsid w:val="00B634AD"/>
    <w:rsid w:val="00B65FA9"/>
    <w:rsid w:val="00B70415"/>
    <w:rsid w:val="00B70532"/>
    <w:rsid w:val="00B7147C"/>
    <w:rsid w:val="00B74597"/>
    <w:rsid w:val="00B75C90"/>
    <w:rsid w:val="00B77A69"/>
    <w:rsid w:val="00B8077C"/>
    <w:rsid w:val="00B8343E"/>
    <w:rsid w:val="00B84F63"/>
    <w:rsid w:val="00B90AF1"/>
    <w:rsid w:val="00B932A7"/>
    <w:rsid w:val="00B93DCA"/>
    <w:rsid w:val="00B95840"/>
    <w:rsid w:val="00BA0C55"/>
    <w:rsid w:val="00BA1026"/>
    <w:rsid w:val="00BA177A"/>
    <w:rsid w:val="00BA2760"/>
    <w:rsid w:val="00BA2D7A"/>
    <w:rsid w:val="00BB05B9"/>
    <w:rsid w:val="00BB05C9"/>
    <w:rsid w:val="00BB0EFE"/>
    <w:rsid w:val="00BB18A0"/>
    <w:rsid w:val="00BB18E0"/>
    <w:rsid w:val="00BB3132"/>
    <w:rsid w:val="00BC14EE"/>
    <w:rsid w:val="00BC30C5"/>
    <w:rsid w:val="00BC5C69"/>
    <w:rsid w:val="00BC5CB3"/>
    <w:rsid w:val="00BC6CD7"/>
    <w:rsid w:val="00BC7AF8"/>
    <w:rsid w:val="00BD13B8"/>
    <w:rsid w:val="00BD3632"/>
    <w:rsid w:val="00BD5516"/>
    <w:rsid w:val="00BD5651"/>
    <w:rsid w:val="00BD584A"/>
    <w:rsid w:val="00BD633B"/>
    <w:rsid w:val="00BD6412"/>
    <w:rsid w:val="00BD6515"/>
    <w:rsid w:val="00BD7B20"/>
    <w:rsid w:val="00BE3405"/>
    <w:rsid w:val="00BE4DE8"/>
    <w:rsid w:val="00BF1AF1"/>
    <w:rsid w:val="00BF1AFB"/>
    <w:rsid w:val="00BF275C"/>
    <w:rsid w:val="00BF447A"/>
    <w:rsid w:val="00C0331C"/>
    <w:rsid w:val="00C056C5"/>
    <w:rsid w:val="00C05C90"/>
    <w:rsid w:val="00C10DE7"/>
    <w:rsid w:val="00C146F0"/>
    <w:rsid w:val="00C15B00"/>
    <w:rsid w:val="00C16396"/>
    <w:rsid w:val="00C16FCC"/>
    <w:rsid w:val="00C213E9"/>
    <w:rsid w:val="00C21D6F"/>
    <w:rsid w:val="00C23EC2"/>
    <w:rsid w:val="00C34422"/>
    <w:rsid w:val="00C35350"/>
    <w:rsid w:val="00C36356"/>
    <w:rsid w:val="00C3657B"/>
    <w:rsid w:val="00C3697D"/>
    <w:rsid w:val="00C405F3"/>
    <w:rsid w:val="00C4195A"/>
    <w:rsid w:val="00C41BB0"/>
    <w:rsid w:val="00C44DD5"/>
    <w:rsid w:val="00C45953"/>
    <w:rsid w:val="00C477FF"/>
    <w:rsid w:val="00C53ACF"/>
    <w:rsid w:val="00C57312"/>
    <w:rsid w:val="00C66BF3"/>
    <w:rsid w:val="00C70764"/>
    <w:rsid w:val="00C7368A"/>
    <w:rsid w:val="00C77AFB"/>
    <w:rsid w:val="00C815C1"/>
    <w:rsid w:val="00C828ED"/>
    <w:rsid w:val="00C83715"/>
    <w:rsid w:val="00C850C1"/>
    <w:rsid w:val="00C86B3B"/>
    <w:rsid w:val="00C87DAF"/>
    <w:rsid w:val="00C90CFE"/>
    <w:rsid w:val="00C913C0"/>
    <w:rsid w:val="00C91A5B"/>
    <w:rsid w:val="00C94A42"/>
    <w:rsid w:val="00C95FB7"/>
    <w:rsid w:val="00C96AD7"/>
    <w:rsid w:val="00CA45F3"/>
    <w:rsid w:val="00CA5AD6"/>
    <w:rsid w:val="00CA6B69"/>
    <w:rsid w:val="00CB26D0"/>
    <w:rsid w:val="00CC024A"/>
    <w:rsid w:val="00CC0C47"/>
    <w:rsid w:val="00CC1498"/>
    <w:rsid w:val="00CC1AA7"/>
    <w:rsid w:val="00CC2F01"/>
    <w:rsid w:val="00CC407F"/>
    <w:rsid w:val="00CC4100"/>
    <w:rsid w:val="00CC4F86"/>
    <w:rsid w:val="00CC6EA8"/>
    <w:rsid w:val="00CC7285"/>
    <w:rsid w:val="00CD1503"/>
    <w:rsid w:val="00CD1BA3"/>
    <w:rsid w:val="00CD1E57"/>
    <w:rsid w:val="00CD3E8B"/>
    <w:rsid w:val="00CD624E"/>
    <w:rsid w:val="00CD7D5B"/>
    <w:rsid w:val="00CE284F"/>
    <w:rsid w:val="00CE3C3A"/>
    <w:rsid w:val="00CE5F10"/>
    <w:rsid w:val="00CF0142"/>
    <w:rsid w:val="00CF178B"/>
    <w:rsid w:val="00CF28FE"/>
    <w:rsid w:val="00CF52CF"/>
    <w:rsid w:val="00D015EB"/>
    <w:rsid w:val="00D02875"/>
    <w:rsid w:val="00D03155"/>
    <w:rsid w:val="00D1287E"/>
    <w:rsid w:val="00D135E4"/>
    <w:rsid w:val="00D15F60"/>
    <w:rsid w:val="00D175E8"/>
    <w:rsid w:val="00D17FBC"/>
    <w:rsid w:val="00D21858"/>
    <w:rsid w:val="00D224B4"/>
    <w:rsid w:val="00D246E6"/>
    <w:rsid w:val="00D27945"/>
    <w:rsid w:val="00D30CE8"/>
    <w:rsid w:val="00D37A4A"/>
    <w:rsid w:val="00D4061F"/>
    <w:rsid w:val="00D436C9"/>
    <w:rsid w:val="00D52E9C"/>
    <w:rsid w:val="00D547BC"/>
    <w:rsid w:val="00D56BCA"/>
    <w:rsid w:val="00D571AA"/>
    <w:rsid w:val="00D60DE3"/>
    <w:rsid w:val="00D613CA"/>
    <w:rsid w:val="00D61BEA"/>
    <w:rsid w:val="00D63712"/>
    <w:rsid w:val="00D63821"/>
    <w:rsid w:val="00D63E0D"/>
    <w:rsid w:val="00D741B9"/>
    <w:rsid w:val="00D74BD0"/>
    <w:rsid w:val="00D815C6"/>
    <w:rsid w:val="00D85733"/>
    <w:rsid w:val="00D86A68"/>
    <w:rsid w:val="00D905B5"/>
    <w:rsid w:val="00D90E33"/>
    <w:rsid w:val="00D9209E"/>
    <w:rsid w:val="00D92F9F"/>
    <w:rsid w:val="00D938E3"/>
    <w:rsid w:val="00D94076"/>
    <w:rsid w:val="00D96546"/>
    <w:rsid w:val="00DA2069"/>
    <w:rsid w:val="00DA2423"/>
    <w:rsid w:val="00DB4699"/>
    <w:rsid w:val="00DB4769"/>
    <w:rsid w:val="00DB4841"/>
    <w:rsid w:val="00DB5B39"/>
    <w:rsid w:val="00DB6352"/>
    <w:rsid w:val="00DC74B8"/>
    <w:rsid w:val="00DD00EF"/>
    <w:rsid w:val="00DD21B5"/>
    <w:rsid w:val="00DD38BF"/>
    <w:rsid w:val="00DD5625"/>
    <w:rsid w:val="00DD7C71"/>
    <w:rsid w:val="00DE5F6C"/>
    <w:rsid w:val="00DE6ACF"/>
    <w:rsid w:val="00DE73DE"/>
    <w:rsid w:val="00DF020A"/>
    <w:rsid w:val="00DF1857"/>
    <w:rsid w:val="00DF2C78"/>
    <w:rsid w:val="00DF4B26"/>
    <w:rsid w:val="00E00406"/>
    <w:rsid w:val="00E02E6B"/>
    <w:rsid w:val="00E05802"/>
    <w:rsid w:val="00E065FA"/>
    <w:rsid w:val="00E07E62"/>
    <w:rsid w:val="00E10D0E"/>
    <w:rsid w:val="00E11E2F"/>
    <w:rsid w:val="00E12E8F"/>
    <w:rsid w:val="00E14401"/>
    <w:rsid w:val="00E16079"/>
    <w:rsid w:val="00E16519"/>
    <w:rsid w:val="00E17D09"/>
    <w:rsid w:val="00E227BA"/>
    <w:rsid w:val="00E273F6"/>
    <w:rsid w:val="00E30CD5"/>
    <w:rsid w:val="00E33ABA"/>
    <w:rsid w:val="00E33BDF"/>
    <w:rsid w:val="00E3498E"/>
    <w:rsid w:val="00E43EA7"/>
    <w:rsid w:val="00E44367"/>
    <w:rsid w:val="00E46273"/>
    <w:rsid w:val="00E5201A"/>
    <w:rsid w:val="00E54906"/>
    <w:rsid w:val="00E56C18"/>
    <w:rsid w:val="00E57583"/>
    <w:rsid w:val="00E61725"/>
    <w:rsid w:val="00E61E56"/>
    <w:rsid w:val="00E62219"/>
    <w:rsid w:val="00E63547"/>
    <w:rsid w:val="00E67A6A"/>
    <w:rsid w:val="00E70783"/>
    <w:rsid w:val="00E75561"/>
    <w:rsid w:val="00E77245"/>
    <w:rsid w:val="00E80ED1"/>
    <w:rsid w:val="00E8398D"/>
    <w:rsid w:val="00E85F9A"/>
    <w:rsid w:val="00E8690C"/>
    <w:rsid w:val="00E909AE"/>
    <w:rsid w:val="00E94AA3"/>
    <w:rsid w:val="00E958D2"/>
    <w:rsid w:val="00E965DB"/>
    <w:rsid w:val="00E96937"/>
    <w:rsid w:val="00EA1470"/>
    <w:rsid w:val="00EA1FC4"/>
    <w:rsid w:val="00EB03B6"/>
    <w:rsid w:val="00EB0719"/>
    <w:rsid w:val="00EB2669"/>
    <w:rsid w:val="00EB429B"/>
    <w:rsid w:val="00EB4BB4"/>
    <w:rsid w:val="00EB6814"/>
    <w:rsid w:val="00EB790A"/>
    <w:rsid w:val="00EC1234"/>
    <w:rsid w:val="00EC3FDE"/>
    <w:rsid w:val="00EC5963"/>
    <w:rsid w:val="00EC73A6"/>
    <w:rsid w:val="00ED0048"/>
    <w:rsid w:val="00ED286B"/>
    <w:rsid w:val="00EE0359"/>
    <w:rsid w:val="00EE1EFB"/>
    <w:rsid w:val="00EE5508"/>
    <w:rsid w:val="00EE57FA"/>
    <w:rsid w:val="00EE59B6"/>
    <w:rsid w:val="00EF2261"/>
    <w:rsid w:val="00EF23FE"/>
    <w:rsid w:val="00F13A31"/>
    <w:rsid w:val="00F15273"/>
    <w:rsid w:val="00F16551"/>
    <w:rsid w:val="00F170D7"/>
    <w:rsid w:val="00F20ADF"/>
    <w:rsid w:val="00F21F3E"/>
    <w:rsid w:val="00F25B23"/>
    <w:rsid w:val="00F311EB"/>
    <w:rsid w:val="00F312C2"/>
    <w:rsid w:val="00F3751C"/>
    <w:rsid w:val="00F408B4"/>
    <w:rsid w:val="00F41BB1"/>
    <w:rsid w:val="00F42618"/>
    <w:rsid w:val="00F429FB"/>
    <w:rsid w:val="00F46952"/>
    <w:rsid w:val="00F5120F"/>
    <w:rsid w:val="00F51ECB"/>
    <w:rsid w:val="00F52B1E"/>
    <w:rsid w:val="00F55C27"/>
    <w:rsid w:val="00F6192E"/>
    <w:rsid w:val="00F64FDD"/>
    <w:rsid w:val="00F6514D"/>
    <w:rsid w:val="00F674B8"/>
    <w:rsid w:val="00F67C39"/>
    <w:rsid w:val="00F67FA0"/>
    <w:rsid w:val="00F67FA1"/>
    <w:rsid w:val="00F713EE"/>
    <w:rsid w:val="00F73C50"/>
    <w:rsid w:val="00F7476E"/>
    <w:rsid w:val="00F757BE"/>
    <w:rsid w:val="00F7760C"/>
    <w:rsid w:val="00F82BC0"/>
    <w:rsid w:val="00F90D52"/>
    <w:rsid w:val="00F930BA"/>
    <w:rsid w:val="00F95480"/>
    <w:rsid w:val="00F962FC"/>
    <w:rsid w:val="00F970D1"/>
    <w:rsid w:val="00F9720F"/>
    <w:rsid w:val="00F975E7"/>
    <w:rsid w:val="00FA07DB"/>
    <w:rsid w:val="00FA0E99"/>
    <w:rsid w:val="00FA44E6"/>
    <w:rsid w:val="00FA49D4"/>
    <w:rsid w:val="00FA4F11"/>
    <w:rsid w:val="00FB308F"/>
    <w:rsid w:val="00FB38D1"/>
    <w:rsid w:val="00FB4EFC"/>
    <w:rsid w:val="00FB64F4"/>
    <w:rsid w:val="00FB7B5D"/>
    <w:rsid w:val="00FC2CD8"/>
    <w:rsid w:val="00FC2DDE"/>
    <w:rsid w:val="00FC4120"/>
    <w:rsid w:val="00FD313B"/>
    <w:rsid w:val="00FD70F4"/>
    <w:rsid w:val="00FD7163"/>
    <w:rsid w:val="00FE15EC"/>
    <w:rsid w:val="00FE2580"/>
    <w:rsid w:val="00FE5357"/>
    <w:rsid w:val="00FE5628"/>
    <w:rsid w:val="00FF0418"/>
    <w:rsid w:val="00FF6B35"/>
    <w:rsid w:val="01003934"/>
    <w:rsid w:val="0107611F"/>
    <w:rsid w:val="012465FF"/>
    <w:rsid w:val="012B4DA3"/>
    <w:rsid w:val="01414458"/>
    <w:rsid w:val="015B52A2"/>
    <w:rsid w:val="0179089B"/>
    <w:rsid w:val="017A1B51"/>
    <w:rsid w:val="018812E4"/>
    <w:rsid w:val="01942CFB"/>
    <w:rsid w:val="01A27A4B"/>
    <w:rsid w:val="01F813BE"/>
    <w:rsid w:val="020E53F2"/>
    <w:rsid w:val="023163D0"/>
    <w:rsid w:val="024B1BEA"/>
    <w:rsid w:val="027E2505"/>
    <w:rsid w:val="028C26FB"/>
    <w:rsid w:val="02A76950"/>
    <w:rsid w:val="02BC63CD"/>
    <w:rsid w:val="02C36C4A"/>
    <w:rsid w:val="02C70962"/>
    <w:rsid w:val="033019E1"/>
    <w:rsid w:val="0383575F"/>
    <w:rsid w:val="039E4C4B"/>
    <w:rsid w:val="03B1202E"/>
    <w:rsid w:val="03CA3C2E"/>
    <w:rsid w:val="040F5726"/>
    <w:rsid w:val="04134127"/>
    <w:rsid w:val="0436204E"/>
    <w:rsid w:val="04540552"/>
    <w:rsid w:val="04722C86"/>
    <w:rsid w:val="04A448F2"/>
    <w:rsid w:val="04AA0A4D"/>
    <w:rsid w:val="04AB2517"/>
    <w:rsid w:val="04CE619F"/>
    <w:rsid w:val="05246E85"/>
    <w:rsid w:val="052D3BF6"/>
    <w:rsid w:val="052E5ADF"/>
    <w:rsid w:val="054E2BBF"/>
    <w:rsid w:val="05800D35"/>
    <w:rsid w:val="058C1FA9"/>
    <w:rsid w:val="05903005"/>
    <w:rsid w:val="06117CCC"/>
    <w:rsid w:val="061428C9"/>
    <w:rsid w:val="064B3C89"/>
    <w:rsid w:val="064E48C0"/>
    <w:rsid w:val="066F0ABC"/>
    <w:rsid w:val="0672780F"/>
    <w:rsid w:val="067500CF"/>
    <w:rsid w:val="06880BFB"/>
    <w:rsid w:val="06883A6D"/>
    <w:rsid w:val="06DA5B31"/>
    <w:rsid w:val="07021889"/>
    <w:rsid w:val="07444628"/>
    <w:rsid w:val="077C509F"/>
    <w:rsid w:val="07E2787C"/>
    <w:rsid w:val="08201ACB"/>
    <w:rsid w:val="08255414"/>
    <w:rsid w:val="082B6F06"/>
    <w:rsid w:val="082F1B24"/>
    <w:rsid w:val="08451561"/>
    <w:rsid w:val="08506666"/>
    <w:rsid w:val="085C297F"/>
    <w:rsid w:val="08696195"/>
    <w:rsid w:val="08AB4974"/>
    <w:rsid w:val="08F57D5E"/>
    <w:rsid w:val="0919631E"/>
    <w:rsid w:val="09387203"/>
    <w:rsid w:val="095C6ACC"/>
    <w:rsid w:val="09A57182"/>
    <w:rsid w:val="09DE3C99"/>
    <w:rsid w:val="09E22D4E"/>
    <w:rsid w:val="0A207FCD"/>
    <w:rsid w:val="0A492416"/>
    <w:rsid w:val="0A502063"/>
    <w:rsid w:val="0A6F7EF5"/>
    <w:rsid w:val="0A717C8E"/>
    <w:rsid w:val="0A856F47"/>
    <w:rsid w:val="0AAF5DD0"/>
    <w:rsid w:val="0AB5345C"/>
    <w:rsid w:val="0AC43792"/>
    <w:rsid w:val="0AE45AA0"/>
    <w:rsid w:val="0B046A35"/>
    <w:rsid w:val="0B2016C8"/>
    <w:rsid w:val="0B301837"/>
    <w:rsid w:val="0B37390F"/>
    <w:rsid w:val="0B905564"/>
    <w:rsid w:val="0BCE2FBD"/>
    <w:rsid w:val="0C05619E"/>
    <w:rsid w:val="0C363C8F"/>
    <w:rsid w:val="0C500A06"/>
    <w:rsid w:val="0C550432"/>
    <w:rsid w:val="0CCA7238"/>
    <w:rsid w:val="0CE61773"/>
    <w:rsid w:val="0D1603AF"/>
    <w:rsid w:val="0D3B1690"/>
    <w:rsid w:val="0D5A77FC"/>
    <w:rsid w:val="0D5C3DFC"/>
    <w:rsid w:val="0D6F1511"/>
    <w:rsid w:val="0D916195"/>
    <w:rsid w:val="0DDD206B"/>
    <w:rsid w:val="0DE22485"/>
    <w:rsid w:val="0DF4047D"/>
    <w:rsid w:val="0E0B7EEA"/>
    <w:rsid w:val="0E2F5E8B"/>
    <w:rsid w:val="0E327D44"/>
    <w:rsid w:val="0E4612B5"/>
    <w:rsid w:val="0E49358D"/>
    <w:rsid w:val="0EA8553C"/>
    <w:rsid w:val="0EBA7CA9"/>
    <w:rsid w:val="0EBB72E1"/>
    <w:rsid w:val="0EE949DC"/>
    <w:rsid w:val="0F036662"/>
    <w:rsid w:val="0F1B4176"/>
    <w:rsid w:val="0F2A185A"/>
    <w:rsid w:val="0F3F24A8"/>
    <w:rsid w:val="0F4D79AC"/>
    <w:rsid w:val="0F8E2324"/>
    <w:rsid w:val="100E43B2"/>
    <w:rsid w:val="104C561C"/>
    <w:rsid w:val="104D2B35"/>
    <w:rsid w:val="105E4E97"/>
    <w:rsid w:val="106C79B8"/>
    <w:rsid w:val="107058B3"/>
    <w:rsid w:val="107C6102"/>
    <w:rsid w:val="109C42EE"/>
    <w:rsid w:val="109F56E0"/>
    <w:rsid w:val="10B17D1B"/>
    <w:rsid w:val="10D04765"/>
    <w:rsid w:val="10F4597F"/>
    <w:rsid w:val="111E4B7A"/>
    <w:rsid w:val="11246F65"/>
    <w:rsid w:val="113D199D"/>
    <w:rsid w:val="115B2A46"/>
    <w:rsid w:val="117C2F02"/>
    <w:rsid w:val="117D6F38"/>
    <w:rsid w:val="11975A27"/>
    <w:rsid w:val="11A7598A"/>
    <w:rsid w:val="11D62C11"/>
    <w:rsid w:val="11DE469C"/>
    <w:rsid w:val="11E16AE8"/>
    <w:rsid w:val="11F276E8"/>
    <w:rsid w:val="11F97256"/>
    <w:rsid w:val="11FF0FAA"/>
    <w:rsid w:val="129B1203"/>
    <w:rsid w:val="13087FF1"/>
    <w:rsid w:val="132656CD"/>
    <w:rsid w:val="136A68BC"/>
    <w:rsid w:val="137421F0"/>
    <w:rsid w:val="138D21F6"/>
    <w:rsid w:val="13C02521"/>
    <w:rsid w:val="13E03955"/>
    <w:rsid w:val="13F13629"/>
    <w:rsid w:val="14365636"/>
    <w:rsid w:val="143A1C19"/>
    <w:rsid w:val="14581F33"/>
    <w:rsid w:val="14666B80"/>
    <w:rsid w:val="14952A28"/>
    <w:rsid w:val="14E074A9"/>
    <w:rsid w:val="14E23413"/>
    <w:rsid w:val="14E9314E"/>
    <w:rsid w:val="14EC363E"/>
    <w:rsid w:val="15751943"/>
    <w:rsid w:val="157B009D"/>
    <w:rsid w:val="15A25D1A"/>
    <w:rsid w:val="15F81B24"/>
    <w:rsid w:val="15FC71CB"/>
    <w:rsid w:val="16281F9C"/>
    <w:rsid w:val="1681345B"/>
    <w:rsid w:val="169518FE"/>
    <w:rsid w:val="16C8364A"/>
    <w:rsid w:val="17213F34"/>
    <w:rsid w:val="172476FF"/>
    <w:rsid w:val="174A0786"/>
    <w:rsid w:val="174D0964"/>
    <w:rsid w:val="175D7DAD"/>
    <w:rsid w:val="176540A6"/>
    <w:rsid w:val="17783E9C"/>
    <w:rsid w:val="17AF4029"/>
    <w:rsid w:val="17E262B5"/>
    <w:rsid w:val="17FF5BE3"/>
    <w:rsid w:val="182E7ED4"/>
    <w:rsid w:val="183045B6"/>
    <w:rsid w:val="18435BE7"/>
    <w:rsid w:val="18A35F81"/>
    <w:rsid w:val="18D82D51"/>
    <w:rsid w:val="18FF35D4"/>
    <w:rsid w:val="190E32F4"/>
    <w:rsid w:val="192008FE"/>
    <w:rsid w:val="192F112F"/>
    <w:rsid w:val="193052F6"/>
    <w:rsid w:val="19546F6A"/>
    <w:rsid w:val="19B95C06"/>
    <w:rsid w:val="19F07385"/>
    <w:rsid w:val="1A5904DE"/>
    <w:rsid w:val="1A68702D"/>
    <w:rsid w:val="1AC2537B"/>
    <w:rsid w:val="1AF4294F"/>
    <w:rsid w:val="1B1C15C9"/>
    <w:rsid w:val="1B570D69"/>
    <w:rsid w:val="1B7278A4"/>
    <w:rsid w:val="1B815B33"/>
    <w:rsid w:val="1B843248"/>
    <w:rsid w:val="1BA91A6B"/>
    <w:rsid w:val="1BB13F52"/>
    <w:rsid w:val="1BB83978"/>
    <w:rsid w:val="1BC220FC"/>
    <w:rsid w:val="1BCE14E5"/>
    <w:rsid w:val="1C006AC4"/>
    <w:rsid w:val="1C3C5377"/>
    <w:rsid w:val="1C5235BC"/>
    <w:rsid w:val="1C5D68BE"/>
    <w:rsid w:val="1C60780B"/>
    <w:rsid w:val="1C7031D7"/>
    <w:rsid w:val="1C897325"/>
    <w:rsid w:val="1CAA608D"/>
    <w:rsid w:val="1CB06DA3"/>
    <w:rsid w:val="1CBC1B96"/>
    <w:rsid w:val="1CDC61B0"/>
    <w:rsid w:val="1CDD7656"/>
    <w:rsid w:val="1D17670A"/>
    <w:rsid w:val="1D34744D"/>
    <w:rsid w:val="1D3A7352"/>
    <w:rsid w:val="1D71197F"/>
    <w:rsid w:val="1D712FCE"/>
    <w:rsid w:val="1D8B6E7D"/>
    <w:rsid w:val="1D9B1894"/>
    <w:rsid w:val="1DA7228F"/>
    <w:rsid w:val="1DBD1DF1"/>
    <w:rsid w:val="1DF3195E"/>
    <w:rsid w:val="1E1A474A"/>
    <w:rsid w:val="1E3D2300"/>
    <w:rsid w:val="1E3F7AE3"/>
    <w:rsid w:val="1E4E5730"/>
    <w:rsid w:val="1E5A7FFF"/>
    <w:rsid w:val="1EBD2A25"/>
    <w:rsid w:val="1EDA04D4"/>
    <w:rsid w:val="1EFD24E3"/>
    <w:rsid w:val="1F1218F7"/>
    <w:rsid w:val="1F525DBA"/>
    <w:rsid w:val="1F713F95"/>
    <w:rsid w:val="1F9D2C8A"/>
    <w:rsid w:val="1FB07195"/>
    <w:rsid w:val="1FEF2C9E"/>
    <w:rsid w:val="1FFF7CDC"/>
    <w:rsid w:val="201E4E32"/>
    <w:rsid w:val="20330FC6"/>
    <w:rsid w:val="20354BF1"/>
    <w:rsid w:val="204C35DD"/>
    <w:rsid w:val="20903D68"/>
    <w:rsid w:val="20A3502A"/>
    <w:rsid w:val="20B07B54"/>
    <w:rsid w:val="20B26E07"/>
    <w:rsid w:val="20C83398"/>
    <w:rsid w:val="20D53608"/>
    <w:rsid w:val="211377F6"/>
    <w:rsid w:val="21240C7A"/>
    <w:rsid w:val="21360382"/>
    <w:rsid w:val="21434A03"/>
    <w:rsid w:val="218B6B8E"/>
    <w:rsid w:val="21A36C00"/>
    <w:rsid w:val="21B302C0"/>
    <w:rsid w:val="21E15DF6"/>
    <w:rsid w:val="21E76615"/>
    <w:rsid w:val="21ED1AF3"/>
    <w:rsid w:val="21F33B7C"/>
    <w:rsid w:val="22033E8E"/>
    <w:rsid w:val="220F6A27"/>
    <w:rsid w:val="222332E4"/>
    <w:rsid w:val="22435EA1"/>
    <w:rsid w:val="225E1725"/>
    <w:rsid w:val="22772BDA"/>
    <w:rsid w:val="22802D63"/>
    <w:rsid w:val="22845AB4"/>
    <w:rsid w:val="22B401AB"/>
    <w:rsid w:val="22F607FE"/>
    <w:rsid w:val="22F97D2F"/>
    <w:rsid w:val="23155822"/>
    <w:rsid w:val="231D3046"/>
    <w:rsid w:val="235D3D13"/>
    <w:rsid w:val="23BB183A"/>
    <w:rsid w:val="23FB78A1"/>
    <w:rsid w:val="244021C5"/>
    <w:rsid w:val="24405EA1"/>
    <w:rsid w:val="24554D88"/>
    <w:rsid w:val="245C52DB"/>
    <w:rsid w:val="24772937"/>
    <w:rsid w:val="249C19AD"/>
    <w:rsid w:val="24AE4623"/>
    <w:rsid w:val="24F5628A"/>
    <w:rsid w:val="24F63058"/>
    <w:rsid w:val="25115BD4"/>
    <w:rsid w:val="25237103"/>
    <w:rsid w:val="25B26FE4"/>
    <w:rsid w:val="25ED2094"/>
    <w:rsid w:val="262977D0"/>
    <w:rsid w:val="26315965"/>
    <w:rsid w:val="26317123"/>
    <w:rsid w:val="263A73F2"/>
    <w:rsid w:val="263C48CB"/>
    <w:rsid w:val="263C5E72"/>
    <w:rsid w:val="26500849"/>
    <w:rsid w:val="26780617"/>
    <w:rsid w:val="26847176"/>
    <w:rsid w:val="26886F86"/>
    <w:rsid w:val="26925C46"/>
    <w:rsid w:val="269D5952"/>
    <w:rsid w:val="26F41FB8"/>
    <w:rsid w:val="27043058"/>
    <w:rsid w:val="2705329D"/>
    <w:rsid w:val="27364429"/>
    <w:rsid w:val="274D3FB6"/>
    <w:rsid w:val="27545406"/>
    <w:rsid w:val="27833F3C"/>
    <w:rsid w:val="2795735E"/>
    <w:rsid w:val="27F13A21"/>
    <w:rsid w:val="27F819EB"/>
    <w:rsid w:val="28062900"/>
    <w:rsid w:val="284D4FE7"/>
    <w:rsid w:val="285F1382"/>
    <w:rsid w:val="29224CD0"/>
    <w:rsid w:val="29997DF3"/>
    <w:rsid w:val="29F00158"/>
    <w:rsid w:val="29F238EB"/>
    <w:rsid w:val="2A171CC4"/>
    <w:rsid w:val="2A18258C"/>
    <w:rsid w:val="2A350B0F"/>
    <w:rsid w:val="2A4B3C3F"/>
    <w:rsid w:val="2AC248FA"/>
    <w:rsid w:val="2AC64B53"/>
    <w:rsid w:val="2ACE792E"/>
    <w:rsid w:val="2AEF7803"/>
    <w:rsid w:val="2AF97CB4"/>
    <w:rsid w:val="2AFE04AC"/>
    <w:rsid w:val="2B227098"/>
    <w:rsid w:val="2B791410"/>
    <w:rsid w:val="2BB328FF"/>
    <w:rsid w:val="2BE06ECE"/>
    <w:rsid w:val="2BE50675"/>
    <w:rsid w:val="2C505A98"/>
    <w:rsid w:val="2C9F5868"/>
    <w:rsid w:val="2CA854FF"/>
    <w:rsid w:val="2D0778E2"/>
    <w:rsid w:val="2D1C0AEB"/>
    <w:rsid w:val="2D6447D2"/>
    <w:rsid w:val="2D6D0593"/>
    <w:rsid w:val="2D6E7A11"/>
    <w:rsid w:val="2D935A20"/>
    <w:rsid w:val="2DBC63E3"/>
    <w:rsid w:val="2E0003B0"/>
    <w:rsid w:val="2E457BCB"/>
    <w:rsid w:val="2E5200E9"/>
    <w:rsid w:val="2E9F0240"/>
    <w:rsid w:val="2EAE262C"/>
    <w:rsid w:val="2EAE6A2E"/>
    <w:rsid w:val="2ECB0AE2"/>
    <w:rsid w:val="2F2B0F7C"/>
    <w:rsid w:val="2F55491D"/>
    <w:rsid w:val="2F8337D6"/>
    <w:rsid w:val="2FAF4D85"/>
    <w:rsid w:val="2FBE1939"/>
    <w:rsid w:val="2FD8197F"/>
    <w:rsid w:val="2FF33EC8"/>
    <w:rsid w:val="300131F1"/>
    <w:rsid w:val="300A507B"/>
    <w:rsid w:val="30127F4A"/>
    <w:rsid w:val="30195AFF"/>
    <w:rsid w:val="301A7B0D"/>
    <w:rsid w:val="301A7BEA"/>
    <w:rsid w:val="30247EA4"/>
    <w:rsid w:val="30370C40"/>
    <w:rsid w:val="304E0FE9"/>
    <w:rsid w:val="30600CEC"/>
    <w:rsid w:val="306C79C8"/>
    <w:rsid w:val="30916FFE"/>
    <w:rsid w:val="30CA57E9"/>
    <w:rsid w:val="315040C3"/>
    <w:rsid w:val="31570277"/>
    <w:rsid w:val="316E379B"/>
    <w:rsid w:val="317E7511"/>
    <w:rsid w:val="318459E2"/>
    <w:rsid w:val="318B08AD"/>
    <w:rsid w:val="31CF127B"/>
    <w:rsid w:val="321D60A8"/>
    <w:rsid w:val="322066AC"/>
    <w:rsid w:val="326D09E6"/>
    <w:rsid w:val="32B86CCC"/>
    <w:rsid w:val="32CF0240"/>
    <w:rsid w:val="32F02A08"/>
    <w:rsid w:val="32F621B4"/>
    <w:rsid w:val="32FE2EA5"/>
    <w:rsid w:val="33146B30"/>
    <w:rsid w:val="331816D1"/>
    <w:rsid w:val="332E1986"/>
    <w:rsid w:val="33316F40"/>
    <w:rsid w:val="338D097D"/>
    <w:rsid w:val="33BD4D5E"/>
    <w:rsid w:val="33FA6CB4"/>
    <w:rsid w:val="3463015F"/>
    <w:rsid w:val="34766EC0"/>
    <w:rsid w:val="350739D4"/>
    <w:rsid w:val="35260066"/>
    <w:rsid w:val="35776F37"/>
    <w:rsid w:val="35A20810"/>
    <w:rsid w:val="35A41DCF"/>
    <w:rsid w:val="35A6123F"/>
    <w:rsid w:val="35B359C0"/>
    <w:rsid w:val="35D157B9"/>
    <w:rsid w:val="35E86AEA"/>
    <w:rsid w:val="36074077"/>
    <w:rsid w:val="361A3116"/>
    <w:rsid w:val="367D294C"/>
    <w:rsid w:val="369D5C1D"/>
    <w:rsid w:val="36AE13E1"/>
    <w:rsid w:val="36D7419E"/>
    <w:rsid w:val="36FF6099"/>
    <w:rsid w:val="371426FE"/>
    <w:rsid w:val="371C16B7"/>
    <w:rsid w:val="37337C1E"/>
    <w:rsid w:val="378050B1"/>
    <w:rsid w:val="37A7049B"/>
    <w:rsid w:val="37AF2E55"/>
    <w:rsid w:val="37B041B8"/>
    <w:rsid w:val="37BA6E6F"/>
    <w:rsid w:val="37C275FC"/>
    <w:rsid w:val="37CB25D7"/>
    <w:rsid w:val="37DC7031"/>
    <w:rsid w:val="37E46B52"/>
    <w:rsid w:val="37F47D27"/>
    <w:rsid w:val="380D4216"/>
    <w:rsid w:val="381D591D"/>
    <w:rsid w:val="3820434D"/>
    <w:rsid w:val="383332DD"/>
    <w:rsid w:val="38517D59"/>
    <w:rsid w:val="38965112"/>
    <w:rsid w:val="38A63548"/>
    <w:rsid w:val="38D83427"/>
    <w:rsid w:val="39004EE4"/>
    <w:rsid w:val="390A0237"/>
    <w:rsid w:val="395F26C1"/>
    <w:rsid w:val="396C132B"/>
    <w:rsid w:val="39C802B0"/>
    <w:rsid w:val="3A0C64BF"/>
    <w:rsid w:val="3A143CD2"/>
    <w:rsid w:val="3A3F32B7"/>
    <w:rsid w:val="3A4534B3"/>
    <w:rsid w:val="3A5F0651"/>
    <w:rsid w:val="3A9164BE"/>
    <w:rsid w:val="3AC30568"/>
    <w:rsid w:val="3ACA1E51"/>
    <w:rsid w:val="3B2106FF"/>
    <w:rsid w:val="3B64464E"/>
    <w:rsid w:val="3B764887"/>
    <w:rsid w:val="3B782206"/>
    <w:rsid w:val="3B92414C"/>
    <w:rsid w:val="3BC3791A"/>
    <w:rsid w:val="3BFB74FF"/>
    <w:rsid w:val="3C3D6AD5"/>
    <w:rsid w:val="3C4B0DD6"/>
    <w:rsid w:val="3C522BAD"/>
    <w:rsid w:val="3C937372"/>
    <w:rsid w:val="3CC86630"/>
    <w:rsid w:val="3CCA0A95"/>
    <w:rsid w:val="3CEA3E7B"/>
    <w:rsid w:val="3D1D0F97"/>
    <w:rsid w:val="3D4641B6"/>
    <w:rsid w:val="3D4E0FEB"/>
    <w:rsid w:val="3D570AB7"/>
    <w:rsid w:val="3D61067E"/>
    <w:rsid w:val="3D775545"/>
    <w:rsid w:val="3DA84569"/>
    <w:rsid w:val="3DE346C0"/>
    <w:rsid w:val="3DEC4C1A"/>
    <w:rsid w:val="3E14510F"/>
    <w:rsid w:val="3E166A58"/>
    <w:rsid w:val="3E181D31"/>
    <w:rsid w:val="3E456E5B"/>
    <w:rsid w:val="3E617B8D"/>
    <w:rsid w:val="3E631761"/>
    <w:rsid w:val="3EA56EE3"/>
    <w:rsid w:val="3EBC018B"/>
    <w:rsid w:val="3F475757"/>
    <w:rsid w:val="3F505163"/>
    <w:rsid w:val="3F545FC8"/>
    <w:rsid w:val="3F6C41F2"/>
    <w:rsid w:val="3F9E622E"/>
    <w:rsid w:val="3FC15DAC"/>
    <w:rsid w:val="404560DF"/>
    <w:rsid w:val="40702400"/>
    <w:rsid w:val="408D08E9"/>
    <w:rsid w:val="40F83192"/>
    <w:rsid w:val="411B4498"/>
    <w:rsid w:val="417B3290"/>
    <w:rsid w:val="417B38C0"/>
    <w:rsid w:val="418439C9"/>
    <w:rsid w:val="41D43820"/>
    <w:rsid w:val="423425BE"/>
    <w:rsid w:val="429E129C"/>
    <w:rsid w:val="42B4371C"/>
    <w:rsid w:val="42C50376"/>
    <w:rsid w:val="42CE2D3E"/>
    <w:rsid w:val="42ED2CCD"/>
    <w:rsid w:val="432C0C67"/>
    <w:rsid w:val="43335690"/>
    <w:rsid w:val="434E0F27"/>
    <w:rsid w:val="43800918"/>
    <w:rsid w:val="43946227"/>
    <w:rsid w:val="43AE782F"/>
    <w:rsid w:val="43B8756C"/>
    <w:rsid w:val="43BB7D58"/>
    <w:rsid w:val="43C6133A"/>
    <w:rsid w:val="43E27DAC"/>
    <w:rsid w:val="43F506E9"/>
    <w:rsid w:val="442278F0"/>
    <w:rsid w:val="4428373B"/>
    <w:rsid w:val="44433E40"/>
    <w:rsid w:val="44484A7F"/>
    <w:rsid w:val="445837A4"/>
    <w:rsid w:val="446C162F"/>
    <w:rsid w:val="447B6AA6"/>
    <w:rsid w:val="44FE0566"/>
    <w:rsid w:val="4514471C"/>
    <w:rsid w:val="453F1545"/>
    <w:rsid w:val="457F7F52"/>
    <w:rsid w:val="45937DC0"/>
    <w:rsid w:val="45A879FD"/>
    <w:rsid w:val="45DB57E0"/>
    <w:rsid w:val="45EE3DEF"/>
    <w:rsid w:val="460C2C10"/>
    <w:rsid w:val="466B5C0E"/>
    <w:rsid w:val="4693346B"/>
    <w:rsid w:val="46D7084C"/>
    <w:rsid w:val="46E84AD0"/>
    <w:rsid w:val="46F404DA"/>
    <w:rsid w:val="47022DDB"/>
    <w:rsid w:val="472C4A39"/>
    <w:rsid w:val="473C3D61"/>
    <w:rsid w:val="474D6866"/>
    <w:rsid w:val="475C42E4"/>
    <w:rsid w:val="47D94CF2"/>
    <w:rsid w:val="47E950BE"/>
    <w:rsid w:val="47FC03C7"/>
    <w:rsid w:val="480A1795"/>
    <w:rsid w:val="481E491E"/>
    <w:rsid w:val="482B2FFA"/>
    <w:rsid w:val="4838441B"/>
    <w:rsid w:val="48485489"/>
    <w:rsid w:val="48644107"/>
    <w:rsid w:val="487E7CF0"/>
    <w:rsid w:val="490049DC"/>
    <w:rsid w:val="49393BE4"/>
    <w:rsid w:val="49444963"/>
    <w:rsid w:val="495C1AEA"/>
    <w:rsid w:val="4968237E"/>
    <w:rsid w:val="497B013A"/>
    <w:rsid w:val="498A5CE0"/>
    <w:rsid w:val="49AA5DDB"/>
    <w:rsid w:val="49C33235"/>
    <w:rsid w:val="49D07F96"/>
    <w:rsid w:val="49F03D7D"/>
    <w:rsid w:val="49FE11CD"/>
    <w:rsid w:val="4A132ACD"/>
    <w:rsid w:val="4A1B2AE0"/>
    <w:rsid w:val="4A5974AE"/>
    <w:rsid w:val="4A5F41D2"/>
    <w:rsid w:val="4A9B304D"/>
    <w:rsid w:val="4AB76927"/>
    <w:rsid w:val="4ACC120F"/>
    <w:rsid w:val="4B2F74D4"/>
    <w:rsid w:val="4B352710"/>
    <w:rsid w:val="4B354939"/>
    <w:rsid w:val="4BA124B8"/>
    <w:rsid w:val="4BB614EB"/>
    <w:rsid w:val="4BBF538E"/>
    <w:rsid w:val="4BC72B1F"/>
    <w:rsid w:val="4BE91114"/>
    <w:rsid w:val="4C05627F"/>
    <w:rsid w:val="4C2A35FC"/>
    <w:rsid w:val="4C604C3A"/>
    <w:rsid w:val="4C7E20E0"/>
    <w:rsid w:val="4C8837C5"/>
    <w:rsid w:val="4CDA68EB"/>
    <w:rsid w:val="4CF66CAC"/>
    <w:rsid w:val="4CFC49EF"/>
    <w:rsid w:val="4D1E2DC9"/>
    <w:rsid w:val="4D4945EF"/>
    <w:rsid w:val="4D5C2B2D"/>
    <w:rsid w:val="4D8F4A7A"/>
    <w:rsid w:val="4DBB5D86"/>
    <w:rsid w:val="4E0527CE"/>
    <w:rsid w:val="4E1B15CD"/>
    <w:rsid w:val="4E411497"/>
    <w:rsid w:val="4E417DC3"/>
    <w:rsid w:val="4E770E53"/>
    <w:rsid w:val="4E8303B9"/>
    <w:rsid w:val="4E850B96"/>
    <w:rsid w:val="4E894356"/>
    <w:rsid w:val="4E9A409C"/>
    <w:rsid w:val="4EA57DC5"/>
    <w:rsid w:val="4ECE241F"/>
    <w:rsid w:val="4F0B7589"/>
    <w:rsid w:val="4F2A2679"/>
    <w:rsid w:val="4F4C5928"/>
    <w:rsid w:val="4F5F59CE"/>
    <w:rsid w:val="4F7D6285"/>
    <w:rsid w:val="4FC44855"/>
    <w:rsid w:val="501D5D39"/>
    <w:rsid w:val="502B6704"/>
    <w:rsid w:val="50805941"/>
    <w:rsid w:val="509718D4"/>
    <w:rsid w:val="50A236F3"/>
    <w:rsid w:val="50BC0F98"/>
    <w:rsid w:val="50BF20E2"/>
    <w:rsid w:val="50C14B62"/>
    <w:rsid w:val="50D3695C"/>
    <w:rsid w:val="50D6651B"/>
    <w:rsid w:val="510F1E0A"/>
    <w:rsid w:val="511122C0"/>
    <w:rsid w:val="511F19CD"/>
    <w:rsid w:val="51632FF8"/>
    <w:rsid w:val="51844645"/>
    <w:rsid w:val="519954EF"/>
    <w:rsid w:val="51BA5FCE"/>
    <w:rsid w:val="52003C83"/>
    <w:rsid w:val="520A5C81"/>
    <w:rsid w:val="524833B7"/>
    <w:rsid w:val="527C4A77"/>
    <w:rsid w:val="527F421B"/>
    <w:rsid w:val="528C3E64"/>
    <w:rsid w:val="52F72AA8"/>
    <w:rsid w:val="532067C9"/>
    <w:rsid w:val="53251CDC"/>
    <w:rsid w:val="53343624"/>
    <w:rsid w:val="533E3FEB"/>
    <w:rsid w:val="53635670"/>
    <w:rsid w:val="537F6D72"/>
    <w:rsid w:val="539B4555"/>
    <w:rsid w:val="539E16DA"/>
    <w:rsid w:val="53A32513"/>
    <w:rsid w:val="53CF2225"/>
    <w:rsid w:val="53FE592D"/>
    <w:rsid w:val="54042746"/>
    <w:rsid w:val="54126C5B"/>
    <w:rsid w:val="544F4F75"/>
    <w:rsid w:val="545144FD"/>
    <w:rsid w:val="546C70EA"/>
    <w:rsid w:val="551F6956"/>
    <w:rsid w:val="55627EA8"/>
    <w:rsid w:val="557137A4"/>
    <w:rsid w:val="557C2064"/>
    <w:rsid w:val="559A66C2"/>
    <w:rsid w:val="55C374A8"/>
    <w:rsid w:val="55D6253B"/>
    <w:rsid w:val="55EB6F64"/>
    <w:rsid w:val="55EC1152"/>
    <w:rsid w:val="55FB4216"/>
    <w:rsid w:val="56203E5A"/>
    <w:rsid w:val="563E7D25"/>
    <w:rsid w:val="56580428"/>
    <w:rsid w:val="56684980"/>
    <w:rsid w:val="56792962"/>
    <w:rsid w:val="56AD1477"/>
    <w:rsid w:val="56B42AB9"/>
    <w:rsid w:val="56EB337E"/>
    <w:rsid w:val="57247F65"/>
    <w:rsid w:val="573B3F98"/>
    <w:rsid w:val="57492FAC"/>
    <w:rsid w:val="58225E02"/>
    <w:rsid w:val="58520694"/>
    <w:rsid w:val="585E5BA8"/>
    <w:rsid w:val="587122DA"/>
    <w:rsid w:val="588E13BF"/>
    <w:rsid w:val="5891699E"/>
    <w:rsid w:val="58AC609E"/>
    <w:rsid w:val="58CA0850"/>
    <w:rsid w:val="58EA34F4"/>
    <w:rsid w:val="58F6102A"/>
    <w:rsid w:val="59031A39"/>
    <w:rsid w:val="59194AD7"/>
    <w:rsid w:val="597F3785"/>
    <w:rsid w:val="59BA2941"/>
    <w:rsid w:val="59C95467"/>
    <w:rsid w:val="59E319A6"/>
    <w:rsid w:val="59E96494"/>
    <w:rsid w:val="5A3676DD"/>
    <w:rsid w:val="5A3C594E"/>
    <w:rsid w:val="5A4009BF"/>
    <w:rsid w:val="5A6D7EBD"/>
    <w:rsid w:val="5A6F0593"/>
    <w:rsid w:val="5AAE2683"/>
    <w:rsid w:val="5ACA252E"/>
    <w:rsid w:val="5ADE4867"/>
    <w:rsid w:val="5AEF1271"/>
    <w:rsid w:val="5AF04581"/>
    <w:rsid w:val="5B10362C"/>
    <w:rsid w:val="5B395C6D"/>
    <w:rsid w:val="5BAD4AB0"/>
    <w:rsid w:val="5BC3189A"/>
    <w:rsid w:val="5BF41C67"/>
    <w:rsid w:val="5C240674"/>
    <w:rsid w:val="5C24195F"/>
    <w:rsid w:val="5C3021B3"/>
    <w:rsid w:val="5C594EF0"/>
    <w:rsid w:val="5C62465A"/>
    <w:rsid w:val="5C965AD7"/>
    <w:rsid w:val="5C9C1AB7"/>
    <w:rsid w:val="5CF94E7D"/>
    <w:rsid w:val="5D312DA5"/>
    <w:rsid w:val="5D586B67"/>
    <w:rsid w:val="5D5B6193"/>
    <w:rsid w:val="5D611CF6"/>
    <w:rsid w:val="5D7B238B"/>
    <w:rsid w:val="5D953B1C"/>
    <w:rsid w:val="5D983C26"/>
    <w:rsid w:val="5D996EBC"/>
    <w:rsid w:val="5DBA54DC"/>
    <w:rsid w:val="5DEB0993"/>
    <w:rsid w:val="5E042870"/>
    <w:rsid w:val="5E7D30ED"/>
    <w:rsid w:val="5EAE2515"/>
    <w:rsid w:val="5EF0582B"/>
    <w:rsid w:val="5F435985"/>
    <w:rsid w:val="5F4D79D3"/>
    <w:rsid w:val="5FB62151"/>
    <w:rsid w:val="5FCF6E40"/>
    <w:rsid w:val="5FDF3616"/>
    <w:rsid w:val="5FED676F"/>
    <w:rsid w:val="601A4B11"/>
    <w:rsid w:val="607209CF"/>
    <w:rsid w:val="60873C43"/>
    <w:rsid w:val="608C742D"/>
    <w:rsid w:val="6091482D"/>
    <w:rsid w:val="609B7E78"/>
    <w:rsid w:val="60AA7836"/>
    <w:rsid w:val="60AB765E"/>
    <w:rsid w:val="60DD1149"/>
    <w:rsid w:val="60E85A88"/>
    <w:rsid w:val="61051D03"/>
    <w:rsid w:val="610D34E3"/>
    <w:rsid w:val="612D657A"/>
    <w:rsid w:val="6153188F"/>
    <w:rsid w:val="61F13505"/>
    <w:rsid w:val="61F70891"/>
    <w:rsid w:val="62081E98"/>
    <w:rsid w:val="620B661D"/>
    <w:rsid w:val="624812F3"/>
    <w:rsid w:val="6264571E"/>
    <w:rsid w:val="62AC3EE8"/>
    <w:rsid w:val="62AE5028"/>
    <w:rsid w:val="62BE7E2A"/>
    <w:rsid w:val="62DB04CF"/>
    <w:rsid w:val="62F95F84"/>
    <w:rsid w:val="63027C9D"/>
    <w:rsid w:val="636E0FFC"/>
    <w:rsid w:val="63AC68ED"/>
    <w:rsid w:val="640A64F7"/>
    <w:rsid w:val="64340F42"/>
    <w:rsid w:val="64676CB4"/>
    <w:rsid w:val="64A642B7"/>
    <w:rsid w:val="65075DE6"/>
    <w:rsid w:val="65231E3A"/>
    <w:rsid w:val="65482DDF"/>
    <w:rsid w:val="654A5867"/>
    <w:rsid w:val="65931EDD"/>
    <w:rsid w:val="65B23AC1"/>
    <w:rsid w:val="65DE28A6"/>
    <w:rsid w:val="65E60B6F"/>
    <w:rsid w:val="66041C0C"/>
    <w:rsid w:val="66613728"/>
    <w:rsid w:val="666910D5"/>
    <w:rsid w:val="667A0BE3"/>
    <w:rsid w:val="66B43920"/>
    <w:rsid w:val="66FE32A8"/>
    <w:rsid w:val="67540551"/>
    <w:rsid w:val="679C7331"/>
    <w:rsid w:val="67AF6427"/>
    <w:rsid w:val="67CA21D2"/>
    <w:rsid w:val="67CD2E0A"/>
    <w:rsid w:val="67E95CE9"/>
    <w:rsid w:val="67FE7603"/>
    <w:rsid w:val="680D034C"/>
    <w:rsid w:val="6815685E"/>
    <w:rsid w:val="684A29D3"/>
    <w:rsid w:val="688B3E6F"/>
    <w:rsid w:val="68975BA0"/>
    <w:rsid w:val="68AE4C8E"/>
    <w:rsid w:val="68C72BC1"/>
    <w:rsid w:val="68FF13A4"/>
    <w:rsid w:val="690178B8"/>
    <w:rsid w:val="69497B31"/>
    <w:rsid w:val="695318FB"/>
    <w:rsid w:val="6958523A"/>
    <w:rsid w:val="69854E5E"/>
    <w:rsid w:val="699E4E29"/>
    <w:rsid w:val="699F31A7"/>
    <w:rsid w:val="6A4A278F"/>
    <w:rsid w:val="6A5F1E0E"/>
    <w:rsid w:val="6A736CBD"/>
    <w:rsid w:val="6A845C6A"/>
    <w:rsid w:val="6A9E6904"/>
    <w:rsid w:val="6AC36461"/>
    <w:rsid w:val="6AFF3C12"/>
    <w:rsid w:val="6B1F5808"/>
    <w:rsid w:val="6B25333A"/>
    <w:rsid w:val="6B4B3FBF"/>
    <w:rsid w:val="6B5D1494"/>
    <w:rsid w:val="6B795DAA"/>
    <w:rsid w:val="6BC74DB9"/>
    <w:rsid w:val="6BCD3C6B"/>
    <w:rsid w:val="6BF8707F"/>
    <w:rsid w:val="6C2B5BB8"/>
    <w:rsid w:val="6C8267EF"/>
    <w:rsid w:val="6CA25293"/>
    <w:rsid w:val="6CC61278"/>
    <w:rsid w:val="6CCC120C"/>
    <w:rsid w:val="6CE02A99"/>
    <w:rsid w:val="6CE420E2"/>
    <w:rsid w:val="6CFB0AEE"/>
    <w:rsid w:val="6D04283D"/>
    <w:rsid w:val="6D1A649B"/>
    <w:rsid w:val="6D294295"/>
    <w:rsid w:val="6D2E186C"/>
    <w:rsid w:val="6DBF3308"/>
    <w:rsid w:val="6E0428BC"/>
    <w:rsid w:val="6E0A5F6B"/>
    <w:rsid w:val="6E0B6F9C"/>
    <w:rsid w:val="6E320196"/>
    <w:rsid w:val="6E39241B"/>
    <w:rsid w:val="6ECE7846"/>
    <w:rsid w:val="6EE03BED"/>
    <w:rsid w:val="6F5A5949"/>
    <w:rsid w:val="6FAF644F"/>
    <w:rsid w:val="6FB1408D"/>
    <w:rsid w:val="6FDE5227"/>
    <w:rsid w:val="70462B36"/>
    <w:rsid w:val="70553C42"/>
    <w:rsid w:val="70901464"/>
    <w:rsid w:val="70940BF4"/>
    <w:rsid w:val="70A96FE6"/>
    <w:rsid w:val="70B4602B"/>
    <w:rsid w:val="71072DD9"/>
    <w:rsid w:val="716B1A32"/>
    <w:rsid w:val="718C3E37"/>
    <w:rsid w:val="71915716"/>
    <w:rsid w:val="71955EFB"/>
    <w:rsid w:val="720E7483"/>
    <w:rsid w:val="7211401C"/>
    <w:rsid w:val="721627CD"/>
    <w:rsid w:val="72576952"/>
    <w:rsid w:val="72661D6D"/>
    <w:rsid w:val="72A37546"/>
    <w:rsid w:val="72DE2250"/>
    <w:rsid w:val="72E12135"/>
    <w:rsid w:val="72E2594D"/>
    <w:rsid w:val="72F20A73"/>
    <w:rsid w:val="73054401"/>
    <w:rsid w:val="730D36FB"/>
    <w:rsid w:val="73150A3D"/>
    <w:rsid w:val="73716B6C"/>
    <w:rsid w:val="737B0A6B"/>
    <w:rsid w:val="73CE085D"/>
    <w:rsid w:val="73E44663"/>
    <w:rsid w:val="74282365"/>
    <w:rsid w:val="74427782"/>
    <w:rsid w:val="74512320"/>
    <w:rsid w:val="745B2E48"/>
    <w:rsid w:val="74B3429D"/>
    <w:rsid w:val="74CC51DA"/>
    <w:rsid w:val="74F304CE"/>
    <w:rsid w:val="75146837"/>
    <w:rsid w:val="751533C0"/>
    <w:rsid w:val="751A33F0"/>
    <w:rsid w:val="75294F97"/>
    <w:rsid w:val="75505E1F"/>
    <w:rsid w:val="75670781"/>
    <w:rsid w:val="75BE639A"/>
    <w:rsid w:val="75C13364"/>
    <w:rsid w:val="75E67078"/>
    <w:rsid w:val="762D2664"/>
    <w:rsid w:val="76443A1D"/>
    <w:rsid w:val="767E1270"/>
    <w:rsid w:val="768123B7"/>
    <w:rsid w:val="76912CC2"/>
    <w:rsid w:val="76AB6B0A"/>
    <w:rsid w:val="76D2656C"/>
    <w:rsid w:val="76E60A8D"/>
    <w:rsid w:val="77280D22"/>
    <w:rsid w:val="77526882"/>
    <w:rsid w:val="77836411"/>
    <w:rsid w:val="778C35D8"/>
    <w:rsid w:val="780E027F"/>
    <w:rsid w:val="782034A7"/>
    <w:rsid w:val="78306DEB"/>
    <w:rsid w:val="7866636C"/>
    <w:rsid w:val="78734977"/>
    <w:rsid w:val="78A3381B"/>
    <w:rsid w:val="78BE2D03"/>
    <w:rsid w:val="79182CA6"/>
    <w:rsid w:val="794C5432"/>
    <w:rsid w:val="79622438"/>
    <w:rsid w:val="79754725"/>
    <w:rsid w:val="79A70769"/>
    <w:rsid w:val="79DB7F00"/>
    <w:rsid w:val="79DE162C"/>
    <w:rsid w:val="79EE0681"/>
    <w:rsid w:val="7A1D101B"/>
    <w:rsid w:val="7A2540B3"/>
    <w:rsid w:val="7A480199"/>
    <w:rsid w:val="7A603F19"/>
    <w:rsid w:val="7A6C7660"/>
    <w:rsid w:val="7AA73E5E"/>
    <w:rsid w:val="7AAD6471"/>
    <w:rsid w:val="7AC23622"/>
    <w:rsid w:val="7B0254DE"/>
    <w:rsid w:val="7B39348F"/>
    <w:rsid w:val="7B6962D7"/>
    <w:rsid w:val="7B6A2CF0"/>
    <w:rsid w:val="7B84298F"/>
    <w:rsid w:val="7B873604"/>
    <w:rsid w:val="7BA919F6"/>
    <w:rsid w:val="7BAA2185"/>
    <w:rsid w:val="7C361FD1"/>
    <w:rsid w:val="7C4E181F"/>
    <w:rsid w:val="7C6F6FAC"/>
    <w:rsid w:val="7C781FB0"/>
    <w:rsid w:val="7C914A01"/>
    <w:rsid w:val="7CA03FCB"/>
    <w:rsid w:val="7CA9403B"/>
    <w:rsid w:val="7CAE2104"/>
    <w:rsid w:val="7D644F18"/>
    <w:rsid w:val="7DA94C83"/>
    <w:rsid w:val="7E293911"/>
    <w:rsid w:val="7E2F51D6"/>
    <w:rsid w:val="7E4D65E6"/>
    <w:rsid w:val="7E79238B"/>
    <w:rsid w:val="7E8143F3"/>
    <w:rsid w:val="7E931354"/>
    <w:rsid w:val="7EB554A1"/>
    <w:rsid w:val="7F054EDA"/>
    <w:rsid w:val="7F153ED5"/>
    <w:rsid w:val="7F2F6C90"/>
    <w:rsid w:val="7F70522E"/>
    <w:rsid w:val="7F776C84"/>
    <w:rsid w:val="7F7E3D1E"/>
    <w:rsid w:val="7F8C6B77"/>
    <w:rsid w:val="7F961060"/>
    <w:rsid w:val="7FC746CE"/>
    <w:rsid w:val="7FCF14D7"/>
    <w:rsid w:val="7FD00373"/>
    <w:rsid w:val="7FE6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4"/>
    <w:uiPriority w:val="99"/>
    <w:pPr>
      <w:keepNext/>
      <w:keepLines/>
      <w:spacing w:before="340" w:after="330" w:line="578" w:lineRule="auto"/>
      <w:outlineLvl w:val="0"/>
    </w:pPr>
    <w:rPr>
      <w:rFonts w:eastAsia="宋体"/>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Cambria" w:hAnsi="Cambria"/>
      <w:b/>
      <w:bCs/>
      <w:szCs w:val="32"/>
    </w:rPr>
  </w:style>
  <w:style w:type="character" w:default="1" w:styleId="23">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toc 7"/>
    <w:basedOn w:val="1"/>
    <w:next w:val="1"/>
    <w:uiPriority w:val="0"/>
    <w:pPr>
      <w:ind w:left="1800"/>
      <w:jc w:val="left"/>
    </w:pPr>
    <w:rPr>
      <w:rFonts w:asciiTheme="minorHAnsi" w:hAnsiTheme="minorHAnsi"/>
      <w:sz w:val="18"/>
      <w:szCs w:val="18"/>
    </w:rPr>
  </w:style>
  <w:style w:type="paragraph" w:styleId="5">
    <w:name w:val="Body Text Indent"/>
    <w:basedOn w:val="1"/>
    <w:link w:val="29"/>
    <w:qFormat/>
    <w:uiPriority w:val="0"/>
    <w:pPr>
      <w:autoSpaceDE w:val="0"/>
      <w:autoSpaceDN w:val="0"/>
      <w:adjustRightInd w:val="0"/>
      <w:snapToGrid w:val="0"/>
      <w:spacing w:line="588" w:lineRule="atLeast"/>
      <w:ind w:left="1596" w:hanging="969"/>
    </w:pPr>
    <w:rPr>
      <w:rFonts w:ascii="宋体" w:hAnsi="宋体"/>
      <w:spacing w:val="6"/>
    </w:rPr>
  </w:style>
  <w:style w:type="paragraph" w:styleId="6">
    <w:name w:val="toc 5"/>
    <w:basedOn w:val="1"/>
    <w:next w:val="1"/>
    <w:qFormat/>
    <w:uiPriority w:val="0"/>
    <w:pPr>
      <w:ind w:left="1200"/>
      <w:jc w:val="left"/>
    </w:pPr>
    <w:rPr>
      <w:rFonts w:asciiTheme="minorHAnsi" w:hAnsiTheme="minorHAnsi"/>
      <w:sz w:val="18"/>
      <w:szCs w:val="18"/>
    </w:rPr>
  </w:style>
  <w:style w:type="paragraph" w:styleId="7">
    <w:name w:val="toc 3"/>
    <w:basedOn w:val="1"/>
    <w:next w:val="1"/>
    <w:qFormat/>
    <w:uiPriority w:val="39"/>
    <w:pPr>
      <w:ind w:left="600"/>
      <w:jc w:val="left"/>
    </w:pPr>
    <w:rPr>
      <w:rFonts w:asciiTheme="minorHAnsi" w:hAnsiTheme="minorHAnsi"/>
      <w:i/>
      <w:iCs/>
      <w:sz w:val="20"/>
      <w:szCs w:val="20"/>
    </w:rPr>
  </w:style>
  <w:style w:type="paragraph" w:styleId="8">
    <w:name w:val="Plain Text"/>
    <w:basedOn w:val="1"/>
    <w:qFormat/>
    <w:uiPriority w:val="0"/>
    <w:rPr>
      <w:rFonts w:ascii="宋体" w:hAnsi="Courier New" w:cs="Courier New"/>
      <w:szCs w:val="21"/>
    </w:rPr>
  </w:style>
  <w:style w:type="paragraph" w:styleId="9">
    <w:name w:val="toc 8"/>
    <w:basedOn w:val="1"/>
    <w:next w:val="1"/>
    <w:qFormat/>
    <w:uiPriority w:val="0"/>
    <w:pPr>
      <w:ind w:left="2100"/>
      <w:jc w:val="left"/>
    </w:pPr>
    <w:rPr>
      <w:rFonts w:asciiTheme="minorHAnsi" w:hAnsiTheme="minorHAnsi"/>
      <w:sz w:val="18"/>
      <w:szCs w:val="18"/>
    </w:rPr>
  </w:style>
  <w:style w:type="paragraph" w:styleId="10">
    <w:name w:val="Balloon Text"/>
    <w:basedOn w:val="1"/>
    <w:link w:val="4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pPr>
      <w:spacing w:before="120" w:after="120"/>
      <w:jc w:val="left"/>
    </w:pPr>
    <w:rPr>
      <w:rFonts w:asciiTheme="minorHAnsi" w:hAnsiTheme="minorHAnsi"/>
      <w:b/>
      <w:bCs/>
      <w:caps/>
      <w:sz w:val="20"/>
      <w:szCs w:val="20"/>
    </w:rPr>
  </w:style>
  <w:style w:type="paragraph" w:styleId="14">
    <w:name w:val="toc 4"/>
    <w:basedOn w:val="1"/>
    <w:next w:val="1"/>
    <w:qFormat/>
    <w:uiPriority w:val="0"/>
    <w:pPr>
      <w:ind w:left="900"/>
      <w:jc w:val="left"/>
    </w:pPr>
    <w:rPr>
      <w:rFonts w:asciiTheme="minorHAnsi" w:hAnsiTheme="minorHAnsi"/>
      <w:sz w:val="18"/>
      <w:szCs w:val="18"/>
    </w:rPr>
  </w:style>
  <w:style w:type="paragraph" w:styleId="15">
    <w:name w:val="toc 6"/>
    <w:basedOn w:val="1"/>
    <w:next w:val="1"/>
    <w:qFormat/>
    <w:uiPriority w:val="0"/>
    <w:pPr>
      <w:ind w:left="1500"/>
      <w:jc w:val="left"/>
    </w:pPr>
    <w:rPr>
      <w:rFonts w:asciiTheme="minorHAnsi" w:hAnsiTheme="minorHAnsi"/>
      <w:sz w:val="18"/>
      <w:szCs w:val="18"/>
    </w:rPr>
  </w:style>
  <w:style w:type="paragraph" w:styleId="16">
    <w:name w:val="toc 2"/>
    <w:basedOn w:val="1"/>
    <w:next w:val="1"/>
    <w:unhideWhenUsed/>
    <w:qFormat/>
    <w:uiPriority w:val="39"/>
    <w:pPr>
      <w:ind w:left="300"/>
      <w:jc w:val="left"/>
    </w:pPr>
    <w:rPr>
      <w:rFonts w:asciiTheme="minorHAnsi" w:hAnsiTheme="minorHAnsi"/>
      <w:smallCaps/>
      <w:sz w:val="20"/>
      <w:szCs w:val="20"/>
    </w:rPr>
  </w:style>
  <w:style w:type="paragraph" w:styleId="17">
    <w:name w:val="toc 9"/>
    <w:basedOn w:val="1"/>
    <w:next w:val="1"/>
    <w:qFormat/>
    <w:uiPriority w:val="0"/>
    <w:pPr>
      <w:ind w:left="2400"/>
      <w:jc w:val="left"/>
    </w:pPr>
    <w:rPr>
      <w:rFonts w:asciiTheme="minorHAnsi" w:hAnsiTheme="minorHAnsi"/>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Cambria" w:hAnsi="Cambria" w:eastAsia="宋体"/>
      <w:b/>
      <w:bCs/>
      <w:kern w:val="0"/>
      <w:szCs w:val="32"/>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Theme"/>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FollowedHyperlink"/>
    <w:qFormat/>
    <w:uiPriority w:val="0"/>
    <w:rPr>
      <w:color w:val="000000"/>
      <w:sz w:val="18"/>
      <w:szCs w:val="18"/>
      <w:u w:val="none"/>
    </w:rPr>
  </w:style>
  <w:style w:type="character" w:styleId="26">
    <w:name w:val="Hyperlink"/>
    <w:unhideWhenUsed/>
    <w:qFormat/>
    <w:uiPriority w:val="99"/>
    <w:rPr>
      <w:color w:val="0563C1"/>
      <w:u w:val="single"/>
    </w:rPr>
  </w:style>
  <w:style w:type="character" w:customStyle="1" w:styleId="27">
    <w:name w:val="font51"/>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character" w:customStyle="1" w:styleId="29">
    <w:name w:val="正文文本缩进 字符"/>
    <w:link w:val="5"/>
    <w:qFormat/>
    <w:uiPriority w:val="0"/>
    <w:rPr>
      <w:rFonts w:ascii="宋体" w:hAnsi="宋体" w:eastAsia="仿宋_GB2312"/>
      <w:spacing w:val="6"/>
      <w:kern w:val="2"/>
      <w:sz w:val="30"/>
      <w:szCs w:val="24"/>
    </w:rPr>
  </w:style>
  <w:style w:type="character" w:customStyle="1" w:styleId="30">
    <w:name w:val="font61"/>
    <w:qFormat/>
    <w:uiPriority w:val="0"/>
    <w:rPr>
      <w:rFonts w:hint="eastAsia" w:ascii="宋体" w:hAnsi="宋体" w:eastAsia="宋体" w:cs="宋体"/>
      <w:color w:val="000000"/>
      <w:sz w:val="20"/>
      <w:szCs w:val="20"/>
      <w:u w:val="none"/>
    </w:rPr>
  </w:style>
  <w:style w:type="character" w:customStyle="1" w:styleId="31">
    <w:name w:val="font01"/>
    <w:qFormat/>
    <w:uiPriority w:val="0"/>
    <w:rPr>
      <w:rFonts w:hint="eastAsia" w:ascii="宋体" w:hAnsi="宋体" w:eastAsia="宋体" w:cs="宋体"/>
      <w:color w:val="000000"/>
      <w:sz w:val="20"/>
      <w:szCs w:val="20"/>
      <w:u w:val="none"/>
    </w:rPr>
  </w:style>
  <w:style w:type="character" w:customStyle="1" w:styleId="32">
    <w:name w:val="font41"/>
    <w:qFormat/>
    <w:uiPriority w:val="0"/>
    <w:rPr>
      <w:rFonts w:hint="default" w:ascii="Times New Roman" w:hAnsi="Times New Roman" w:cs="Times New Roman"/>
      <w:color w:val="000000"/>
      <w:sz w:val="20"/>
      <w:szCs w:val="20"/>
      <w:u w:val="none"/>
    </w:rPr>
  </w:style>
  <w:style w:type="character" w:customStyle="1" w:styleId="33">
    <w:name w:val="标题 2 字符"/>
    <w:link w:val="3"/>
    <w:qFormat/>
    <w:uiPriority w:val="0"/>
    <w:rPr>
      <w:rFonts w:ascii="Cambria" w:hAnsi="Cambria" w:eastAsia="仿宋_GB2312"/>
      <w:b/>
      <w:bCs/>
      <w:kern w:val="2"/>
      <w:sz w:val="32"/>
      <w:szCs w:val="32"/>
    </w:rPr>
  </w:style>
  <w:style w:type="character" w:customStyle="1" w:styleId="34">
    <w:name w:val="标题 1 字符"/>
    <w:link w:val="2"/>
    <w:qFormat/>
    <w:uiPriority w:val="99"/>
    <w:rPr>
      <w:b/>
      <w:bCs/>
      <w:kern w:val="44"/>
      <w:sz w:val="44"/>
      <w:szCs w:val="44"/>
    </w:rPr>
  </w:style>
  <w:style w:type="character" w:customStyle="1" w:styleId="35">
    <w:name w:val="font11"/>
    <w:qFormat/>
    <w:uiPriority w:val="0"/>
    <w:rPr>
      <w:rFonts w:hint="eastAsia" w:ascii="宋体" w:hAnsi="宋体" w:eastAsia="宋体" w:cs="宋体"/>
      <w:color w:val="000000"/>
      <w:sz w:val="20"/>
      <w:szCs w:val="20"/>
      <w:u w:val="none"/>
    </w:rPr>
  </w:style>
  <w:style w:type="character" w:customStyle="1" w:styleId="36">
    <w:name w:val="font71"/>
    <w:uiPriority w:val="0"/>
    <w:rPr>
      <w:rFonts w:hint="eastAsia" w:ascii="宋体" w:hAnsi="宋体" w:eastAsia="宋体" w:cs="宋体"/>
      <w:color w:val="000000"/>
      <w:sz w:val="16"/>
      <w:szCs w:val="16"/>
      <w:u w:val="none"/>
    </w:rPr>
  </w:style>
  <w:style w:type="paragraph" w:customStyle="1" w:styleId="37">
    <w:name w:val="标题 11"/>
    <w:basedOn w:val="1"/>
    <w:uiPriority w:val="1"/>
    <w:pPr>
      <w:ind w:left="226"/>
      <w:outlineLvl w:val="1"/>
    </w:pPr>
    <w:rPr>
      <w:rFonts w:ascii="仿宋_GB2312" w:hAnsi="仿宋_GB2312"/>
      <w:szCs w:val="32"/>
    </w:rPr>
  </w:style>
  <w:style w:type="paragraph" w:customStyle="1" w:styleId="38">
    <w:name w:val="TOC 标题1"/>
    <w:basedOn w:val="2"/>
    <w:next w:val="1"/>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9">
    <w:name w:val="WPSOffice手动目录 3"/>
    <w:uiPriority w:val="0"/>
    <w:pPr>
      <w:ind w:left="400" w:leftChars="400"/>
    </w:pPr>
    <w:rPr>
      <w:rFonts w:ascii="Times New Roman" w:hAnsi="Times New Roman" w:eastAsia="宋体" w:cs="Times New Roman"/>
      <w:lang w:val="en-US" w:eastAsia="zh-CN" w:bidi="ar-SA"/>
    </w:rPr>
  </w:style>
  <w:style w:type="paragraph" w:customStyle="1" w:styleId="40">
    <w:name w:val="WPSOffice手动目录 1"/>
    <w:uiPriority w:val="0"/>
    <w:rPr>
      <w:rFonts w:ascii="Times New Roman" w:hAnsi="Times New Roman" w:eastAsia="宋体" w:cs="Times New Roman"/>
      <w:lang w:val="en-US" w:eastAsia="zh-CN" w:bidi="ar-SA"/>
    </w:rPr>
  </w:style>
  <w:style w:type="paragraph" w:customStyle="1" w:styleId="41">
    <w:name w:val="WPSOffice手动目录 2"/>
    <w:uiPriority w:val="0"/>
    <w:pPr>
      <w:ind w:left="200" w:leftChars="200"/>
    </w:pPr>
    <w:rPr>
      <w:rFonts w:ascii="Times New Roman" w:hAnsi="Times New Roman" w:eastAsia="宋体" w:cs="Times New Roman"/>
      <w:lang w:val="en-US" w:eastAsia="zh-CN" w:bidi="ar-SA"/>
    </w:rPr>
  </w:style>
  <w:style w:type="character" w:customStyle="1" w:styleId="42">
    <w:name w:val="批注框文本 字符"/>
    <w:basedOn w:val="23"/>
    <w:link w:val="10"/>
    <w:qFormat/>
    <w:uiPriority w:val="0"/>
    <w:rPr>
      <w:rFonts w:eastAsia="仿宋_GB2312"/>
      <w:kern w:val="2"/>
      <w:sz w:val="18"/>
      <w:szCs w:val="18"/>
    </w:rPr>
  </w:style>
  <w:style w:type="paragraph" w:styleId="43">
    <w:name w:val="List Paragraph"/>
    <w:basedOn w:val="1"/>
    <w:uiPriority w:val="99"/>
    <w:pPr>
      <w:ind w:firstLine="420" w:firstLineChars="200"/>
    </w:pPr>
  </w:style>
  <w:style w:type="paragraph" w:customStyle="1" w:styleId="4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3601;&#19994;&#34917;&#21161;&#36164;&#3732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3601;&#19994;&#34917;&#21161;&#36164;&#373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[就业补助资金.xlsx]Sheet1!数据透视表7</c:name>
    <c:fmtId val="-1"/>
  </c:pivotSource>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Sheet1!$H$3</c:f>
              <c:strCache>
                <c:ptCount val="1"/>
                <c:pt idx="0">
                  <c:v>汇总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Sheet1!$G$4:$G$12</c:f>
              <c:strCache>
                <c:ptCount val="8"/>
                <c:pt idx="0">
                  <c:v>就业见习补贴</c:v>
                </c:pt>
                <c:pt idx="1">
                  <c:v>房租物业水电费补贴</c:v>
                </c:pt>
                <c:pt idx="2">
                  <c:v>职业培训补贴</c:v>
                </c:pt>
                <c:pt idx="3">
                  <c:v>社会保险补贴</c:v>
                </c:pt>
                <c:pt idx="4">
                  <c:v>岗位补贴</c:v>
                </c:pt>
                <c:pt idx="5">
                  <c:v>职业技能鉴定补贴</c:v>
                </c:pt>
                <c:pt idx="6">
                  <c:v>求职补贴</c:v>
                </c:pt>
                <c:pt idx="7">
                  <c:v>创业补贴</c:v>
                </c:pt>
              </c:strCache>
            </c:strRef>
          </c:cat>
          <c:val>
            <c:numRef>
              <c:f>Sheet1!$H$4:$H$12</c:f>
              <c:numCache>
                <c:formatCode>General</c:formatCode>
                <c:ptCount val="8"/>
                <c:pt idx="0">
                  <c:v>280</c:v>
                </c:pt>
                <c:pt idx="1">
                  <c:v>193</c:v>
                </c:pt>
                <c:pt idx="2">
                  <c:v>185</c:v>
                </c:pt>
                <c:pt idx="3">
                  <c:v>174</c:v>
                </c:pt>
                <c:pt idx="4">
                  <c:v>119</c:v>
                </c:pt>
                <c:pt idx="5">
                  <c:v>115</c:v>
                </c:pt>
                <c:pt idx="6">
                  <c:v>10</c:v>
                </c:pt>
                <c:pt idx="7">
                  <c:v>1</c:v>
                </c:pt>
              </c:numCache>
            </c:numRef>
          </c:val>
        </c:ser>
        <c:dLbls>
          <c:showLegendKey val="0"/>
          <c:showVal val="0"/>
          <c:showCatName val="0"/>
          <c:showSerName val="0"/>
          <c:showPercent val="0"/>
          <c:showBubbleSize val="0"/>
        </c:dLbls>
        <c:gapWidth val="219"/>
        <c:overlap val="-27"/>
        <c:axId val="538348080"/>
        <c:axId val="538353000"/>
      </c:barChart>
      <c:catAx>
        <c:axId val="53834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353000"/>
        <c:crosses val="autoZero"/>
        <c:auto val="1"/>
        <c:lblAlgn val="ctr"/>
        <c:lblOffset val="100"/>
        <c:noMultiLvlLbl val="0"/>
      </c:catAx>
      <c:valAx>
        <c:axId val="538353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348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[就业补助资金.xlsx]Sheet1!数据透视表9</c:name>
    <c:fmtId val="-1"/>
  </c:pivotSource>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Sheet1!$H$19</c:f>
              <c:strCache>
                <c:ptCount val="1"/>
                <c:pt idx="0">
                  <c:v>汇总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Sheet1!$G$20:$G$28</c:f>
              <c:strCache>
                <c:ptCount val="8"/>
                <c:pt idx="0">
                  <c:v>房租物业水电费补贴</c:v>
                </c:pt>
                <c:pt idx="1">
                  <c:v>就业见习补贴</c:v>
                </c:pt>
                <c:pt idx="2">
                  <c:v>岗位补贴</c:v>
                </c:pt>
                <c:pt idx="3">
                  <c:v>社会保险补贴</c:v>
                </c:pt>
                <c:pt idx="4">
                  <c:v>职业培训补贴</c:v>
                </c:pt>
                <c:pt idx="5">
                  <c:v>职业技能鉴定补贴</c:v>
                </c:pt>
                <c:pt idx="6">
                  <c:v>求职补贴</c:v>
                </c:pt>
                <c:pt idx="7">
                  <c:v>创业补贴</c:v>
                </c:pt>
              </c:strCache>
            </c:strRef>
          </c:cat>
          <c:val>
            <c:numRef>
              <c:f>Sheet1!$H$20:$H$28</c:f>
              <c:numCache>
                <c:formatCode>General</c:formatCode>
                <c:ptCount val="8"/>
                <c:pt idx="0">
                  <c:v>357.93</c:v>
                </c:pt>
                <c:pt idx="1">
                  <c:v>285.05</c:v>
                </c:pt>
                <c:pt idx="2">
                  <c:v>152.95</c:v>
                </c:pt>
                <c:pt idx="3">
                  <c:v>73.64</c:v>
                </c:pt>
                <c:pt idx="4">
                  <c:v>22.39</c:v>
                </c:pt>
                <c:pt idx="5">
                  <c:v>2.41</c:v>
                </c:pt>
                <c:pt idx="6">
                  <c:v>2</c:v>
                </c:pt>
                <c:pt idx="7">
                  <c:v>0.5</c:v>
                </c:pt>
              </c:numCache>
            </c:numRef>
          </c:val>
        </c:ser>
        <c:dLbls>
          <c:showLegendKey val="0"/>
          <c:showVal val="0"/>
          <c:showCatName val="0"/>
          <c:showSerName val="0"/>
          <c:showPercent val="0"/>
          <c:showBubbleSize val="0"/>
        </c:dLbls>
        <c:gapWidth val="219"/>
        <c:overlap val="-27"/>
        <c:axId val="540554160"/>
        <c:axId val="540554488"/>
      </c:barChart>
      <c:catAx>
        <c:axId val="54055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0554488"/>
        <c:crosses val="autoZero"/>
        <c:auto val="1"/>
        <c:lblAlgn val="ctr"/>
        <c:lblOffset val="100"/>
        <c:noMultiLvlLbl val="0"/>
      </c:catAx>
      <c:valAx>
        <c:axId val="54055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0554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8"/>
    <customShpInfo spid="_x0000_s10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52681-5AE3-4D9C-A46B-216BF3BFD299}">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30</Pages>
  <Words>2430</Words>
  <Characters>13855</Characters>
  <Lines>115</Lines>
  <Paragraphs>32</Paragraphs>
  <TotalTime>121</TotalTime>
  <ScaleCrop>false</ScaleCrop>
  <LinksUpToDate>false</LinksUpToDate>
  <CharactersWithSpaces>16253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2020-05-23T06:47:00Z</dcterms:created>
  <dc:creator>89532</dc:creator>
  <cp:lastModifiedBy>user</cp:lastModifiedBy>
  <cp:lastPrinted>2018-06-28T08:27:00Z</cp:lastPrinted>
  <dcterms:modified xsi:type="dcterms:W3CDTF">2025-05-14T05:48:18Z</dcterms:modified>
  <cp:revision>653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96174E97BA794EB78A87672E9FBCADE5</vt:lpwstr>
  </property>
</Properties>
</file>