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sz w:val="48"/>
          <w:szCs w:val="48"/>
        </w:rPr>
      </w:pPr>
      <w:r>
        <w:rPr>
          <w:rFonts w:eastAsia="黑体"/>
          <w:b/>
          <w:bCs/>
          <w:spacing w:val="1"/>
          <w:sz w:val="48"/>
          <w:szCs w:val="48"/>
        </w:rPr>
        <w:t>项目支出绩效评价报告</w:t>
      </w: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before="8" w:line="620" w:lineRule="exact"/>
        <w:rPr>
          <w:sz w:val="62"/>
          <w:szCs w:val="62"/>
        </w:rPr>
      </w:pPr>
    </w:p>
    <w:p>
      <w:pPr>
        <w:spacing w:line="580" w:lineRule="exact"/>
        <w:ind w:firstLine="720" w:firstLineChars="300"/>
        <w:rPr>
          <w:rFonts w:eastAsia="宋体"/>
          <w:sz w:val="24"/>
        </w:rPr>
      </w:pPr>
      <w:r>
        <w:rPr>
          <w:rFonts w:eastAsia="宋体"/>
          <w:sz w:val="24"/>
        </w:rPr>
        <w:t>评价机构：河北德永会计师事务所有限公司</w:t>
      </w:r>
    </w:p>
    <w:p>
      <w:pPr>
        <w:spacing w:line="580" w:lineRule="exact"/>
        <w:ind w:firstLine="720" w:firstLineChars="300"/>
        <w:rPr>
          <w:rFonts w:eastAsia="宋体"/>
          <w:sz w:val="24"/>
        </w:rPr>
      </w:pPr>
      <w:r>
        <w:rPr>
          <w:rFonts w:eastAsia="宋体"/>
          <w:sz w:val="24"/>
        </w:rPr>
        <w:t>委托单位：</w:t>
      </w:r>
      <w:r>
        <w:rPr>
          <w:rFonts w:hint="eastAsia" w:eastAsia="宋体"/>
          <w:sz w:val="24"/>
          <w:lang w:eastAsia="zh-CN"/>
        </w:rPr>
        <w:t>保定市徐水区</w:t>
      </w:r>
      <w:r>
        <w:rPr>
          <w:rFonts w:eastAsia="宋体"/>
          <w:sz w:val="24"/>
        </w:rPr>
        <w:t>财政局</w:t>
      </w:r>
    </w:p>
    <w:p>
      <w:pPr>
        <w:spacing w:line="580" w:lineRule="exact"/>
        <w:ind w:firstLine="720" w:firstLineChars="300"/>
        <w:rPr>
          <w:rFonts w:hint="eastAsia" w:eastAsia="宋体"/>
          <w:sz w:val="24"/>
          <w:lang w:eastAsia="zh-CN"/>
        </w:rPr>
      </w:pPr>
      <w:r>
        <w:rPr>
          <w:rFonts w:eastAsia="宋体"/>
          <w:sz w:val="24"/>
        </w:rPr>
        <w:t>被评价单位：</w:t>
      </w:r>
      <w:r>
        <w:rPr>
          <w:rFonts w:hint="eastAsia" w:eastAsia="宋体"/>
          <w:sz w:val="24"/>
          <w:lang w:eastAsia="zh-CN"/>
        </w:rPr>
        <w:t>保定市徐水区交通运输局</w:t>
      </w:r>
    </w:p>
    <w:p>
      <w:pPr>
        <w:spacing w:line="580" w:lineRule="exact"/>
        <w:ind w:firstLine="720" w:firstLineChars="300"/>
        <w:rPr>
          <w:rFonts w:eastAsia="宋体"/>
          <w:sz w:val="24"/>
        </w:rPr>
      </w:pPr>
      <w:r>
        <w:rPr>
          <w:rFonts w:eastAsia="宋体"/>
          <w:sz w:val="24"/>
        </w:rPr>
        <w:t>评价项目：</w:t>
      </w:r>
      <w:r>
        <w:rPr>
          <w:rFonts w:hint="eastAsia" w:eastAsia="宋体"/>
          <w:sz w:val="24"/>
        </w:rPr>
        <w:t>徐水区“四好”农村道路连接工程</w:t>
      </w:r>
    </w:p>
    <w:p>
      <w:pPr>
        <w:spacing w:line="580" w:lineRule="exact"/>
        <w:ind w:firstLine="720" w:firstLineChars="300"/>
        <w:rPr>
          <w:rFonts w:hint="eastAsia" w:eastAsia="宋体"/>
          <w:sz w:val="24"/>
          <w:lang w:eastAsia="zh-CN"/>
        </w:rPr>
      </w:pPr>
      <w:r>
        <w:rPr>
          <w:rFonts w:eastAsia="宋体"/>
          <w:sz w:val="24"/>
        </w:rPr>
        <w:t>工作组组长：</w:t>
      </w:r>
      <w:r>
        <w:rPr>
          <w:rFonts w:hint="eastAsia" w:eastAsia="宋体"/>
          <w:sz w:val="24"/>
          <w:lang w:eastAsia="zh-CN"/>
        </w:rPr>
        <w:t>曹晓红</w:t>
      </w:r>
    </w:p>
    <w:p>
      <w:pPr>
        <w:spacing w:line="580" w:lineRule="exact"/>
        <w:ind w:firstLine="720" w:firstLineChars="300"/>
        <w:rPr>
          <w:rFonts w:hint="eastAsia" w:eastAsia="宋体"/>
          <w:sz w:val="24"/>
          <w:lang w:eastAsia="zh-CN"/>
        </w:rPr>
      </w:pPr>
      <w:r>
        <w:rPr>
          <w:rFonts w:eastAsia="宋体"/>
          <w:sz w:val="24"/>
        </w:rPr>
        <w:t>工作组成员：</w:t>
      </w:r>
      <w:r>
        <w:rPr>
          <w:rFonts w:hint="eastAsia" w:eastAsia="宋体"/>
          <w:sz w:val="24"/>
          <w:lang w:eastAsia="zh-CN"/>
        </w:rPr>
        <w:t>王娇、马振丽、杨新岗</w:t>
      </w:r>
    </w:p>
    <w:p>
      <w:pPr>
        <w:spacing w:line="580" w:lineRule="exact"/>
        <w:ind w:firstLine="720" w:firstLineChars="300"/>
        <w:rPr>
          <w:rFonts w:eastAsia="宋体"/>
          <w:sz w:val="24"/>
        </w:rPr>
      </w:pPr>
      <w:r>
        <w:rPr>
          <w:rFonts w:eastAsia="宋体"/>
          <w:sz w:val="24"/>
        </w:rPr>
        <w:t>工作组联系电话：0311－69053103</w:t>
      </w:r>
    </w:p>
    <w:p>
      <w:pPr>
        <w:spacing w:line="580" w:lineRule="exact"/>
        <w:ind w:firstLine="720" w:firstLineChars="300"/>
        <w:rPr>
          <w:rFonts w:eastAsia="宋体"/>
          <w:sz w:val="24"/>
        </w:rPr>
        <w:sectPr>
          <w:headerReference r:id="rId3" w:type="default"/>
          <w:pgSz w:w="11906" w:h="16838"/>
          <w:pgMar w:top="2098" w:right="1304" w:bottom="1531" w:left="1531" w:header="851" w:footer="992" w:gutter="0"/>
          <w:pgNumType w:start="1"/>
          <w:cols w:space="720" w:num="1"/>
          <w:docGrid w:type="lines" w:linePitch="415" w:charSpace="0"/>
        </w:sectPr>
      </w:pPr>
      <w:r>
        <w:rPr>
          <w:rFonts w:eastAsia="宋体"/>
          <w:sz w:val="24"/>
        </w:rPr>
        <w:t>报告日期：202</w:t>
      </w:r>
      <w:r>
        <w:rPr>
          <w:rFonts w:hint="eastAsia" w:eastAsia="宋体"/>
          <w:sz w:val="24"/>
          <w:lang w:val="en-US" w:eastAsia="zh-CN"/>
        </w:rPr>
        <w:t>1</w:t>
      </w:r>
      <w:r>
        <w:rPr>
          <w:rFonts w:eastAsia="宋体"/>
          <w:sz w:val="24"/>
        </w:rPr>
        <w:t>年</w:t>
      </w:r>
      <w:r>
        <w:rPr>
          <w:rFonts w:hint="eastAsia" w:eastAsia="宋体"/>
          <w:sz w:val="24"/>
          <w:lang w:val="en-US" w:eastAsia="zh-CN"/>
        </w:rPr>
        <w:t>5</w:t>
      </w:r>
      <w:r>
        <w:rPr>
          <w:rFonts w:eastAsia="宋体"/>
          <w:sz w:val="24"/>
        </w:rPr>
        <w:t>月</w:t>
      </w:r>
      <w:r>
        <w:rPr>
          <w:rFonts w:hint="eastAsia" w:eastAsia="宋体"/>
          <w:sz w:val="24"/>
          <w:lang w:val="en-US" w:eastAsia="zh-CN"/>
        </w:rPr>
        <w:t>27</w:t>
      </w:r>
      <w:r>
        <w:rPr>
          <w:rFonts w:eastAsia="宋体"/>
          <w:sz w:val="24"/>
        </w:rPr>
        <w:t>日</w:t>
      </w:r>
    </w:p>
    <w:sdt>
      <w:sdtPr>
        <w:rPr>
          <w:rFonts w:ascii="Times New Roman" w:hAnsi="Times New Roman" w:eastAsia="宋体" w:cs="Times New Roman"/>
          <w:b w:val="0"/>
          <w:bCs w:val="0"/>
          <w:caps/>
          <w:color w:val="auto"/>
          <w:kern w:val="2"/>
          <w:sz w:val="44"/>
          <w:szCs w:val="44"/>
          <w:lang w:val="zh-CN"/>
        </w:rPr>
        <w:id w:val="2967093"/>
        <w:docPartObj>
          <w:docPartGallery w:val="Table of Contents"/>
          <w:docPartUnique/>
        </w:docPartObj>
      </w:sdtPr>
      <w:sdtEndPr>
        <w:rPr>
          <w:rFonts w:hint="eastAsia" w:ascii="宋体" w:hAnsi="宋体" w:eastAsia="宋体" w:cs="宋体"/>
          <w:b w:val="0"/>
          <w:bCs w:val="0"/>
          <w:caps/>
          <w:color w:val="auto"/>
          <w:kern w:val="0"/>
          <w:sz w:val="24"/>
          <w:szCs w:val="24"/>
          <w:lang w:val="en-US"/>
        </w:rPr>
      </w:sdtEndPr>
      <w:sdtContent>
        <w:p>
          <w:pPr>
            <w:pStyle w:val="45"/>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44"/>
              <w:szCs w:val="44"/>
              <w:lang w:val="zh-CN"/>
            </w:rPr>
          </w:pPr>
          <w:r>
            <w:rPr>
              <w:rFonts w:hint="eastAsia" w:ascii="宋体" w:hAnsi="宋体" w:eastAsia="宋体" w:cs="宋体"/>
              <w:color w:val="auto"/>
              <w:sz w:val="44"/>
              <w:szCs w:val="44"/>
              <w:lang w:val="en-US" w:eastAsia="zh-CN"/>
            </w:rPr>
            <w:t xml:space="preserve">目 </w:t>
          </w:r>
          <w:r>
            <w:rPr>
              <w:rFonts w:hint="eastAsia" w:ascii="宋体" w:hAnsi="宋体" w:eastAsia="宋体" w:cs="宋体"/>
              <w:color w:val="auto"/>
              <w:sz w:val="44"/>
              <w:szCs w:val="44"/>
              <w:lang w:val="zh-CN"/>
            </w:rPr>
            <w:t>录</w:t>
          </w:r>
        </w:p>
        <w:p>
          <w:pPr>
            <w:rPr>
              <w:rFonts w:hint="eastAsia"/>
              <w:lang w:val="zh-CN"/>
            </w:rPr>
          </w:pPr>
        </w:p>
        <w:p>
          <w:pPr>
            <w:pStyle w:val="13"/>
            <w:pageBreakBefore w:val="0"/>
            <w:tabs>
              <w:tab w:val="right" w:leader="dot" w:pos="9071"/>
            </w:tabs>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sz w:val="21"/>
              <w:szCs w:val="21"/>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_Toc25090 </w:instrText>
          </w:r>
          <w:r>
            <w:rPr>
              <w:rFonts w:hint="eastAsia" w:ascii="宋体" w:hAnsi="宋体" w:eastAsia="宋体" w:cs="宋体"/>
              <w:sz w:val="21"/>
              <w:szCs w:val="21"/>
            </w:rPr>
            <w:fldChar w:fldCharType="separate"/>
          </w:r>
          <w:r>
            <w:rPr>
              <w:rFonts w:hint="eastAsia" w:ascii="宋体" w:hAnsi="宋体" w:eastAsia="宋体" w:cs="宋体"/>
              <w:sz w:val="21"/>
              <w:szCs w:val="21"/>
            </w:rPr>
            <w:t>第一部分   摘要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_Toc25090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_Toc20662 </w:instrText>
          </w:r>
          <w:r>
            <w:rPr>
              <w:rFonts w:hint="eastAsia" w:ascii="宋体" w:hAnsi="宋体" w:eastAsia="宋体" w:cs="宋体"/>
              <w:sz w:val="21"/>
              <w:szCs w:val="21"/>
            </w:rPr>
            <w:fldChar w:fldCharType="separate"/>
          </w:r>
          <w:r>
            <w:rPr>
              <w:rFonts w:hint="eastAsia" w:ascii="宋体" w:hAnsi="宋体" w:eastAsia="宋体" w:cs="宋体"/>
              <w:sz w:val="21"/>
              <w:szCs w:val="21"/>
            </w:rPr>
            <w:t>第二部分   绩效评价报告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_Toc20662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_Toc3903 </w:instrText>
          </w:r>
          <w:r>
            <w:rPr>
              <w:rFonts w:hint="eastAsia" w:ascii="宋体" w:hAnsi="宋体" w:eastAsia="宋体" w:cs="宋体"/>
              <w:sz w:val="21"/>
              <w:szCs w:val="21"/>
            </w:rPr>
            <w:fldChar w:fldCharType="separate"/>
          </w:r>
          <w:r>
            <w:rPr>
              <w:rFonts w:hint="eastAsia" w:ascii="宋体" w:hAnsi="宋体" w:eastAsia="宋体" w:cs="宋体"/>
              <w:bCs w:val="0"/>
              <w:sz w:val="21"/>
              <w:szCs w:val="21"/>
            </w:rPr>
            <w:t>一、基本概况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_Toc3903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_Toc28534 </w:instrText>
          </w:r>
          <w:r>
            <w:rPr>
              <w:rFonts w:hint="eastAsia" w:ascii="宋体" w:hAnsi="宋体" w:eastAsia="宋体" w:cs="宋体"/>
              <w:sz w:val="21"/>
              <w:szCs w:val="21"/>
            </w:rPr>
            <w:fldChar w:fldCharType="separate"/>
          </w:r>
          <w:r>
            <w:rPr>
              <w:rFonts w:hint="eastAsia" w:ascii="宋体" w:hAnsi="宋体" w:eastAsia="宋体" w:cs="宋体"/>
              <w:sz w:val="21"/>
              <w:szCs w:val="21"/>
            </w:rPr>
            <w:t>（一）项目概况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_Toc28534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（二）绩效目标</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_Toc28534 </w:instrText>
          </w:r>
          <w:r>
            <w:rPr>
              <w:rFonts w:hint="eastAsia" w:ascii="宋体" w:hAnsi="宋体" w:eastAsia="宋体" w:cs="宋体"/>
              <w:sz w:val="21"/>
              <w:szCs w:val="21"/>
            </w:rPr>
            <w:fldChar w:fldCharType="separate"/>
          </w:r>
          <w:r>
            <w:rPr>
              <w:rFonts w:hint="eastAsia" w:ascii="宋体" w:hAnsi="宋体" w:eastAsia="宋体" w:cs="宋体"/>
              <w:sz w:val="21"/>
              <w:szCs w:val="21"/>
            </w:rPr>
            <w:tab/>
          </w:r>
          <w:r>
            <w:rPr>
              <w:rFonts w:hint="eastAsia" w:ascii="宋体" w:hAnsi="宋体" w:eastAsia="宋体" w:cs="宋体"/>
              <w:sz w:val="21"/>
              <w:szCs w:val="21"/>
              <w:lang w:val="en-US" w:eastAsia="zh-CN"/>
            </w:rPr>
            <w:t>7</w:t>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_Toc7239 </w:instrText>
          </w:r>
          <w:r>
            <w:rPr>
              <w:rFonts w:hint="eastAsia" w:ascii="宋体" w:hAnsi="宋体" w:eastAsia="宋体" w:cs="宋体"/>
              <w:sz w:val="21"/>
              <w:szCs w:val="21"/>
            </w:rPr>
            <w:fldChar w:fldCharType="separate"/>
          </w:r>
          <w:r>
            <w:rPr>
              <w:rFonts w:hint="eastAsia" w:ascii="宋体" w:hAnsi="宋体" w:eastAsia="宋体" w:cs="宋体"/>
              <w:sz w:val="21"/>
              <w:szCs w:val="21"/>
            </w:rPr>
            <w:t>二、绩效评价工作开展情况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_Toc7239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mallCaps/>
              <w:kern w:val="2"/>
              <w:sz w:val="21"/>
              <w:szCs w:val="21"/>
              <w:lang w:val="en-US" w:eastAsia="zh-CN" w:bidi="ar-SA"/>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_Toc2724 </w:instrText>
          </w:r>
          <w:r>
            <w:rPr>
              <w:rFonts w:hint="eastAsia" w:ascii="宋体" w:hAnsi="宋体" w:eastAsia="宋体" w:cs="宋体"/>
              <w:sz w:val="21"/>
              <w:szCs w:val="21"/>
            </w:rPr>
            <w:fldChar w:fldCharType="separate"/>
          </w:r>
          <w:r>
            <w:rPr>
              <w:rFonts w:hint="eastAsia" w:ascii="宋体" w:hAnsi="宋体" w:eastAsia="宋体" w:cs="宋体"/>
              <w:sz w:val="21"/>
              <w:szCs w:val="21"/>
            </w:rPr>
            <w:t>（一）绩效评价目的、对象和范围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_Toc2724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_Toc2724 </w:instrText>
          </w:r>
          <w:r>
            <w:rPr>
              <w:rFonts w:hint="eastAsia" w:ascii="宋体" w:hAnsi="宋体" w:eastAsia="宋体" w:cs="宋体"/>
              <w:sz w:val="21"/>
              <w:szCs w:val="21"/>
            </w:rPr>
            <w:fldChar w:fldCharType="separate"/>
          </w:r>
          <w:r>
            <w:rPr>
              <w:rFonts w:hint="eastAsia" w:ascii="宋体" w:hAnsi="宋体" w:eastAsia="宋体" w:cs="宋体"/>
              <w:sz w:val="21"/>
              <w:szCs w:val="21"/>
            </w:rPr>
            <w:t>（</w:t>
          </w:r>
          <w:r>
            <w:rPr>
              <w:rFonts w:hint="eastAsia" w:ascii="宋体" w:hAnsi="宋体" w:eastAsia="宋体" w:cs="宋体"/>
              <w:sz w:val="21"/>
              <w:szCs w:val="21"/>
              <w:lang w:eastAsia="zh-CN"/>
            </w:rPr>
            <w:t>二</w:t>
          </w:r>
          <w:r>
            <w:rPr>
              <w:rFonts w:hint="eastAsia" w:ascii="宋体" w:hAnsi="宋体" w:eastAsia="宋体" w:cs="宋体"/>
              <w:sz w:val="21"/>
              <w:szCs w:val="21"/>
            </w:rPr>
            <w:t>）</w:t>
          </w:r>
          <w:r>
            <w:rPr>
              <w:rFonts w:hint="eastAsia" w:ascii="宋体" w:hAnsi="宋体" w:eastAsia="宋体" w:cs="宋体"/>
              <w:smallCaps/>
              <w:kern w:val="2"/>
              <w:sz w:val="21"/>
              <w:szCs w:val="21"/>
              <w:lang w:val="en-US" w:eastAsia="zh-CN" w:bidi="ar-SA"/>
            </w:rPr>
            <w:t>绩效评价原则、指标体系、依据、方法及标准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_Toc2724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_Toc2447 </w:instrText>
          </w:r>
          <w:r>
            <w:rPr>
              <w:rFonts w:hint="eastAsia" w:ascii="宋体" w:hAnsi="宋体" w:eastAsia="宋体" w:cs="宋体"/>
              <w:sz w:val="21"/>
              <w:szCs w:val="21"/>
            </w:rPr>
            <w:fldChar w:fldCharType="separate"/>
          </w:r>
          <w:r>
            <w:rPr>
              <w:rFonts w:hint="eastAsia" w:ascii="宋体" w:hAnsi="宋体" w:eastAsia="宋体" w:cs="宋体"/>
              <w:sz w:val="21"/>
              <w:szCs w:val="21"/>
            </w:rPr>
            <w:t>（三）绩效评价工作过程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_Toc2447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_Toc30072 </w:instrText>
          </w:r>
          <w:r>
            <w:rPr>
              <w:rFonts w:hint="eastAsia" w:ascii="宋体" w:hAnsi="宋体" w:eastAsia="宋体" w:cs="宋体"/>
              <w:sz w:val="21"/>
              <w:szCs w:val="21"/>
            </w:rPr>
            <w:fldChar w:fldCharType="separate"/>
          </w:r>
          <w:r>
            <w:rPr>
              <w:rFonts w:hint="eastAsia" w:ascii="宋体" w:hAnsi="宋体" w:eastAsia="宋体" w:cs="宋体"/>
              <w:sz w:val="21"/>
              <w:szCs w:val="21"/>
            </w:rPr>
            <w:t>三、综合评价情况及评价结论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_Toc30072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_Toc25520 </w:instrText>
          </w:r>
          <w:r>
            <w:rPr>
              <w:rFonts w:hint="eastAsia" w:ascii="宋体" w:hAnsi="宋体" w:eastAsia="宋体" w:cs="宋体"/>
              <w:sz w:val="21"/>
              <w:szCs w:val="21"/>
            </w:rPr>
            <w:fldChar w:fldCharType="separate"/>
          </w:r>
          <w:r>
            <w:rPr>
              <w:rFonts w:hint="eastAsia" w:ascii="宋体" w:hAnsi="宋体" w:eastAsia="宋体" w:cs="宋体"/>
              <w:sz w:val="21"/>
              <w:szCs w:val="21"/>
            </w:rPr>
            <w:t>四、绩效评价指标分析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_Toc25520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_Toc32611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lang w:val="en-US" w:eastAsia="zh-CN"/>
            </w:rPr>
            <w:t>1.决策</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lang w:val="en-US" w:eastAsia="zh-CN"/>
            </w:rPr>
            <w:t>4</w:t>
          </w:r>
        </w:p>
        <w:p>
          <w:pPr>
            <w:pStyle w:val="13"/>
            <w:pageBreakBefore w:val="0"/>
            <w:tabs>
              <w:tab w:val="right" w:leader="dot" w:pos="9071"/>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_Toc32611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lang w:val="en-US" w:eastAsia="zh-CN"/>
            </w:rPr>
            <w:t>2.过程</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lang w:val="en-US" w:eastAsia="zh-CN"/>
            </w:rPr>
            <w:t>5</w:t>
          </w:r>
        </w:p>
        <w:p>
          <w:pPr>
            <w:pStyle w:val="13"/>
            <w:pageBreakBefore w:val="0"/>
            <w:tabs>
              <w:tab w:val="right" w:leader="dot" w:pos="9071"/>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_Toc32611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kern w:val="2"/>
              <w:sz w:val="21"/>
              <w:szCs w:val="21"/>
            </w:rPr>
            <w:t>3.产出</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_Toc32611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16</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_Toc17573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kern w:val="2"/>
              <w:sz w:val="21"/>
              <w:szCs w:val="21"/>
            </w:rPr>
            <w:t>4.</w:t>
          </w:r>
          <w:r>
            <w:rPr>
              <w:rFonts w:hint="eastAsia" w:ascii="宋体" w:hAnsi="宋体" w:eastAsia="宋体" w:cs="宋体"/>
              <w:b w:val="0"/>
              <w:bCs w:val="0"/>
              <w:kern w:val="2"/>
              <w:sz w:val="21"/>
              <w:szCs w:val="21"/>
              <w:lang w:val="en-US" w:eastAsia="zh-CN"/>
            </w:rPr>
            <w:t>效益</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_Toc17573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17</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_Toc2428 </w:instrText>
          </w:r>
          <w:r>
            <w:rPr>
              <w:rFonts w:hint="eastAsia" w:ascii="宋体" w:hAnsi="宋体" w:eastAsia="宋体" w:cs="宋体"/>
              <w:sz w:val="21"/>
              <w:szCs w:val="21"/>
            </w:rPr>
            <w:fldChar w:fldCharType="separate"/>
          </w:r>
          <w:r>
            <w:rPr>
              <w:rFonts w:hint="eastAsia" w:ascii="宋体" w:hAnsi="宋体" w:eastAsia="宋体" w:cs="宋体"/>
              <w:sz w:val="21"/>
              <w:szCs w:val="21"/>
            </w:rPr>
            <w:t>五、存在问题</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_Toc2428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_Toc9233 </w:instrText>
          </w:r>
          <w:r>
            <w:rPr>
              <w:rFonts w:hint="eastAsia" w:ascii="宋体" w:hAnsi="宋体" w:eastAsia="宋体" w:cs="宋体"/>
              <w:sz w:val="21"/>
              <w:szCs w:val="21"/>
            </w:rPr>
            <w:fldChar w:fldCharType="separate"/>
          </w:r>
          <w:r>
            <w:rPr>
              <w:rFonts w:hint="eastAsia" w:ascii="宋体" w:hAnsi="宋体" w:eastAsia="宋体" w:cs="宋体"/>
              <w:bCs w:val="0"/>
              <w:sz w:val="21"/>
              <w:szCs w:val="21"/>
            </w:rPr>
            <w:t>（一）</w:t>
          </w:r>
          <w:r>
            <w:rPr>
              <w:rFonts w:hint="eastAsia" w:ascii="宋体" w:hAnsi="宋体" w:eastAsia="宋体" w:cs="宋体"/>
              <w:bCs w:val="0"/>
              <w:sz w:val="21"/>
              <w:szCs w:val="21"/>
              <w:lang w:eastAsia="zh-CN"/>
            </w:rPr>
            <w:t>预算管理方面</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_Toc9233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_Toc9233 </w:instrText>
          </w:r>
          <w:r>
            <w:rPr>
              <w:rFonts w:hint="eastAsia" w:ascii="宋体" w:hAnsi="宋体" w:eastAsia="宋体" w:cs="宋体"/>
              <w:sz w:val="21"/>
              <w:szCs w:val="21"/>
            </w:rPr>
            <w:fldChar w:fldCharType="separate"/>
          </w:r>
          <w:r>
            <w:rPr>
              <w:rFonts w:hint="eastAsia" w:ascii="宋体" w:hAnsi="宋体" w:eastAsia="宋体" w:cs="宋体"/>
              <w:bCs w:val="0"/>
              <w:sz w:val="21"/>
              <w:szCs w:val="21"/>
            </w:rPr>
            <w:t>（</w:t>
          </w:r>
          <w:r>
            <w:rPr>
              <w:rFonts w:hint="eastAsia" w:ascii="宋体" w:hAnsi="宋体" w:eastAsia="宋体" w:cs="宋体"/>
              <w:bCs w:val="0"/>
              <w:sz w:val="21"/>
              <w:szCs w:val="21"/>
              <w:lang w:eastAsia="zh-CN"/>
            </w:rPr>
            <w:t>二</w:t>
          </w:r>
          <w:r>
            <w:rPr>
              <w:rFonts w:hint="eastAsia" w:ascii="宋体" w:hAnsi="宋体" w:eastAsia="宋体" w:cs="宋体"/>
              <w:bCs w:val="0"/>
              <w:sz w:val="21"/>
              <w:szCs w:val="21"/>
            </w:rPr>
            <w:t>）</w:t>
          </w:r>
          <w:r>
            <w:rPr>
              <w:rFonts w:hint="eastAsia" w:ascii="宋体" w:hAnsi="宋体" w:eastAsia="宋体" w:cs="宋体"/>
              <w:bCs w:val="0"/>
              <w:sz w:val="21"/>
              <w:szCs w:val="21"/>
              <w:lang w:eastAsia="zh-CN"/>
            </w:rPr>
            <w:t>项目管理方面</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_Toc9233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_Toc25653 </w:instrText>
          </w:r>
          <w:r>
            <w:rPr>
              <w:rFonts w:hint="eastAsia" w:ascii="宋体" w:hAnsi="宋体" w:eastAsia="宋体" w:cs="宋体"/>
              <w:sz w:val="21"/>
              <w:szCs w:val="21"/>
            </w:rPr>
            <w:fldChar w:fldCharType="separate"/>
          </w:r>
          <w:r>
            <w:rPr>
              <w:rFonts w:hint="eastAsia" w:ascii="宋体" w:hAnsi="宋体" w:eastAsia="宋体" w:cs="宋体"/>
              <w:sz w:val="21"/>
              <w:szCs w:val="21"/>
            </w:rPr>
            <w:t>六、有关建议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_Toc25653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_Toc21131 </w:instrText>
          </w:r>
          <w:r>
            <w:rPr>
              <w:rFonts w:hint="eastAsia" w:ascii="宋体" w:hAnsi="宋体" w:eastAsia="宋体" w:cs="宋体"/>
              <w:sz w:val="21"/>
              <w:szCs w:val="21"/>
            </w:rPr>
            <w:fldChar w:fldCharType="separate"/>
          </w:r>
          <w:r>
            <w:rPr>
              <w:rFonts w:hint="eastAsia" w:ascii="宋体" w:hAnsi="宋体" w:eastAsia="宋体" w:cs="宋体"/>
              <w:bCs w:val="0"/>
              <w:sz w:val="21"/>
              <w:szCs w:val="21"/>
            </w:rPr>
            <w:t>（一）</w:t>
          </w:r>
          <w:r>
            <w:rPr>
              <w:rFonts w:hint="eastAsia" w:ascii="宋体" w:hAnsi="宋体" w:eastAsia="宋体" w:cs="宋体"/>
              <w:bCs w:val="0"/>
              <w:sz w:val="21"/>
              <w:szCs w:val="21"/>
              <w:lang w:eastAsia="zh-CN"/>
            </w:rPr>
            <w:t>预算</w:t>
          </w:r>
          <w:r>
            <w:rPr>
              <w:rFonts w:hint="eastAsia" w:ascii="宋体" w:hAnsi="宋体" w:eastAsia="宋体" w:cs="宋体"/>
              <w:bCs w:val="0"/>
              <w:sz w:val="21"/>
              <w:szCs w:val="21"/>
            </w:rPr>
            <w:t>管理方面</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_Toc21131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_Toc8183 </w:instrText>
          </w:r>
          <w:r>
            <w:rPr>
              <w:rFonts w:hint="eastAsia" w:ascii="宋体" w:hAnsi="宋体" w:eastAsia="宋体" w:cs="宋体"/>
              <w:sz w:val="21"/>
              <w:szCs w:val="21"/>
            </w:rPr>
            <w:fldChar w:fldCharType="separate"/>
          </w:r>
          <w:r>
            <w:rPr>
              <w:rFonts w:hint="eastAsia" w:ascii="宋体" w:hAnsi="宋体" w:eastAsia="宋体" w:cs="宋体"/>
              <w:bCs w:val="0"/>
              <w:sz w:val="21"/>
              <w:szCs w:val="21"/>
              <w:lang w:eastAsia="zh-CN"/>
            </w:rPr>
            <w:t>（二）项目管理方面</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_Toc8183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 w:val="0"/>
              <w:bCs w:val="0"/>
              <w:kern w:val="0"/>
              <w:sz w:val="24"/>
              <w:szCs w:val="24"/>
            </w:rPr>
          </w:pPr>
          <w:r>
            <w:rPr>
              <w:rFonts w:hint="eastAsia" w:ascii="宋体" w:hAnsi="宋体" w:eastAsia="宋体" w:cs="宋体"/>
              <w:szCs w:val="24"/>
            </w:rPr>
            <w:fldChar w:fldCharType="end"/>
          </w:r>
        </w:p>
      </w:sdtContent>
    </w:sdt>
    <w:p>
      <w:pPr>
        <w:keepNext w:val="0"/>
        <w:keepLines w:val="0"/>
        <w:pageBreakBefore w:val="0"/>
        <w:widowControl w:val="0"/>
        <w:kinsoku/>
        <w:wordWrap/>
        <w:overflowPunct/>
        <w:topLinePunct w:val="0"/>
        <w:autoSpaceDE/>
        <w:autoSpaceDN/>
        <w:bidi w:val="0"/>
        <w:adjustRightInd/>
        <w:snapToGrid/>
        <w:spacing w:line="440" w:lineRule="exact"/>
        <w:jc w:val="right"/>
        <w:textAlignment w:val="auto"/>
        <w:outlineLvl w:val="1"/>
        <w:rPr>
          <w:rFonts w:hint="eastAsia" w:ascii="宋体" w:hAnsi="宋体" w:eastAsia="宋体" w:cs="宋体"/>
          <w:sz w:val="24"/>
          <w:szCs w:val="24"/>
        </w:rPr>
        <w:sectPr>
          <w:footerReference r:id="rId4" w:type="default"/>
          <w:pgSz w:w="11906" w:h="16838"/>
          <w:pgMar w:top="2098" w:right="1304" w:bottom="1531" w:left="1531" w:header="851" w:footer="992" w:gutter="0"/>
          <w:pgNumType w:start="1"/>
          <w:cols w:space="720" w:num="1"/>
          <w:docGrid w:type="lines" w:linePitch="415" w:charSpace="0"/>
        </w:sectPr>
      </w:pPr>
    </w:p>
    <w:p>
      <w:pPr>
        <w:spacing w:line="320" w:lineRule="exact"/>
        <w:rPr>
          <w:rFonts w:eastAsia="新宋体"/>
          <w:b/>
          <w:sz w:val="32"/>
        </w:rPr>
      </w:pPr>
      <w:r>
        <w:rPr>
          <w:rFonts w:eastAsia="新宋体"/>
        </w:rPr>
        <w:drawing>
          <wp:anchor distT="0" distB="0" distL="114300" distR="114300" simplePos="0" relativeHeight="251660288" behindDoc="0" locked="0" layoutInCell="1" allowOverlap="1">
            <wp:simplePos x="0" y="0"/>
            <wp:positionH relativeFrom="column">
              <wp:posOffset>118110</wp:posOffset>
            </wp:positionH>
            <wp:positionV relativeFrom="paragraph">
              <wp:posOffset>72390</wp:posOffset>
            </wp:positionV>
            <wp:extent cx="1270635" cy="778510"/>
            <wp:effectExtent l="19050" t="0" r="5715" b="0"/>
            <wp:wrapSquare wrapText="bothSides"/>
            <wp:docPr id="30" name="图片 3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标2 拷贝"/>
                    <pic:cNvPicPr>
                      <a:picLocks noChangeAspect="1" noChangeArrowheads="1"/>
                    </pic:cNvPicPr>
                  </pic:nvPicPr>
                  <pic:blipFill>
                    <a:blip r:embed="rId10" cstate="print"/>
                    <a:srcRect/>
                    <a:stretch>
                      <a:fillRect/>
                    </a:stretch>
                  </pic:blipFill>
                  <pic:spPr>
                    <a:xfrm>
                      <a:off x="0" y="0"/>
                      <a:ext cx="1270635" cy="778510"/>
                    </a:xfrm>
                    <a:prstGeom prst="rect">
                      <a:avLst/>
                    </a:prstGeom>
                    <a:noFill/>
                    <a:ln w="9525">
                      <a:noFill/>
                      <a:miter lim="800000"/>
                      <a:headEnd/>
                      <a:tailEnd/>
                    </a:ln>
                    <a:effectLst/>
                  </pic:spPr>
                </pic:pic>
              </a:graphicData>
            </a:graphic>
          </wp:anchor>
        </w:drawing>
      </w:r>
      <w:r>
        <w:rPr>
          <w:rFonts w:eastAsia="新宋体"/>
          <w:b/>
          <w:sz w:val="32"/>
        </w:rPr>
        <w:t xml:space="preserve">河 北 德 永 会 计 师 事 务 所 有 限 公 司    </w:t>
      </w:r>
    </w:p>
    <w:p>
      <w:pPr>
        <w:spacing w:line="320" w:lineRule="exact"/>
        <w:rPr>
          <w:rFonts w:eastAsia="幼圆"/>
          <w:b/>
          <w:sz w:val="18"/>
          <w:szCs w:val="18"/>
        </w:rPr>
      </w:pPr>
      <w:r>
        <w:rPr>
          <w:rFonts w:eastAsia="幼圆"/>
          <w:b/>
          <w:sz w:val="18"/>
          <w:szCs w:val="18"/>
        </w:rPr>
        <w:t xml:space="preserve">石家庄市建设南大街269号    No．269Jianshe Street  Shijiazhuang China </w:t>
      </w:r>
    </w:p>
    <w:p>
      <w:pPr>
        <w:spacing w:line="320" w:lineRule="exact"/>
        <w:rPr>
          <w:rFonts w:eastAsia="幼圆"/>
          <w:b/>
          <w:sz w:val="18"/>
          <w:szCs w:val="18"/>
        </w:rPr>
      </w:pPr>
      <w:r>
        <w:rPr>
          <w:rFonts w:eastAsia="幼圆"/>
          <w:b/>
          <w:sz w:val="18"/>
          <w:szCs w:val="18"/>
        </w:rPr>
        <w:t>Tel：（0311）69053105   69053103               Fax：（0311）69053103</w:t>
      </w:r>
    </w:p>
    <w:p>
      <w:pPr>
        <w:spacing w:line="320" w:lineRule="exact"/>
        <w:rPr>
          <w:rFonts w:eastAsia="新宋体"/>
          <w:b/>
          <w:sz w:val="18"/>
          <w:szCs w:val="18"/>
        </w:rPr>
      </w:pPr>
      <w:r>
        <w:rPr>
          <w:rFonts w:eastAsia="幼圆"/>
          <w:b/>
          <w:sz w:val="18"/>
          <w:szCs w:val="18"/>
        </w:rPr>
        <w:t>E-Mail: hebeidey@126.com</w:t>
      </w:r>
    </w:p>
    <w:p>
      <w:pPr>
        <w:wordWrap w:val="0"/>
        <w:jc w:val="right"/>
        <w:rPr>
          <w:rFonts w:eastAsia="宋体"/>
          <w:b/>
          <w:sz w:val="21"/>
          <w:szCs w:val="21"/>
        </w:rPr>
      </w:pPr>
      <w:r>
        <w:rPr>
          <w:rFonts w:eastAsia="幼圆"/>
          <w:b/>
          <w:szCs w:val="21"/>
        </w:rPr>
        <w:pict>
          <v:line id="_x0000_s1055" o:spid="_x0000_s1055" o:spt="20" style="position:absolute;left:0pt;flip:y;margin-left:-120.35pt;margin-top:3pt;height:0.8pt;width:459pt;z-index:251659264;mso-width-relative:page;mso-height-relative:page;" coordsize="21600,21600">
            <v:path arrowok="t"/>
            <v:fill focussize="0,0"/>
            <v:stroke weight="1pt"/>
            <v:imagedata o:title=""/>
            <o:lock v:ext="edit"/>
          </v:line>
        </w:pict>
      </w:r>
      <w:r>
        <w:rPr>
          <w:rFonts w:eastAsia="宋体"/>
          <w:b/>
          <w:sz w:val="21"/>
          <w:szCs w:val="21"/>
        </w:rPr>
        <w:t>冀德永评价字（202</w:t>
      </w:r>
      <w:r>
        <w:rPr>
          <w:rFonts w:hint="eastAsia" w:eastAsia="宋体"/>
          <w:b/>
          <w:sz w:val="21"/>
          <w:szCs w:val="21"/>
          <w:lang w:val="en-US" w:eastAsia="zh-CN"/>
        </w:rPr>
        <w:t>1</w:t>
      </w:r>
      <w:r>
        <w:rPr>
          <w:rFonts w:eastAsia="宋体"/>
          <w:b/>
          <w:sz w:val="21"/>
          <w:szCs w:val="21"/>
        </w:rPr>
        <w:t>）第</w:t>
      </w:r>
      <w:r>
        <w:rPr>
          <w:rFonts w:hint="eastAsia" w:eastAsia="宋体"/>
          <w:b/>
          <w:sz w:val="21"/>
          <w:szCs w:val="21"/>
          <w:lang w:val="en-US" w:eastAsia="zh-CN"/>
        </w:rPr>
        <w:t>6010</w:t>
      </w:r>
      <w:r>
        <w:rPr>
          <w:rFonts w:eastAsia="宋体"/>
          <w:b/>
          <w:sz w:val="21"/>
          <w:szCs w:val="21"/>
        </w:rPr>
        <w:t>号</w:t>
      </w:r>
    </w:p>
    <w:p>
      <w:pPr>
        <w:spacing w:beforeLines="50" w:afterLines="50" w:line="580" w:lineRule="exact"/>
        <w:jc w:val="center"/>
        <w:rPr>
          <w:rFonts w:hint="eastAsia" w:eastAsia="宋体"/>
          <w:b/>
          <w:sz w:val="44"/>
          <w:szCs w:val="44"/>
          <w:lang w:eastAsia="zh-CN"/>
        </w:rPr>
      </w:pPr>
      <w:r>
        <w:rPr>
          <w:rFonts w:hint="eastAsia" w:eastAsia="宋体"/>
          <w:b/>
          <w:sz w:val="44"/>
          <w:szCs w:val="44"/>
        </w:rPr>
        <w:t>徐水</w:t>
      </w:r>
      <w:r>
        <w:rPr>
          <w:rFonts w:hint="eastAsia" w:eastAsia="宋体"/>
          <w:b/>
          <w:sz w:val="44"/>
          <w:szCs w:val="44"/>
          <w:lang w:eastAsia="zh-CN"/>
        </w:rPr>
        <w:t>区“四好”农村道路连接工程</w:t>
      </w:r>
    </w:p>
    <w:p>
      <w:pPr>
        <w:spacing w:beforeLines="50" w:afterLines="50" w:line="580" w:lineRule="exact"/>
        <w:jc w:val="center"/>
        <w:rPr>
          <w:rFonts w:eastAsia="宋体"/>
          <w:b/>
          <w:sz w:val="44"/>
          <w:szCs w:val="44"/>
        </w:rPr>
      </w:pPr>
      <w:r>
        <w:rPr>
          <w:rFonts w:eastAsia="宋体"/>
          <w:b/>
          <w:sz w:val="44"/>
          <w:szCs w:val="44"/>
        </w:rPr>
        <w:t>绩效评价报告</w:t>
      </w:r>
    </w:p>
    <w:p>
      <w:pPr>
        <w:spacing w:line="580" w:lineRule="exact"/>
        <w:rPr>
          <w:rFonts w:hint="eastAsia" w:ascii="仿宋_GB2312" w:hAnsi="仿宋_GB2312" w:eastAsia="仿宋_GB2312" w:cs="仿宋_GB2312"/>
          <w:sz w:val="32"/>
          <w:szCs w:val="32"/>
        </w:rPr>
      </w:pPr>
      <w:r>
        <w:rPr>
          <w:rFonts w:hint="eastAsia" w:ascii="仿宋_GB2312" w:hAnsi="仿宋_GB2312" w:cs="仿宋_GB2312"/>
          <w:sz w:val="32"/>
          <w:szCs w:val="32"/>
          <w:lang w:eastAsia="zh-CN"/>
        </w:rPr>
        <w:t>保定市</w:t>
      </w:r>
      <w:r>
        <w:rPr>
          <w:rFonts w:hint="eastAsia" w:ascii="仿宋_GB2312" w:hAnsi="仿宋_GB2312" w:eastAsia="仿宋_GB2312" w:cs="仿宋_GB2312"/>
          <w:sz w:val="32"/>
          <w:szCs w:val="32"/>
          <w:lang w:eastAsia="zh-CN"/>
        </w:rPr>
        <w:t>徐水区</w:t>
      </w:r>
      <w:r>
        <w:rPr>
          <w:rFonts w:hint="eastAsia" w:ascii="仿宋_GB2312" w:hAnsi="仿宋_GB2312" w:eastAsia="仿宋_GB2312" w:cs="仿宋_GB2312"/>
          <w:sz w:val="32"/>
          <w:szCs w:val="32"/>
        </w:rPr>
        <w:t>财政局：</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我们接受贵单位的委托，于202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日至202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cs="仿宋_GB2312"/>
          <w:sz w:val="32"/>
          <w:szCs w:val="32"/>
          <w:lang w:val="en-US" w:eastAsia="zh-CN"/>
        </w:rPr>
        <w:t>28</w:t>
      </w:r>
      <w:r>
        <w:rPr>
          <w:rFonts w:hint="eastAsia" w:ascii="仿宋_GB2312" w:hAnsi="仿宋_GB2312" w:eastAsia="仿宋_GB2312" w:cs="仿宋_GB2312"/>
          <w:sz w:val="32"/>
          <w:szCs w:val="32"/>
        </w:rPr>
        <w:t>日对</w:t>
      </w:r>
      <w:r>
        <w:rPr>
          <w:rFonts w:hint="eastAsia" w:ascii="仿宋_GB2312" w:hAnsi="仿宋_GB2312" w:eastAsia="仿宋_GB2312" w:cs="仿宋_GB2312"/>
          <w:sz w:val="32"/>
          <w:szCs w:val="32"/>
          <w:lang w:eastAsia="zh-CN"/>
        </w:rPr>
        <w:t>徐水区交通运输局</w:t>
      </w:r>
      <w:r>
        <w:rPr>
          <w:rFonts w:hint="eastAsia" w:ascii="仿宋_GB2312" w:hAnsi="仿宋_GB2312" w:eastAsia="仿宋_GB2312" w:cs="仿宋_GB2312"/>
          <w:sz w:val="32"/>
          <w:szCs w:val="32"/>
        </w:rPr>
        <w:t>（以下简称“</w:t>
      </w:r>
      <w:r>
        <w:rPr>
          <w:rFonts w:hint="eastAsia" w:ascii="仿宋_GB2312" w:hAnsi="仿宋_GB2312" w:eastAsia="仿宋_GB2312" w:cs="仿宋_GB2312"/>
          <w:sz w:val="32"/>
          <w:szCs w:val="32"/>
          <w:lang w:eastAsia="zh-CN"/>
        </w:rPr>
        <w:t>区交通</w:t>
      </w:r>
      <w:r>
        <w:rPr>
          <w:rFonts w:hint="eastAsia" w:ascii="仿宋_GB2312" w:hAnsi="仿宋_GB2312" w:cs="仿宋_GB2312"/>
          <w:sz w:val="32"/>
          <w:szCs w:val="32"/>
          <w:lang w:val="en-US" w:eastAsia="zh-CN"/>
        </w:rPr>
        <w:t>运输局</w:t>
      </w:r>
      <w:r>
        <w:rPr>
          <w:rFonts w:hint="eastAsia" w:ascii="仿宋_GB2312" w:hAnsi="仿宋_GB2312" w:eastAsia="仿宋_GB2312" w:cs="仿宋_GB2312"/>
          <w:sz w:val="32"/>
          <w:szCs w:val="32"/>
        </w:rPr>
        <w:t>”）承担的徐水</w:t>
      </w:r>
      <w:r>
        <w:rPr>
          <w:rFonts w:hint="eastAsia" w:ascii="仿宋_GB2312" w:hAnsi="仿宋_GB2312" w:eastAsia="仿宋_GB2312" w:cs="仿宋_GB2312"/>
          <w:sz w:val="32"/>
          <w:szCs w:val="32"/>
          <w:lang w:eastAsia="zh-CN"/>
        </w:rPr>
        <w:t>区“四好”农村道路连接工程</w:t>
      </w:r>
      <w:r>
        <w:rPr>
          <w:rFonts w:hint="eastAsia" w:ascii="仿宋_GB2312" w:hAnsi="仿宋_GB2312" w:eastAsia="仿宋_GB2312" w:cs="仿宋_GB2312"/>
          <w:sz w:val="32"/>
          <w:szCs w:val="32"/>
        </w:rPr>
        <w:t>（以下简称“该项目”）进行了绩效评价。与绩效评价有关的项目资料由项目相关单位提供，并对项目相关资料的真实性、完整性、合法性负责。我们的责任是根据项目相关资料，对项目从决策、过程、产出、效果四个方面和执行国家法律、法规的情况提出评价意见。</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我们的绩效评价工作是依据《中国注册会计师执业准则》和财政部门的相关规定进行的。在评价工作中，我们结合被评价项目的实际情况实施了包括询问、资料</w:t>
      </w:r>
      <w:r>
        <w:rPr>
          <w:rFonts w:hint="eastAsia" w:ascii="仿宋_GB2312" w:hAnsi="仿宋_GB2312" w:eastAsia="仿宋_GB2312" w:cs="仿宋_GB2312"/>
          <w:sz w:val="32"/>
          <w:szCs w:val="32"/>
          <w:lang w:eastAsia="zh-CN"/>
        </w:rPr>
        <w:t>审查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计算分析、现场踏勘、</w:t>
      </w:r>
      <w:r>
        <w:rPr>
          <w:rFonts w:hint="eastAsia" w:ascii="仿宋_GB2312" w:hAnsi="仿宋_GB2312" w:eastAsia="仿宋_GB2312" w:cs="仿宋_GB2312"/>
          <w:sz w:val="32"/>
          <w:szCs w:val="32"/>
        </w:rPr>
        <w:t>等评价手段。绩效评价工作现已完成，评价情况如下：</w:t>
      </w:r>
    </w:p>
    <w:p>
      <w:pPr>
        <w:spacing w:line="580" w:lineRule="exact"/>
        <w:rPr>
          <w:szCs w:val="30"/>
        </w:rPr>
      </w:pPr>
    </w:p>
    <w:p>
      <w:pPr>
        <w:spacing w:line="580" w:lineRule="exact"/>
        <w:rPr>
          <w:szCs w:val="30"/>
        </w:rPr>
      </w:pPr>
    </w:p>
    <w:p>
      <w:pPr>
        <w:pStyle w:val="19"/>
        <w:spacing w:before="0" w:after="360" w:line="580" w:lineRule="exact"/>
        <w:jc w:val="both"/>
        <w:rPr>
          <w:rFonts w:ascii="Times New Roman" w:hAnsi="Times New Roman" w:eastAsia="黑体"/>
        </w:rPr>
      </w:pPr>
      <w:bookmarkStart w:id="0" w:name="_Toc38821358"/>
      <w:bookmarkStart w:id="1" w:name="_Toc8224135"/>
    </w:p>
    <w:p>
      <w:pPr>
        <w:pStyle w:val="19"/>
        <w:spacing w:before="0" w:after="360" w:line="580" w:lineRule="exact"/>
        <w:rPr>
          <w:rFonts w:ascii="Times New Roman" w:hAnsi="Times New Roman" w:eastAsia="黑体"/>
        </w:rPr>
        <w:sectPr>
          <w:footerReference r:id="rId5" w:type="default"/>
          <w:pgSz w:w="11906" w:h="16838"/>
          <w:pgMar w:top="2098" w:right="1304" w:bottom="1871" w:left="1531" w:header="851" w:footer="992" w:gutter="0"/>
          <w:pgNumType w:start="1"/>
          <w:cols w:space="720" w:num="1"/>
          <w:docGrid w:type="lines" w:linePitch="415" w:charSpace="0"/>
        </w:sectPr>
      </w:pPr>
      <w:bookmarkStart w:id="2" w:name="_Toc41137179"/>
      <w:bookmarkStart w:id="3" w:name="_Toc14344"/>
    </w:p>
    <w:p>
      <w:pPr>
        <w:pStyle w:val="19"/>
        <w:spacing w:before="0" w:after="360" w:line="580" w:lineRule="exact"/>
        <w:rPr>
          <w:rFonts w:ascii="Times New Roman" w:hAnsi="Times New Roman" w:eastAsia="黑体"/>
        </w:rPr>
      </w:pPr>
      <w:bookmarkStart w:id="4" w:name="_Toc25090"/>
      <w:r>
        <w:rPr>
          <w:rFonts w:ascii="Times New Roman" w:hAnsi="Times New Roman" w:eastAsia="黑体"/>
        </w:rPr>
        <w:t>第一部分   摘要</w:t>
      </w:r>
      <w:bookmarkEnd w:id="0"/>
      <w:bookmarkEnd w:id="1"/>
      <w:bookmarkEnd w:id="2"/>
      <w:bookmarkEnd w:id="3"/>
      <w:bookmarkEnd w:id="4"/>
    </w:p>
    <w:p>
      <w:pPr>
        <w:spacing w:line="580" w:lineRule="exact"/>
        <w:ind w:firstLine="643" w:firstLineChars="200"/>
        <w:rPr>
          <w:rFonts w:hint="eastAsia" w:ascii="仿宋_GB2312" w:hAnsi="仿宋_GB2312" w:eastAsia="仿宋_GB2312" w:cs="仿宋_GB2312"/>
          <w:sz w:val="32"/>
          <w:szCs w:val="32"/>
          <w:lang w:val="en-US" w:eastAsia="zh-CN"/>
        </w:rPr>
      </w:pPr>
      <w:bookmarkStart w:id="5" w:name="_Toc39666629"/>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项目背景</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en-US" w:eastAsia="zh-CN"/>
        </w:rPr>
        <w:t>农村公路包括县道、乡道和村道三个层次，是公路网的重要组成部分，是保障农村社会经济发展最重要的基础设施之一，是农村经济发展、农业结构调整、农民持续增收的重要基础条件，是促进农村经济发展，加快城乡一体化进程的必要条件。为使农村公路网更加完善，通达至各个农村，解决村民出行“最后一公里”问题，徐水区政府启动了农村道路连接工程，保证每一个农村能够至少有一条</w:t>
      </w:r>
      <w:r>
        <w:rPr>
          <w:rFonts w:hint="eastAsia" w:ascii="仿宋_GB2312" w:hAnsi="仿宋_GB2312" w:eastAsia="仿宋_GB2312" w:cs="仿宋_GB2312"/>
          <w:sz w:val="32"/>
          <w:szCs w:val="32"/>
          <w:highlight w:val="none"/>
          <w:lang w:val="en-US" w:eastAsia="zh-CN"/>
        </w:rPr>
        <w:t>等级</w:t>
      </w:r>
      <w:r>
        <w:rPr>
          <w:rFonts w:hint="eastAsia" w:ascii="仿宋_GB2312" w:hAnsi="仿宋_GB2312" w:eastAsia="仿宋_GB2312" w:cs="仿宋_GB2312"/>
          <w:sz w:val="32"/>
          <w:szCs w:val="32"/>
          <w:lang w:val="en-US" w:eastAsia="zh-CN"/>
        </w:rPr>
        <w:t>公路通往县乡公路，并改善相邻各村之间的交通状况，使广大农民一出门便享受到公路的便利。此外，该项目还对前一阶段农村公路改造提升工程进行补充，通过县道、乡道和村道三个层次公路的建设，将城乡连为一体，打破城乡地域界限，真正达到交通基础设施全覆盖，从而推动区域经济发展的一体化进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项目主要</w:t>
      </w:r>
      <w:r>
        <w:rPr>
          <w:rFonts w:hint="eastAsia" w:ascii="仿宋_GB2312" w:hAnsi="仿宋_GB2312" w:cs="仿宋_GB2312"/>
          <w:b/>
          <w:bCs/>
          <w:sz w:val="32"/>
          <w:szCs w:val="32"/>
          <w:lang w:eastAsia="zh-CN"/>
        </w:rPr>
        <w:t>建设</w:t>
      </w:r>
      <w:r>
        <w:rPr>
          <w:rFonts w:hint="eastAsia" w:ascii="仿宋_GB2312" w:hAnsi="仿宋_GB2312" w:eastAsia="仿宋_GB2312" w:cs="仿宋_GB2312"/>
          <w:b/>
          <w:bCs/>
          <w:sz w:val="32"/>
          <w:szCs w:val="32"/>
        </w:rPr>
        <w:t>内容</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en-US" w:eastAsia="zh-CN"/>
        </w:rPr>
        <w:t>该项目建设内容包含14个乡镇的106条公路，总里程149</w:t>
      </w:r>
      <w:r>
        <w:rPr>
          <w:rFonts w:hint="eastAsia" w:ascii="仿宋_GB2312" w:hAnsi="仿宋_GB2312" w:cs="仿宋_GB2312"/>
          <w:sz w:val="32"/>
          <w:szCs w:val="32"/>
          <w:lang w:val="en-US" w:eastAsia="zh-CN"/>
        </w:rPr>
        <w:t>.057</w:t>
      </w:r>
      <w:r>
        <w:rPr>
          <w:rFonts w:hint="eastAsia" w:ascii="仿宋_GB2312" w:hAnsi="仿宋_GB2312" w:eastAsia="仿宋_GB2312" w:cs="仿宋_GB2312"/>
          <w:sz w:val="32"/>
          <w:szCs w:val="32"/>
          <w:lang w:val="en-US" w:eastAsia="zh-CN"/>
        </w:rPr>
        <w:t>公里，其中103条通村公路全长126.36公里，</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条穿越乡镇道路全长22.697公里。</w:t>
      </w:r>
    </w:p>
    <w:p>
      <w:pPr>
        <w:spacing w:line="580" w:lineRule="exact"/>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3.项目实施情况。</w:t>
      </w:r>
      <w:r>
        <w:rPr>
          <w:rFonts w:hint="eastAsia" w:ascii="仿宋_GB2312" w:hAnsi="仿宋_GB2312" w:eastAsia="仿宋_GB2312" w:cs="仿宋_GB2312"/>
          <w:sz w:val="32"/>
          <w:szCs w:val="32"/>
        </w:rPr>
        <w:t>该项目于</w:t>
      </w:r>
      <w:r>
        <w:rPr>
          <w:rFonts w:hint="eastAsia" w:ascii="仿宋_GB2312" w:hAnsi="仿宋_GB2312" w:eastAsia="仿宋_GB2312" w:cs="仿宋_GB2312"/>
          <w:sz w:val="32"/>
          <w:szCs w:val="32"/>
          <w:lang w:val="en-US" w:eastAsia="zh-CN"/>
        </w:rPr>
        <w:t>2018年5月完成立项批复工作，批复总投资37660.03万元。2019年4月开始组织招标，5月完成招标，该项目共分为三个标段，中标总金额25279.68万元。其中：一标段中标单位为河北路博交通科技有限公司，中标金额5841.46万元</w:t>
      </w:r>
      <w:r>
        <w:rPr>
          <w:rFonts w:hint="eastAsia" w:ascii="仿宋_GB2312" w:hAnsi="仿宋_GB2312" w:eastAsia="仿宋_GB2312" w:cs="仿宋_GB2312"/>
          <w:color w:val="auto"/>
          <w:sz w:val="32"/>
          <w:szCs w:val="32"/>
          <w:lang w:val="en-US" w:eastAsia="zh-CN"/>
        </w:rPr>
        <w:t>，涉及道路</w:t>
      </w:r>
      <w:r>
        <w:rPr>
          <w:rFonts w:hint="eastAsia" w:ascii="仿宋_GB2312" w:hAnsi="仿宋_GB2312" w:cs="仿宋_GB2312"/>
          <w:color w:val="auto"/>
          <w:sz w:val="32"/>
          <w:szCs w:val="32"/>
          <w:lang w:val="en-US" w:eastAsia="zh-CN"/>
        </w:rPr>
        <w:t>31</w:t>
      </w:r>
      <w:r>
        <w:rPr>
          <w:rFonts w:hint="eastAsia" w:ascii="仿宋_GB2312" w:hAnsi="仿宋_GB2312" w:eastAsia="仿宋_GB2312" w:cs="仿宋_GB2312"/>
          <w:color w:val="auto"/>
          <w:sz w:val="32"/>
          <w:szCs w:val="32"/>
          <w:lang w:val="en-US" w:eastAsia="zh-CN"/>
        </w:rPr>
        <w:t>条</w:t>
      </w:r>
      <w:r>
        <w:rPr>
          <w:rFonts w:hint="eastAsia" w:ascii="仿宋_GB2312" w:hAnsi="仿宋_GB2312" w:cs="仿宋_GB2312"/>
          <w:color w:val="auto"/>
          <w:sz w:val="32"/>
          <w:szCs w:val="32"/>
          <w:lang w:val="en-US" w:eastAsia="zh-CN"/>
        </w:rPr>
        <w:t>,42.854</w:t>
      </w:r>
      <w:r>
        <w:rPr>
          <w:rFonts w:hint="eastAsia" w:ascii="仿宋_GB2312" w:hAnsi="仿宋_GB2312" w:eastAsia="仿宋_GB2312" w:cs="仿宋_GB2312"/>
          <w:color w:val="auto"/>
          <w:sz w:val="32"/>
          <w:szCs w:val="32"/>
          <w:lang w:val="en-US" w:eastAsia="zh-CN"/>
        </w:rPr>
        <w:t>公里；</w:t>
      </w:r>
      <w:r>
        <w:rPr>
          <w:rFonts w:hint="eastAsia" w:ascii="仿宋_GB2312" w:hAnsi="仿宋_GB2312" w:eastAsia="仿宋_GB2312" w:cs="仿宋_GB2312"/>
          <w:sz w:val="32"/>
          <w:szCs w:val="32"/>
          <w:lang w:val="en-US" w:eastAsia="zh-CN"/>
        </w:rPr>
        <w:t>二标段中标单位为保定市达通公路工程有限公司，中标金额11382.29万元，</w:t>
      </w:r>
      <w:r>
        <w:rPr>
          <w:rFonts w:hint="eastAsia" w:ascii="仿宋_GB2312" w:hAnsi="仿宋_GB2312" w:eastAsia="仿宋_GB2312" w:cs="仿宋_GB2312"/>
          <w:color w:val="auto"/>
          <w:sz w:val="32"/>
          <w:szCs w:val="32"/>
          <w:lang w:val="en-US" w:eastAsia="zh-CN"/>
        </w:rPr>
        <w:t>涉及道路</w:t>
      </w:r>
      <w:r>
        <w:rPr>
          <w:rFonts w:hint="eastAsia" w:ascii="仿宋_GB2312" w:hAnsi="仿宋_GB2312" w:cs="仿宋_GB2312"/>
          <w:color w:val="auto"/>
          <w:sz w:val="32"/>
          <w:szCs w:val="32"/>
          <w:lang w:val="en-US" w:eastAsia="zh-CN"/>
        </w:rPr>
        <w:t>72</w:t>
      </w:r>
      <w:r>
        <w:rPr>
          <w:rFonts w:hint="eastAsia" w:ascii="仿宋_GB2312" w:hAnsi="仿宋_GB2312" w:eastAsia="仿宋_GB2312" w:cs="仿宋_GB2312"/>
          <w:color w:val="auto"/>
          <w:sz w:val="32"/>
          <w:szCs w:val="32"/>
          <w:lang w:val="en-US" w:eastAsia="zh-CN"/>
        </w:rPr>
        <w:t>条，</w:t>
      </w:r>
      <w:r>
        <w:rPr>
          <w:rFonts w:hint="eastAsia" w:ascii="仿宋_GB2312" w:hAnsi="仿宋_GB2312" w:cs="仿宋_GB2312"/>
          <w:color w:val="auto"/>
          <w:sz w:val="32"/>
          <w:szCs w:val="32"/>
          <w:lang w:val="en-US" w:eastAsia="zh-CN"/>
        </w:rPr>
        <w:t>83.506</w:t>
      </w:r>
      <w:r>
        <w:rPr>
          <w:rFonts w:hint="eastAsia" w:ascii="仿宋_GB2312" w:hAnsi="仿宋_GB2312" w:eastAsia="仿宋_GB2312" w:cs="仿宋_GB2312"/>
          <w:color w:val="auto"/>
          <w:sz w:val="32"/>
          <w:szCs w:val="32"/>
          <w:lang w:val="en-US" w:eastAsia="zh-CN"/>
        </w:rPr>
        <w:t>公里；三标段中标单位为邢台市政建设集团股</w:t>
      </w:r>
      <w:r>
        <w:rPr>
          <w:rFonts w:hint="eastAsia" w:ascii="仿宋_GB2312" w:hAnsi="仿宋_GB2312" w:eastAsia="仿宋_GB2312" w:cs="仿宋_GB2312"/>
          <w:sz w:val="32"/>
          <w:szCs w:val="32"/>
          <w:lang w:val="en-US" w:eastAsia="zh-CN"/>
        </w:rPr>
        <w:t>份有限公司，中标金额8055.93万元，涉及</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 xml:space="preserve">条穿越乡镇道路，全长22.697公里。              </w:t>
      </w:r>
    </w:p>
    <w:p>
      <w:pPr>
        <w:spacing w:line="58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2019年6月该项目正式开工，</w:t>
      </w:r>
      <w:r>
        <w:rPr>
          <w:rFonts w:hint="eastAsia" w:ascii="仿宋_GB2312" w:hAnsi="仿宋_GB2312" w:cs="仿宋_GB2312"/>
          <w:color w:val="auto"/>
          <w:sz w:val="32"/>
          <w:szCs w:val="32"/>
          <w:lang w:val="en-US" w:eastAsia="zh-CN"/>
        </w:rPr>
        <w:t>截止评价日，</w:t>
      </w:r>
      <w:r>
        <w:rPr>
          <w:rFonts w:hint="eastAsia" w:ascii="仿宋_GB2312" w:hAnsi="仿宋_GB2312" w:eastAsia="仿宋_GB2312" w:cs="仿宋_GB2312"/>
          <w:color w:val="auto"/>
          <w:sz w:val="32"/>
          <w:szCs w:val="32"/>
          <w:lang w:val="en-US" w:eastAsia="zh-CN"/>
        </w:rPr>
        <w:t>已完成</w:t>
      </w:r>
      <w:r>
        <w:rPr>
          <w:rFonts w:hint="eastAsia" w:ascii="仿宋_GB2312" w:hAnsi="仿宋_GB2312" w:eastAsia="仿宋_GB2312" w:cs="仿宋_GB2312"/>
          <w:color w:val="auto"/>
          <w:sz w:val="32"/>
          <w:szCs w:val="32"/>
          <w:highlight w:val="none"/>
          <w:lang w:val="en-US" w:eastAsia="zh-CN"/>
        </w:rPr>
        <w:t>道路132.04公里，一二标段基本完成了标段内的建设内容</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一标段完成道路45.457公里，二标段完成道路78.583公里</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，目前正在进行工程收尾工作</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三标段</w:t>
      </w:r>
      <w:r>
        <w:rPr>
          <w:rFonts w:hint="eastAsia" w:ascii="仿宋_GB2312" w:hAnsi="仿宋_GB2312" w:cs="仿宋_GB2312"/>
          <w:color w:val="auto"/>
          <w:sz w:val="32"/>
          <w:szCs w:val="32"/>
          <w:highlight w:val="none"/>
          <w:lang w:val="en-US" w:eastAsia="zh-CN"/>
        </w:rPr>
        <w:t>完成情况不理想，仅完成</w:t>
      </w:r>
      <w:r>
        <w:rPr>
          <w:rFonts w:hint="eastAsia" w:ascii="仿宋_GB2312" w:hAnsi="仿宋_GB2312" w:eastAsia="仿宋_GB2312" w:cs="仿宋_GB2312"/>
          <w:color w:val="auto"/>
          <w:sz w:val="32"/>
          <w:szCs w:val="32"/>
          <w:highlight w:val="none"/>
          <w:lang w:val="en-US" w:eastAsia="zh-CN"/>
        </w:rPr>
        <w:t>职中路西延</w:t>
      </w:r>
      <w:r>
        <w:rPr>
          <w:rFonts w:hint="eastAsia" w:ascii="仿宋_GB2312" w:hAnsi="仿宋_GB2312" w:eastAsia="仿宋_GB2312" w:cs="仿宋_GB2312"/>
          <w:color w:val="auto"/>
          <w:sz w:val="32"/>
          <w:szCs w:val="32"/>
          <w:lang w:val="en-US" w:eastAsia="zh-CN"/>
        </w:rPr>
        <w:t>线路</w:t>
      </w:r>
      <w:r>
        <w:rPr>
          <w:rFonts w:hint="eastAsia" w:ascii="仿宋_GB2312" w:hAnsi="仿宋_GB2312" w:eastAsia="仿宋_GB2312" w:cs="仿宋_GB2312"/>
          <w:color w:val="auto"/>
          <w:sz w:val="32"/>
          <w:szCs w:val="32"/>
          <w:highlight w:val="none"/>
          <w:lang w:val="en-US" w:eastAsia="zh-CN"/>
        </w:rPr>
        <w:t>8公里</w:t>
      </w:r>
      <w:r>
        <w:rPr>
          <w:rFonts w:hint="eastAsia" w:ascii="仿宋_GB2312" w:hAnsi="仿宋_GB2312" w:eastAsia="仿宋_GB2312" w:cs="仿宋_GB2312"/>
          <w:color w:val="auto"/>
          <w:sz w:val="32"/>
          <w:szCs w:val="32"/>
          <w:lang w:val="en-US" w:eastAsia="zh-CN"/>
        </w:rPr>
        <w:t>，其他两条道路因受到雄安调蓄库、雄安建材运输通道等省重点项目的制约，还未实施。</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项目实施涉及主要单位如下：</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建设单位：</w:t>
      </w:r>
      <w:r>
        <w:rPr>
          <w:rFonts w:hint="eastAsia" w:ascii="仿宋_GB2312" w:hAnsi="仿宋_GB2312" w:eastAsia="仿宋_GB2312" w:cs="仿宋_GB2312"/>
          <w:sz w:val="32"/>
          <w:szCs w:val="32"/>
          <w:lang w:eastAsia="zh-CN"/>
        </w:rPr>
        <w:t>徐水区交通运输局</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勘察设计单位：河北省交通规划设计院</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监理单位：</w:t>
      </w:r>
      <w:r>
        <w:rPr>
          <w:rFonts w:hint="eastAsia" w:ascii="仿宋_GB2312" w:hAnsi="仿宋_GB2312" w:eastAsia="仿宋_GB2312" w:cs="仿宋_GB2312"/>
          <w:sz w:val="32"/>
          <w:szCs w:val="32"/>
          <w:lang w:eastAsia="zh-CN"/>
        </w:rPr>
        <w:t>保定交通建设监理咨询有限公司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施工单位：河北路博交通科技有限公司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保定市达通公路工程有限公司</w:t>
      </w:r>
    </w:p>
    <w:p>
      <w:pPr>
        <w:spacing w:line="580" w:lineRule="exact"/>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邢台市政建设集团股份有限公司</w:t>
      </w:r>
    </w:p>
    <w:p>
      <w:pPr>
        <w:numPr>
          <w:ilvl w:val="0"/>
          <w:numId w:val="0"/>
        </w:numPr>
        <w:spacing w:line="580" w:lineRule="exact"/>
        <w:ind w:firstLine="643"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.资金投入和使用情况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Cs/>
          <w:sz w:val="32"/>
          <w:szCs w:val="32"/>
          <w:lang w:val="en-US" w:eastAsia="zh-CN"/>
        </w:rPr>
        <w:t>该项目中标总金额25279.68万元，全部</w:t>
      </w:r>
      <w:r>
        <w:rPr>
          <w:rFonts w:hint="eastAsia" w:ascii="仿宋_GB2312" w:hAnsi="仿宋_GB2312" w:cs="仿宋_GB2312"/>
          <w:bCs/>
          <w:sz w:val="32"/>
          <w:szCs w:val="32"/>
          <w:lang w:val="en-US" w:eastAsia="zh-CN"/>
        </w:rPr>
        <w:t>为</w:t>
      </w:r>
      <w:r>
        <w:rPr>
          <w:rFonts w:hint="eastAsia" w:ascii="仿宋_GB2312" w:hAnsi="仿宋_GB2312" w:eastAsia="仿宋_GB2312" w:cs="仿宋_GB2312"/>
          <w:bCs/>
          <w:sz w:val="32"/>
          <w:szCs w:val="32"/>
          <w:lang w:val="en-US" w:eastAsia="zh-CN"/>
        </w:rPr>
        <w:t>专项债券资金。截至2021年5月15日，该项目共收到专项债券资金16200万元。其中：2019年9000万元、2020年4000万元、2021年3200万元，本次评价范围为2020年的专项债券资金4000万元。</w:t>
      </w:r>
    </w:p>
    <w:p>
      <w:pPr>
        <w:numPr>
          <w:ilvl w:val="0"/>
          <w:numId w:val="0"/>
        </w:numPr>
        <w:spacing w:line="58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val="0"/>
          <w:bCs/>
          <w:kern w:val="2"/>
          <w:sz w:val="32"/>
          <w:szCs w:val="32"/>
          <w:lang w:val="en-US" w:eastAsia="zh-CN" w:bidi="ar-SA"/>
        </w:rPr>
        <w:t>截至2021年5月15日，</w:t>
      </w:r>
      <w:r>
        <w:rPr>
          <w:rFonts w:hint="eastAsia" w:ascii="仿宋_GB2312" w:hAnsi="仿宋_GB2312" w:eastAsia="仿宋_GB2312" w:cs="仿宋_GB2312"/>
          <w:bCs/>
          <w:sz w:val="32"/>
          <w:szCs w:val="32"/>
          <w:lang w:val="en-US" w:eastAsia="zh-CN"/>
        </w:rPr>
        <w:t>2020年支出</w:t>
      </w:r>
      <w:r>
        <w:rPr>
          <w:rFonts w:hint="eastAsia" w:ascii="仿宋_GB2312" w:hAnsi="仿宋_GB2312" w:cs="仿宋_GB2312"/>
          <w:bCs/>
          <w:sz w:val="32"/>
          <w:szCs w:val="32"/>
          <w:lang w:val="en-US" w:eastAsia="zh-CN"/>
        </w:rPr>
        <w:t>专项债券4000</w:t>
      </w:r>
      <w:r>
        <w:rPr>
          <w:rFonts w:hint="eastAsia" w:ascii="仿宋_GB2312" w:hAnsi="仿宋_GB2312" w:eastAsia="仿宋_GB2312" w:cs="仿宋_GB2312"/>
          <w:bCs/>
          <w:sz w:val="32"/>
          <w:szCs w:val="32"/>
          <w:lang w:val="en-US" w:eastAsia="zh-CN"/>
        </w:rPr>
        <w:t>万元，资金支付率100%。</w:t>
      </w:r>
    </w:p>
    <w:p>
      <w:pPr>
        <w:pStyle w:val="19"/>
        <w:spacing w:before="0" w:after="0" w:line="580" w:lineRule="exact"/>
        <w:ind w:firstLine="643" w:firstLineChars="200"/>
        <w:jc w:val="left"/>
        <w:rPr>
          <w:rFonts w:hint="eastAsia" w:ascii="仿宋_GB2312" w:hAnsi="仿宋_GB2312" w:eastAsia="仿宋_GB2312" w:cs="仿宋_GB2312"/>
          <w:b/>
          <w:bCs/>
          <w:kern w:val="2"/>
          <w:sz w:val="32"/>
          <w:szCs w:val="32"/>
          <w:lang w:val="en-US" w:eastAsia="zh-CN" w:bidi="ar-SA"/>
        </w:rPr>
      </w:pPr>
      <w:bookmarkStart w:id="6" w:name="_Toc5864"/>
      <w:bookmarkStart w:id="7" w:name="_Toc15878"/>
      <w:bookmarkStart w:id="8" w:name="_Toc28301"/>
      <w:r>
        <w:rPr>
          <w:rFonts w:hint="eastAsia" w:ascii="仿宋_GB2312" w:hAnsi="仿宋_GB2312" w:eastAsia="仿宋_GB2312" w:cs="仿宋_GB2312"/>
          <w:b/>
          <w:bCs/>
          <w:kern w:val="2"/>
          <w:sz w:val="32"/>
          <w:szCs w:val="32"/>
          <w:lang w:val="en-US" w:eastAsia="zh-CN" w:bidi="ar-SA"/>
        </w:rPr>
        <w:t>5.综合评价情况及评价结论</w:t>
      </w:r>
      <w:bookmarkEnd w:id="6"/>
      <w:bookmarkEnd w:id="7"/>
      <w:bookmarkEnd w:id="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经综合评价，徐水区“四好”农村道路连接工程</w:t>
      </w:r>
      <w:r>
        <w:rPr>
          <w:rFonts w:hint="eastAsia" w:ascii="仿宋_GB2312" w:hAnsi="仿宋_GB2312" w:eastAsia="仿宋_GB2312" w:cs="仿宋_GB2312"/>
          <w:b/>
          <w:bCs/>
          <w:sz w:val="32"/>
          <w:szCs w:val="32"/>
        </w:rPr>
        <w:t>绩效评价得分</w:t>
      </w:r>
      <w:r>
        <w:rPr>
          <w:rFonts w:hint="eastAsia" w:ascii="仿宋_GB2312" w:hAnsi="仿宋_GB2312" w:eastAsia="仿宋_GB2312" w:cs="仿宋_GB2312"/>
          <w:b/>
          <w:bCs/>
          <w:sz w:val="32"/>
          <w:szCs w:val="32"/>
          <w:lang w:val="en-US" w:eastAsia="zh-CN"/>
        </w:rPr>
        <w:t>81.29</w:t>
      </w:r>
      <w:r>
        <w:rPr>
          <w:rFonts w:hint="eastAsia" w:ascii="仿宋_GB2312" w:hAnsi="仿宋_GB2312" w:eastAsia="仿宋_GB2312" w:cs="仿宋_GB2312"/>
          <w:b/>
          <w:bCs/>
          <w:sz w:val="32"/>
          <w:szCs w:val="32"/>
        </w:rPr>
        <w:t>分，评价等级为“</w:t>
      </w:r>
      <w:r>
        <w:rPr>
          <w:rFonts w:hint="eastAsia" w:ascii="仿宋_GB2312" w:hAnsi="仿宋_GB2312" w:eastAsia="仿宋_GB2312" w:cs="仿宋_GB2312"/>
          <w:b/>
          <w:bCs/>
          <w:sz w:val="32"/>
          <w:szCs w:val="32"/>
          <w:lang w:eastAsia="zh-CN"/>
        </w:rPr>
        <w:t>良</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lang w:eastAsia="zh-CN"/>
        </w:rPr>
        <w:t>。</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从总体情况看，</w:t>
      </w:r>
      <w:r>
        <w:rPr>
          <w:rFonts w:hint="eastAsia" w:ascii="仿宋_GB2312" w:hAnsi="仿宋_GB2312" w:eastAsia="仿宋_GB2312" w:cs="仿宋_GB2312"/>
          <w:sz w:val="32"/>
          <w:szCs w:val="32"/>
          <w:lang w:eastAsia="zh-CN"/>
        </w:rPr>
        <w:t>徐水区交通运输局积极组织项目实施，</w:t>
      </w:r>
      <w:r>
        <w:rPr>
          <w:rFonts w:hint="eastAsia" w:ascii="仿宋_GB2312" w:hAnsi="仿宋_GB2312" w:eastAsia="仿宋_GB2312" w:cs="仿宋_GB2312"/>
          <w:sz w:val="32"/>
          <w:szCs w:val="32"/>
        </w:rPr>
        <w:t>将该项目作为重要的民生任务来抓</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lang w:eastAsia="zh-CN"/>
        </w:rPr>
        <w:t>施工期间多次开展推进会，督促项目实施。截止</w:t>
      </w:r>
      <w:r>
        <w:rPr>
          <w:rFonts w:hint="eastAsia" w:ascii="仿宋_GB2312" w:hAnsi="仿宋_GB2312" w:cs="仿宋_GB2312"/>
          <w:sz w:val="32"/>
          <w:szCs w:val="32"/>
          <w:lang w:eastAsia="zh-CN"/>
        </w:rPr>
        <w:t>评价日</w:t>
      </w:r>
      <w:r>
        <w:rPr>
          <w:rFonts w:hint="eastAsia" w:ascii="仿宋_GB2312" w:hAnsi="仿宋_GB2312" w:eastAsia="仿宋_GB2312" w:cs="仿宋_GB2312"/>
          <w:sz w:val="32"/>
          <w:szCs w:val="32"/>
          <w:highlight w:val="none"/>
          <w:lang w:eastAsia="zh-CN"/>
        </w:rPr>
        <w:t>，已完成道路</w:t>
      </w:r>
      <w:r>
        <w:rPr>
          <w:rFonts w:hint="eastAsia" w:ascii="仿宋_GB2312" w:hAnsi="仿宋_GB2312" w:eastAsia="仿宋_GB2312" w:cs="仿宋_GB2312"/>
          <w:sz w:val="32"/>
          <w:szCs w:val="32"/>
          <w:highlight w:val="none"/>
          <w:lang w:val="en-US" w:eastAsia="zh-CN"/>
        </w:rPr>
        <w:t>132.04公里，完工进度88.</w:t>
      </w:r>
      <w:r>
        <w:rPr>
          <w:rFonts w:hint="eastAsia" w:ascii="仿宋_GB2312" w:hAnsi="仿宋_GB2312" w:cs="仿宋_GB2312"/>
          <w:sz w:val="32"/>
          <w:szCs w:val="32"/>
          <w:highlight w:val="none"/>
          <w:lang w:val="en-US" w:eastAsia="zh-CN"/>
        </w:rPr>
        <w:t>58</w:t>
      </w:r>
      <w:r>
        <w:rPr>
          <w:rFonts w:hint="eastAsia" w:ascii="仿宋_GB2312" w:hAnsi="仿宋_GB2312" w:eastAsia="仿宋_GB2312" w:cs="仿宋_GB2312"/>
          <w:sz w:val="32"/>
          <w:szCs w:val="32"/>
          <w:highlight w:val="none"/>
          <w:lang w:val="en-US" w:eastAsia="zh-CN"/>
        </w:rPr>
        <w:t>%，其中：</w:t>
      </w:r>
      <w:r>
        <w:rPr>
          <w:rFonts w:hint="eastAsia" w:ascii="仿宋_GB2312" w:hAnsi="仿宋_GB2312" w:eastAsia="仿宋_GB2312" w:cs="仿宋_GB2312"/>
          <w:color w:val="auto"/>
          <w:sz w:val="32"/>
          <w:szCs w:val="32"/>
          <w:highlight w:val="none"/>
          <w:lang w:val="en-US" w:eastAsia="zh-CN"/>
        </w:rPr>
        <w:t>一、二标段基本完成了</w:t>
      </w:r>
      <w:r>
        <w:rPr>
          <w:rFonts w:hint="eastAsia" w:ascii="仿宋_GB2312" w:hAnsi="仿宋_GB2312" w:eastAsia="仿宋_GB2312" w:cs="仿宋_GB2312"/>
          <w:color w:val="auto"/>
          <w:sz w:val="32"/>
          <w:szCs w:val="32"/>
          <w:lang w:val="en-US" w:eastAsia="zh-CN"/>
        </w:rPr>
        <w:t>本标段内的建设内容，目前正在进行工程收尾工作；三标段因受到雄安调蓄库、雄安建材运输通道等省重点项目的制约，进展较为缓慢。</w:t>
      </w:r>
      <w:r>
        <w:rPr>
          <w:rFonts w:hint="eastAsia" w:ascii="仿宋_GB2312" w:hAnsi="仿宋_GB2312" w:eastAsia="仿宋_GB2312" w:cs="仿宋_GB2312"/>
          <w:sz w:val="32"/>
          <w:szCs w:val="32"/>
          <w:lang w:val="en-US" w:eastAsia="zh-CN"/>
        </w:rPr>
        <w:t>该项目的实施，解决了部分村民出行“最后一公里”的问题，改善了相邻各村之间的交通状况，方便百姓出行，为实现区域经济发展的一体化奠定了基础。通过发放满意度调查问卷，当地居民对该项目的满意度较高。同时，因该项目部分路段还未完工，项目效益未能充分显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通过本次绩效评价工作，我们也发现该项目在预算管理和项目管理中仍存在一些不足之处。具体如下</w:t>
      </w:r>
      <w:r>
        <w:rPr>
          <w:rFonts w:hint="eastAsia" w:ascii="仿宋_GB2312" w:hAnsi="仿宋_GB2312" w:eastAsia="仿宋_GB2312" w:cs="仿宋_GB2312"/>
          <w:sz w:val="32"/>
          <w:szCs w:val="32"/>
          <w:lang w:eastAsia="zh-CN"/>
        </w:rPr>
        <w:t>：</w:t>
      </w:r>
    </w:p>
    <w:p>
      <w:pPr>
        <w:spacing w:line="580" w:lineRule="exact"/>
        <w:ind w:firstLine="640" w:firstLineChars="200"/>
        <w:textAlignment w:val="baseline"/>
        <w:rPr>
          <w:rFonts w:hint="eastAsia" w:ascii="仿宋_GB2312" w:hAnsi="仿宋_GB2312" w:eastAsia="仿宋_GB2312" w:cs="仿宋_GB2312"/>
          <w:sz w:val="32"/>
          <w:szCs w:val="32"/>
          <w:u w:color="000000"/>
          <w:lang w:val="en-US" w:eastAsia="zh-CN"/>
        </w:rPr>
      </w:pPr>
      <w:r>
        <w:rPr>
          <w:rFonts w:hint="eastAsia" w:ascii="仿宋_GB2312" w:hAnsi="仿宋_GB2312" w:eastAsia="仿宋_GB2312" w:cs="仿宋_GB2312"/>
          <w:sz w:val="32"/>
          <w:szCs w:val="32"/>
          <w:u w:color="000000"/>
          <w:lang w:val="en-US" w:eastAsia="zh-CN"/>
        </w:rPr>
        <w:t>（1）</w:t>
      </w:r>
      <w:r>
        <w:rPr>
          <w:rFonts w:hint="eastAsia" w:ascii="仿宋_GB2312" w:hAnsi="仿宋_GB2312" w:eastAsia="仿宋_GB2312" w:cs="仿宋_GB2312"/>
          <w:sz w:val="32"/>
          <w:szCs w:val="32"/>
          <w:u w:color="000000"/>
          <w:lang w:eastAsia="zh-CN"/>
        </w:rPr>
        <w:t>绩效指标设置不够细化</w:t>
      </w:r>
      <w:r>
        <w:rPr>
          <w:rFonts w:hint="eastAsia" w:ascii="仿宋_GB2312" w:hAnsi="仿宋_GB2312" w:eastAsia="仿宋_GB2312" w:cs="仿宋_GB2312"/>
          <w:sz w:val="32"/>
          <w:szCs w:val="32"/>
          <w:u w:color="000000"/>
          <w:lang w:val="en-US" w:eastAsia="zh-CN"/>
        </w:rPr>
        <w:t>。（2）项目前期决策不精准。（3）项目实施进度较慢，时效性较差。（4）项目实施方案制定不精细。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针对上述发现的问题，为进一步提升项目单位今后的预算和项目管理水平，提出以下建议：</w:t>
      </w:r>
    </w:p>
    <w:p>
      <w:pPr>
        <w:numPr>
          <w:ilvl w:val="0"/>
          <w:numId w:val="0"/>
        </w:numPr>
        <w:spacing w:line="580" w:lineRule="exact"/>
        <w:ind w:firstLine="640" w:firstLineChars="200"/>
        <w:textAlignment w:val="baseline"/>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u w:color="000000"/>
          <w:lang w:eastAsia="zh-CN"/>
        </w:rPr>
        <w:t>（</w:t>
      </w:r>
      <w:r>
        <w:rPr>
          <w:rFonts w:hint="eastAsia" w:ascii="仿宋_GB2312" w:hAnsi="仿宋_GB2312" w:eastAsia="仿宋_GB2312" w:cs="仿宋_GB2312"/>
          <w:sz w:val="32"/>
          <w:szCs w:val="32"/>
          <w:u w:color="000000"/>
          <w:lang w:val="en-US" w:eastAsia="zh-CN"/>
        </w:rPr>
        <w:t>1</w:t>
      </w:r>
      <w:r>
        <w:rPr>
          <w:rFonts w:hint="eastAsia" w:ascii="仿宋_GB2312" w:hAnsi="仿宋_GB2312" w:eastAsia="仿宋_GB2312" w:cs="仿宋_GB2312"/>
          <w:sz w:val="32"/>
          <w:szCs w:val="32"/>
          <w:u w:color="000000"/>
          <w:lang w:eastAsia="zh-CN"/>
        </w:rPr>
        <w:t>）</w:t>
      </w:r>
      <w:r>
        <w:rPr>
          <w:rFonts w:hint="eastAsia" w:ascii="仿宋_GB2312" w:hAnsi="仿宋_GB2312" w:eastAsia="仿宋_GB2312" w:cs="仿宋_GB2312"/>
          <w:sz w:val="32"/>
          <w:szCs w:val="32"/>
          <w:u w:color="000000"/>
        </w:rPr>
        <w:t>针对绩效指标设置不够细化的问题</w:t>
      </w:r>
      <w:r>
        <w:rPr>
          <w:rFonts w:hint="eastAsia" w:ascii="仿宋_GB2312" w:hAnsi="仿宋_GB2312" w:eastAsia="仿宋_GB2312" w:cs="仿宋_GB2312"/>
          <w:sz w:val="32"/>
          <w:szCs w:val="32"/>
          <w:u w:color="000000"/>
          <w:lang w:eastAsia="zh-CN"/>
        </w:rPr>
        <w:t>，</w:t>
      </w:r>
      <w:r>
        <w:rPr>
          <w:rFonts w:hint="eastAsia" w:ascii="仿宋_GB2312" w:hAnsi="仿宋_GB2312" w:eastAsia="仿宋_GB2312" w:cs="仿宋_GB2312"/>
          <w:sz w:val="32"/>
          <w:szCs w:val="32"/>
          <w:u w:color="000000"/>
        </w:rPr>
        <w:t>建议</w:t>
      </w:r>
      <w:r>
        <w:rPr>
          <w:rFonts w:hint="eastAsia" w:ascii="仿宋_GB2312" w:hAnsi="仿宋_GB2312" w:eastAsia="仿宋_GB2312" w:cs="仿宋_GB2312"/>
          <w:sz w:val="32"/>
          <w:szCs w:val="32"/>
          <w:u w:color="000000"/>
          <w:lang w:eastAsia="zh-CN"/>
        </w:rPr>
        <w:t>项目单位</w:t>
      </w:r>
      <w:r>
        <w:rPr>
          <w:rFonts w:hint="eastAsia" w:ascii="仿宋_GB2312" w:hAnsi="仿宋_GB2312" w:eastAsia="仿宋_GB2312" w:cs="仿宋_GB2312"/>
          <w:sz w:val="32"/>
          <w:szCs w:val="32"/>
          <w:u w:color="000000"/>
        </w:rPr>
        <w:t>在制定绩效指标时充分考虑绩效指标</w:t>
      </w:r>
      <w:r>
        <w:rPr>
          <w:rFonts w:hint="eastAsia" w:ascii="仿宋_GB2312" w:hAnsi="仿宋_GB2312" w:eastAsia="仿宋_GB2312" w:cs="仿宋_GB2312"/>
          <w:sz w:val="32"/>
          <w:szCs w:val="32"/>
          <w:u w:color="000000"/>
          <w:lang w:eastAsia="zh-CN"/>
        </w:rPr>
        <w:t>设定的</w:t>
      </w:r>
      <w:r>
        <w:rPr>
          <w:rFonts w:hint="eastAsia" w:ascii="仿宋_GB2312" w:hAnsi="仿宋_GB2312" w:cs="仿宋_GB2312"/>
          <w:sz w:val="32"/>
          <w:szCs w:val="32"/>
          <w:u w:color="000000"/>
          <w:lang w:val="en-US" w:eastAsia="zh-CN"/>
        </w:rPr>
        <w:t>全面性</w:t>
      </w:r>
      <w:r>
        <w:rPr>
          <w:rFonts w:hint="eastAsia" w:ascii="仿宋_GB2312" w:hAnsi="仿宋_GB2312" w:eastAsia="仿宋_GB2312" w:cs="仿宋_GB2312"/>
          <w:sz w:val="32"/>
          <w:szCs w:val="32"/>
          <w:u w:color="000000"/>
          <w:lang w:eastAsia="zh-CN"/>
        </w:rPr>
        <w:t>，使设定的绩效指标能够</w:t>
      </w:r>
      <w:r>
        <w:rPr>
          <w:rFonts w:hint="eastAsia" w:ascii="仿宋_GB2312" w:hAnsi="仿宋_GB2312" w:cs="仿宋_GB2312"/>
          <w:sz w:val="32"/>
          <w:szCs w:val="32"/>
          <w:u w:color="000000"/>
          <w:lang w:val="en-US" w:eastAsia="zh-CN"/>
        </w:rPr>
        <w:t>全面</w:t>
      </w:r>
      <w:r>
        <w:rPr>
          <w:rFonts w:hint="eastAsia" w:ascii="仿宋_GB2312" w:hAnsi="仿宋_GB2312" w:eastAsia="仿宋_GB2312" w:cs="仿宋_GB2312"/>
          <w:sz w:val="32"/>
          <w:szCs w:val="32"/>
          <w:u w:color="000000"/>
        </w:rPr>
        <w:t>反映</w:t>
      </w:r>
      <w:r>
        <w:rPr>
          <w:rFonts w:hint="eastAsia" w:ascii="仿宋_GB2312" w:hAnsi="仿宋_GB2312" w:eastAsia="仿宋_GB2312" w:cs="仿宋_GB2312"/>
          <w:sz w:val="32"/>
          <w:szCs w:val="32"/>
          <w:u w:color="000000"/>
          <w:lang w:eastAsia="zh-CN"/>
        </w:rPr>
        <w:t>项目的产出数量、质量和时效性，</w:t>
      </w:r>
      <w:r>
        <w:rPr>
          <w:rFonts w:hint="eastAsia" w:ascii="仿宋_GB2312" w:hAnsi="仿宋_GB2312" w:eastAsia="仿宋_GB2312" w:cs="仿宋_GB2312"/>
          <w:sz w:val="32"/>
          <w:szCs w:val="32"/>
          <w:u w:color="000000"/>
        </w:rPr>
        <w:t>充分发挥绩效</w:t>
      </w:r>
      <w:r>
        <w:rPr>
          <w:rFonts w:hint="eastAsia" w:ascii="仿宋_GB2312" w:hAnsi="仿宋_GB2312" w:eastAsia="仿宋_GB2312" w:cs="仿宋_GB2312"/>
          <w:sz w:val="32"/>
          <w:szCs w:val="32"/>
          <w:u w:color="000000"/>
          <w:lang w:eastAsia="zh-CN"/>
        </w:rPr>
        <w:t>指标</w:t>
      </w:r>
      <w:r>
        <w:rPr>
          <w:rFonts w:hint="eastAsia" w:ascii="仿宋_GB2312" w:hAnsi="仿宋_GB2312" w:eastAsia="仿宋_GB2312" w:cs="仿宋_GB2312"/>
          <w:sz w:val="32"/>
          <w:szCs w:val="32"/>
          <w:u w:color="000000"/>
        </w:rPr>
        <w:t>的指引作用。</w:t>
      </w:r>
      <w:r>
        <w:rPr>
          <w:rFonts w:hint="eastAsia" w:ascii="仿宋_GB2312" w:hAnsi="仿宋_GB2312" w:eastAsia="仿宋_GB2312" w:cs="仿宋_GB2312"/>
          <w:sz w:val="32"/>
          <w:szCs w:val="32"/>
          <w:u w:color="000000"/>
          <w:lang w:eastAsia="zh-CN"/>
        </w:rPr>
        <w:t>（</w:t>
      </w:r>
      <w:r>
        <w:rPr>
          <w:rFonts w:hint="eastAsia" w:ascii="仿宋_GB2312" w:hAnsi="仿宋_GB2312" w:eastAsia="仿宋_GB2312" w:cs="仿宋_GB2312"/>
          <w:sz w:val="32"/>
          <w:szCs w:val="32"/>
          <w:u w:color="000000"/>
          <w:lang w:val="en-US" w:eastAsia="zh-CN"/>
        </w:rPr>
        <w:t>2</w:t>
      </w:r>
      <w:r>
        <w:rPr>
          <w:rFonts w:hint="eastAsia" w:ascii="仿宋_GB2312" w:hAnsi="仿宋_GB2312" w:eastAsia="仿宋_GB2312" w:cs="仿宋_GB2312"/>
          <w:sz w:val="32"/>
          <w:szCs w:val="32"/>
          <w:u w:color="000000"/>
          <w:lang w:eastAsia="zh-CN"/>
        </w:rPr>
        <w:t>）</w:t>
      </w:r>
      <w:r>
        <w:rPr>
          <w:rFonts w:hint="eastAsia" w:ascii="仿宋_GB2312" w:hAnsi="仿宋_GB2312" w:eastAsia="仿宋_GB2312" w:cs="仿宋_GB2312"/>
          <w:b w:val="0"/>
          <w:bCs w:val="0"/>
          <w:kern w:val="2"/>
          <w:sz w:val="32"/>
          <w:szCs w:val="32"/>
          <w:lang w:val="en-US" w:eastAsia="zh-CN" w:bidi="ar-SA"/>
        </w:rPr>
        <w:t>针对项目前期决策不精准的问题，一是因南水北调工程不能实施的部分，建设单位</w:t>
      </w:r>
      <w:r>
        <w:rPr>
          <w:rFonts w:hint="eastAsia" w:ascii="仿宋_GB2312" w:hAnsi="仿宋_GB2312" w:eastAsia="仿宋_GB2312" w:cs="仿宋_GB2312"/>
          <w:sz w:val="32"/>
          <w:szCs w:val="32"/>
          <w:lang w:val="en-US" w:eastAsia="zh-CN"/>
        </w:rPr>
        <w:t>应</w:t>
      </w:r>
      <w:r>
        <w:rPr>
          <w:rFonts w:hint="eastAsia" w:ascii="仿宋_GB2312" w:hAnsi="仿宋_GB2312" w:eastAsia="仿宋_GB2312" w:cs="仿宋_GB2312"/>
          <w:b w:val="0"/>
          <w:bCs w:val="0"/>
          <w:kern w:val="2"/>
          <w:sz w:val="32"/>
          <w:szCs w:val="32"/>
          <w:lang w:val="en-US" w:eastAsia="zh-CN" w:bidi="ar-SA"/>
        </w:rPr>
        <w:t>尽快对接南水北调相关单位，尽早确定施工方案，加快实施进度。二是因</w:t>
      </w:r>
      <w:r>
        <w:rPr>
          <w:rFonts w:hint="eastAsia" w:ascii="仿宋_GB2312" w:hAnsi="仿宋_GB2312" w:eastAsia="仿宋_GB2312" w:cs="仿宋_GB2312"/>
          <w:sz w:val="32"/>
          <w:szCs w:val="32"/>
          <w:lang w:val="en-US" w:eastAsia="zh-CN"/>
        </w:rPr>
        <w:t>雄安调蓄库、雄安建材运输通道等</w:t>
      </w:r>
      <w:r>
        <w:rPr>
          <w:rFonts w:hint="eastAsia" w:ascii="仿宋_GB2312" w:hAnsi="仿宋_GB2312" w:eastAsia="仿宋_GB2312" w:cs="仿宋_GB2312"/>
          <w:color w:val="auto"/>
          <w:sz w:val="32"/>
          <w:szCs w:val="32"/>
          <w:lang w:val="en-US" w:eastAsia="zh-CN"/>
        </w:rPr>
        <w:t>省</w:t>
      </w:r>
      <w:r>
        <w:rPr>
          <w:rFonts w:hint="eastAsia" w:ascii="仿宋_GB2312" w:hAnsi="仿宋_GB2312" w:eastAsia="仿宋_GB2312" w:cs="仿宋_GB2312"/>
          <w:sz w:val="32"/>
          <w:szCs w:val="32"/>
          <w:lang w:val="en-US" w:eastAsia="zh-CN"/>
        </w:rPr>
        <w:t>重点项目的影响不能实施的部分，建设单位应积极协调有关部门，如确实不能实施的，应尽快履行调整、变更手续。三是在今后的项目实施中，</w:t>
      </w:r>
      <w:r>
        <w:rPr>
          <w:rFonts w:hint="eastAsia" w:ascii="仿宋_GB2312" w:hAnsi="仿宋_GB2312" w:eastAsia="仿宋_GB2312" w:cs="仿宋_GB2312"/>
          <w:sz w:val="32"/>
          <w:szCs w:val="32"/>
        </w:rPr>
        <w:t>重视前期工作的重要性</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相对复杂和难以估计的情况要及时组织专家</w:t>
      </w:r>
      <w:r>
        <w:rPr>
          <w:rFonts w:hint="eastAsia" w:ascii="仿宋_GB2312" w:hAnsi="仿宋_GB2312" w:cs="仿宋_GB2312"/>
          <w:sz w:val="32"/>
          <w:szCs w:val="32"/>
          <w:lang w:val="en-US" w:eastAsia="zh-CN"/>
        </w:rPr>
        <w:t>进行前期</w:t>
      </w:r>
      <w:r>
        <w:rPr>
          <w:rFonts w:hint="eastAsia" w:ascii="仿宋_GB2312" w:hAnsi="仿宋_GB2312" w:eastAsia="仿宋_GB2312" w:cs="仿宋_GB2312"/>
          <w:sz w:val="32"/>
          <w:szCs w:val="32"/>
        </w:rPr>
        <w:t>论证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减少后续施工过程中的障碍。</w:t>
      </w:r>
      <w:r>
        <w:rPr>
          <w:rFonts w:hint="eastAsia" w:ascii="仿宋_GB2312" w:hAnsi="仿宋_GB2312" w:eastAsia="仿宋_GB2312" w:cs="仿宋_GB2312"/>
          <w:b w:val="0"/>
          <w:bCs w:val="0"/>
          <w:sz w:val="32"/>
          <w:szCs w:val="32"/>
          <w:lang w:val="en-US" w:eastAsia="zh-CN"/>
        </w:rPr>
        <w:t>（3）针对项目实施进度慢</w:t>
      </w:r>
      <w:r>
        <w:rPr>
          <w:rFonts w:hint="eastAsia" w:ascii="仿宋_GB2312" w:hAnsi="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时效性差的问题，一是建议建设单位积极协调有关部门完成一、二标段的扫尾工作，及时组织项目验收、工程结算等工作。二是尽快出具第三标段的施工方案或变更方案，加快项目实施进度，实现资金效益。</w:t>
      </w:r>
      <w:r>
        <w:rPr>
          <w:rFonts w:hint="eastAsia" w:ascii="仿宋_GB2312" w:hAnsi="仿宋_GB2312" w:eastAsia="仿宋_GB2312" w:cs="仿宋_GB2312"/>
          <w:b w:val="0"/>
          <w:bCs w:val="0"/>
          <w:kern w:val="2"/>
          <w:sz w:val="32"/>
          <w:szCs w:val="32"/>
          <w:lang w:val="en-US" w:eastAsia="zh-CN" w:bidi="ar-SA"/>
        </w:rPr>
        <w:t>（4）针对</w:t>
      </w:r>
      <w:r>
        <w:rPr>
          <w:rFonts w:hint="eastAsia" w:ascii="仿宋_GB2312" w:hAnsi="仿宋_GB2312" w:eastAsia="仿宋_GB2312" w:cs="仿宋_GB2312"/>
          <w:b w:val="0"/>
          <w:bCs w:val="0"/>
          <w:sz w:val="32"/>
          <w:szCs w:val="32"/>
          <w:lang w:val="en-US" w:eastAsia="zh-CN"/>
        </w:rPr>
        <w:t>项目实施方案制定不精细的问题，建议完善项目实施方案或者编制项目实施计划，明确项目管理人员、职责范围、项目施工的重要时间节点，加强项目管理，提高项目管理效率。</w:t>
      </w:r>
    </w:p>
    <w:p>
      <w:pPr>
        <w:spacing w:line="580" w:lineRule="exact"/>
        <w:ind w:firstLine="640" w:firstLineChars="200"/>
        <w:rPr>
          <w:rFonts w:hint="eastAsia" w:ascii="仿宋_GB2312" w:hAnsi="仿宋_GB2312" w:eastAsia="仿宋_GB2312" w:cs="仿宋_GB2312"/>
          <w:bCs/>
          <w:sz w:val="32"/>
          <w:szCs w:val="32"/>
        </w:rPr>
      </w:pPr>
    </w:p>
    <w:bookmarkEnd w:id="5"/>
    <w:p>
      <w:pPr>
        <w:pStyle w:val="19"/>
        <w:spacing w:before="0" w:after="360" w:line="580" w:lineRule="exact"/>
        <w:rPr>
          <w:rFonts w:hint="eastAsia" w:ascii="仿宋_GB2312" w:hAnsi="仿宋_GB2312" w:eastAsia="仿宋_GB2312" w:cs="仿宋_GB2312"/>
        </w:rPr>
        <w:sectPr>
          <w:footerReference r:id="rId6" w:type="default"/>
          <w:pgSz w:w="11906" w:h="16838"/>
          <w:pgMar w:top="2098" w:right="1304" w:bottom="1871" w:left="1531" w:header="851" w:footer="992" w:gutter="0"/>
          <w:pgNumType w:start="1"/>
          <w:cols w:space="720" w:num="1"/>
          <w:docGrid w:type="lines" w:linePitch="415" w:charSpace="0"/>
        </w:sectPr>
      </w:pPr>
      <w:bookmarkStart w:id="9" w:name="_Toc485233444"/>
      <w:bookmarkStart w:id="10" w:name="_Toc7956020"/>
      <w:bookmarkStart w:id="11" w:name="_Toc41137180"/>
      <w:bookmarkStart w:id="12" w:name="_Toc22871"/>
      <w:bookmarkStart w:id="13" w:name="_Toc38821359"/>
      <w:bookmarkStart w:id="14" w:name="_Toc38452628"/>
      <w:bookmarkStart w:id="15" w:name="_Toc38447884"/>
      <w:bookmarkStart w:id="16" w:name="_Toc8741_WPSOffice_Type3"/>
    </w:p>
    <w:p>
      <w:pPr>
        <w:pStyle w:val="19"/>
        <w:spacing w:before="0" w:after="360" w:line="580" w:lineRule="exact"/>
        <w:jc w:val="center"/>
        <w:rPr>
          <w:rFonts w:ascii="Times New Roman" w:hAnsi="Times New Roman" w:eastAsia="黑体"/>
        </w:rPr>
      </w:pPr>
      <w:bookmarkStart w:id="17" w:name="_Toc20662"/>
      <w:r>
        <w:rPr>
          <w:rFonts w:ascii="Times New Roman" w:hAnsi="Times New Roman" w:eastAsia="黑体"/>
        </w:rPr>
        <w:t>第二部分   绩效评价报告</w:t>
      </w:r>
      <w:bookmarkEnd w:id="9"/>
      <w:bookmarkEnd w:id="10"/>
      <w:bookmarkEnd w:id="11"/>
      <w:bookmarkEnd w:id="12"/>
      <w:bookmarkEnd w:id="13"/>
      <w:bookmarkEnd w:id="17"/>
    </w:p>
    <w:p>
      <w:pPr>
        <w:pStyle w:val="2"/>
        <w:keepNext w:val="0"/>
        <w:keepLines w:val="0"/>
        <w:spacing w:before="0" w:after="0" w:line="580" w:lineRule="exact"/>
        <w:ind w:firstLine="643" w:firstLineChars="200"/>
        <w:jc w:val="left"/>
        <w:rPr>
          <w:rFonts w:eastAsia="黑体"/>
          <w:bCs w:val="0"/>
          <w:sz w:val="32"/>
          <w:szCs w:val="32"/>
        </w:rPr>
      </w:pPr>
      <w:bookmarkStart w:id="18" w:name="_Toc3903"/>
      <w:bookmarkStart w:id="19" w:name="_Toc32754"/>
      <w:bookmarkStart w:id="20" w:name="_Toc41137181"/>
      <w:r>
        <w:rPr>
          <w:rFonts w:eastAsia="黑体"/>
          <w:bCs w:val="0"/>
          <w:sz w:val="32"/>
          <w:szCs w:val="32"/>
        </w:rPr>
        <w:t>一、基本概况</w:t>
      </w:r>
      <w:bookmarkEnd w:id="14"/>
      <w:bookmarkEnd w:id="15"/>
      <w:bookmarkEnd w:id="18"/>
      <w:bookmarkEnd w:id="19"/>
      <w:bookmarkEnd w:id="20"/>
    </w:p>
    <w:p>
      <w:pPr>
        <w:pStyle w:val="3"/>
        <w:spacing w:before="0" w:after="0" w:line="580" w:lineRule="exact"/>
        <w:ind w:firstLine="643" w:firstLineChars="200"/>
        <w:rPr>
          <w:rFonts w:ascii="Times New Roman" w:hAnsi="Times New Roman" w:eastAsia="楷体_GB2312"/>
        </w:rPr>
      </w:pPr>
      <w:bookmarkStart w:id="21" w:name="_Toc41137182"/>
      <w:bookmarkStart w:id="22" w:name="_Toc28534"/>
      <w:bookmarkStart w:id="23" w:name="_Toc4540"/>
      <w:bookmarkStart w:id="24" w:name="_Toc38447885"/>
      <w:bookmarkStart w:id="25" w:name="_Toc38452629"/>
      <w:r>
        <w:rPr>
          <w:rFonts w:ascii="Times New Roman" w:hAnsi="Times New Roman" w:eastAsia="楷体_GB2312"/>
        </w:rPr>
        <w:t>（一）项目概况</w:t>
      </w:r>
      <w:bookmarkEnd w:id="21"/>
      <w:bookmarkEnd w:id="22"/>
      <w:bookmarkEnd w:id="23"/>
      <w:bookmarkEnd w:id="24"/>
      <w:bookmarkEnd w:id="25"/>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项目背景</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农村公路包括县道、乡道和村道三个层次，是公路网的重要组成部分，是保障农村社会经济发展最重要的基础设施之一，是农村经济发展、农业结构调整、农民持续增收的重要基础条件，是促进农村经济发展，加快城乡一体化进程的必要条件。为使农村公路网更加完善，通达至各个农村，解决村民出行“最后一公里”问题，徐水区政府启动了农村道路连接工程，保证每一个农村能够至少有一条等级公路通往县乡公路，并改善相邻各村之间的交通状况，使广大农民一出门便享受到公路的便利。此外，该项目还对前一阶段农村公路改造提升工程进行补充，通过县道、乡道和村道三个层次公路的建设，将城乡连为一体，打破城乡地域界限，真正达到交通基础设施全覆盖，从而推动区域经济发展的一体化进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项目主要</w:t>
      </w:r>
      <w:r>
        <w:rPr>
          <w:rFonts w:hint="eastAsia" w:ascii="仿宋_GB2312" w:hAnsi="仿宋_GB2312" w:cs="仿宋_GB2312"/>
          <w:b/>
          <w:bCs/>
          <w:sz w:val="32"/>
          <w:szCs w:val="32"/>
          <w:lang w:eastAsia="zh-CN"/>
        </w:rPr>
        <w:t>建设</w:t>
      </w:r>
      <w:r>
        <w:rPr>
          <w:rFonts w:hint="eastAsia" w:ascii="仿宋_GB2312" w:hAnsi="仿宋_GB2312" w:eastAsia="仿宋_GB2312" w:cs="仿宋_GB2312"/>
          <w:b/>
          <w:bCs/>
          <w:sz w:val="32"/>
          <w:szCs w:val="32"/>
        </w:rPr>
        <w:t>内容</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该项目建设内容包含14个乡镇的106条公路，总里程149公里，其中103条通村公路全长126.36公里，</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条穿越乡镇道路全长22.697公里。</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103条通村公路利用旧路及旧路两侧空置区域，按四级公路建设标准对现状公路进行提升改造，路面结构为20cm水泥混凝土+16cm水泥稳定碎石+16cm5%水泥稳定土。</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条穿越乡镇道路分别为翡翠大道、渭保线至大义路、职中路西延线路，其</w:t>
      </w:r>
      <w:r>
        <w:rPr>
          <w:rFonts w:hint="eastAsia" w:ascii="仿宋_GB2312" w:hAnsi="仿宋_GB2312" w:eastAsia="仿宋_GB2312" w:cs="仿宋_GB2312"/>
          <w:b w:val="0"/>
          <w:bCs w:val="0"/>
          <w:sz w:val="32"/>
          <w:szCs w:val="32"/>
          <w:lang w:val="en-US" w:eastAsia="zh-CN"/>
        </w:rPr>
        <w:t>中翡翠大道路线全长</w:t>
      </w:r>
      <w:r>
        <w:rPr>
          <w:rFonts w:hint="eastAsia" w:ascii="仿宋_GB2312" w:hAnsi="仿宋_GB2312" w:eastAsia="仿宋_GB2312" w:cs="仿宋_GB2312"/>
          <w:sz w:val="32"/>
          <w:szCs w:val="32"/>
          <w:lang w:val="en-US" w:eastAsia="zh-CN"/>
        </w:rPr>
        <w:t>8.902公里，按三级公路标准建设，路面结构为4cmAC-13C细粒式沥青混凝土+5cmAC-16C中粒式沥青混凝土+16cm水泥稳定碎石；</w:t>
      </w:r>
      <w:r>
        <w:rPr>
          <w:rFonts w:hint="eastAsia" w:ascii="仿宋_GB2312" w:hAnsi="仿宋_GB2312" w:eastAsia="仿宋_GB2312" w:cs="仿宋_GB2312"/>
          <w:b w:val="0"/>
          <w:bCs w:val="0"/>
          <w:sz w:val="32"/>
          <w:szCs w:val="32"/>
          <w:lang w:val="en-US" w:eastAsia="zh-CN"/>
        </w:rPr>
        <w:t>渭保线至大义路</w:t>
      </w:r>
      <w:r>
        <w:rPr>
          <w:rFonts w:hint="eastAsia" w:ascii="仿宋_GB2312" w:hAnsi="仿宋_GB2312" w:eastAsia="仿宋_GB2312" w:cs="仿宋_GB2312"/>
          <w:sz w:val="32"/>
          <w:szCs w:val="32"/>
          <w:lang w:val="en-US" w:eastAsia="zh-CN"/>
        </w:rPr>
        <w:t>路线全长4.448公里，按三级公</w:t>
      </w:r>
      <w:r>
        <w:rPr>
          <w:rFonts w:hint="eastAsia" w:ascii="仿宋_GB2312" w:hAnsi="仿宋_GB2312" w:cs="仿宋_GB2312"/>
          <w:sz w:val="32"/>
          <w:szCs w:val="32"/>
          <w:lang w:val="en-US" w:eastAsia="zh-CN"/>
        </w:rPr>
        <w:t>路</w:t>
      </w:r>
      <w:r>
        <w:rPr>
          <w:rFonts w:hint="eastAsia" w:ascii="仿宋_GB2312" w:hAnsi="仿宋_GB2312" w:eastAsia="仿宋_GB2312" w:cs="仿宋_GB2312"/>
          <w:sz w:val="32"/>
          <w:szCs w:val="32"/>
          <w:lang w:val="en-US" w:eastAsia="zh-CN"/>
        </w:rPr>
        <w:t>标准建设，路面结构为4cmAC-13C细粒式沥青混凝土+5cmAC-16C中粒式沥青混凝土+16cm水泥稳定碎石；</w:t>
      </w:r>
      <w:r>
        <w:rPr>
          <w:rFonts w:hint="eastAsia" w:ascii="仿宋_GB2312" w:hAnsi="仿宋_GB2312" w:eastAsia="仿宋_GB2312" w:cs="仿宋_GB2312"/>
          <w:b w:val="0"/>
          <w:bCs w:val="0"/>
          <w:sz w:val="32"/>
          <w:szCs w:val="32"/>
          <w:lang w:val="en-US" w:eastAsia="zh-CN"/>
        </w:rPr>
        <w:t>职中路西延线路全长9.347公</w:t>
      </w:r>
      <w:r>
        <w:rPr>
          <w:rFonts w:hint="eastAsia" w:ascii="仿宋_GB2312" w:hAnsi="仿宋_GB2312" w:eastAsia="仿宋_GB2312" w:cs="仿宋_GB2312"/>
          <w:sz w:val="32"/>
          <w:szCs w:val="32"/>
          <w:lang w:val="en-US" w:eastAsia="zh-CN"/>
        </w:rPr>
        <w:t>里，按二级公路标准建设，路面结构为4cmAC-13C细粒式沥青混凝土+6cmAC-20中粒式沥青混凝土+18cm水泥稳定碎石+18cm水泥稳定碎石+18cm水泥稳定碎石。</w:t>
      </w:r>
    </w:p>
    <w:p>
      <w:pPr>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3.项目实施情况</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该项目于</w:t>
      </w:r>
      <w:r>
        <w:rPr>
          <w:rFonts w:hint="eastAsia" w:ascii="仿宋_GB2312" w:hAnsi="仿宋_GB2312" w:eastAsia="仿宋_GB2312" w:cs="仿宋_GB2312"/>
          <w:sz w:val="32"/>
          <w:szCs w:val="32"/>
          <w:lang w:val="en-US" w:eastAsia="zh-CN"/>
        </w:rPr>
        <w:t>2018年5月完成立项批复工作，批复总投资37660.03万元。2019年4月开始组织招标，5月完成招标，该项目共分为三个标段，中标总金额25279.68万元。其中：一标段中标单位为河北路博交通科技有限公司，中标金额5841.46万元，涉及道路31条,42.866公里；二标段中标单位为保定市达通公路工程有限公司，中标金额11382.29万元，涉及道路72条，83.506公里；三标段中标单位为邢台市政建设集团股份有限公司，中标金额8055.93万元，涉及</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 xml:space="preserve">条穿越乡镇道路，全长22.697公里。              </w:t>
      </w:r>
    </w:p>
    <w:p>
      <w:pPr>
        <w:spacing w:line="58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2019年6月该项目正式开工，截止评价日</w:t>
      </w:r>
      <w:r>
        <w:rPr>
          <w:rFonts w:hint="eastAsia" w:ascii="仿宋_GB2312" w:hAnsi="仿宋_GB2312" w:eastAsia="仿宋_GB2312" w:cs="仿宋_GB2312"/>
          <w:sz w:val="32"/>
          <w:szCs w:val="32"/>
          <w:highlight w:val="none"/>
          <w:lang w:val="en-US" w:eastAsia="zh-CN"/>
        </w:rPr>
        <w:t>，已完成道路132.04公里，一二标段基本完成了标段内的建设内容</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一标段完成道路45.457公里，二标段完成道路78.583公里</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，目前正在进行工程收尾工作</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三标段</w:t>
      </w:r>
      <w:r>
        <w:rPr>
          <w:rFonts w:hint="eastAsia" w:ascii="仿宋_GB2312" w:hAnsi="仿宋_GB2312" w:cs="仿宋_GB2312"/>
          <w:color w:val="auto"/>
          <w:sz w:val="32"/>
          <w:szCs w:val="32"/>
          <w:highlight w:val="none"/>
          <w:lang w:val="en-US" w:eastAsia="zh-CN"/>
        </w:rPr>
        <w:t>完成情况不理想，仅完成</w:t>
      </w:r>
      <w:r>
        <w:rPr>
          <w:rFonts w:hint="eastAsia" w:ascii="仿宋_GB2312" w:hAnsi="仿宋_GB2312" w:eastAsia="仿宋_GB2312" w:cs="仿宋_GB2312"/>
          <w:color w:val="auto"/>
          <w:sz w:val="32"/>
          <w:szCs w:val="32"/>
          <w:highlight w:val="none"/>
          <w:lang w:val="en-US" w:eastAsia="zh-CN"/>
        </w:rPr>
        <w:t>职中路西延</w:t>
      </w:r>
      <w:r>
        <w:rPr>
          <w:rFonts w:hint="eastAsia" w:ascii="仿宋_GB2312" w:hAnsi="仿宋_GB2312" w:eastAsia="仿宋_GB2312" w:cs="仿宋_GB2312"/>
          <w:color w:val="auto"/>
          <w:sz w:val="32"/>
          <w:szCs w:val="32"/>
          <w:lang w:val="en-US" w:eastAsia="zh-CN"/>
        </w:rPr>
        <w:t>线路</w:t>
      </w:r>
      <w:r>
        <w:rPr>
          <w:rFonts w:hint="eastAsia" w:ascii="仿宋_GB2312" w:hAnsi="仿宋_GB2312" w:eastAsia="仿宋_GB2312" w:cs="仿宋_GB2312"/>
          <w:color w:val="auto"/>
          <w:sz w:val="32"/>
          <w:szCs w:val="32"/>
          <w:highlight w:val="none"/>
          <w:lang w:val="en-US" w:eastAsia="zh-CN"/>
        </w:rPr>
        <w:t>8公里</w:t>
      </w:r>
      <w:r>
        <w:rPr>
          <w:rFonts w:hint="eastAsia" w:ascii="仿宋_GB2312" w:hAnsi="仿宋_GB2312" w:eastAsia="仿宋_GB2312" w:cs="仿宋_GB2312"/>
          <w:color w:val="auto"/>
          <w:sz w:val="32"/>
          <w:szCs w:val="32"/>
          <w:lang w:val="en-US" w:eastAsia="zh-CN"/>
        </w:rPr>
        <w:t>，其他两条道路因受到雄安调蓄库、雄安建材运输通道等省重点项目的制约，还未实施。</w:t>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该</w:t>
      </w:r>
      <w:r>
        <w:rPr>
          <w:rFonts w:hint="eastAsia" w:ascii="仿宋_GB2312" w:hAnsi="仿宋_GB2312" w:eastAsia="仿宋_GB2312" w:cs="仿宋_GB2312"/>
          <w:color w:val="auto"/>
          <w:sz w:val="32"/>
          <w:szCs w:val="32"/>
        </w:rPr>
        <w:t>项目实施涉及主要单位如下：</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建设单位：</w:t>
      </w:r>
      <w:r>
        <w:rPr>
          <w:rFonts w:hint="eastAsia" w:ascii="仿宋_GB2312" w:hAnsi="仿宋_GB2312" w:eastAsia="仿宋_GB2312" w:cs="仿宋_GB2312"/>
          <w:sz w:val="32"/>
          <w:szCs w:val="32"/>
          <w:lang w:eastAsia="zh-CN"/>
        </w:rPr>
        <w:t>徐水区交通运输局</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勘察设计单位：河北省交通规划设计院</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监理单位：</w:t>
      </w:r>
      <w:r>
        <w:rPr>
          <w:rFonts w:hint="eastAsia" w:ascii="仿宋_GB2312" w:hAnsi="仿宋_GB2312" w:eastAsia="仿宋_GB2312" w:cs="仿宋_GB2312"/>
          <w:sz w:val="32"/>
          <w:szCs w:val="32"/>
          <w:lang w:eastAsia="zh-CN"/>
        </w:rPr>
        <w:t>保定交通建设监理咨询有限公司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施工单位：河北路博交通科技有限公司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保定市达通公路工程有限公司</w:t>
      </w:r>
    </w:p>
    <w:p>
      <w:pPr>
        <w:spacing w:line="580" w:lineRule="exact"/>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邢台市政建设集团股份有限公司</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.资金投入和使用情况</w:t>
      </w:r>
    </w:p>
    <w:p>
      <w:pPr>
        <w:spacing w:line="580" w:lineRule="exact"/>
        <w:ind w:firstLine="640" w:firstLineChars="200"/>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lang w:eastAsia="zh-CN"/>
        </w:rPr>
        <w:t>）资金投入情况</w:t>
      </w:r>
    </w:p>
    <w:p>
      <w:pPr>
        <w:numPr>
          <w:ilvl w:val="0"/>
          <w:numId w:val="0"/>
        </w:numPr>
        <w:spacing w:line="58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该项目中标总金额25279.68万元，全部为专项债券资金。截至2021年5月15日，该项目共收到专项债券资金16200万元。其中：2019年9000万元、2020年4000万元、2021年3200万元，本次评价范围为2020年的专项债券资金4000万元。</w:t>
      </w:r>
    </w:p>
    <w:p>
      <w:pPr>
        <w:numPr>
          <w:ilvl w:val="0"/>
          <w:numId w:val="1"/>
        </w:numPr>
        <w:spacing w:line="580" w:lineRule="exact"/>
        <w:ind w:firstLine="640" w:firstLineChars="200"/>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sz w:val="32"/>
          <w:szCs w:val="32"/>
          <w:lang w:val="en-US" w:eastAsia="zh-CN"/>
        </w:rPr>
        <w:t>资金使用情况</w:t>
      </w:r>
      <w:bookmarkStart w:id="26" w:name="_Toc41137183"/>
      <w:bookmarkStart w:id="27" w:name="_Toc7170"/>
    </w:p>
    <w:p>
      <w:pPr>
        <w:numPr>
          <w:ilvl w:val="0"/>
          <w:numId w:val="0"/>
        </w:numPr>
        <w:spacing w:line="580" w:lineRule="exact"/>
        <w:ind w:firstLine="640" w:firstLineChars="200"/>
        <w:rPr>
          <w:rFonts w:hint="eastAsia" w:ascii="仿宋_GB2312" w:hAnsi="仿宋_GB2312" w:eastAsia="仿宋_GB2312" w:cs="仿宋_GB2312"/>
          <w:bCs/>
          <w:color w:val="auto"/>
          <w:sz w:val="32"/>
          <w:szCs w:val="32"/>
          <w:lang w:val="en-US" w:eastAsia="zh-CN"/>
        </w:rPr>
      </w:pPr>
      <w:r>
        <w:rPr>
          <w:rFonts w:hint="eastAsia" w:ascii="仿宋_GB2312" w:hAnsi="仿宋_GB2312" w:eastAsia="仿宋_GB2312" w:cs="仿宋_GB2312"/>
          <w:b w:val="0"/>
          <w:bCs/>
          <w:color w:val="auto"/>
          <w:kern w:val="2"/>
          <w:sz w:val="32"/>
          <w:szCs w:val="32"/>
          <w:lang w:val="en-US" w:eastAsia="zh-CN" w:bidi="ar-SA"/>
        </w:rPr>
        <w:t>截至2021年5月15日，该项目共支出</w:t>
      </w:r>
      <w:r>
        <w:rPr>
          <w:rFonts w:hint="eastAsia" w:ascii="仿宋_GB2312" w:hAnsi="仿宋_GB2312" w:cs="仿宋_GB2312"/>
          <w:b w:val="0"/>
          <w:bCs/>
          <w:color w:val="auto"/>
          <w:kern w:val="2"/>
          <w:sz w:val="32"/>
          <w:szCs w:val="32"/>
          <w:lang w:val="en-US" w:eastAsia="zh-CN" w:bidi="ar-SA"/>
        </w:rPr>
        <w:t>专项债券40</w:t>
      </w:r>
      <w:r>
        <w:rPr>
          <w:rFonts w:hint="eastAsia" w:ascii="仿宋_GB2312" w:hAnsi="仿宋_GB2312" w:eastAsia="仿宋_GB2312" w:cs="仿宋_GB2312"/>
          <w:bCs/>
          <w:color w:val="auto"/>
          <w:sz w:val="32"/>
          <w:szCs w:val="32"/>
          <w:lang w:val="en-US" w:eastAsia="zh-CN"/>
        </w:rPr>
        <w:t>00万元，资金支付率100%。</w:t>
      </w:r>
    </w:p>
    <w:p>
      <w:pPr>
        <w:numPr>
          <w:ilvl w:val="0"/>
          <w:numId w:val="0"/>
        </w:numPr>
        <w:spacing w:line="580" w:lineRule="exact"/>
        <w:ind w:firstLine="643" w:firstLineChars="200"/>
        <w:rPr>
          <w:rFonts w:ascii="Times New Roman" w:hAnsi="Times New Roman" w:eastAsia="楷体_GB2312"/>
          <w:b/>
          <w:bCs/>
          <w:sz w:val="32"/>
          <w:szCs w:val="32"/>
        </w:rPr>
      </w:pPr>
      <w:r>
        <w:rPr>
          <w:rFonts w:ascii="Times New Roman" w:hAnsi="Times New Roman" w:eastAsia="楷体_GB2312"/>
          <w:b/>
          <w:bCs/>
          <w:sz w:val="32"/>
          <w:szCs w:val="32"/>
        </w:rPr>
        <w:t>（二）绩效目标</w:t>
      </w:r>
      <w:bookmarkEnd w:id="26"/>
      <w:bookmarkEnd w:id="27"/>
    </w:p>
    <w:p>
      <w:pPr>
        <w:spacing w:line="580" w:lineRule="exact"/>
        <w:ind w:firstLine="640" w:firstLineChars="200"/>
        <w:rPr>
          <w:rFonts w:hint="eastAsia"/>
          <w:sz w:val="32"/>
          <w:szCs w:val="32"/>
          <w:lang w:val="en-US" w:eastAsia="zh-CN"/>
        </w:rPr>
      </w:pPr>
      <w:r>
        <w:rPr>
          <w:rFonts w:hint="eastAsia"/>
          <w:sz w:val="32"/>
          <w:szCs w:val="32"/>
          <w:lang w:val="en-US" w:eastAsia="zh-CN"/>
        </w:rPr>
        <w:t>通过该项目的实施，保证每一个农村能够至少有一条等级公路通往县乡公路，并改善相邻各村之间的交通状况，方便百姓出行，真正达到交通基础设施全覆盖，从而推动区域经济发展的一体化进程。</w:t>
      </w:r>
    </w:p>
    <w:p>
      <w:pPr>
        <w:pStyle w:val="2"/>
        <w:keepNext w:val="0"/>
        <w:keepLines w:val="0"/>
        <w:spacing w:before="0" w:after="0" w:line="580" w:lineRule="exact"/>
        <w:ind w:firstLine="643" w:firstLineChars="200"/>
        <w:jc w:val="left"/>
        <w:rPr>
          <w:rFonts w:eastAsia="黑体"/>
          <w:sz w:val="32"/>
          <w:szCs w:val="32"/>
        </w:rPr>
      </w:pPr>
      <w:bookmarkStart w:id="28" w:name="_Toc38447886"/>
      <w:bookmarkStart w:id="29" w:name="_Toc38452630"/>
      <w:bookmarkStart w:id="30" w:name="_Toc7239"/>
      <w:bookmarkStart w:id="31" w:name="_Toc41137184"/>
      <w:bookmarkStart w:id="32" w:name="_Toc3315"/>
      <w:r>
        <w:rPr>
          <w:rFonts w:eastAsia="黑体"/>
          <w:sz w:val="32"/>
          <w:szCs w:val="32"/>
        </w:rPr>
        <w:t>二、绩效评价工作开展情况</w:t>
      </w:r>
      <w:bookmarkEnd w:id="28"/>
      <w:bookmarkEnd w:id="29"/>
      <w:bookmarkEnd w:id="30"/>
      <w:bookmarkEnd w:id="31"/>
      <w:bookmarkEnd w:id="32"/>
    </w:p>
    <w:p>
      <w:pPr>
        <w:pStyle w:val="3"/>
        <w:spacing w:before="0" w:after="0" w:line="580" w:lineRule="exact"/>
        <w:ind w:firstLine="643" w:firstLineChars="200"/>
        <w:rPr>
          <w:rFonts w:ascii="Times New Roman" w:hAnsi="Times New Roman" w:eastAsia="楷体_GB2312"/>
        </w:rPr>
      </w:pPr>
      <w:bookmarkStart w:id="33" w:name="_Toc24259"/>
      <w:bookmarkStart w:id="34" w:name="_Toc38447887"/>
      <w:bookmarkStart w:id="35" w:name="_Toc41137185"/>
      <w:bookmarkStart w:id="36" w:name="_Toc2724"/>
      <w:bookmarkStart w:id="37" w:name="_Toc38452631"/>
      <w:r>
        <w:rPr>
          <w:rFonts w:ascii="Times New Roman" w:hAnsi="Times New Roman" w:eastAsia="楷体_GB2312"/>
        </w:rPr>
        <w:t>（一）绩效评价目的、对象和范围</w:t>
      </w:r>
      <w:bookmarkEnd w:id="33"/>
      <w:bookmarkEnd w:id="34"/>
      <w:bookmarkEnd w:id="35"/>
      <w:bookmarkEnd w:id="36"/>
      <w:bookmarkEnd w:id="37"/>
    </w:p>
    <w:p>
      <w:pPr>
        <w:spacing w:line="58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1.绩效评价目的</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旨在通过考核该项目的决策、过程、产出和效果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2.绩效评价对象</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评价对象为徐水区“四好”农村道路连接工程。</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3.绩效评价范围</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本次绩效评价范围为</w:t>
      </w:r>
      <w:r>
        <w:rPr>
          <w:rFonts w:hint="eastAsia" w:ascii="仿宋_GB2312" w:hAnsi="仿宋_GB2312" w:eastAsia="仿宋_GB2312" w:cs="仿宋_GB2312"/>
          <w:sz w:val="32"/>
          <w:szCs w:val="32"/>
          <w:lang w:val="en-US" w:eastAsia="zh-CN"/>
        </w:rPr>
        <w:t>2020年</w:t>
      </w:r>
      <w:r>
        <w:rPr>
          <w:rFonts w:hint="eastAsia" w:ascii="仿宋_GB2312" w:hAnsi="仿宋_GB2312" w:eastAsia="仿宋_GB2312" w:cs="仿宋_GB2312"/>
          <w:sz w:val="32"/>
          <w:szCs w:val="32"/>
        </w:rPr>
        <w:t>徐水区“四好”农村道路连接工程</w:t>
      </w:r>
      <w:r>
        <w:rPr>
          <w:rFonts w:hint="eastAsia" w:ascii="仿宋_GB2312" w:hAnsi="仿宋_GB2312" w:eastAsia="仿宋_GB2312" w:cs="仿宋_GB2312"/>
          <w:sz w:val="32"/>
          <w:szCs w:val="32"/>
          <w:lang w:eastAsia="zh-CN"/>
        </w:rPr>
        <w:t>建设资金</w:t>
      </w:r>
      <w:r>
        <w:rPr>
          <w:rFonts w:hint="eastAsia" w:ascii="仿宋_GB2312" w:hAnsi="仿宋_GB2312" w:eastAsia="仿宋_GB2312" w:cs="仿宋_GB2312"/>
          <w:sz w:val="32"/>
          <w:szCs w:val="32"/>
        </w:rPr>
        <w:t>的收入、支出情况，绩效目标、指标设定及完成情况，资金使用合规性，管理制度的建设及执行情况，项目产出数量、质量、时效及成本情况，项目产生的效益及受益群体对项目实施效果的满意程度。</w:t>
      </w:r>
      <w:bookmarkEnd w:id="16"/>
      <w:bookmarkStart w:id="38" w:name="_Toc16283"/>
      <w:bookmarkStart w:id="39" w:name="_Toc38447888"/>
      <w:bookmarkStart w:id="40" w:name="_Toc41137186"/>
      <w:bookmarkStart w:id="41" w:name="_Toc38452632"/>
      <w:bookmarkStart w:id="42" w:name="_Toc10977_WPSOffice_Type3"/>
    </w:p>
    <w:p>
      <w:pPr>
        <w:spacing w:line="58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（二）绩效评价原则、指标体系、依据、方法及标准</w:t>
      </w:r>
      <w:bookmarkEnd w:id="38"/>
      <w:bookmarkEnd w:id="39"/>
      <w:bookmarkEnd w:id="40"/>
      <w:bookmarkEnd w:id="41"/>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绩效评价原则</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（1）科学公正。绩效评价应当运用科学合理的方法，按照规范的程序，对项目绩效进行客观、公正的反映。</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（2）统筹兼顾。单位自评、部门评价和财政评价应职责明确，各有侧重，相互衔接。</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（3）激励约束。绩效评价结果应与预算安排、政策调整、改进管理实质性挂钩，体现奖优罚劣和激励相容导向，有效要安排、低效要压减、无效要问责。</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（4）公开透明。绩效评价结果应依法依规公开，并自觉接受社会监督。</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绩效评价指标体系</w:t>
      </w:r>
    </w:p>
    <w:bookmarkEnd w:id="42"/>
    <w:p>
      <w:pPr>
        <w:spacing w:line="580" w:lineRule="exact"/>
        <w:ind w:firstLine="640" w:firstLineChars="200"/>
        <w:rPr>
          <w:rFonts w:hint="eastAsia" w:ascii="仿宋_GB2312" w:hAnsi="仿宋_GB2312" w:eastAsia="仿宋_GB2312" w:cs="仿宋_GB2312"/>
          <w:sz w:val="32"/>
          <w:szCs w:val="32"/>
        </w:rPr>
      </w:pPr>
      <w:bookmarkStart w:id="43" w:name="_Toc8028_WPSOffice_Level1"/>
      <w:bookmarkStart w:id="44" w:name="_Toc4001_WPSOffice_Level1"/>
      <w:bookmarkStart w:id="45" w:name="_Toc16829_WPSOffice_Level1"/>
      <w:bookmarkStart w:id="46" w:name="_Toc24787_WPSOffice_Level1"/>
      <w:r>
        <w:rPr>
          <w:rFonts w:hint="eastAsia" w:ascii="仿宋_GB2312" w:hAnsi="仿宋_GB2312" w:eastAsia="仿宋_GB2312" w:cs="仿宋_GB2312"/>
          <w:sz w:val="32"/>
          <w:szCs w:val="32"/>
        </w:rPr>
        <w:t>（1）绩效指标设计。本次绩效评价指标体系按照财政部《关于印发&lt;项目支出绩效评价管理办法&gt;的通知》（财预〔2020〕10号）和《河北省省级部门预算绩效目标设定规范》（冀财绩〔2019〕6号）的有关要求设计，共4个一级指标、11个二级指标、19个三级指标。指标体系分别从决策、过程、产出、效果四个方面进行绩效评价。</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（2）绩效评价等级。通过对指标体系量化评分，绩效评价分为四个等级，其中：分值≥90为“优”，80≤分值&lt;90为“良”，60≤分值&lt;80为“中”，分值&lt;60为“差”。</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绩效评价依据</w:t>
      </w:r>
    </w:p>
    <w:p>
      <w:pPr>
        <w:spacing w:line="36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（1）《中华人民共和国预算法》；</w:t>
      </w:r>
    </w:p>
    <w:p>
      <w:pPr>
        <w:spacing w:line="36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（2）中共中央国务院《关于全面实施预算绩效管理的意见》（中发〔2018〕34号）；</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（3）中共河北省委河北省人民政府《关于全面实施预算绩效管理的实施意见》（冀发〔2018〕54号）；</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（4）《项目支出绩效评价管理办法》（财预〔2020〕10号）；</w:t>
      </w:r>
    </w:p>
    <w:p>
      <w:pPr>
        <w:spacing w:line="58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（5）其他与项目绩效评价工作相关的文件。</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绩效评价方法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本次绩效评价方法主要包括成本效益法、比较法、因素分析法、公众评判法。具体如下：</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成本效益法：是指将投入与产出、效益进行关联性分析的方法。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比较法：是指将实施情况与绩效目标、历史情况、不同部门和地区同类支出情况进行比较的方法。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因素分析法：是指综合分析影响绩效目标实现、实施效果的内外部因素的方法。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公众评判法：是指通过专家评估、公众问卷及抽样调查等方式进行评判的方法。</w:t>
      </w:r>
    </w:p>
    <w:p>
      <w:pPr>
        <w:spacing w:line="58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绩效评价标准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计划标准：以预先制定的目标、计划、预算等作为评价标准。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历史标准：参照同类指标的历史数据制定评价标准。</w:t>
      </w:r>
    </w:p>
    <w:p>
      <w:pPr>
        <w:spacing w:line="580" w:lineRule="exact"/>
        <w:ind w:firstLine="640" w:firstLineChars="200"/>
        <w:rPr>
          <w:sz w:val="32"/>
          <w:szCs w:val="32"/>
        </w:rPr>
      </w:pPr>
      <w:r>
        <w:rPr>
          <w:rFonts w:hint="eastAsia" w:ascii="仿宋_GB2312" w:hAnsi="仿宋_GB2312" w:eastAsia="仿宋_GB2312" w:cs="仿宋_GB2312"/>
          <w:sz w:val="32"/>
          <w:szCs w:val="32"/>
        </w:rPr>
        <w:t>行业标准：参照国家、省公布的行业指标数</w:t>
      </w:r>
      <w:r>
        <w:rPr>
          <w:sz w:val="32"/>
          <w:szCs w:val="32"/>
        </w:rPr>
        <w:t>据作为评价标准。</w:t>
      </w:r>
    </w:p>
    <w:p>
      <w:pPr>
        <w:pStyle w:val="3"/>
        <w:spacing w:before="0" w:after="0" w:line="580" w:lineRule="exact"/>
        <w:ind w:firstLine="643" w:firstLineChars="200"/>
        <w:rPr>
          <w:rFonts w:ascii="Times New Roman" w:hAnsi="Times New Roman" w:eastAsia="楷体_GB2312"/>
        </w:rPr>
      </w:pPr>
      <w:bookmarkStart w:id="47" w:name="_Toc41137187"/>
      <w:bookmarkStart w:id="48" w:name="_Toc3504"/>
      <w:bookmarkStart w:id="49" w:name="_Toc38452633"/>
      <w:bookmarkStart w:id="50" w:name="_Toc38447889"/>
      <w:bookmarkStart w:id="51" w:name="_Toc2447"/>
      <w:r>
        <w:rPr>
          <w:rFonts w:ascii="Times New Roman" w:hAnsi="Times New Roman" w:eastAsia="楷体_GB2312"/>
        </w:rPr>
        <w:t>（三）绩效评价工作过程</w:t>
      </w:r>
      <w:bookmarkEnd w:id="47"/>
      <w:bookmarkEnd w:id="48"/>
      <w:bookmarkEnd w:id="49"/>
      <w:bookmarkEnd w:id="50"/>
      <w:bookmarkEnd w:id="51"/>
    </w:p>
    <w:p>
      <w:pPr>
        <w:spacing w:line="580" w:lineRule="exact"/>
        <w:ind w:firstLine="640" w:firstLineChars="200"/>
        <w:textAlignment w:val="baseline"/>
        <w:rPr>
          <w:sz w:val="32"/>
          <w:szCs w:val="32"/>
        </w:rPr>
      </w:pPr>
      <w:r>
        <w:rPr>
          <w:sz w:val="32"/>
          <w:szCs w:val="32"/>
        </w:rPr>
        <w:t>本次绩效评价工作经过了前期准备、绩效评价实施方案和指标体系制定、组织实施、绩效评价报告撰写四个阶段。</w:t>
      </w:r>
    </w:p>
    <w:p>
      <w:pPr>
        <w:spacing w:line="580" w:lineRule="exact"/>
        <w:ind w:firstLine="640" w:firstLineChars="200"/>
        <w:textAlignment w:val="baseline"/>
        <w:rPr>
          <w:sz w:val="32"/>
          <w:szCs w:val="32"/>
        </w:rPr>
      </w:pPr>
      <w:r>
        <w:rPr>
          <w:sz w:val="32"/>
          <w:szCs w:val="32"/>
        </w:rPr>
        <w:t>1.前期准备阶段</w:t>
      </w:r>
    </w:p>
    <w:p>
      <w:pPr>
        <w:spacing w:line="580" w:lineRule="exact"/>
        <w:ind w:firstLine="640" w:firstLineChars="200"/>
        <w:textAlignment w:val="baseline"/>
        <w:rPr>
          <w:sz w:val="32"/>
          <w:szCs w:val="32"/>
        </w:rPr>
      </w:pPr>
      <w:r>
        <w:rPr>
          <w:sz w:val="32"/>
          <w:szCs w:val="32"/>
        </w:rPr>
        <w:t>评价组与</w:t>
      </w:r>
      <w:r>
        <w:rPr>
          <w:rFonts w:hint="eastAsia"/>
          <w:sz w:val="32"/>
          <w:szCs w:val="32"/>
          <w:lang w:eastAsia="zh-CN"/>
        </w:rPr>
        <w:t>区交通运输局</w:t>
      </w:r>
      <w:r>
        <w:rPr>
          <w:sz w:val="32"/>
          <w:szCs w:val="32"/>
        </w:rPr>
        <w:t>充分沟通，收集相关资料，主要包括预算绩效目标指标表</w:t>
      </w:r>
      <w:r>
        <w:rPr>
          <w:rFonts w:hint="eastAsia"/>
          <w:sz w:val="32"/>
          <w:szCs w:val="32"/>
          <w:lang w:eastAsia="zh-CN"/>
        </w:rPr>
        <w:t>、</w:t>
      </w:r>
      <w:r>
        <w:rPr>
          <w:sz w:val="32"/>
          <w:szCs w:val="32"/>
        </w:rPr>
        <w:t>相关政策文件</w:t>
      </w:r>
      <w:r>
        <w:rPr>
          <w:rFonts w:hint="eastAsia"/>
          <w:sz w:val="32"/>
          <w:szCs w:val="32"/>
        </w:rPr>
        <w:t>和</w:t>
      </w:r>
      <w:r>
        <w:rPr>
          <w:sz w:val="32"/>
          <w:szCs w:val="32"/>
        </w:rPr>
        <w:t>管理制度、</w:t>
      </w:r>
      <w:r>
        <w:rPr>
          <w:rFonts w:hint="eastAsia"/>
          <w:sz w:val="32"/>
          <w:szCs w:val="32"/>
          <w:lang w:eastAsia="zh-CN"/>
        </w:rPr>
        <w:t>项目招投标和</w:t>
      </w:r>
      <w:r>
        <w:rPr>
          <w:sz w:val="32"/>
          <w:szCs w:val="32"/>
        </w:rPr>
        <w:t>资金收支等资料，为制定绩效评价实施方案和指标体系奠定了基础。</w:t>
      </w:r>
    </w:p>
    <w:p>
      <w:pPr>
        <w:spacing w:line="580" w:lineRule="exact"/>
        <w:ind w:firstLine="640" w:firstLineChars="200"/>
        <w:textAlignment w:val="baseline"/>
        <w:rPr>
          <w:sz w:val="32"/>
          <w:szCs w:val="32"/>
        </w:rPr>
      </w:pPr>
      <w:r>
        <w:rPr>
          <w:sz w:val="32"/>
          <w:szCs w:val="32"/>
        </w:rPr>
        <w:t>2.制定绩效评价实施方案和指标体系</w:t>
      </w:r>
    </w:p>
    <w:p>
      <w:pPr>
        <w:spacing w:line="360" w:lineRule="auto"/>
        <w:ind w:firstLine="640" w:firstLineChars="200"/>
        <w:textAlignment w:val="baseline"/>
        <w:rPr>
          <w:sz w:val="32"/>
          <w:szCs w:val="32"/>
        </w:rPr>
      </w:pPr>
      <w:r>
        <w:rPr>
          <w:sz w:val="32"/>
          <w:szCs w:val="32"/>
        </w:rPr>
        <w:t>基于对</w:t>
      </w:r>
      <w:r>
        <w:rPr>
          <w:rFonts w:hint="eastAsia"/>
          <w:sz w:val="32"/>
          <w:szCs w:val="32"/>
        </w:rPr>
        <w:t>徐水区“四好”农村道路连接工程</w:t>
      </w:r>
      <w:r>
        <w:rPr>
          <w:sz w:val="32"/>
          <w:szCs w:val="32"/>
        </w:rPr>
        <w:t>相关资料的收集和了解，我们制定了绩效评价实施方案和指标体系，由</w:t>
      </w:r>
      <w:r>
        <w:rPr>
          <w:rFonts w:hint="eastAsia"/>
          <w:sz w:val="32"/>
          <w:szCs w:val="32"/>
          <w:lang w:eastAsia="zh-CN"/>
        </w:rPr>
        <w:t>徐水区</w:t>
      </w:r>
      <w:r>
        <w:rPr>
          <w:sz w:val="32"/>
          <w:szCs w:val="32"/>
        </w:rPr>
        <w:t>财政局相关人员对绩效评价实施方案及指标体系进行修正，确定最终方案。</w:t>
      </w:r>
    </w:p>
    <w:p>
      <w:pPr>
        <w:spacing w:line="580" w:lineRule="exact"/>
        <w:ind w:firstLine="640" w:firstLineChars="200"/>
        <w:textAlignment w:val="baseline"/>
        <w:rPr>
          <w:sz w:val="32"/>
          <w:szCs w:val="32"/>
        </w:rPr>
      </w:pPr>
      <w:r>
        <w:rPr>
          <w:sz w:val="32"/>
          <w:szCs w:val="32"/>
        </w:rPr>
        <w:t>3.组织实施阶段</w:t>
      </w:r>
    </w:p>
    <w:p>
      <w:pPr>
        <w:spacing w:line="580" w:lineRule="exact"/>
        <w:ind w:firstLine="640" w:firstLineChars="200"/>
        <w:textAlignment w:val="baseline"/>
        <w:rPr>
          <w:sz w:val="32"/>
          <w:szCs w:val="32"/>
        </w:rPr>
      </w:pPr>
      <w:r>
        <w:rPr>
          <w:rFonts w:hint="eastAsia"/>
          <w:sz w:val="32"/>
          <w:szCs w:val="32"/>
        </w:rPr>
        <w:t>我们</w:t>
      </w:r>
      <w:r>
        <w:rPr>
          <w:sz w:val="32"/>
          <w:szCs w:val="32"/>
        </w:rPr>
        <w:t>根据绩效评价实施方案和指标体系，对该项目开展现场评价工作，主要包括查看项目绩效目标和指标，</w:t>
      </w:r>
      <w:r>
        <w:rPr>
          <w:rFonts w:hint="eastAsia"/>
          <w:sz w:val="32"/>
          <w:szCs w:val="32"/>
          <w:lang w:eastAsia="zh-CN"/>
        </w:rPr>
        <w:t>审查项目招投标手续和项目实施程序，</w:t>
      </w:r>
      <w:r>
        <w:rPr>
          <w:sz w:val="32"/>
          <w:szCs w:val="32"/>
        </w:rPr>
        <w:t>核对收入支出情况，查看</w:t>
      </w:r>
      <w:r>
        <w:rPr>
          <w:rFonts w:hint="eastAsia"/>
          <w:sz w:val="32"/>
          <w:szCs w:val="32"/>
        </w:rPr>
        <w:t>管理</w:t>
      </w:r>
      <w:r>
        <w:rPr>
          <w:sz w:val="32"/>
          <w:szCs w:val="32"/>
        </w:rPr>
        <w:t>制度及执行情况，</w:t>
      </w:r>
      <w:r>
        <w:rPr>
          <w:rFonts w:hint="eastAsia"/>
          <w:sz w:val="32"/>
          <w:szCs w:val="32"/>
          <w:lang w:eastAsia="zh-CN"/>
        </w:rPr>
        <w:t>现场踏勘施工情况，针对已投入使用的部分</w:t>
      </w:r>
      <w:r>
        <w:rPr>
          <w:sz w:val="32"/>
          <w:szCs w:val="32"/>
        </w:rPr>
        <w:t>随机选取</w:t>
      </w:r>
      <w:r>
        <w:rPr>
          <w:rFonts w:hint="eastAsia"/>
          <w:sz w:val="32"/>
          <w:szCs w:val="32"/>
        </w:rPr>
        <w:t>受益</w:t>
      </w:r>
      <w:r>
        <w:rPr>
          <w:sz w:val="32"/>
          <w:szCs w:val="32"/>
        </w:rPr>
        <w:t>对象进行满意度调查。根据收集的数据、资料进行核对、比较、计算</w:t>
      </w:r>
      <w:r>
        <w:rPr>
          <w:rFonts w:hint="eastAsia"/>
          <w:sz w:val="32"/>
          <w:szCs w:val="32"/>
          <w:lang w:eastAsia="zh-CN"/>
        </w:rPr>
        <w:t>、分析，</w:t>
      </w:r>
      <w:r>
        <w:rPr>
          <w:sz w:val="32"/>
          <w:szCs w:val="32"/>
        </w:rPr>
        <w:t>对该项目进行评分。</w:t>
      </w:r>
    </w:p>
    <w:p>
      <w:pPr>
        <w:spacing w:line="580" w:lineRule="exact"/>
        <w:ind w:firstLine="640" w:firstLineChars="200"/>
        <w:textAlignment w:val="baseline"/>
        <w:rPr>
          <w:sz w:val="32"/>
          <w:szCs w:val="32"/>
        </w:rPr>
      </w:pPr>
      <w:r>
        <w:rPr>
          <w:sz w:val="32"/>
          <w:szCs w:val="32"/>
        </w:rPr>
        <w:t>4</w:t>
      </w:r>
      <w:r>
        <w:rPr>
          <w:rFonts w:hint="eastAsia"/>
          <w:sz w:val="32"/>
          <w:szCs w:val="32"/>
          <w:lang w:val="en-US" w:eastAsia="zh-CN"/>
        </w:rPr>
        <w:t>.</w:t>
      </w:r>
      <w:r>
        <w:rPr>
          <w:sz w:val="32"/>
          <w:szCs w:val="32"/>
        </w:rPr>
        <w:t>撰写绩效评价报告</w:t>
      </w:r>
    </w:p>
    <w:p>
      <w:pPr>
        <w:spacing w:line="580" w:lineRule="exact"/>
        <w:ind w:firstLine="640" w:firstLineChars="200"/>
        <w:textAlignment w:val="baseline"/>
        <w:rPr>
          <w:rFonts w:hint="eastAsia"/>
          <w:sz w:val="32"/>
          <w:szCs w:val="32"/>
          <w:lang w:eastAsia="zh-CN"/>
        </w:rPr>
      </w:pPr>
      <w:r>
        <w:rPr>
          <w:rFonts w:hint="eastAsia"/>
          <w:sz w:val="32"/>
          <w:szCs w:val="32"/>
          <w:lang w:eastAsia="zh-CN"/>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pPr>
        <w:pStyle w:val="2"/>
        <w:keepNext w:val="0"/>
        <w:keepLines w:val="0"/>
        <w:spacing w:before="0" w:after="0" w:line="580" w:lineRule="exact"/>
        <w:ind w:firstLine="643" w:firstLineChars="200"/>
        <w:jc w:val="left"/>
        <w:rPr>
          <w:rFonts w:eastAsia="黑体"/>
          <w:sz w:val="32"/>
          <w:szCs w:val="32"/>
        </w:rPr>
      </w:pPr>
      <w:bookmarkStart w:id="52" w:name="_Toc30072"/>
      <w:bookmarkStart w:id="53" w:name="_Toc41137188"/>
      <w:bookmarkStart w:id="54" w:name="_Toc14152"/>
      <w:bookmarkStart w:id="55" w:name="_Toc38447890"/>
      <w:bookmarkStart w:id="56" w:name="_Toc38452634"/>
      <w:r>
        <w:rPr>
          <w:rFonts w:eastAsia="黑体"/>
          <w:sz w:val="32"/>
          <w:szCs w:val="32"/>
        </w:rPr>
        <w:t>三、综合评价情况及评价结论</w:t>
      </w:r>
      <w:bookmarkEnd w:id="52"/>
      <w:bookmarkEnd w:id="53"/>
      <w:bookmarkEnd w:id="54"/>
      <w:bookmarkEnd w:id="55"/>
      <w:bookmarkEnd w:id="56"/>
    </w:p>
    <w:p>
      <w:pPr>
        <w:spacing w:afterLines="50" w:line="580" w:lineRule="exact"/>
        <w:ind w:firstLine="640" w:firstLineChars="200"/>
        <w:rPr>
          <w:rFonts w:eastAsia="仿宋"/>
          <w:sz w:val="32"/>
          <w:szCs w:val="32"/>
        </w:rPr>
      </w:pPr>
      <w:r>
        <w:rPr>
          <w:rFonts w:eastAsia="仿宋"/>
          <w:sz w:val="32"/>
          <w:szCs w:val="32"/>
        </w:rPr>
        <w:t>经综合评价，</w:t>
      </w:r>
      <w:r>
        <w:rPr>
          <w:rFonts w:hint="eastAsia"/>
          <w:sz w:val="32"/>
          <w:szCs w:val="32"/>
        </w:rPr>
        <w:t>徐水区“四好”农村道路连接工程</w:t>
      </w:r>
      <w:r>
        <w:rPr>
          <w:rFonts w:eastAsia="仿宋"/>
          <w:sz w:val="32"/>
          <w:szCs w:val="32"/>
        </w:rPr>
        <w:t>绩效评价得分</w:t>
      </w:r>
      <w:r>
        <w:rPr>
          <w:rFonts w:hint="eastAsia" w:eastAsia="仿宋"/>
          <w:sz w:val="32"/>
          <w:szCs w:val="32"/>
          <w:lang w:val="en-US" w:eastAsia="zh-CN"/>
        </w:rPr>
        <w:t>81.29</w:t>
      </w:r>
      <w:r>
        <w:rPr>
          <w:rFonts w:eastAsia="仿宋"/>
          <w:sz w:val="32"/>
          <w:szCs w:val="32"/>
        </w:rPr>
        <w:t>分，评价等级为</w:t>
      </w:r>
      <w:r>
        <w:rPr>
          <w:rFonts w:hint="eastAsia" w:eastAsia="仿宋"/>
          <w:sz w:val="32"/>
          <w:szCs w:val="32"/>
        </w:rPr>
        <w:t>“</w:t>
      </w:r>
      <w:r>
        <w:rPr>
          <w:rFonts w:hint="eastAsia" w:eastAsia="仿宋"/>
          <w:sz w:val="32"/>
          <w:szCs w:val="32"/>
          <w:lang w:eastAsia="zh-CN"/>
        </w:rPr>
        <w:t>良</w:t>
      </w:r>
      <w:r>
        <w:rPr>
          <w:rFonts w:hint="eastAsia" w:eastAsia="仿宋"/>
          <w:sz w:val="32"/>
          <w:szCs w:val="32"/>
        </w:rPr>
        <w:t>”</w:t>
      </w:r>
      <w:r>
        <w:rPr>
          <w:rFonts w:eastAsia="仿宋"/>
          <w:sz w:val="32"/>
          <w:szCs w:val="32"/>
        </w:rPr>
        <w:t>。各项得分具体情况如下：</w:t>
      </w:r>
    </w:p>
    <w:tbl>
      <w:tblPr>
        <w:tblStyle w:val="20"/>
        <w:tblW w:w="4998" w:type="pct"/>
        <w:jc w:val="center"/>
        <w:shd w:val="clear" w:color="auto" w:fill="auto"/>
        <w:tblLayout w:type="autofit"/>
        <w:tblCellMar>
          <w:top w:w="0" w:type="dxa"/>
          <w:left w:w="108" w:type="dxa"/>
          <w:bottom w:w="0" w:type="dxa"/>
          <w:right w:w="108" w:type="dxa"/>
        </w:tblCellMar>
      </w:tblPr>
      <w:tblGrid>
        <w:gridCol w:w="1432"/>
        <w:gridCol w:w="2899"/>
        <w:gridCol w:w="2077"/>
        <w:gridCol w:w="1317"/>
        <w:gridCol w:w="1558"/>
      </w:tblGrid>
      <w:tr>
        <w:tblPrEx>
          <w:shd w:val="clear" w:color="auto" w:fill="auto"/>
          <w:tblCellMar>
            <w:top w:w="0" w:type="dxa"/>
            <w:left w:w="108" w:type="dxa"/>
            <w:bottom w:w="0" w:type="dxa"/>
            <w:right w:w="108" w:type="dxa"/>
          </w:tblCellMar>
        </w:tblPrEx>
        <w:trPr>
          <w:trHeight w:val="512" w:hRule="exact"/>
          <w:jc w:val="center"/>
        </w:trPr>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一级指标</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三级指标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分值权重</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项目立项（6分）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立项依据充分性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立项程序规范性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绩效目标（6分）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绩效目标合理性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绩效指标明确性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资金投入（4分）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预算编制科学性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资金分配合理性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资金管理（12分）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资金到位率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 </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预算执行率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 </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资金使用合规性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组织实施（12分）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管理制度健全性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制度执行有效性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（40分）</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产出数量（15分）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实际完成率 </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13.29 </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产出质量（10分）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质量达标率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10</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产出时效（10分）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完成及时性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0</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产出成本（5分）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成本节约率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项目效益                 （12分）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经济效益</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社会效益</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shd w:val="clear" w:color="auto" w:fill="auto"/>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可持续影响</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shd w:val="clear" w:color="auto" w:fill="auto"/>
          <w:tblCellMar>
            <w:top w:w="0" w:type="dxa"/>
            <w:left w:w="108" w:type="dxa"/>
            <w:bottom w:w="0" w:type="dxa"/>
            <w:right w:w="108" w:type="dxa"/>
          </w:tblCellMar>
        </w:tblPrEx>
        <w:trPr>
          <w:trHeight w:val="422"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满意度（8分）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受益对象满意度</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shd w:val="clear" w:color="auto" w:fill="auto"/>
          <w:tblCellMar>
            <w:top w:w="0" w:type="dxa"/>
            <w:left w:w="108" w:type="dxa"/>
            <w:bottom w:w="0" w:type="dxa"/>
            <w:right w:w="108" w:type="dxa"/>
          </w:tblCellMar>
        </w:tblPrEx>
        <w:trPr>
          <w:trHeight w:val="462" w:hRule="exact"/>
          <w:jc w:val="center"/>
        </w:trPr>
        <w:tc>
          <w:tcPr>
            <w:tcW w:w="345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 计</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81.29</w:t>
            </w:r>
          </w:p>
        </w:tc>
      </w:tr>
    </w:tbl>
    <w:p>
      <w:pPr>
        <w:spacing w:line="580" w:lineRule="exact"/>
        <w:ind w:firstLine="640" w:firstLineChars="200"/>
        <w:rPr>
          <w:sz w:val="32"/>
          <w:szCs w:val="32"/>
        </w:rPr>
      </w:pPr>
      <w:r>
        <w:rPr>
          <w:sz w:val="32"/>
          <w:szCs w:val="32"/>
        </w:rPr>
        <w:t>结合项目决策、过程、产出、效益及绩效评价指标体系等内容，对作出如下评价：</w:t>
      </w:r>
    </w:p>
    <w:p>
      <w:pPr>
        <w:spacing w:line="580" w:lineRule="exact"/>
        <w:ind w:firstLine="640" w:firstLineChars="200"/>
        <w:rPr>
          <w:rFonts w:hint="eastAsia" w:ascii="仿宋_GB2312" w:hAnsi="仿宋"/>
          <w:sz w:val="32"/>
          <w:szCs w:val="32"/>
          <w:lang w:val="en-US" w:eastAsia="zh-CN"/>
        </w:rPr>
      </w:pPr>
      <w:r>
        <w:rPr>
          <w:rFonts w:hint="eastAsia" w:ascii="仿宋_GB2312" w:hAnsi="仿宋"/>
          <w:sz w:val="32"/>
          <w:szCs w:val="32"/>
        </w:rPr>
        <w:t>从总体情况看，</w:t>
      </w:r>
      <w:r>
        <w:rPr>
          <w:rFonts w:hint="eastAsia" w:ascii="仿宋_GB2312" w:hAnsi="仿宋"/>
          <w:sz w:val="32"/>
          <w:szCs w:val="32"/>
          <w:lang w:eastAsia="zh-CN"/>
        </w:rPr>
        <w:t>徐水区交通运输局</w:t>
      </w:r>
      <w:r>
        <w:rPr>
          <w:rFonts w:hint="eastAsia"/>
          <w:sz w:val="32"/>
          <w:szCs w:val="32"/>
          <w:lang w:eastAsia="zh-CN"/>
        </w:rPr>
        <w:t>积极组织项目实施，</w:t>
      </w:r>
      <w:r>
        <w:rPr>
          <w:rFonts w:hint="eastAsia" w:ascii="仿宋_GB2312" w:hAnsi="仿宋"/>
          <w:sz w:val="32"/>
          <w:szCs w:val="32"/>
        </w:rPr>
        <w:t>将该项目作为重要的民生任务来抓</w:t>
      </w:r>
      <w:r>
        <w:rPr>
          <w:rFonts w:hint="eastAsia" w:ascii="仿宋_GB2312" w:hAnsi="仿宋"/>
          <w:sz w:val="32"/>
          <w:szCs w:val="32"/>
          <w:lang w:eastAsia="zh-CN"/>
        </w:rPr>
        <w:t>，施工期间多次开展推进会，督促项目实施。截至目前，已完成道</w:t>
      </w:r>
      <w:r>
        <w:rPr>
          <w:rFonts w:hint="eastAsia" w:ascii="仿宋_GB2312" w:hAnsi="仿宋"/>
          <w:sz w:val="32"/>
          <w:szCs w:val="32"/>
          <w:highlight w:val="none"/>
          <w:lang w:eastAsia="zh-CN"/>
        </w:rPr>
        <w:t>路</w:t>
      </w:r>
      <w:r>
        <w:rPr>
          <w:rFonts w:hint="eastAsia" w:ascii="仿宋_GB2312" w:hAnsi="仿宋"/>
          <w:sz w:val="32"/>
          <w:szCs w:val="32"/>
          <w:highlight w:val="none"/>
          <w:lang w:val="en-US" w:eastAsia="zh-CN"/>
        </w:rPr>
        <w:t>132.04公里，</w:t>
      </w:r>
      <w:r>
        <w:rPr>
          <w:rFonts w:hint="eastAsia" w:ascii="仿宋_GB2312" w:hAnsi="仿宋"/>
          <w:color w:val="auto"/>
          <w:sz w:val="32"/>
          <w:szCs w:val="32"/>
          <w:highlight w:val="none"/>
          <w:lang w:val="en-US" w:eastAsia="zh-CN"/>
        </w:rPr>
        <w:t>完工进度88.58%，</w:t>
      </w:r>
      <w:r>
        <w:rPr>
          <w:rFonts w:hint="eastAsia" w:ascii="仿宋_GB2312" w:hAnsi="仿宋"/>
          <w:sz w:val="32"/>
          <w:szCs w:val="32"/>
          <w:lang w:val="en-US" w:eastAsia="zh-CN"/>
        </w:rPr>
        <w:t>其中：一、二标段基本完成了本标段内的建设内容，目前正在进行工程收尾工作；三标段的3条穿越乡镇道路因受到雄安调蓄库、雄安建材运输通道等省重点项目的制约，进展较为缓慢。该项目的实施，解决了部分村民出行“最后一公里”的问题，改善了相邻各村之间的交通状况，方便百姓出行，为实现区域经济发展的一体化奠定了基础。通过发放满意度调查问卷，当地居民对该项目的满意度较高。同时，因该项目部分路段还未完工，项目效益未能充分显现。</w:t>
      </w:r>
    </w:p>
    <w:p>
      <w:pPr>
        <w:spacing w:line="580" w:lineRule="exact"/>
        <w:ind w:firstLine="640" w:firstLineChars="200"/>
        <w:rPr>
          <w:rFonts w:hint="eastAsia" w:ascii="仿宋_GB2312" w:hAnsi="仿宋"/>
          <w:sz w:val="32"/>
          <w:szCs w:val="32"/>
          <w:lang w:eastAsia="zh-CN"/>
        </w:rPr>
      </w:pPr>
      <w:r>
        <w:rPr>
          <w:rFonts w:hint="eastAsia" w:ascii="仿宋_GB2312" w:hAnsi="仿宋"/>
          <w:sz w:val="32"/>
          <w:szCs w:val="32"/>
          <w:lang w:eastAsia="zh-CN"/>
        </w:rPr>
        <w:t>通过本次绩效评价工作，我们也发现该项目在预算管理和项目管理中仍</w:t>
      </w:r>
      <w:r>
        <w:rPr>
          <w:rFonts w:hint="eastAsia" w:ascii="仿宋_GB2312" w:hAnsi="仿宋"/>
          <w:sz w:val="32"/>
          <w:szCs w:val="32"/>
          <w:lang w:val="en-US" w:eastAsia="zh-CN"/>
        </w:rPr>
        <w:t>需进一步加强和提升</w:t>
      </w:r>
      <w:r>
        <w:rPr>
          <w:rFonts w:hint="eastAsia" w:ascii="仿宋_GB2312" w:hAnsi="仿宋"/>
          <w:sz w:val="32"/>
          <w:szCs w:val="32"/>
          <w:lang w:eastAsia="zh-CN"/>
        </w:rPr>
        <w:t>。</w:t>
      </w:r>
    </w:p>
    <w:p>
      <w:pPr>
        <w:pStyle w:val="2"/>
        <w:keepNext w:val="0"/>
        <w:keepLines w:val="0"/>
        <w:spacing w:before="0" w:after="0" w:line="580" w:lineRule="exact"/>
        <w:ind w:firstLine="643" w:firstLineChars="200"/>
        <w:jc w:val="left"/>
        <w:rPr>
          <w:rFonts w:eastAsia="黑体"/>
          <w:sz w:val="32"/>
          <w:szCs w:val="32"/>
        </w:rPr>
      </w:pPr>
      <w:bookmarkStart w:id="57" w:name="_Toc41137189"/>
      <w:bookmarkStart w:id="58" w:name="_Toc38452635"/>
      <w:bookmarkStart w:id="59" w:name="_Toc3561"/>
      <w:bookmarkStart w:id="60" w:name="_Toc38447891"/>
      <w:bookmarkStart w:id="61" w:name="_Toc25520"/>
      <w:r>
        <w:rPr>
          <w:rFonts w:eastAsia="黑体"/>
          <w:sz w:val="32"/>
          <w:szCs w:val="32"/>
        </w:rPr>
        <w:t>四、绩效评价指标分析</w:t>
      </w:r>
      <w:bookmarkEnd w:id="57"/>
      <w:bookmarkEnd w:id="58"/>
      <w:bookmarkEnd w:id="59"/>
      <w:bookmarkEnd w:id="60"/>
      <w:bookmarkEnd w:id="61"/>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通过对</w:t>
      </w:r>
      <w:r>
        <w:rPr>
          <w:rFonts w:hint="eastAsia" w:ascii="仿宋_GB2312" w:hAnsi="仿宋_GB2312" w:cs="仿宋_GB2312"/>
          <w:sz w:val="32"/>
          <w:szCs w:val="32"/>
          <w:lang w:eastAsia="zh-CN"/>
        </w:rPr>
        <w:t>区交通运输局</w:t>
      </w:r>
      <w:r>
        <w:rPr>
          <w:rFonts w:hint="eastAsia" w:ascii="仿宋_GB2312" w:hAnsi="仿宋_GB2312" w:eastAsia="仿宋_GB2312" w:cs="仿宋_GB2312"/>
          <w:sz w:val="32"/>
          <w:szCs w:val="32"/>
        </w:rPr>
        <w:t>提供的项目资料</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检查和现场实地查看，该项目综合得分</w:t>
      </w:r>
      <w:r>
        <w:rPr>
          <w:rFonts w:hint="eastAsia" w:ascii="仿宋_GB2312" w:hAnsi="仿宋_GB2312" w:eastAsia="仿宋_GB2312" w:cs="仿宋_GB2312"/>
          <w:sz w:val="32"/>
          <w:szCs w:val="32"/>
          <w:lang w:val="en-US" w:eastAsia="zh-CN"/>
        </w:rPr>
        <w:t>81.29</w:t>
      </w:r>
      <w:r>
        <w:rPr>
          <w:rFonts w:hint="eastAsia" w:ascii="仿宋_GB2312" w:hAnsi="仿宋_GB2312" w:eastAsia="仿宋_GB2312" w:cs="仿宋_GB2312"/>
          <w:sz w:val="32"/>
          <w:szCs w:val="32"/>
        </w:rPr>
        <w:t>分，评价等级为“</w:t>
      </w:r>
      <w:r>
        <w:rPr>
          <w:rFonts w:hint="eastAsia" w:ascii="仿宋_GB2312" w:hAnsi="仿宋_GB2312" w:eastAsia="仿宋_GB2312" w:cs="仿宋_GB2312"/>
          <w:sz w:val="32"/>
          <w:szCs w:val="32"/>
          <w:lang w:eastAsia="zh-CN"/>
        </w:rPr>
        <w:t>良</w:t>
      </w:r>
      <w:r>
        <w:rPr>
          <w:rFonts w:hint="eastAsia" w:ascii="仿宋_GB2312" w:hAnsi="仿宋_GB2312" w:eastAsia="仿宋_GB2312" w:cs="仿宋_GB2312"/>
          <w:sz w:val="32"/>
          <w:szCs w:val="32"/>
        </w:rPr>
        <w:t>”。具体得分如下：</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91"/>
        <w:gridCol w:w="2000"/>
        <w:gridCol w:w="2000"/>
        <w:gridCol w:w="1397"/>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126"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一级指标</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分值权重</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w:t>
            </w:r>
          </w:p>
        </w:tc>
        <w:tc>
          <w:tcPr>
            <w:tcW w:w="966"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12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（16分）</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项目立项</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资金投入</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2203"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决策部分小计</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12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（24分）</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资金管理</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组织实施</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2203"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过程部分小计</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12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（40分）</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产出数量</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13.29</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产出质量</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产出时效</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产出成本</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2203"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产出部分小计</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28.29</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12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（20分）</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项目效益</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满意度</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2203"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效益部分小计</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2203"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 计</w:t>
            </w:r>
          </w:p>
        </w:tc>
        <w:tc>
          <w:tcPr>
            <w:tcW w:w="107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75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81.29</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81.29%</w:t>
            </w:r>
          </w:p>
        </w:tc>
      </w:tr>
      <w:bookmarkEnd w:id="43"/>
      <w:bookmarkEnd w:id="44"/>
      <w:bookmarkEnd w:id="45"/>
      <w:bookmarkEnd w:id="46"/>
    </w:tbl>
    <w:p>
      <w:pPr>
        <w:spacing w:line="580" w:lineRule="exact"/>
        <w:ind w:firstLine="643" w:firstLineChars="200"/>
        <w:rPr>
          <w:rFonts w:hint="eastAsia" w:eastAsia="仿宋_GB2312"/>
          <w:sz w:val="32"/>
          <w:szCs w:val="32"/>
          <w:lang w:eastAsia="zh-CN"/>
        </w:rPr>
      </w:pPr>
      <w:bookmarkStart w:id="62" w:name="_Toc38452640"/>
      <w:bookmarkStart w:id="63" w:name="_Toc41137194"/>
      <w:bookmarkStart w:id="64" w:name="_Toc38447896"/>
      <w:bookmarkStart w:id="65" w:name="_Toc20719"/>
      <w:bookmarkStart w:id="66" w:name="_Toc8882_WPSOffice_Level1"/>
      <w:bookmarkStart w:id="67" w:name="_Toc10979_WPSOffice_Level1"/>
      <w:bookmarkStart w:id="68" w:name="_Toc29686_WPSOffice_Level1"/>
      <w:bookmarkStart w:id="69" w:name="_Toc3770_WPSOffice_Level1"/>
      <w:bookmarkStart w:id="70" w:name="_Toc8381_WPSOffice_Level1"/>
      <w:bookmarkStart w:id="71" w:name="_Toc10725_WPSOffice_Level1"/>
      <w:r>
        <w:rPr>
          <w:rFonts w:hint="eastAsia" w:ascii="楷体_GB2312" w:hAnsi="宋体" w:eastAsia="楷体_GB2312"/>
          <w:b/>
          <w:sz w:val="32"/>
          <w:szCs w:val="32"/>
        </w:rPr>
        <w:t>（一）决策。</w:t>
      </w:r>
      <w:r>
        <w:rPr>
          <w:rFonts w:hint="eastAsia" w:ascii="仿宋_GB2312" w:hAnsi="仿宋_GB2312" w:eastAsia="仿宋_GB2312" w:cs="仿宋_GB2312"/>
          <w:sz w:val="32"/>
          <w:szCs w:val="32"/>
          <w:u w:color="000000"/>
        </w:rPr>
        <w:t>决策</w:t>
      </w:r>
      <w:r>
        <w:rPr>
          <w:rFonts w:hint="eastAsia" w:ascii="仿宋_GB2312" w:hAnsi="仿宋_GB2312" w:eastAsia="仿宋_GB2312" w:cs="仿宋_GB2312"/>
          <w:sz w:val="32"/>
          <w:szCs w:val="32"/>
        </w:rPr>
        <w:t>绩效指标满分</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8</w:t>
      </w:r>
      <w:r>
        <w:rPr>
          <w:rFonts w:hint="eastAsia" w:ascii="仿宋_GB2312" w:hAnsi="仿宋_GB2312" w:cs="仿宋_GB2312"/>
          <w:sz w:val="32"/>
          <w:szCs w:val="32"/>
          <w:lang w:val="en-US" w:eastAsia="zh-CN"/>
        </w:rPr>
        <w:t>7.50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主要扣分原因为前期决策不够精准、绩效指标设定不细化</w:t>
      </w:r>
      <w:r>
        <w:rPr>
          <w:rFonts w:hint="eastAsia" w:ascii="仿宋_GB2312" w:hAnsi="仿宋_GB2312" w:eastAsia="仿宋_GB2312" w:cs="仿宋_GB2312"/>
          <w:sz w:val="32"/>
          <w:szCs w:val="32"/>
          <w:lang w:val="en-US" w:eastAsia="zh-CN"/>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1.项目立项</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2018年4月</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保定市徐水区人民政府办公室</w:t>
      </w:r>
      <w:r>
        <w:rPr>
          <w:rFonts w:hint="eastAsia" w:ascii="仿宋_GB2312" w:hAnsi="仿宋_GB2312" w:cs="仿宋_GB2312"/>
          <w:sz w:val="32"/>
          <w:szCs w:val="32"/>
          <w:lang w:val="en-US" w:eastAsia="zh-CN"/>
        </w:rPr>
        <w:t>下发</w:t>
      </w:r>
      <w:r>
        <w:rPr>
          <w:rFonts w:hint="eastAsia" w:ascii="仿宋_GB2312" w:hAnsi="仿宋_GB2312" w:eastAsia="仿宋_GB2312" w:cs="仿宋_GB2312"/>
          <w:sz w:val="32"/>
          <w:szCs w:val="32"/>
          <w:lang w:val="en-US" w:eastAsia="zh-CN"/>
        </w:rPr>
        <w:t>关于印发《推进“四好农村路”建设工作实施方案》的通知（徐政办〔2018〕62号），明确该项目由区交通</w:t>
      </w:r>
      <w:r>
        <w:rPr>
          <w:rFonts w:hint="eastAsia" w:ascii="仿宋_GB2312" w:hAnsi="仿宋_GB2312" w:cs="仿宋_GB2312"/>
          <w:sz w:val="32"/>
          <w:szCs w:val="32"/>
          <w:lang w:val="en-US" w:eastAsia="zh-CN"/>
        </w:rPr>
        <w:t>运输</w:t>
      </w:r>
      <w:r>
        <w:rPr>
          <w:rFonts w:hint="eastAsia" w:ascii="仿宋_GB2312" w:hAnsi="仿宋_GB2312" w:eastAsia="仿宋_GB2312" w:cs="仿宋_GB2312"/>
          <w:sz w:val="32"/>
          <w:szCs w:val="32"/>
          <w:lang w:val="en-US" w:eastAsia="zh-CN"/>
        </w:rPr>
        <w:t>局牵头实施。同月，区交通运输局编制了项目可行性研究报告并经徐水区发展改革局批复，2019年4月徐水区财政局委托第三方对该项目进行了预算评审，项目立项依据较充分。通过现场踏勘，职中路部分路段不能施工</w:t>
      </w:r>
      <w:r>
        <w:rPr>
          <w:rFonts w:hint="eastAsia" w:ascii="仿宋_GB2312" w:hAnsi="仿宋_GB2312" w:cs="仿宋_GB2312"/>
          <w:sz w:val="32"/>
          <w:szCs w:val="32"/>
          <w:lang w:val="en-US" w:eastAsia="zh-CN"/>
        </w:rPr>
        <w:t>的原因为该路段</w:t>
      </w:r>
      <w:r>
        <w:rPr>
          <w:rFonts w:hint="eastAsia" w:ascii="仿宋_GB2312" w:hAnsi="仿宋_GB2312" w:eastAsia="仿宋_GB2312" w:cs="仿宋_GB2312"/>
          <w:sz w:val="32"/>
          <w:szCs w:val="32"/>
          <w:lang w:val="en-US" w:eastAsia="zh-CN"/>
        </w:rPr>
        <w:t>需通过南水北调保护区，故无法施工，影响项目</w:t>
      </w:r>
      <w:r>
        <w:rPr>
          <w:rFonts w:hint="eastAsia" w:ascii="仿宋_GB2312" w:hAnsi="仿宋_GB2312" w:cs="仿宋_GB2312"/>
          <w:sz w:val="32"/>
          <w:szCs w:val="32"/>
          <w:lang w:val="en-US" w:eastAsia="zh-CN"/>
        </w:rPr>
        <w:t>整体实施</w:t>
      </w:r>
      <w:r>
        <w:rPr>
          <w:rFonts w:hint="eastAsia" w:ascii="仿宋_GB2312" w:hAnsi="仿宋_GB2312" w:eastAsia="仿宋_GB2312" w:cs="仿宋_GB2312"/>
          <w:sz w:val="32"/>
          <w:szCs w:val="32"/>
          <w:lang w:val="en-US" w:eastAsia="zh-CN"/>
        </w:rPr>
        <w:t>进度，</w:t>
      </w:r>
      <w:r>
        <w:rPr>
          <w:rFonts w:hint="eastAsia" w:ascii="仿宋_GB2312" w:hAnsi="仿宋_GB2312" w:cs="仿宋_GB2312"/>
          <w:sz w:val="32"/>
          <w:szCs w:val="32"/>
          <w:lang w:val="en-US" w:eastAsia="zh-CN"/>
        </w:rPr>
        <w:t>由此可知，</w:t>
      </w:r>
      <w:r>
        <w:rPr>
          <w:rFonts w:hint="eastAsia" w:ascii="仿宋_GB2312" w:hAnsi="仿宋_GB2312" w:eastAsia="仿宋_GB2312" w:cs="仿宋_GB2312"/>
          <w:sz w:val="32"/>
          <w:szCs w:val="32"/>
          <w:lang w:val="en-US" w:eastAsia="zh-CN"/>
        </w:rPr>
        <w:t>项目在前期决策时还存在不精准的地方。</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83.33</w:t>
      </w:r>
      <w:r>
        <w:rPr>
          <w:rFonts w:hint="eastAsia" w:ascii="仿宋_GB2312" w:hAnsi="仿宋_GB2312" w:eastAsia="仿宋_GB2312" w:cs="仿宋_GB2312"/>
          <w:sz w:val="32"/>
          <w:szCs w:val="32"/>
        </w:rPr>
        <w:t>%。</w:t>
      </w:r>
    </w:p>
    <w:p>
      <w:pPr>
        <w:numPr>
          <w:ilvl w:val="0"/>
          <w:numId w:val="0"/>
        </w:num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绩效目标</w:t>
      </w:r>
    </w:p>
    <w:p>
      <w:pPr>
        <w:numPr>
          <w:ilvl w:val="0"/>
          <w:numId w:val="0"/>
        </w:num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eastAsia="zh-CN"/>
        </w:rPr>
        <w:t>通</w:t>
      </w:r>
      <w:r>
        <w:rPr>
          <w:rFonts w:hint="eastAsia" w:ascii="仿宋_GB2312" w:hAnsi="仿宋_GB2312" w:eastAsia="仿宋_GB2312" w:cs="仿宋_GB2312"/>
          <w:sz w:val="32"/>
          <w:szCs w:val="32"/>
          <w:lang w:eastAsia="zh-CN"/>
        </w:rPr>
        <w:t>过查看该项目</w:t>
      </w:r>
      <w:r>
        <w:rPr>
          <w:rFonts w:hint="eastAsia" w:ascii="仿宋_GB2312" w:hAnsi="仿宋_GB2312" w:eastAsia="仿宋_GB2312" w:cs="仿宋_GB2312"/>
          <w:sz w:val="32"/>
          <w:szCs w:val="32"/>
        </w:rPr>
        <w:t>绩效目标表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该项目</w:t>
      </w:r>
      <w:r>
        <w:rPr>
          <w:rFonts w:hint="eastAsia" w:ascii="仿宋_GB2312" w:hAnsi="仿宋_GB2312" w:eastAsia="仿宋_GB2312" w:cs="仿宋_GB2312"/>
          <w:sz w:val="32"/>
          <w:szCs w:val="32"/>
          <w:lang w:eastAsia="zh-CN"/>
        </w:rPr>
        <w:t>绩效目标为充分发挥农村公路建设的社会效益，方便百姓出行，促进经济发展。设定了数量指标、质量指标、社会效益指标和满意度指标，未设定时效</w:t>
      </w:r>
      <w:r>
        <w:rPr>
          <w:rFonts w:hint="eastAsia" w:ascii="仿宋_GB2312" w:hAnsi="仿宋_GB2312" w:cs="仿宋_GB2312"/>
          <w:sz w:val="32"/>
          <w:szCs w:val="32"/>
          <w:lang w:eastAsia="zh-CN"/>
        </w:rPr>
        <w:t>性</w:t>
      </w:r>
      <w:r>
        <w:rPr>
          <w:rFonts w:hint="eastAsia" w:ascii="仿宋_GB2312" w:hAnsi="仿宋_GB2312" w:eastAsia="仿宋_GB2312" w:cs="仿宋_GB2312"/>
          <w:sz w:val="32"/>
          <w:szCs w:val="32"/>
          <w:lang w:eastAsia="zh-CN"/>
        </w:rPr>
        <w:t>指标和成本指标，绩效指标设定不够细化</w:t>
      </w: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全面</w:t>
      </w:r>
      <w:r>
        <w:rPr>
          <w:rFonts w:hint="eastAsia" w:ascii="仿宋_GB2312" w:hAnsi="仿宋_GB2312" w:eastAsia="仿宋_GB2312" w:cs="仿宋_GB2312"/>
          <w:sz w:val="32"/>
          <w:szCs w:val="32"/>
          <w:lang w:eastAsia="zh-CN"/>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83.33</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u w:color="000000"/>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u w:color="000000"/>
        </w:rPr>
        <w:t>资金投入</w:t>
      </w:r>
    </w:p>
    <w:p>
      <w:pPr>
        <w:spacing w:line="58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区财政局委托第三方出具了工程预算审核报告，审定金额</w:t>
      </w:r>
      <w:r>
        <w:rPr>
          <w:rFonts w:hint="eastAsia" w:ascii="仿宋_GB2312" w:hAnsi="仿宋_GB2312" w:eastAsia="仿宋_GB2312" w:cs="仿宋_GB2312"/>
          <w:bCs/>
          <w:sz w:val="32"/>
          <w:szCs w:val="32"/>
          <w:lang w:val="en-US" w:eastAsia="zh-CN"/>
        </w:rPr>
        <w:t>25710.66</w:t>
      </w:r>
      <w:r>
        <w:rPr>
          <w:rFonts w:hint="eastAsia" w:ascii="仿宋_GB2312" w:hAnsi="仿宋_GB2312" w:eastAsia="仿宋_GB2312" w:cs="仿宋_GB2312"/>
          <w:sz w:val="32"/>
          <w:szCs w:val="32"/>
          <w:lang w:val="en-US" w:eastAsia="zh-CN"/>
        </w:rPr>
        <w:t>万元，预算编制较合理，测算依据较充分。</w:t>
      </w:r>
    </w:p>
    <w:p>
      <w:pPr>
        <w:spacing w:line="580" w:lineRule="exact"/>
        <w:rPr>
          <w:rFonts w:hint="eastAsia" w:ascii="仿宋_GB2312" w:hAnsi="仿宋_GB2312" w:eastAsia="仿宋_GB2312" w:cs="仿宋_GB2312"/>
          <w:sz w:val="32"/>
          <w:szCs w:val="32"/>
          <w:u w:color="000000"/>
        </w:rPr>
      </w:pPr>
      <w:r>
        <w:rPr>
          <w:rFonts w:hint="eastAsia" w:ascii="仿宋_GB2312" w:hAnsi="仿宋_GB2312" w:eastAsia="仿宋_GB2312" w:cs="仿宋_GB2312"/>
          <w:sz w:val="32"/>
          <w:szCs w:val="32"/>
        </w:rPr>
        <w:t xml:space="preserve">   该指标满分4分，得分</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0"/>
        </w:numPr>
        <w:spacing w:line="580" w:lineRule="exact"/>
        <w:ind w:firstLine="643" w:firstLineChars="200"/>
        <w:rPr>
          <w:rFonts w:hint="eastAsia" w:ascii="仿宋_GB2312" w:hAnsi="仿宋_GB2312" w:eastAsia="仿宋_GB2312" w:cs="仿宋_GB2312"/>
          <w:sz w:val="32"/>
          <w:szCs w:val="32"/>
        </w:rPr>
      </w:pPr>
      <w:r>
        <w:rPr>
          <w:rFonts w:hint="eastAsia" w:ascii="楷体_GB2312" w:hAnsi="宋体" w:eastAsia="楷体_GB2312"/>
          <w:b/>
          <w:sz w:val="32"/>
          <w:szCs w:val="32"/>
          <w:lang w:eastAsia="zh-CN"/>
        </w:rPr>
        <w:t>（二）</w:t>
      </w:r>
      <w:r>
        <w:rPr>
          <w:rFonts w:hint="eastAsia" w:ascii="楷体_GB2312" w:hAnsi="宋体" w:eastAsia="楷体_GB2312"/>
          <w:b/>
          <w:sz w:val="32"/>
          <w:szCs w:val="32"/>
        </w:rPr>
        <w:t>过程。</w:t>
      </w:r>
      <w:r>
        <w:rPr>
          <w:rFonts w:hint="eastAsia" w:ascii="仿宋_GB2312" w:hAnsi="仿宋_GB2312" w:eastAsia="仿宋_GB2312" w:cs="仿宋_GB2312"/>
          <w:sz w:val="32"/>
          <w:szCs w:val="32"/>
          <w:u w:color="000000"/>
        </w:rPr>
        <w:t>过程</w:t>
      </w:r>
      <w:r>
        <w:rPr>
          <w:rFonts w:hint="eastAsia" w:ascii="仿宋_GB2312" w:hAnsi="仿宋_GB2312" w:eastAsia="仿宋_GB2312" w:cs="仿宋_GB2312"/>
          <w:sz w:val="32"/>
          <w:szCs w:val="32"/>
        </w:rPr>
        <w:t>绩效指标满24分，得分</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95.83</w:t>
      </w:r>
      <w:r>
        <w:rPr>
          <w:rFonts w:hint="eastAsia" w:ascii="仿宋_GB2312" w:hAnsi="仿宋_GB2312" w:eastAsia="仿宋_GB2312" w:cs="仿宋_GB2312"/>
          <w:sz w:val="32"/>
          <w:szCs w:val="32"/>
        </w:rPr>
        <w:t>%。主要扣分原因为</w:t>
      </w:r>
      <w:r>
        <w:rPr>
          <w:rFonts w:hint="eastAsia" w:ascii="仿宋_GB2312" w:hAnsi="仿宋_GB2312" w:eastAsia="仿宋_GB2312" w:cs="仿宋_GB2312"/>
          <w:sz w:val="32"/>
          <w:szCs w:val="32"/>
          <w:lang w:eastAsia="zh-CN"/>
        </w:rPr>
        <w:t>未制定</w:t>
      </w:r>
      <w:r>
        <w:rPr>
          <w:rFonts w:hint="eastAsia" w:ascii="仿宋_GB2312" w:hAnsi="仿宋_GB2312" w:cs="仿宋_GB2312"/>
          <w:sz w:val="32"/>
          <w:szCs w:val="32"/>
          <w:lang w:eastAsia="zh-CN"/>
        </w:rPr>
        <w:t>详细的</w:t>
      </w:r>
      <w:r>
        <w:rPr>
          <w:rFonts w:hint="eastAsia" w:ascii="仿宋_GB2312" w:hAnsi="仿宋_GB2312" w:eastAsia="仿宋_GB2312" w:cs="仿宋_GB2312"/>
          <w:sz w:val="32"/>
          <w:szCs w:val="32"/>
          <w:lang w:eastAsia="zh-CN"/>
        </w:rPr>
        <w:t>项目实施方案。</w:t>
      </w:r>
    </w:p>
    <w:p>
      <w:pPr>
        <w:spacing w:line="580" w:lineRule="exact"/>
        <w:ind w:firstLine="640"/>
        <w:rPr>
          <w:sz w:val="32"/>
          <w:szCs w:val="32"/>
        </w:rPr>
      </w:pPr>
      <w:r>
        <w:rPr>
          <w:sz w:val="32"/>
          <w:szCs w:val="32"/>
        </w:rPr>
        <w:t>1.资金管理</w:t>
      </w:r>
    </w:p>
    <w:p>
      <w:pPr>
        <w:numPr>
          <w:ilvl w:val="0"/>
          <w:numId w:val="0"/>
        </w:numPr>
        <w:spacing w:line="580" w:lineRule="exact"/>
        <w:ind w:firstLine="640" w:firstLineChars="200"/>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该项目预算总投资25279.68万元，全部专项债券资金。其中</w:t>
      </w:r>
      <w:r>
        <w:rPr>
          <w:rFonts w:hint="eastAsia" w:ascii="仿宋_GB2312" w:hAnsi="仿宋_GB2312" w:cs="仿宋_GB2312"/>
          <w:bCs/>
          <w:sz w:val="32"/>
          <w:szCs w:val="32"/>
          <w:lang w:val="en-US" w:eastAsia="zh-CN"/>
        </w:rPr>
        <w:t>：</w:t>
      </w:r>
      <w:r>
        <w:rPr>
          <w:rFonts w:hint="eastAsia" w:ascii="仿宋_GB2312" w:hAnsi="仿宋_GB2312" w:eastAsia="仿宋_GB2312" w:cs="仿宋_GB2312"/>
          <w:bCs/>
          <w:sz w:val="32"/>
          <w:szCs w:val="32"/>
          <w:lang w:val="en-US" w:eastAsia="zh-CN"/>
        </w:rPr>
        <w:t>2019年</w:t>
      </w:r>
      <w:r>
        <w:rPr>
          <w:rFonts w:hint="eastAsia" w:ascii="仿宋_GB2312" w:hAnsi="仿宋_GB2312" w:cs="仿宋_GB2312"/>
          <w:bCs/>
          <w:sz w:val="32"/>
          <w:szCs w:val="32"/>
          <w:lang w:val="en-US" w:eastAsia="zh-CN"/>
        </w:rPr>
        <w:t>安排</w:t>
      </w:r>
      <w:r>
        <w:rPr>
          <w:rFonts w:hint="eastAsia" w:ascii="仿宋_GB2312" w:hAnsi="仿宋_GB2312" w:eastAsia="仿宋_GB2312" w:cs="仿宋_GB2312"/>
          <w:bCs/>
          <w:sz w:val="32"/>
          <w:szCs w:val="32"/>
          <w:lang w:val="en-US" w:eastAsia="zh-CN"/>
        </w:rPr>
        <w:t>9000万元、2020年</w:t>
      </w:r>
      <w:r>
        <w:rPr>
          <w:rFonts w:hint="eastAsia" w:ascii="仿宋_GB2312" w:hAnsi="仿宋_GB2312" w:cs="仿宋_GB2312"/>
          <w:bCs/>
          <w:sz w:val="32"/>
          <w:szCs w:val="32"/>
          <w:lang w:val="en-US" w:eastAsia="zh-CN"/>
        </w:rPr>
        <w:t>安排</w:t>
      </w:r>
      <w:r>
        <w:rPr>
          <w:rFonts w:hint="eastAsia" w:ascii="仿宋_GB2312" w:hAnsi="仿宋_GB2312" w:eastAsia="仿宋_GB2312" w:cs="仿宋_GB2312"/>
          <w:bCs/>
          <w:sz w:val="32"/>
          <w:szCs w:val="32"/>
          <w:lang w:val="en-US" w:eastAsia="zh-CN"/>
        </w:rPr>
        <w:t>4000万元、2021年</w:t>
      </w:r>
      <w:r>
        <w:rPr>
          <w:rFonts w:hint="eastAsia" w:ascii="仿宋_GB2312" w:hAnsi="仿宋_GB2312" w:cs="仿宋_GB2312"/>
          <w:bCs/>
          <w:sz w:val="32"/>
          <w:szCs w:val="32"/>
          <w:lang w:val="en-US" w:eastAsia="zh-CN"/>
        </w:rPr>
        <w:t>安排</w:t>
      </w:r>
      <w:r>
        <w:rPr>
          <w:rFonts w:hint="eastAsia" w:ascii="仿宋_GB2312" w:hAnsi="仿宋_GB2312" w:eastAsia="仿宋_GB2312" w:cs="仿宋_GB2312"/>
          <w:bCs/>
          <w:sz w:val="32"/>
          <w:szCs w:val="32"/>
          <w:lang w:val="en-US" w:eastAsia="zh-CN"/>
        </w:rPr>
        <w:t>3200万元，本次评价范围为2020年的专项债券资金。</w:t>
      </w:r>
      <w:r>
        <w:rPr>
          <w:rFonts w:hint="eastAsia" w:ascii="仿宋_GB2312" w:hAnsi="仿宋_GB2312" w:cs="仿宋_GB2312"/>
          <w:bCs/>
          <w:sz w:val="32"/>
          <w:szCs w:val="32"/>
          <w:lang w:val="en-US" w:eastAsia="zh-CN"/>
        </w:rPr>
        <w:t>截至评价日，2020年安排的4000万元项目资金已全部到位并使用，资金到位率100%，执行率100%。资金拨付有完整的审批程序和手续、符合合同约定的用途。</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该指标满分12分，得分1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spacing w:line="580" w:lineRule="exact"/>
        <w:ind w:firstLine="640" w:firstLineChars="200"/>
        <w:rPr>
          <w:sz w:val="32"/>
          <w:szCs w:val="32"/>
        </w:rPr>
      </w:pPr>
      <w:r>
        <w:rPr>
          <w:sz w:val="32"/>
          <w:szCs w:val="32"/>
        </w:rPr>
        <w:t>2.组织实施</w:t>
      </w:r>
    </w:p>
    <w:p>
      <w:pPr>
        <w:spacing w:line="580" w:lineRule="exact"/>
        <w:ind w:firstLine="64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eastAsia="zh-CN"/>
        </w:rPr>
        <w:t>该项目管理制度较为健全，严格按照经核准的招标方案组织招标，确定中标单位。项目于</w:t>
      </w:r>
      <w:r>
        <w:rPr>
          <w:rFonts w:hint="eastAsia" w:ascii="仿宋_GB2312" w:hAnsi="仿宋_GB2312" w:eastAsia="仿宋_GB2312" w:cs="仿宋_GB2312"/>
          <w:sz w:val="32"/>
          <w:szCs w:val="32"/>
          <w:lang w:val="en-US" w:eastAsia="zh-CN"/>
        </w:rPr>
        <w:t>2019年6月开工建设。</w:t>
      </w:r>
      <w:r>
        <w:rPr>
          <w:rFonts w:hint="eastAsia" w:ascii="仿宋_GB2312" w:hAnsi="仿宋_GB2312" w:eastAsia="仿宋_GB2312" w:cs="仿宋_GB2312"/>
          <w:sz w:val="32"/>
          <w:szCs w:val="32"/>
          <w:lang w:eastAsia="zh-CN"/>
        </w:rPr>
        <w:t>施工期间，</w:t>
      </w:r>
      <w:r>
        <w:rPr>
          <w:rFonts w:hint="eastAsia" w:ascii="仿宋_GB2312" w:hAnsi="仿宋_GB2312" w:cs="仿宋_GB2312"/>
          <w:sz w:val="32"/>
          <w:szCs w:val="32"/>
          <w:lang w:eastAsia="zh-CN"/>
        </w:rPr>
        <w:t>区交通运输局</w:t>
      </w:r>
      <w:r>
        <w:rPr>
          <w:rFonts w:hint="eastAsia" w:ascii="仿宋_GB2312" w:hAnsi="仿宋_GB2312" w:eastAsia="仿宋_GB2312" w:cs="仿宋_GB2312"/>
          <w:sz w:val="32"/>
          <w:szCs w:val="32"/>
          <w:lang w:eastAsia="zh-CN"/>
        </w:rPr>
        <w:t>多次开展推进会，督促项目实施。截至评价日，已完成道</w:t>
      </w:r>
      <w:r>
        <w:rPr>
          <w:rFonts w:hint="eastAsia" w:ascii="仿宋_GB2312" w:hAnsi="仿宋_GB2312" w:eastAsia="仿宋_GB2312" w:cs="仿宋_GB2312"/>
          <w:sz w:val="32"/>
          <w:szCs w:val="32"/>
          <w:highlight w:val="none"/>
          <w:lang w:eastAsia="zh-CN"/>
        </w:rPr>
        <w:t>路</w:t>
      </w:r>
      <w:r>
        <w:rPr>
          <w:rFonts w:hint="eastAsia" w:ascii="仿宋_GB2312" w:hAnsi="仿宋_GB2312" w:eastAsia="仿宋_GB2312" w:cs="仿宋_GB2312"/>
          <w:sz w:val="32"/>
          <w:szCs w:val="32"/>
          <w:highlight w:val="none"/>
          <w:lang w:val="en-US" w:eastAsia="zh-CN"/>
        </w:rPr>
        <w:t>132.04公里，完工进度88.</w:t>
      </w:r>
      <w:r>
        <w:rPr>
          <w:rFonts w:hint="eastAsia" w:ascii="仿宋_GB2312" w:hAnsi="仿宋_GB2312" w:cs="仿宋_GB2312"/>
          <w:sz w:val="32"/>
          <w:szCs w:val="32"/>
          <w:highlight w:val="none"/>
          <w:lang w:val="en-US" w:eastAsia="zh-CN"/>
        </w:rPr>
        <w:t>58</w:t>
      </w:r>
      <w:r>
        <w:rPr>
          <w:rFonts w:hint="eastAsia" w:ascii="仿宋_GB2312" w:hAnsi="仿宋_GB2312" w:eastAsia="仿宋_GB2312" w:cs="仿宋_GB2312"/>
          <w:sz w:val="32"/>
          <w:szCs w:val="32"/>
          <w:highlight w:val="none"/>
          <w:lang w:val="en-US" w:eastAsia="zh-CN"/>
        </w:rPr>
        <w:t>%。</w:t>
      </w:r>
    </w:p>
    <w:p>
      <w:pPr>
        <w:spacing w:line="580" w:lineRule="exact"/>
        <w:ind w:firstLine="640"/>
        <w:rPr>
          <w:rFonts w:hint="default"/>
          <w:sz w:val="32"/>
          <w:szCs w:val="32"/>
          <w:lang w:val="en-US" w:eastAsia="zh-CN"/>
        </w:rPr>
      </w:pPr>
      <w:r>
        <w:rPr>
          <w:rFonts w:hint="eastAsia"/>
          <w:sz w:val="32"/>
          <w:szCs w:val="32"/>
          <w:lang w:val="en-US" w:eastAsia="zh-CN"/>
        </w:rPr>
        <w:t>通过查看项目有关资料，该项目实施方案制定不精细，未明确项目竣工时间、验收时间等项目实施的重要时间节点。</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91.67</w:t>
      </w:r>
      <w:r>
        <w:rPr>
          <w:rFonts w:hint="eastAsia" w:ascii="仿宋_GB2312" w:hAnsi="仿宋_GB2312" w:eastAsia="仿宋_GB2312" w:cs="仿宋_GB2312"/>
          <w:sz w:val="32"/>
          <w:szCs w:val="32"/>
        </w:rPr>
        <w:t>%。</w:t>
      </w:r>
    </w:p>
    <w:p>
      <w:pPr>
        <w:spacing w:line="580" w:lineRule="exact"/>
        <w:ind w:firstLine="643" w:firstLineChars="200"/>
        <w:rPr>
          <w:rFonts w:hint="eastAsia" w:ascii="仿宋_GB2312" w:hAnsi="仿宋_GB2312" w:eastAsia="仿宋_GB2312" w:cs="仿宋_GB2312"/>
          <w:sz w:val="32"/>
          <w:szCs w:val="32"/>
        </w:rPr>
      </w:pPr>
      <w:r>
        <w:rPr>
          <w:rFonts w:ascii="楷体_GB2312" w:hAnsi="宋体" w:eastAsia="楷体_GB2312"/>
          <w:b/>
          <w:sz w:val="32"/>
          <w:szCs w:val="32"/>
        </w:rPr>
        <w:t>（三）产出。</w:t>
      </w:r>
      <w:r>
        <w:rPr>
          <w:rFonts w:hint="eastAsia" w:ascii="仿宋_GB2312" w:hAnsi="仿宋_GB2312" w:eastAsia="仿宋_GB2312" w:cs="仿宋_GB2312"/>
          <w:sz w:val="32"/>
          <w:szCs w:val="32"/>
        </w:rPr>
        <w:t>产出绩效指标满</w:t>
      </w:r>
      <w:r>
        <w:rPr>
          <w:rFonts w:hint="eastAsia" w:ascii="仿宋_GB2312" w:hAnsi="仿宋_GB2312" w:eastAsia="仿宋_GB2312" w:cs="仿宋_GB2312"/>
          <w:sz w:val="32"/>
          <w:szCs w:val="32"/>
          <w:lang w:eastAsia="zh-CN"/>
        </w:rPr>
        <w:t>分</w:t>
      </w:r>
      <w:r>
        <w:rPr>
          <w:rFonts w:hint="eastAsia" w:ascii="仿宋_GB2312" w:hAnsi="仿宋_GB2312" w:eastAsia="仿宋_GB2312" w:cs="仿宋_GB2312"/>
          <w:sz w:val="32"/>
          <w:szCs w:val="32"/>
        </w:rPr>
        <w:t>40分，得分</w:t>
      </w:r>
      <w:r>
        <w:rPr>
          <w:rFonts w:hint="eastAsia" w:ascii="仿宋_GB2312" w:hAnsi="仿宋_GB2312" w:cs="仿宋_GB2312"/>
          <w:sz w:val="32"/>
          <w:szCs w:val="32"/>
          <w:lang w:val="en-US" w:eastAsia="zh-CN"/>
        </w:rPr>
        <w:t>28.29</w:t>
      </w:r>
      <w:r>
        <w:rPr>
          <w:rFonts w:hint="eastAsia" w:ascii="仿宋_GB2312" w:hAnsi="仿宋_GB2312" w:eastAsia="仿宋_GB2312" w:cs="仿宋_GB2312"/>
          <w:sz w:val="32"/>
          <w:szCs w:val="32"/>
        </w:rPr>
        <w:t>分，得分率为</w:t>
      </w:r>
      <w:r>
        <w:rPr>
          <w:rFonts w:hint="eastAsia" w:ascii="仿宋_GB2312" w:hAnsi="仿宋_GB2312" w:cs="仿宋_GB2312"/>
          <w:sz w:val="32"/>
          <w:szCs w:val="32"/>
          <w:lang w:val="en-US" w:eastAsia="zh-CN"/>
        </w:rPr>
        <w:t>70.73</w:t>
      </w:r>
      <w:r>
        <w:rPr>
          <w:rFonts w:hint="eastAsia" w:ascii="仿宋_GB2312" w:hAnsi="仿宋_GB2312" w:eastAsia="仿宋_GB2312" w:cs="仿宋_GB2312"/>
          <w:sz w:val="32"/>
          <w:szCs w:val="32"/>
        </w:rPr>
        <w:t>%。主要扣分原因为</w:t>
      </w:r>
      <w:r>
        <w:rPr>
          <w:rFonts w:hint="eastAsia" w:ascii="仿宋_GB2312" w:hAnsi="仿宋_GB2312" w:eastAsia="仿宋_GB2312" w:cs="仿宋_GB2312"/>
          <w:sz w:val="32"/>
          <w:szCs w:val="32"/>
          <w:lang w:eastAsia="zh-CN"/>
        </w:rPr>
        <w:t>项目产出数量尚未达到预期指标，产出</w:t>
      </w:r>
      <w:r>
        <w:rPr>
          <w:rFonts w:hint="eastAsia" w:ascii="仿宋_GB2312" w:hAnsi="仿宋_GB2312" w:cs="仿宋_GB2312"/>
          <w:sz w:val="32"/>
          <w:szCs w:val="32"/>
          <w:lang w:eastAsia="zh-CN"/>
        </w:rPr>
        <w:t>时效性差。</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1.产出数量</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val="en-US" w:eastAsia="zh-CN"/>
        </w:rPr>
        <w:t>该项目建设内容包含14个乡镇的106条公路，总里程149公里，</w:t>
      </w:r>
      <w:r>
        <w:rPr>
          <w:rFonts w:hint="eastAsia" w:ascii="仿宋_GB2312" w:hAnsi="仿宋_GB2312"/>
          <w:sz w:val="32"/>
          <w:szCs w:val="32"/>
          <w:lang w:val="en-US" w:eastAsia="zh-CN"/>
        </w:rPr>
        <w:t>截至目前已完成道</w:t>
      </w:r>
      <w:r>
        <w:rPr>
          <w:rFonts w:hint="eastAsia" w:ascii="仿宋_GB2312" w:hAnsi="仿宋_GB2312"/>
          <w:sz w:val="32"/>
          <w:szCs w:val="32"/>
          <w:highlight w:val="none"/>
          <w:lang w:val="en-US" w:eastAsia="zh-CN"/>
        </w:rPr>
        <w:t>路132.04公里</w:t>
      </w:r>
      <w:r>
        <w:rPr>
          <w:rFonts w:hint="eastAsia" w:ascii="仿宋_GB2312" w:hAnsi="仿宋"/>
          <w:sz w:val="32"/>
          <w:szCs w:val="32"/>
          <w:highlight w:val="none"/>
          <w:lang w:val="en-US" w:eastAsia="zh-CN"/>
        </w:rPr>
        <w:t>，完工进度88.58%。</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该指标满分1</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13.29</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88.60</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2.产出质量</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因该项目尚未完工，相关部门还未验收，无法依据验收证书来衡量项目产出质量。</w:t>
      </w:r>
      <w:r>
        <w:rPr>
          <w:rFonts w:hint="eastAsia" w:ascii="仿宋_GB2312" w:hAnsi="仿宋_GB2312" w:cs="仿宋_GB2312"/>
          <w:sz w:val="32"/>
          <w:szCs w:val="32"/>
          <w:lang w:eastAsia="zh-CN"/>
        </w:rPr>
        <w:t>通过抽查监理公司的测量检查记录，该项目产出质量基本达标。</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rPr>
        <w:t>%。</w:t>
      </w:r>
    </w:p>
    <w:p>
      <w:pPr>
        <w:pStyle w:val="2"/>
        <w:keepNext w:val="0"/>
        <w:keepLines w:val="0"/>
        <w:spacing w:before="0" w:after="0" w:line="580" w:lineRule="exact"/>
        <w:ind w:firstLine="640" w:firstLineChars="200"/>
        <w:jc w:val="left"/>
        <w:rPr>
          <w:rFonts w:hint="eastAsia" w:ascii="仿宋_GB2312" w:hAnsi="仿宋_GB2312" w:eastAsia="仿宋_GB2312" w:cs="仿宋_GB2312"/>
          <w:b w:val="0"/>
          <w:bCs w:val="0"/>
          <w:kern w:val="2"/>
          <w:sz w:val="32"/>
          <w:szCs w:val="32"/>
        </w:rPr>
      </w:pPr>
      <w:bookmarkStart w:id="72" w:name="_Toc2209"/>
      <w:bookmarkStart w:id="73" w:name="_Toc32611"/>
      <w:r>
        <w:rPr>
          <w:rFonts w:hint="eastAsia" w:ascii="仿宋_GB2312" w:hAnsi="仿宋_GB2312" w:eastAsia="仿宋_GB2312" w:cs="仿宋_GB2312"/>
          <w:b w:val="0"/>
          <w:bCs w:val="0"/>
          <w:kern w:val="2"/>
          <w:sz w:val="32"/>
          <w:szCs w:val="32"/>
        </w:rPr>
        <w:t>3.产出时效</w:t>
      </w:r>
      <w:bookmarkEnd w:id="72"/>
      <w:bookmarkEnd w:id="73"/>
    </w:p>
    <w:p>
      <w:pPr>
        <w:spacing w:line="580" w:lineRule="exact"/>
        <w:ind w:firstLine="640" w:firstLineChars="200"/>
        <w:rPr>
          <w:rFonts w:hint="eastAsia" w:ascii="仿宋_GB2312" w:hAnsi="仿宋_GB2312" w:cs="仿宋_GB2312"/>
          <w:sz w:val="32"/>
          <w:szCs w:val="32"/>
          <w:lang w:val="en-US" w:eastAsia="zh-CN"/>
        </w:rPr>
      </w:pPr>
      <w:r>
        <w:rPr>
          <w:rFonts w:hint="eastAsia" w:ascii="仿宋_GB2312" w:hAnsi="仿宋_GB2312" w:eastAsia="仿宋_GB2312" w:cs="仿宋_GB2312"/>
          <w:sz w:val="32"/>
          <w:szCs w:val="32"/>
          <w:lang w:eastAsia="zh-CN"/>
        </w:rPr>
        <w:t>该项目合同约定的工期为</w:t>
      </w:r>
      <w:r>
        <w:rPr>
          <w:rFonts w:hint="eastAsia" w:ascii="仿宋_GB2312" w:hAnsi="仿宋_GB2312" w:eastAsia="仿宋_GB2312" w:cs="仿宋_GB2312"/>
          <w:sz w:val="32"/>
          <w:szCs w:val="32"/>
          <w:lang w:val="en-US" w:eastAsia="zh-CN"/>
        </w:rPr>
        <w:t>20</w:t>
      </w:r>
      <w:r>
        <w:rPr>
          <w:rFonts w:hint="eastAsia" w:ascii="仿宋_GB2312" w:hAnsi="仿宋_GB2312" w:cs="仿宋_GB2312"/>
          <w:sz w:val="32"/>
          <w:szCs w:val="32"/>
          <w:lang w:val="en-US" w:eastAsia="zh-CN"/>
        </w:rPr>
        <w:t>19</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30日</w:t>
      </w:r>
      <w:r>
        <w:rPr>
          <w:rFonts w:hint="eastAsia" w:ascii="仿宋_GB2312" w:hAnsi="仿宋_GB2312" w:eastAsia="仿宋_GB2312" w:cs="仿宋_GB2312"/>
          <w:sz w:val="32"/>
          <w:szCs w:val="32"/>
          <w:lang w:val="en-US" w:eastAsia="zh-CN"/>
        </w:rPr>
        <w:t>至202</w:t>
      </w:r>
      <w:r>
        <w:rPr>
          <w:rFonts w:hint="eastAsia" w:ascii="仿宋_GB2312" w:hAnsi="仿宋_GB2312" w:cs="仿宋_GB2312"/>
          <w:sz w:val="32"/>
          <w:szCs w:val="32"/>
          <w:lang w:val="en-US" w:eastAsia="zh-CN"/>
        </w:rPr>
        <w:t>0</w:t>
      </w:r>
      <w:r>
        <w:rPr>
          <w:rFonts w:hint="eastAsia" w:ascii="仿宋_GB2312" w:hAnsi="仿宋_GB2312" w:eastAsia="仿宋_GB2312" w:cs="仿宋_GB2312"/>
          <w:sz w:val="32"/>
          <w:szCs w:val="32"/>
          <w:lang w:val="en-US" w:eastAsia="zh-CN"/>
        </w:rPr>
        <w:t>年1</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15</w:t>
      </w:r>
      <w:r>
        <w:rPr>
          <w:rFonts w:hint="eastAsia" w:ascii="仿宋_GB2312" w:hAnsi="仿宋_GB2312" w:eastAsia="仿宋_GB2312" w:cs="仿宋_GB2312"/>
          <w:sz w:val="32"/>
          <w:szCs w:val="32"/>
          <w:lang w:val="en-US" w:eastAsia="zh-CN"/>
        </w:rPr>
        <w:t>日。截至</w:t>
      </w:r>
      <w:r>
        <w:rPr>
          <w:rFonts w:hint="eastAsia" w:ascii="仿宋_GB2312" w:hAnsi="仿宋_GB2312" w:cs="仿宋_GB2312"/>
          <w:sz w:val="32"/>
          <w:szCs w:val="32"/>
          <w:lang w:val="en-US" w:eastAsia="zh-CN"/>
        </w:rPr>
        <w:t>评价日，该项目还未完工。</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0</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0.00</w:t>
      </w:r>
      <w:r>
        <w:rPr>
          <w:rFonts w:hint="eastAsia" w:ascii="仿宋_GB2312" w:hAnsi="仿宋_GB2312" w:eastAsia="仿宋_GB2312" w:cs="仿宋_GB2312"/>
          <w:sz w:val="32"/>
          <w:szCs w:val="32"/>
        </w:rPr>
        <w:t>%。</w:t>
      </w:r>
    </w:p>
    <w:p>
      <w:pPr>
        <w:pStyle w:val="2"/>
        <w:keepNext w:val="0"/>
        <w:keepLines w:val="0"/>
        <w:spacing w:before="0" w:after="0" w:line="580" w:lineRule="exact"/>
        <w:ind w:firstLine="640" w:firstLineChars="200"/>
        <w:jc w:val="left"/>
        <w:rPr>
          <w:rFonts w:hint="eastAsia" w:ascii="仿宋_GB2312" w:hAnsi="仿宋_GB2312" w:eastAsia="仿宋_GB2312" w:cs="仿宋_GB2312"/>
          <w:b w:val="0"/>
          <w:bCs w:val="0"/>
          <w:kern w:val="2"/>
          <w:sz w:val="32"/>
          <w:szCs w:val="32"/>
        </w:rPr>
      </w:pPr>
      <w:bookmarkStart w:id="74" w:name="_Toc17573"/>
      <w:bookmarkStart w:id="75" w:name="_Toc22429"/>
      <w:r>
        <w:rPr>
          <w:rFonts w:hint="eastAsia" w:ascii="仿宋_GB2312" w:hAnsi="仿宋_GB2312" w:eastAsia="仿宋_GB2312" w:cs="仿宋_GB2312"/>
          <w:b w:val="0"/>
          <w:bCs w:val="0"/>
          <w:kern w:val="2"/>
          <w:sz w:val="32"/>
          <w:szCs w:val="32"/>
        </w:rPr>
        <w:t>4.产出成本</w:t>
      </w:r>
      <w:bookmarkEnd w:id="74"/>
      <w:bookmarkEnd w:id="75"/>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Cs/>
          <w:sz w:val="32"/>
          <w:szCs w:val="32"/>
          <w:lang w:val="en-US" w:eastAsia="zh-CN"/>
        </w:rPr>
        <w:t>该项目</w:t>
      </w:r>
      <w:r>
        <w:rPr>
          <w:rFonts w:hint="eastAsia" w:ascii="仿宋_GB2312" w:hAnsi="仿宋_GB2312" w:cs="仿宋_GB2312"/>
          <w:bCs/>
          <w:sz w:val="32"/>
          <w:szCs w:val="32"/>
          <w:lang w:val="en-US" w:eastAsia="zh-CN"/>
        </w:rPr>
        <w:t>计划</w:t>
      </w:r>
      <w:r>
        <w:rPr>
          <w:rFonts w:hint="eastAsia" w:ascii="仿宋_GB2312" w:hAnsi="仿宋_GB2312" w:eastAsia="仿宋_GB2312" w:cs="仿宋_GB2312"/>
          <w:bCs/>
          <w:sz w:val="32"/>
          <w:szCs w:val="32"/>
          <w:lang w:val="en-US" w:eastAsia="zh-CN"/>
        </w:rPr>
        <w:t>总投资</w:t>
      </w:r>
      <w:r>
        <w:rPr>
          <w:rFonts w:hint="eastAsia" w:ascii="仿宋_GB2312" w:hAnsi="仿宋_GB2312" w:cs="仿宋_GB2312"/>
          <w:bCs/>
          <w:sz w:val="32"/>
          <w:szCs w:val="32"/>
          <w:lang w:val="en-US" w:eastAsia="zh-CN"/>
        </w:rPr>
        <w:t>25710.66</w:t>
      </w:r>
      <w:r>
        <w:rPr>
          <w:rFonts w:hint="eastAsia" w:ascii="仿宋_GB2312" w:hAnsi="仿宋_GB2312" w:eastAsia="仿宋_GB2312" w:cs="仿宋_GB2312"/>
          <w:bCs/>
          <w:sz w:val="32"/>
          <w:szCs w:val="32"/>
          <w:lang w:val="en-US" w:eastAsia="zh-CN"/>
        </w:rPr>
        <w:t>万元</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auto"/>
          <w:sz w:val="32"/>
          <w:szCs w:val="32"/>
          <w:lang w:val="en-US" w:eastAsia="zh-CN"/>
        </w:rPr>
        <w:t>实际</w:t>
      </w:r>
      <w:r>
        <w:rPr>
          <w:rFonts w:hint="eastAsia" w:ascii="仿宋_GB2312" w:hAnsi="仿宋_GB2312" w:cs="仿宋_GB2312"/>
          <w:color w:val="auto"/>
          <w:sz w:val="32"/>
          <w:szCs w:val="32"/>
          <w:lang w:val="en-US" w:eastAsia="zh-CN"/>
        </w:rPr>
        <w:t>投资25279.68</w:t>
      </w:r>
      <w:r>
        <w:rPr>
          <w:rFonts w:hint="eastAsia" w:ascii="仿宋_GB2312" w:hAnsi="仿宋_GB2312" w:eastAsia="仿宋_GB2312" w:cs="仿宋_GB2312"/>
          <w:color w:val="auto"/>
          <w:sz w:val="32"/>
          <w:szCs w:val="32"/>
          <w:lang w:val="en-US" w:eastAsia="zh-CN"/>
        </w:rPr>
        <w:t>万元</w:t>
      </w:r>
      <w:r>
        <w:rPr>
          <w:rFonts w:hint="eastAsia" w:ascii="仿宋_GB2312" w:hAnsi="仿宋_GB2312" w:eastAsia="仿宋_GB2312" w:cs="仿宋_GB2312"/>
          <w:sz w:val="32"/>
          <w:szCs w:val="32"/>
          <w:lang w:val="en-US" w:eastAsia="zh-CN"/>
        </w:rPr>
        <w:t>（因还未竣工结算，故本次评价以合同金额为准），成本节约率</w:t>
      </w:r>
      <w:r>
        <w:rPr>
          <w:rFonts w:hint="eastAsia" w:ascii="仿宋_GB2312" w:hAnsi="仿宋_GB2312" w:cs="仿宋_GB2312"/>
          <w:sz w:val="32"/>
          <w:szCs w:val="32"/>
          <w:lang w:val="en-US" w:eastAsia="zh-CN"/>
        </w:rPr>
        <w:t>1.68</w:t>
      </w:r>
      <w:r>
        <w:rPr>
          <w:rFonts w:hint="eastAsia" w:ascii="仿宋_GB2312" w:hAnsi="仿宋_GB2312" w:eastAsia="仿宋_GB2312" w:cs="仿宋_GB2312"/>
          <w:sz w:val="32"/>
          <w:szCs w:val="32"/>
          <w:lang w:val="en-US" w:eastAsia="zh-CN"/>
        </w:rPr>
        <w:t>%。</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分，得分率100%。</w:t>
      </w:r>
    </w:p>
    <w:p>
      <w:pPr>
        <w:spacing w:line="580" w:lineRule="exact"/>
        <w:ind w:firstLine="643" w:firstLineChars="200"/>
        <w:rPr>
          <w:rFonts w:hint="eastAsia" w:ascii="仿宋_GB2312" w:hAnsi="仿宋_GB2312" w:eastAsia="仿宋_GB2312" w:cs="仿宋_GB2312"/>
          <w:sz w:val="32"/>
          <w:szCs w:val="32"/>
        </w:rPr>
      </w:pPr>
      <w:r>
        <w:rPr>
          <w:rFonts w:hint="eastAsia" w:ascii="楷体_GB2312" w:hAnsi="宋体" w:eastAsia="楷体_GB2312"/>
          <w:b/>
          <w:sz w:val="32"/>
          <w:szCs w:val="32"/>
        </w:rPr>
        <w:t>（四）</w:t>
      </w:r>
      <w:r>
        <w:rPr>
          <w:rFonts w:ascii="楷体_GB2312" w:hAnsi="宋体" w:eastAsia="楷体_GB2312"/>
          <w:b/>
          <w:sz w:val="32"/>
          <w:szCs w:val="32"/>
        </w:rPr>
        <w:t>效果。</w:t>
      </w:r>
      <w:r>
        <w:rPr>
          <w:rFonts w:hint="eastAsia" w:ascii="仿宋_GB2312" w:hAnsi="仿宋_GB2312" w:eastAsia="仿宋_GB2312" w:cs="仿宋_GB2312"/>
          <w:sz w:val="32"/>
          <w:szCs w:val="32"/>
        </w:rPr>
        <w:t>效果绩效指标满分20分，得分</w:t>
      </w: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rPr>
        <w:t>分，得分率为</w:t>
      </w:r>
      <w:r>
        <w:rPr>
          <w:rFonts w:hint="eastAsia" w:ascii="仿宋_GB2312" w:hAnsi="仿宋_GB2312" w:cs="仿宋_GB2312"/>
          <w:sz w:val="32"/>
          <w:szCs w:val="32"/>
          <w:lang w:val="en-US" w:eastAsia="zh-CN"/>
        </w:rPr>
        <w:t>80</w:t>
      </w:r>
      <w:r>
        <w:rPr>
          <w:rFonts w:hint="eastAsia" w:ascii="仿宋_GB2312" w:hAnsi="仿宋_GB2312" w:eastAsia="仿宋_GB2312" w:cs="仿宋_GB2312"/>
          <w:sz w:val="32"/>
          <w:szCs w:val="32"/>
        </w:rPr>
        <w:t>%。</w:t>
      </w:r>
    </w:p>
    <w:p>
      <w:pPr>
        <w:spacing w:line="58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1.项目效益</w:t>
      </w:r>
    </w:p>
    <w:p>
      <w:pPr>
        <w:spacing w:line="580" w:lineRule="exact"/>
        <w:ind w:firstLine="640" w:firstLineChars="200"/>
        <w:rPr>
          <w:rFonts w:hint="eastAsia" w:ascii="仿宋_GB2312" w:hAnsi="仿宋"/>
          <w:sz w:val="32"/>
          <w:szCs w:val="32"/>
          <w:lang w:val="en-US" w:eastAsia="zh-CN"/>
        </w:rPr>
      </w:pPr>
      <w:r>
        <w:rPr>
          <w:rFonts w:hint="eastAsia" w:ascii="仿宋_GB2312" w:hAnsi="仿宋"/>
          <w:sz w:val="32"/>
          <w:szCs w:val="32"/>
        </w:rPr>
        <w:t>从总体情况看，</w:t>
      </w:r>
      <w:r>
        <w:rPr>
          <w:rFonts w:hint="eastAsia" w:ascii="仿宋_GB2312" w:hAnsi="仿宋"/>
          <w:sz w:val="32"/>
          <w:szCs w:val="32"/>
          <w:lang w:eastAsia="zh-CN"/>
        </w:rPr>
        <w:t>徐水区交通运输局</w:t>
      </w:r>
      <w:r>
        <w:rPr>
          <w:rFonts w:hint="eastAsia"/>
          <w:sz w:val="32"/>
          <w:szCs w:val="32"/>
          <w:lang w:eastAsia="zh-CN"/>
        </w:rPr>
        <w:t>积极组织项目实施，</w:t>
      </w:r>
      <w:r>
        <w:rPr>
          <w:rFonts w:hint="eastAsia" w:ascii="仿宋_GB2312" w:hAnsi="仿宋"/>
          <w:sz w:val="32"/>
          <w:szCs w:val="32"/>
        </w:rPr>
        <w:t>将该项目作为重要的民生任务来抓</w:t>
      </w:r>
      <w:r>
        <w:rPr>
          <w:rFonts w:hint="eastAsia" w:ascii="仿宋_GB2312" w:hAnsi="仿宋"/>
          <w:sz w:val="32"/>
          <w:szCs w:val="32"/>
          <w:lang w:eastAsia="zh-CN"/>
        </w:rPr>
        <w:t>，施工期间多次开展推进会，督促项目实施。</w:t>
      </w:r>
      <w:bookmarkStart w:id="96" w:name="_GoBack"/>
      <w:bookmarkEnd w:id="96"/>
      <w:r>
        <w:rPr>
          <w:rFonts w:hint="eastAsia" w:ascii="仿宋_GB2312" w:hAnsi="仿宋"/>
          <w:sz w:val="32"/>
          <w:szCs w:val="32"/>
          <w:lang w:eastAsia="zh-CN"/>
        </w:rPr>
        <w:t>截至目前</w:t>
      </w:r>
      <w:r>
        <w:rPr>
          <w:rFonts w:hint="eastAsia" w:ascii="仿宋_GB2312" w:hAnsi="仿宋"/>
          <w:sz w:val="32"/>
          <w:szCs w:val="32"/>
          <w:highlight w:val="none"/>
          <w:lang w:eastAsia="zh-CN"/>
        </w:rPr>
        <w:t>，已完成道路</w:t>
      </w:r>
      <w:r>
        <w:rPr>
          <w:rFonts w:hint="eastAsia" w:ascii="仿宋_GB2312" w:hAnsi="仿宋"/>
          <w:sz w:val="32"/>
          <w:szCs w:val="32"/>
          <w:highlight w:val="none"/>
          <w:lang w:val="en-US" w:eastAsia="zh-CN"/>
        </w:rPr>
        <w:t>132.04公里，完工进度88.58%。</w:t>
      </w:r>
      <w:r>
        <w:rPr>
          <w:rFonts w:hint="eastAsia" w:ascii="仿宋_GB2312" w:hAnsi="仿宋"/>
          <w:sz w:val="32"/>
          <w:szCs w:val="32"/>
          <w:lang w:val="en-US" w:eastAsia="zh-CN"/>
        </w:rPr>
        <w:t>该项目的实施，解决了部分村民出行“最后一公里”的问题，改善了相邻各村之间的交通状况，方便百姓出行，为实现区域经济发展的一体化奠定了基础。同时，因该项目部分路段还未完工，项目效益未能充分显现。</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66.67</w:t>
      </w:r>
      <w:r>
        <w:rPr>
          <w:rFonts w:hint="eastAsia" w:ascii="仿宋_GB2312" w:hAnsi="仿宋_GB2312" w:eastAsia="仿宋_GB2312" w:cs="仿宋_GB2312"/>
          <w:sz w:val="32"/>
          <w:szCs w:val="32"/>
        </w:rPr>
        <w:t>%。</w:t>
      </w:r>
    </w:p>
    <w:p>
      <w:pPr>
        <w:spacing w:line="58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2.满意度</w:t>
      </w:r>
    </w:p>
    <w:p>
      <w:pPr>
        <w:spacing w:line="580" w:lineRule="exact"/>
        <w:ind w:firstLine="640"/>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eastAsia="zh-CN"/>
        </w:rPr>
        <w:t>该项目已完成部分基本均已投入使用，通过</w:t>
      </w:r>
      <w:r>
        <w:rPr>
          <w:rFonts w:hint="eastAsia" w:ascii="仿宋_GB2312" w:hAnsi="仿宋_GB2312" w:eastAsia="仿宋_GB2312" w:cs="仿宋_GB2312"/>
          <w:sz w:val="32"/>
          <w:szCs w:val="32"/>
          <w:lang w:eastAsia="zh-CN"/>
        </w:rPr>
        <w:t>向受益</w:t>
      </w:r>
      <w:r>
        <w:rPr>
          <w:rFonts w:hint="eastAsia" w:ascii="仿宋_GB2312" w:hAnsi="仿宋_GB2312" w:cs="仿宋_GB2312"/>
          <w:sz w:val="32"/>
          <w:szCs w:val="32"/>
          <w:lang w:eastAsia="zh-CN"/>
        </w:rPr>
        <w:t>群众</w:t>
      </w:r>
      <w:r>
        <w:rPr>
          <w:rFonts w:hint="eastAsia" w:ascii="仿宋_GB2312" w:hAnsi="仿宋_GB2312" w:eastAsia="仿宋_GB2312" w:cs="仿宋_GB2312"/>
          <w:sz w:val="32"/>
          <w:szCs w:val="32"/>
          <w:lang w:eastAsia="zh-CN"/>
        </w:rPr>
        <w:t>发放调查问卷，满意度为</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rPr>
        <w:t>%。</w:t>
      </w:r>
    </w:p>
    <w:p>
      <w:pPr>
        <w:pStyle w:val="2"/>
        <w:keepNext w:val="0"/>
        <w:keepLines w:val="0"/>
        <w:spacing w:before="0" w:after="0" w:line="580" w:lineRule="exact"/>
        <w:ind w:firstLine="643" w:firstLineChars="200"/>
        <w:jc w:val="left"/>
        <w:rPr>
          <w:rFonts w:eastAsia="黑体"/>
          <w:sz w:val="32"/>
          <w:szCs w:val="32"/>
        </w:rPr>
      </w:pPr>
      <w:bookmarkStart w:id="76" w:name="_Toc2428"/>
      <w:r>
        <w:rPr>
          <w:rFonts w:eastAsia="黑体"/>
          <w:sz w:val="32"/>
          <w:szCs w:val="32"/>
        </w:rPr>
        <w:t>五、存在问题</w:t>
      </w:r>
      <w:bookmarkEnd w:id="62"/>
      <w:bookmarkEnd w:id="63"/>
      <w:bookmarkEnd w:id="64"/>
      <w:bookmarkEnd w:id="65"/>
      <w:bookmarkEnd w:id="76"/>
      <w:bookmarkStart w:id="77" w:name="_Toc38447897"/>
      <w:bookmarkStart w:id="78" w:name="_Toc38452641"/>
    </w:p>
    <w:p>
      <w:pPr>
        <w:pStyle w:val="3"/>
        <w:spacing w:before="0" w:after="0" w:line="580" w:lineRule="exact"/>
        <w:ind w:firstLine="643" w:firstLineChars="200"/>
        <w:rPr>
          <w:rFonts w:hint="eastAsia" w:ascii="楷体_GB2312" w:hAnsi="宋体" w:eastAsia="楷体_GB2312"/>
          <w:bCs w:val="0"/>
          <w:lang w:eastAsia="zh-CN"/>
        </w:rPr>
      </w:pPr>
      <w:bookmarkStart w:id="79" w:name="_Toc9233"/>
      <w:bookmarkStart w:id="80" w:name="_Toc19057"/>
      <w:bookmarkStart w:id="81" w:name="_Toc3251"/>
      <w:bookmarkStart w:id="82" w:name="_Toc41137195"/>
      <w:r>
        <w:rPr>
          <w:rFonts w:ascii="楷体_GB2312" w:hAnsi="宋体" w:eastAsia="楷体_GB2312"/>
          <w:bCs w:val="0"/>
        </w:rPr>
        <w:t>（一）</w:t>
      </w:r>
      <w:r>
        <w:rPr>
          <w:rFonts w:hint="eastAsia" w:ascii="楷体_GB2312" w:hAnsi="宋体" w:eastAsia="楷体_GB2312"/>
          <w:bCs w:val="0"/>
          <w:lang w:eastAsia="zh-CN"/>
        </w:rPr>
        <w:t>预算管理方面</w:t>
      </w:r>
      <w:bookmarkEnd w:id="79"/>
    </w:p>
    <w:bookmarkEnd w:id="77"/>
    <w:bookmarkEnd w:id="78"/>
    <w:bookmarkEnd w:id="80"/>
    <w:bookmarkEnd w:id="81"/>
    <w:bookmarkEnd w:id="82"/>
    <w:p>
      <w:pPr>
        <w:spacing w:line="580" w:lineRule="exact"/>
        <w:ind w:firstLine="640" w:firstLineChars="200"/>
        <w:textAlignment w:val="baseline"/>
        <w:rPr>
          <w:rFonts w:hint="eastAsia" w:eastAsia="仿宋_GB2312"/>
          <w:sz w:val="32"/>
          <w:szCs w:val="32"/>
          <w:u w:color="000000"/>
          <w:lang w:eastAsia="zh-CN"/>
        </w:rPr>
      </w:pPr>
      <w:bookmarkStart w:id="83" w:name="_Toc17895"/>
      <w:bookmarkStart w:id="84" w:name="_Toc38452642"/>
      <w:bookmarkStart w:id="85" w:name="_Toc38447898"/>
      <w:bookmarkStart w:id="86" w:name="_Toc22697"/>
      <w:bookmarkStart w:id="87" w:name="_Toc41137197"/>
      <w:r>
        <w:rPr>
          <w:sz w:val="32"/>
          <w:szCs w:val="32"/>
          <w:u w:color="000000"/>
        </w:rPr>
        <w:t>绩效指标设置不够细化</w:t>
      </w:r>
      <w:r>
        <w:rPr>
          <w:rFonts w:hint="eastAsia"/>
          <w:sz w:val="32"/>
          <w:szCs w:val="32"/>
          <w:u w:color="000000"/>
          <w:lang w:eastAsia="zh-CN"/>
        </w:rPr>
        <w:t>。</w:t>
      </w:r>
      <w:r>
        <w:rPr>
          <w:sz w:val="32"/>
          <w:szCs w:val="32"/>
          <w:u w:color="000000"/>
        </w:rPr>
        <w:t>该项目未设置</w:t>
      </w:r>
      <w:r>
        <w:rPr>
          <w:rFonts w:hint="eastAsia"/>
          <w:sz w:val="32"/>
          <w:szCs w:val="32"/>
          <w:u w:color="000000"/>
          <w:lang w:eastAsia="zh-CN"/>
        </w:rPr>
        <w:t>产出时效指标，如项目完工时间、验收时间等，不能反映项目产出的时效性。</w:t>
      </w:r>
    </w:p>
    <w:p>
      <w:pPr>
        <w:spacing w:line="580" w:lineRule="exact"/>
        <w:ind w:firstLine="643" w:firstLineChars="200"/>
        <w:textAlignment w:val="baseline"/>
        <w:rPr>
          <w:rFonts w:ascii="楷体_GB2312" w:hAnsi="宋体" w:eastAsia="楷体_GB2312"/>
          <w:b/>
          <w:sz w:val="32"/>
          <w:szCs w:val="32"/>
        </w:rPr>
      </w:pPr>
      <w:r>
        <w:rPr>
          <w:rFonts w:ascii="楷体_GB2312" w:hAnsi="宋体" w:eastAsia="楷体_GB2312"/>
          <w:b/>
          <w:sz w:val="32"/>
          <w:szCs w:val="32"/>
        </w:rPr>
        <w:t>（二）项目管理方</w:t>
      </w:r>
      <w:bookmarkEnd w:id="83"/>
      <w:r>
        <w:rPr>
          <w:rFonts w:hint="eastAsia" w:ascii="楷体_GB2312" w:hAnsi="宋体" w:eastAsia="楷体_GB2312"/>
          <w:b/>
          <w:sz w:val="32"/>
          <w:szCs w:val="32"/>
        </w:rPr>
        <w:t>面</w:t>
      </w:r>
    </w:p>
    <w:bookmarkEnd w:id="84"/>
    <w:bookmarkEnd w:id="85"/>
    <w:bookmarkEnd w:id="86"/>
    <w:bookmarkEnd w:id="87"/>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textAlignment w:val="auto"/>
        <w:rPr>
          <w:rFonts w:hint="default" w:cs="Times New Roman"/>
          <w:b w:val="0"/>
          <w:bCs w:val="0"/>
          <w:kern w:val="2"/>
          <w:sz w:val="32"/>
          <w:szCs w:val="32"/>
          <w:lang w:val="en-US" w:eastAsia="zh-CN" w:bidi="ar-SA"/>
        </w:rPr>
      </w:pPr>
      <w:bookmarkStart w:id="88" w:name="_Toc4794"/>
      <w:bookmarkStart w:id="89" w:name="_Toc38452643"/>
      <w:bookmarkStart w:id="90" w:name="_Toc41137199"/>
      <w:bookmarkStart w:id="91" w:name="_Toc38447899"/>
      <w:r>
        <w:rPr>
          <w:rFonts w:hint="eastAsia" w:ascii="仿宋_GB2312" w:hAnsi="仿宋" w:cs="仿宋"/>
          <w:b w:val="0"/>
          <w:bCs w:val="0"/>
          <w:sz w:val="32"/>
          <w:szCs w:val="32"/>
          <w:lang w:val="en-US" w:eastAsia="zh-CN"/>
        </w:rPr>
        <w:t>1.项目</w:t>
      </w:r>
      <w:r>
        <w:rPr>
          <w:rFonts w:hint="eastAsia" w:cs="Times New Roman"/>
          <w:b w:val="0"/>
          <w:bCs w:val="0"/>
          <w:kern w:val="2"/>
          <w:sz w:val="32"/>
          <w:szCs w:val="32"/>
          <w:lang w:val="en-US" w:eastAsia="zh-CN" w:bidi="ar-SA"/>
        </w:rPr>
        <w:t>前期决策不精准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cs="Times New Roman"/>
          <w:b w:val="0"/>
          <w:bCs w:val="0"/>
          <w:color w:val="auto"/>
          <w:kern w:val="2"/>
          <w:sz w:val="32"/>
          <w:szCs w:val="32"/>
          <w:lang w:val="en-US" w:eastAsia="zh-CN" w:bidi="ar-SA"/>
        </w:rPr>
        <w:t>该项目三标段所涉及的2</w:t>
      </w:r>
      <w:r>
        <w:rPr>
          <w:rFonts w:hint="eastAsia" w:ascii="仿宋_GB2312" w:hAnsi="仿宋_GB2312" w:eastAsia="仿宋_GB2312" w:cs="仿宋_GB2312"/>
          <w:color w:val="auto"/>
          <w:sz w:val="32"/>
          <w:szCs w:val="32"/>
          <w:lang w:val="en-US" w:eastAsia="zh-CN"/>
        </w:rPr>
        <w:t>条穿越乡镇道路</w:t>
      </w:r>
      <w:r>
        <w:rPr>
          <w:rFonts w:hint="eastAsia" w:ascii="仿宋_GB2312" w:hAnsi="仿宋_GB2312" w:cs="仿宋_GB2312"/>
          <w:color w:val="auto"/>
          <w:sz w:val="32"/>
          <w:szCs w:val="32"/>
          <w:lang w:val="en-US" w:eastAsia="zh-CN"/>
        </w:rPr>
        <w:t>因部分路段需通过南水北调保护区而未实施。部分道路因受到雄安调蓄库、雄安建材运输通道等省重点项目的制约，还未实施</w:t>
      </w:r>
      <w:r>
        <w:rPr>
          <w:rFonts w:hint="eastAsia" w:ascii="仿宋_GB2312" w:hAnsi="仿宋_GB2312" w:cs="仿宋_GB2312"/>
          <w:sz w:val="32"/>
          <w:szCs w:val="32"/>
          <w:lang w:val="en-US" w:eastAsia="zh-CN"/>
        </w:rPr>
        <w:t>。以上问题，在项目前期勘察设计时并未提出，导致项目实施进度缓慢，影响资金使用效益。</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 w:cs="仿宋"/>
          <w:b w:val="0"/>
          <w:bCs w:val="0"/>
          <w:sz w:val="32"/>
          <w:szCs w:val="32"/>
          <w:lang w:val="en-US" w:eastAsia="zh-CN"/>
        </w:rPr>
      </w:pPr>
      <w:r>
        <w:rPr>
          <w:rFonts w:hint="eastAsia" w:ascii="仿宋_GB2312" w:hAnsi="仿宋" w:cs="仿宋"/>
          <w:b w:val="0"/>
          <w:bCs w:val="0"/>
          <w:sz w:val="32"/>
          <w:szCs w:val="32"/>
          <w:lang w:val="en-US" w:eastAsia="zh-CN"/>
        </w:rPr>
        <w:t>2.项目实施进度较慢，时效性较差</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default" w:ascii="仿宋_GB2312" w:hAnsi="仿宋" w:cs="仿宋"/>
          <w:b w:val="0"/>
          <w:bCs w:val="0"/>
          <w:sz w:val="32"/>
          <w:szCs w:val="32"/>
          <w:lang w:val="en-US" w:eastAsia="zh-CN"/>
        </w:rPr>
      </w:pPr>
      <w:r>
        <w:rPr>
          <w:rFonts w:hint="eastAsia" w:ascii="仿宋_GB2312" w:hAnsi="仿宋" w:cs="仿宋"/>
          <w:b w:val="0"/>
          <w:bCs w:val="0"/>
          <w:sz w:val="32"/>
          <w:szCs w:val="32"/>
          <w:lang w:val="en-US" w:eastAsia="zh-CN"/>
        </w:rPr>
        <w:t xml:space="preserve">    该项目合同约定的工期为2019年6月30日至2020年11月15日。截至评价日，该项目还未完成，项目实施进度较慢。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 w:cs="仿宋"/>
          <w:b w:val="0"/>
          <w:bCs w:val="0"/>
          <w:sz w:val="32"/>
          <w:szCs w:val="32"/>
          <w:lang w:val="en-US" w:eastAsia="zh-CN"/>
        </w:rPr>
      </w:pPr>
      <w:r>
        <w:rPr>
          <w:rFonts w:hint="eastAsia" w:ascii="仿宋_GB2312" w:hAnsi="仿宋" w:cs="仿宋"/>
          <w:b w:val="0"/>
          <w:bCs w:val="0"/>
          <w:sz w:val="32"/>
          <w:szCs w:val="32"/>
          <w:lang w:val="en-US" w:eastAsia="zh-CN"/>
        </w:rPr>
        <w:t>3.项目实施方案制定不精细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textAlignment w:val="auto"/>
        <w:rPr>
          <w:rFonts w:hint="default" w:ascii="仿宋_GB2312" w:hAnsi="仿宋" w:cs="仿宋"/>
          <w:b w:val="0"/>
          <w:bCs w:val="0"/>
          <w:sz w:val="32"/>
          <w:szCs w:val="32"/>
          <w:lang w:val="en-US" w:eastAsia="zh-CN"/>
        </w:rPr>
      </w:pPr>
      <w:r>
        <w:rPr>
          <w:rFonts w:hint="eastAsia" w:ascii="仿宋_GB2312" w:hAnsi="仿宋" w:cs="仿宋"/>
          <w:b w:val="0"/>
          <w:bCs w:val="0"/>
          <w:sz w:val="32"/>
          <w:szCs w:val="32"/>
          <w:lang w:val="en-US" w:eastAsia="zh-CN"/>
        </w:rPr>
        <w:t>该项目的实施方案主要是对项目牵头部门进行了明确，但未明确项目完工时间、竣工结算时间、验收时间等项目实施的重要时间节点，不能有效控制项目实施进度，不利于提高项目管理效率。</w:t>
      </w:r>
    </w:p>
    <w:p>
      <w:pPr>
        <w:pStyle w:val="2"/>
        <w:keepNext w:val="0"/>
        <w:keepLines w:val="0"/>
        <w:spacing w:before="0" w:after="0" w:line="580" w:lineRule="exact"/>
        <w:ind w:firstLine="643" w:firstLineChars="200"/>
        <w:jc w:val="left"/>
        <w:rPr>
          <w:rFonts w:eastAsia="黑体"/>
          <w:sz w:val="32"/>
          <w:szCs w:val="32"/>
        </w:rPr>
      </w:pPr>
      <w:bookmarkStart w:id="92" w:name="_Toc25653"/>
      <w:r>
        <w:rPr>
          <w:rFonts w:eastAsia="黑体"/>
          <w:sz w:val="32"/>
          <w:szCs w:val="32"/>
        </w:rPr>
        <w:t>六、有关建议</w:t>
      </w:r>
      <w:bookmarkEnd w:id="88"/>
      <w:bookmarkEnd w:id="89"/>
      <w:bookmarkEnd w:id="90"/>
      <w:bookmarkEnd w:id="91"/>
      <w:bookmarkEnd w:id="92"/>
    </w:p>
    <w:p>
      <w:pPr>
        <w:spacing w:line="580" w:lineRule="exact"/>
        <w:rPr>
          <w:sz w:val="32"/>
          <w:szCs w:val="32"/>
        </w:rPr>
      </w:pPr>
      <w:r>
        <w:rPr>
          <w:sz w:val="32"/>
          <w:szCs w:val="32"/>
        </w:rPr>
        <w:t xml:space="preserve">  </w:t>
      </w:r>
      <w:r>
        <w:rPr>
          <w:rFonts w:hint="eastAsia"/>
          <w:sz w:val="32"/>
          <w:szCs w:val="32"/>
        </w:rPr>
        <w:t xml:space="preserve">  </w:t>
      </w:r>
      <w:r>
        <w:rPr>
          <w:sz w:val="32"/>
          <w:szCs w:val="32"/>
        </w:rPr>
        <w:t>针对上述发现的问题，为进一步提升项目单位今后的</w:t>
      </w:r>
      <w:r>
        <w:rPr>
          <w:rFonts w:hint="eastAsia"/>
          <w:sz w:val="32"/>
          <w:szCs w:val="32"/>
        </w:rPr>
        <w:t>预算和</w:t>
      </w:r>
      <w:r>
        <w:rPr>
          <w:sz w:val="32"/>
          <w:szCs w:val="32"/>
        </w:rPr>
        <w:t>项目管理水平，提出以下建议：</w:t>
      </w:r>
    </w:p>
    <w:p>
      <w:pPr>
        <w:pStyle w:val="3"/>
        <w:numPr>
          <w:ilvl w:val="0"/>
          <w:numId w:val="2"/>
        </w:numPr>
        <w:spacing w:before="0" w:after="0" w:line="580" w:lineRule="exact"/>
        <w:ind w:firstLine="643" w:firstLineChars="200"/>
        <w:rPr>
          <w:rFonts w:hint="eastAsia" w:ascii="楷体_GB2312" w:hAnsi="宋体" w:eastAsia="楷体_GB2312"/>
          <w:bCs w:val="0"/>
        </w:rPr>
      </w:pPr>
      <w:bookmarkStart w:id="93" w:name="_Toc21131"/>
      <w:bookmarkStart w:id="94" w:name="_Toc13711"/>
      <w:r>
        <w:rPr>
          <w:rFonts w:hint="eastAsia" w:ascii="楷体_GB2312" w:hAnsi="宋体" w:eastAsia="楷体_GB2312"/>
          <w:bCs w:val="0"/>
          <w:lang w:eastAsia="zh-CN"/>
        </w:rPr>
        <w:t>预算</w:t>
      </w:r>
      <w:r>
        <w:rPr>
          <w:rFonts w:hint="eastAsia" w:ascii="楷体_GB2312" w:hAnsi="宋体" w:eastAsia="楷体_GB2312"/>
          <w:bCs w:val="0"/>
        </w:rPr>
        <w:t>管理方面</w:t>
      </w:r>
      <w:bookmarkEnd w:id="93"/>
    </w:p>
    <w:p>
      <w:pPr>
        <w:numPr>
          <w:ilvl w:val="0"/>
          <w:numId w:val="0"/>
        </w:numPr>
        <w:spacing w:line="580" w:lineRule="exact"/>
        <w:ind w:firstLine="640" w:firstLineChars="200"/>
        <w:textAlignment w:val="baseline"/>
        <w:rPr>
          <w:sz w:val="32"/>
          <w:szCs w:val="32"/>
          <w:u w:color="000000"/>
        </w:rPr>
      </w:pPr>
      <w:r>
        <w:rPr>
          <w:sz w:val="32"/>
          <w:szCs w:val="32"/>
          <w:u w:color="000000"/>
        </w:rPr>
        <w:t>针对绩效指标设置不够细化的问题</w:t>
      </w:r>
      <w:r>
        <w:rPr>
          <w:rFonts w:hint="eastAsia"/>
          <w:sz w:val="32"/>
          <w:szCs w:val="32"/>
          <w:u w:color="000000"/>
          <w:lang w:eastAsia="zh-CN"/>
        </w:rPr>
        <w:t>，</w:t>
      </w:r>
      <w:r>
        <w:rPr>
          <w:sz w:val="32"/>
          <w:szCs w:val="32"/>
          <w:u w:color="000000"/>
        </w:rPr>
        <w:t>建议</w:t>
      </w:r>
      <w:r>
        <w:rPr>
          <w:rFonts w:hint="eastAsia"/>
          <w:sz w:val="32"/>
          <w:szCs w:val="32"/>
          <w:u w:color="000000"/>
          <w:lang w:eastAsia="zh-CN"/>
        </w:rPr>
        <w:t>项目单位</w:t>
      </w:r>
      <w:r>
        <w:rPr>
          <w:sz w:val="32"/>
          <w:szCs w:val="32"/>
          <w:u w:color="000000"/>
        </w:rPr>
        <w:t>在制定绩效指标时充分考虑绩效指标</w:t>
      </w:r>
      <w:r>
        <w:rPr>
          <w:rFonts w:hint="eastAsia"/>
          <w:sz w:val="32"/>
          <w:szCs w:val="32"/>
          <w:u w:color="000000"/>
          <w:lang w:eastAsia="zh-CN"/>
        </w:rPr>
        <w:t>设定的全面性，使设定的绩效指标能够</w:t>
      </w:r>
      <w:r>
        <w:rPr>
          <w:sz w:val="32"/>
          <w:szCs w:val="32"/>
          <w:u w:color="000000"/>
        </w:rPr>
        <w:t>反映</w:t>
      </w:r>
      <w:r>
        <w:rPr>
          <w:rFonts w:hint="eastAsia"/>
          <w:sz w:val="32"/>
          <w:szCs w:val="32"/>
          <w:u w:color="000000"/>
          <w:lang w:eastAsia="zh-CN"/>
        </w:rPr>
        <w:t>项目的产出数量、质量和时效性，</w:t>
      </w:r>
      <w:r>
        <w:rPr>
          <w:sz w:val="32"/>
          <w:szCs w:val="32"/>
          <w:u w:color="000000"/>
        </w:rPr>
        <w:t>充分发挥绩效</w:t>
      </w:r>
      <w:r>
        <w:rPr>
          <w:rFonts w:hint="eastAsia"/>
          <w:sz w:val="32"/>
          <w:szCs w:val="32"/>
          <w:u w:color="000000"/>
          <w:lang w:eastAsia="zh-CN"/>
        </w:rPr>
        <w:t>指标</w:t>
      </w:r>
      <w:r>
        <w:rPr>
          <w:sz w:val="32"/>
          <w:szCs w:val="32"/>
          <w:u w:color="000000"/>
        </w:rPr>
        <w:t>的</w:t>
      </w:r>
      <w:r>
        <w:rPr>
          <w:rFonts w:hint="eastAsia"/>
          <w:sz w:val="32"/>
          <w:szCs w:val="32"/>
          <w:u w:color="000000"/>
        </w:rPr>
        <w:t>指引</w:t>
      </w:r>
      <w:r>
        <w:rPr>
          <w:sz w:val="32"/>
          <w:szCs w:val="32"/>
          <w:u w:color="000000"/>
        </w:rPr>
        <w:t>作用。</w:t>
      </w:r>
    </w:p>
    <w:p>
      <w:pPr>
        <w:pStyle w:val="3"/>
        <w:numPr>
          <w:ilvl w:val="0"/>
          <w:numId w:val="0"/>
        </w:numPr>
        <w:spacing w:before="0" w:after="0" w:line="580" w:lineRule="exact"/>
        <w:ind w:firstLine="643" w:firstLineChars="200"/>
        <w:rPr>
          <w:rFonts w:hint="eastAsia" w:ascii="楷体_GB2312" w:hAnsi="宋体" w:eastAsia="楷体_GB2312"/>
          <w:bCs w:val="0"/>
          <w:lang w:eastAsia="zh-CN"/>
        </w:rPr>
      </w:pPr>
      <w:bookmarkStart w:id="95" w:name="_Toc8183"/>
      <w:r>
        <w:rPr>
          <w:rFonts w:hint="eastAsia" w:ascii="楷体_GB2312" w:hAnsi="宋体" w:eastAsia="楷体_GB2312"/>
          <w:bCs w:val="0"/>
          <w:lang w:eastAsia="zh-CN"/>
        </w:rPr>
        <w:t>（二）项目管理方面</w:t>
      </w:r>
      <w:bookmarkEnd w:id="9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cs="Times New Roman"/>
          <w:b w:val="0"/>
          <w:bCs w:val="0"/>
          <w:kern w:val="2"/>
          <w:sz w:val="32"/>
          <w:szCs w:val="32"/>
          <w:lang w:val="en-US" w:eastAsia="zh-CN" w:bidi="ar-SA"/>
        </w:rPr>
      </w:pPr>
      <w:r>
        <w:rPr>
          <w:rFonts w:hint="eastAsia"/>
          <w:sz w:val="32"/>
          <w:szCs w:val="32"/>
          <w:u w:color="000000"/>
          <w:lang w:val="en-US" w:eastAsia="zh-CN"/>
        </w:rPr>
        <w:t>1.</w:t>
      </w:r>
      <w:r>
        <w:rPr>
          <w:rFonts w:hint="eastAsia" w:cs="Times New Roman"/>
          <w:b w:val="0"/>
          <w:bCs w:val="0"/>
          <w:kern w:val="2"/>
          <w:sz w:val="32"/>
          <w:szCs w:val="32"/>
          <w:lang w:val="en-US" w:eastAsia="zh-CN" w:bidi="ar-SA"/>
        </w:rPr>
        <w:t>针对项目前期决策不精准的问题，一是因南水北调工程不能实施的部分，建设单位</w:t>
      </w:r>
      <w:r>
        <w:rPr>
          <w:rFonts w:hint="eastAsia" w:ascii="仿宋_GB2312" w:hAnsi="仿宋_GB2312" w:cs="仿宋_GB2312"/>
          <w:sz w:val="32"/>
          <w:szCs w:val="32"/>
          <w:lang w:val="en-US" w:eastAsia="zh-CN"/>
        </w:rPr>
        <w:t>应</w:t>
      </w:r>
      <w:r>
        <w:rPr>
          <w:rFonts w:hint="eastAsia" w:cs="Times New Roman"/>
          <w:b w:val="0"/>
          <w:bCs w:val="0"/>
          <w:kern w:val="2"/>
          <w:sz w:val="32"/>
          <w:szCs w:val="32"/>
          <w:lang w:val="en-US" w:eastAsia="zh-CN" w:bidi="ar-SA"/>
        </w:rPr>
        <w:t>尽快对接南水北调相关单位，尽早确定下一步的工作安排。二是因</w:t>
      </w:r>
      <w:r>
        <w:rPr>
          <w:rFonts w:hint="eastAsia" w:ascii="仿宋_GB2312" w:hAnsi="仿宋_GB2312" w:cs="仿宋_GB2312"/>
          <w:sz w:val="32"/>
          <w:szCs w:val="32"/>
          <w:lang w:val="en-US" w:eastAsia="zh-CN"/>
        </w:rPr>
        <w:t>雄安调蓄库、雄安建材运输通道等省重点项目的影响不能实施的部分，建设单位应积极协调有关部门，如确实不能实施的，应尽快履行调整、变更手续。三是在今后的项目实施中，</w:t>
      </w:r>
      <w:r>
        <w:rPr>
          <w:rFonts w:hint="eastAsia" w:ascii="仿宋_GB2312" w:hAnsi="仿宋"/>
          <w:sz w:val="32"/>
          <w:szCs w:val="32"/>
        </w:rPr>
        <w:t>重视前期工作的重要性</w:t>
      </w:r>
      <w:r>
        <w:rPr>
          <w:rFonts w:hint="eastAsia" w:ascii="仿宋_GB2312" w:hAnsi="仿宋_GB2312" w:cs="仿宋_GB2312"/>
          <w:sz w:val="32"/>
          <w:szCs w:val="32"/>
          <w:lang w:val="en-US" w:eastAsia="zh-CN"/>
        </w:rPr>
        <w:t>，</w:t>
      </w:r>
      <w:r>
        <w:rPr>
          <w:rFonts w:hint="eastAsia" w:ascii="仿宋_GB2312" w:hAnsi="仿宋"/>
          <w:sz w:val="32"/>
          <w:szCs w:val="32"/>
        </w:rPr>
        <w:t>相对复杂和难以估计的情况要及时组织专家论证</w:t>
      </w:r>
      <w:r>
        <w:rPr>
          <w:rFonts w:hint="eastAsia" w:ascii="仿宋_GB2312" w:hAnsi="仿宋"/>
          <w:sz w:val="32"/>
          <w:szCs w:val="32"/>
          <w:lang w:eastAsia="zh-CN"/>
        </w:rPr>
        <w:t>，</w:t>
      </w:r>
      <w:r>
        <w:rPr>
          <w:rFonts w:hint="eastAsia" w:ascii="仿宋_GB2312" w:hAnsi="仿宋_GB2312" w:cs="仿宋_GB2312"/>
          <w:sz w:val="32"/>
          <w:szCs w:val="32"/>
          <w:lang w:val="en-US" w:eastAsia="zh-CN"/>
        </w:rPr>
        <w:t>减少后续施工过程中的障碍。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cs="Times New Roman"/>
          <w:b w:val="0"/>
          <w:bCs w:val="0"/>
          <w:kern w:val="2"/>
          <w:sz w:val="32"/>
          <w:szCs w:val="32"/>
          <w:lang w:val="en-US" w:eastAsia="zh-CN" w:bidi="ar-SA"/>
        </w:rPr>
      </w:pPr>
      <w:r>
        <w:rPr>
          <w:rFonts w:hint="eastAsia" w:ascii="仿宋_GB2312" w:hAnsi="仿宋" w:cs="仿宋"/>
          <w:b w:val="0"/>
          <w:bCs w:val="0"/>
          <w:sz w:val="32"/>
          <w:szCs w:val="32"/>
          <w:lang w:val="en-US" w:eastAsia="zh-CN"/>
        </w:rPr>
        <w:t>2.针对项目实施进度慢、时效性差的问题，一是建议建设单位积极协调有关部门完成一、二标段的扫尾工作，及时组织项目验收、工程结算等工作。二是尽快出具第三标段的施工方案或变更方案，加快项目实施进度，实现资金效益。</w:t>
      </w:r>
    </w:p>
    <w:bookmarkEnd w:id="94"/>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 w:cs="仿宋"/>
          <w:b w:val="0"/>
          <w:bCs w:val="0"/>
          <w:sz w:val="32"/>
          <w:szCs w:val="32"/>
          <w:lang w:val="en-US" w:eastAsia="zh-CN"/>
        </w:rPr>
      </w:pPr>
      <w:r>
        <w:rPr>
          <w:rFonts w:hint="eastAsia" w:ascii="仿宋_GB2312" w:hAnsi="仿宋" w:cs="仿宋"/>
          <w:b w:val="0"/>
          <w:bCs w:val="0"/>
          <w:sz w:val="32"/>
          <w:szCs w:val="32"/>
          <w:lang w:val="en-US" w:eastAsia="zh-CN"/>
        </w:rPr>
        <w:t>3.针对项目实施方案制定不精细的问题，建议完善项目实施方案或者编制项目实施计划，明确项目管理人员、职责范围、项目施工的重要时间节点，加强项目管理，提高项目管理效率。</w:t>
      </w:r>
    </w:p>
    <w:p>
      <w:pPr>
        <w:rPr>
          <w:rFonts w:hint="default"/>
          <w:lang w:val="en-US" w:eastAsia="zh-CN"/>
        </w:rPr>
      </w:pPr>
      <w:r>
        <w:rPr>
          <w:rFonts w:hint="eastAsia"/>
          <w:lang w:val="en-US" w:eastAsia="zh-CN"/>
        </w:rPr>
        <w:t xml:space="preserve">    </w:t>
      </w:r>
    </w:p>
    <w:p>
      <w:pPr>
        <w:spacing w:line="580" w:lineRule="exact"/>
        <w:ind w:firstLine="640" w:firstLineChars="200"/>
        <w:rPr>
          <w:rFonts w:eastAsia="仿宋"/>
          <w:sz w:val="32"/>
          <w:szCs w:val="32"/>
        </w:rPr>
      </w:pPr>
    </w:p>
    <w:p>
      <w:pPr>
        <w:spacing w:line="580" w:lineRule="exact"/>
        <w:ind w:firstLine="640" w:firstLineChars="200"/>
        <w:rPr>
          <w:rFonts w:eastAsia="仿宋"/>
          <w:sz w:val="32"/>
          <w:szCs w:val="32"/>
        </w:rPr>
      </w:pPr>
    </w:p>
    <w:p>
      <w:pPr>
        <w:spacing w:line="580" w:lineRule="exact"/>
        <w:ind w:firstLine="640" w:firstLineChars="200"/>
        <w:rPr>
          <w:rFonts w:eastAsia="仿宋"/>
          <w:sz w:val="32"/>
          <w:szCs w:val="32"/>
        </w:rPr>
      </w:pPr>
    </w:p>
    <w:p>
      <w:pPr>
        <w:spacing w:line="580" w:lineRule="exact"/>
        <w:ind w:firstLine="640" w:firstLineChars="200"/>
        <w:rPr>
          <w:rFonts w:eastAsia="仿宋"/>
          <w:sz w:val="32"/>
          <w:szCs w:val="32"/>
        </w:rPr>
      </w:pPr>
    </w:p>
    <w:p>
      <w:pPr>
        <w:spacing w:line="580" w:lineRule="exact"/>
        <w:ind w:firstLine="640" w:firstLineChars="200"/>
        <w:rPr>
          <w:rFonts w:hint="eastAsia" w:eastAsia="仿宋"/>
          <w:sz w:val="32"/>
          <w:szCs w:val="32"/>
          <w:lang w:eastAsia="zh-CN"/>
        </w:rPr>
      </w:pPr>
      <w:r>
        <w:rPr>
          <w:rFonts w:eastAsia="仿宋"/>
          <w:sz w:val="32"/>
          <w:szCs w:val="32"/>
        </w:rPr>
        <w:t>附件</w:t>
      </w:r>
      <w:bookmarkEnd w:id="66"/>
      <w:r>
        <w:rPr>
          <w:rFonts w:hint="eastAsia" w:eastAsia="仿宋"/>
          <w:sz w:val="32"/>
          <w:szCs w:val="32"/>
          <w:lang w:val="en-US" w:eastAsia="zh-CN"/>
        </w:rPr>
        <w:t>1</w:t>
      </w:r>
      <w:r>
        <w:rPr>
          <w:rFonts w:hint="eastAsia" w:eastAsia="仿宋"/>
          <w:sz w:val="32"/>
          <w:szCs w:val="32"/>
          <w:lang w:eastAsia="zh-CN"/>
        </w:rPr>
        <w:t>：徐水区“四好”农村道路连接工程绩效评价指标体系</w:t>
      </w:r>
    </w:p>
    <w:p>
      <w:pPr>
        <w:spacing w:line="580" w:lineRule="exact"/>
        <w:ind w:firstLine="640" w:firstLineChars="200"/>
        <w:rPr>
          <w:rFonts w:eastAsia="仿宋"/>
          <w:sz w:val="32"/>
          <w:szCs w:val="32"/>
        </w:rPr>
      </w:pPr>
      <w:r>
        <w:rPr>
          <w:rFonts w:hint="eastAsia" w:eastAsia="仿宋"/>
          <w:sz w:val="32"/>
          <w:szCs w:val="32"/>
          <w:lang w:eastAsia="zh-CN"/>
        </w:rPr>
        <w:t>附件</w:t>
      </w:r>
      <w:r>
        <w:rPr>
          <w:rFonts w:hint="eastAsia" w:eastAsia="仿宋"/>
          <w:sz w:val="32"/>
          <w:szCs w:val="32"/>
          <w:lang w:val="en-US" w:eastAsia="zh-CN"/>
        </w:rPr>
        <w:t>2：</w:t>
      </w:r>
      <w:r>
        <w:rPr>
          <w:rFonts w:hint="eastAsia" w:eastAsia="仿宋"/>
          <w:sz w:val="32"/>
          <w:szCs w:val="32"/>
        </w:rPr>
        <w:t>群众满意度调查问卷</w:t>
      </w:r>
    </w:p>
    <w:p>
      <w:pPr>
        <w:spacing w:line="580" w:lineRule="exact"/>
        <w:ind w:firstLine="640" w:firstLineChars="200"/>
        <w:rPr>
          <w:rFonts w:hint="default" w:eastAsia="仿宋"/>
          <w:sz w:val="32"/>
          <w:szCs w:val="32"/>
          <w:lang w:val="en-US" w:eastAsia="zh-CN"/>
        </w:rPr>
      </w:pPr>
      <w:r>
        <w:rPr>
          <w:rFonts w:hint="eastAsia" w:eastAsia="仿宋"/>
          <w:sz w:val="32"/>
          <w:szCs w:val="32"/>
          <w:lang w:val="en-US" w:eastAsia="zh-CN"/>
        </w:rPr>
        <w:t>附件3：部分现场踏勘照片</w:t>
      </w:r>
    </w:p>
    <w:p>
      <w:pPr>
        <w:spacing w:line="580" w:lineRule="exact"/>
        <w:ind w:firstLine="640" w:firstLineChars="200"/>
        <w:rPr>
          <w:rFonts w:hint="default" w:eastAsia="仿宋"/>
          <w:sz w:val="32"/>
          <w:szCs w:val="32"/>
          <w:lang w:val="en-US" w:eastAsia="zh-CN"/>
        </w:rPr>
      </w:pPr>
    </w:p>
    <w:bookmarkEnd w:id="67"/>
    <w:bookmarkEnd w:id="68"/>
    <w:bookmarkEnd w:id="69"/>
    <w:bookmarkEnd w:id="70"/>
    <w:bookmarkEnd w:id="71"/>
    <w:p>
      <w:pPr>
        <w:spacing w:line="580" w:lineRule="exact"/>
        <w:ind w:firstLine="640" w:firstLineChars="200"/>
        <w:rPr>
          <w:sz w:val="32"/>
          <w:szCs w:val="32"/>
        </w:rPr>
      </w:pPr>
    </w:p>
    <w:p>
      <w:pPr>
        <w:spacing w:line="580" w:lineRule="exact"/>
        <w:ind w:firstLine="640" w:firstLineChars="200"/>
        <w:rPr>
          <w:sz w:val="32"/>
          <w:szCs w:val="32"/>
        </w:rPr>
      </w:pPr>
    </w:p>
    <w:p>
      <w:pPr>
        <w:spacing w:line="580" w:lineRule="exact"/>
        <w:ind w:firstLine="640" w:firstLineChars="200"/>
        <w:rPr>
          <w:sz w:val="32"/>
          <w:szCs w:val="32"/>
        </w:rPr>
      </w:pPr>
    </w:p>
    <w:p>
      <w:pPr>
        <w:spacing w:line="580" w:lineRule="exact"/>
        <w:ind w:firstLine="640" w:firstLineChars="200"/>
        <w:rPr>
          <w:sz w:val="32"/>
          <w:szCs w:val="32"/>
        </w:rPr>
      </w:pPr>
      <w:r>
        <w:rPr>
          <w:sz w:val="32"/>
          <w:szCs w:val="32"/>
        </w:rPr>
        <w:t>河北德永会计师事务所         中国注册会计师：</w:t>
      </w:r>
    </w:p>
    <w:p>
      <w:pPr>
        <w:pStyle w:val="8"/>
        <w:spacing w:line="360" w:lineRule="auto"/>
        <w:ind w:right="300" w:rightChars="100" w:firstLine="1600" w:firstLineChars="500"/>
        <w:rPr>
          <w:rFonts w:ascii="Times New Roman" w:hAnsi="Times New Roman" w:cs="Times New Roman"/>
          <w:sz w:val="32"/>
          <w:szCs w:val="32"/>
        </w:rPr>
      </w:pPr>
      <w:r>
        <w:rPr>
          <w:rFonts w:ascii="Times New Roman" w:hAnsi="Times New Roman" w:cs="Times New Roman"/>
          <w:sz w:val="32"/>
          <w:szCs w:val="32"/>
        </w:rPr>
        <w:t xml:space="preserve">有限公司  </w:t>
      </w:r>
    </w:p>
    <w:p>
      <w:pPr>
        <w:pStyle w:val="8"/>
        <w:spacing w:line="660" w:lineRule="exact"/>
        <w:ind w:firstLine="1280" w:firstLineChars="400"/>
        <w:rPr>
          <w:rFonts w:ascii="Times New Roman" w:hAnsi="Times New Roman" w:cs="Times New Roman"/>
          <w:sz w:val="32"/>
          <w:szCs w:val="32"/>
        </w:rPr>
      </w:pPr>
      <w:r>
        <w:rPr>
          <w:rFonts w:ascii="Times New Roman" w:hAnsi="Times New Roman" w:cs="Times New Roman"/>
          <w:sz w:val="32"/>
          <w:szCs w:val="32"/>
        </w:rPr>
        <w:t xml:space="preserve">中国·石家庄              </w:t>
      </w:r>
      <w:r>
        <w:rPr>
          <w:rFonts w:hint="eastAsia" w:ascii="Times New Roman" w:hAnsi="Times New Roman" w:cs="Times New Roman"/>
          <w:sz w:val="32"/>
          <w:szCs w:val="32"/>
          <w:lang w:val="en-US" w:eastAsia="zh-CN"/>
        </w:rPr>
        <w:t xml:space="preserve"> </w:t>
      </w:r>
      <w:r>
        <w:rPr>
          <w:rFonts w:ascii="Times New Roman" w:hAnsi="Times New Roman" w:cs="Times New Roman"/>
          <w:sz w:val="32"/>
          <w:szCs w:val="32"/>
        </w:rPr>
        <w:t>中国注册会计师：</w:t>
      </w:r>
    </w:p>
    <w:p>
      <w:pPr>
        <w:pStyle w:val="8"/>
        <w:spacing w:line="660" w:lineRule="exact"/>
        <w:ind w:firstLine="4800" w:firstLineChars="1500"/>
        <w:rPr>
          <w:rFonts w:ascii="Times New Roman" w:hAnsi="Times New Roman" w:cs="Times New Roman"/>
          <w:sz w:val="32"/>
          <w:szCs w:val="32"/>
        </w:rPr>
      </w:pPr>
      <w:r>
        <w:rPr>
          <w:rFonts w:ascii="Times New Roman" w:hAnsi="Times New Roman" w:cs="Times New Roman"/>
          <w:sz w:val="32"/>
          <w:szCs w:val="32"/>
        </w:rPr>
        <w:t>二〇二</w:t>
      </w:r>
      <w:r>
        <w:rPr>
          <w:rFonts w:hint="eastAsia" w:ascii="Times New Roman" w:hAnsi="Times New Roman" w:cs="Times New Roman"/>
          <w:sz w:val="32"/>
          <w:szCs w:val="32"/>
          <w:lang w:eastAsia="zh-CN"/>
        </w:rPr>
        <w:t>一</w:t>
      </w:r>
      <w:r>
        <w:rPr>
          <w:rFonts w:ascii="Times New Roman" w:hAnsi="Times New Roman" w:cs="Times New Roman"/>
          <w:sz w:val="32"/>
          <w:szCs w:val="32"/>
        </w:rPr>
        <w:t>年</w:t>
      </w:r>
      <w:r>
        <w:rPr>
          <w:rFonts w:hint="eastAsia" w:ascii="Times New Roman" w:hAnsi="Times New Roman" w:cs="Times New Roman"/>
          <w:sz w:val="32"/>
          <w:szCs w:val="32"/>
          <w:lang w:eastAsia="zh-CN"/>
        </w:rPr>
        <w:t>五</w:t>
      </w:r>
      <w:r>
        <w:rPr>
          <w:rFonts w:ascii="Times New Roman" w:hAnsi="Times New Roman" w:cs="Times New Roman"/>
          <w:sz w:val="32"/>
          <w:szCs w:val="32"/>
        </w:rPr>
        <w:t>月</w:t>
      </w:r>
      <w:r>
        <w:rPr>
          <w:rFonts w:hint="eastAsia" w:ascii="Times New Roman" w:hAnsi="Times New Roman" w:cs="Times New Roman"/>
          <w:sz w:val="32"/>
          <w:szCs w:val="32"/>
          <w:lang w:eastAsia="zh-CN"/>
        </w:rPr>
        <w:t>二十七</w:t>
      </w:r>
      <w:r>
        <w:rPr>
          <w:rFonts w:ascii="Times New Roman" w:hAnsi="Times New Roman" w:cs="Times New Roman"/>
          <w:sz w:val="32"/>
          <w:szCs w:val="32"/>
        </w:rPr>
        <w:t xml:space="preserve">日  </w:t>
      </w:r>
    </w:p>
    <w:p>
      <w:pPr>
        <w:rPr>
          <w:sz w:val="32"/>
          <w:szCs w:val="32"/>
        </w:rPr>
      </w:pPr>
    </w:p>
    <w:p>
      <w:pPr>
        <w:jc w:val="right"/>
        <w:rPr>
          <w:sz w:val="32"/>
          <w:szCs w:val="32"/>
        </w:rPr>
        <w:sectPr>
          <w:footerReference r:id="rId7" w:type="default"/>
          <w:pgSz w:w="11906" w:h="16838"/>
          <w:pgMar w:top="2098" w:right="1304" w:bottom="1871" w:left="1531" w:header="851" w:footer="992" w:gutter="0"/>
          <w:cols w:space="720" w:num="1"/>
          <w:docGrid w:type="lines" w:linePitch="415" w:charSpace="0"/>
        </w:sectPr>
      </w:pPr>
    </w:p>
    <w:p>
      <w:pPr>
        <w:jc w:val="left"/>
        <w:rPr>
          <w:sz w:val="28"/>
          <w:szCs w:val="28"/>
          <w:highlight w:val="none"/>
        </w:rPr>
      </w:pPr>
      <w:r>
        <w:rPr>
          <w:sz w:val="28"/>
          <w:szCs w:val="28"/>
          <w:highlight w:val="none"/>
        </w:rPr>
        <w:t>附件1：</w:t>
      </w:r>
    </w:p>
    <w:p>
      <w:pPr>
        <w:widowControl/>
        <w:jc w:val="center"/>
        <w:rPr>
          <w:sz w:val="28"/>
          <w:szCs w:val="28"/>
        </w:rPr>
      </w:pPr>
      <w:r>
        <w:rPr>
          <w:rFonts w:hint="eastAsia"/>
          <w:b/>
          <w:bCs/>
          <w:sz w:val="28"/>
          <w:szCs w:val="28"/>
        </w:rPr>
        <w:t>徐水经济开发区客运中心项目绩效评价指标体系</w:t>
      </w:r>
    </w:p>
    <w:tbl>
      <w:tblPr>
        <w:tblStyle w:val="20"/>
        <w:tblW w:w="0" w:type="auto"/>
        <w:tblInd w:w="93" w:type="dxa"/>
        <w:shd w:val="clear" w:color="auto" w:fill="auto"/>
        <w:tblLayout w:type="fixed"/>
        <w:tblCellMar>
          <w:top w:w="0" w:type="dxa"/>
          <w:left w:w="108" w:type="dxa"/>
          <w:bottom w:w="0" w:type="dxa"/>
          <w:right w:w="108" w:type="dxa"/>
        </w:tblCellMar>
      </w:tblPr>
      <w:tblGrid>
        <w:gridCol w:w="967"/>
        <w:gridCol w:w="1020"/>
        <w:gridCol w:w="1185"/>
        <w:gridCol w:w="2565"/>
        <w:gridCol w:w="4755"/>
        <w:gridCol w:w="2430"/>
        <w:gridCol w:w="675"/>
        <w:gridCol w:w="2230"/>
      </w:tblGrid>
      <w:tr>
        <w:tblPrEx>
          <w:shd w:val="clear" w:color="auto" w:fill="auto"/>
          <w:tblCellMar>
            <w:top w:w="0" w:type="dxa"/>
            <w:left w:w="108" w:type="dxa"/>
            <w:bottom w:w="0" w:type="dxa"/>
            <w:right w:w="108" w:type="dxa"/>
          </w:tblCellMar>
        </w:tblPrEx>
        <w:trPr>
          <w:trHeight w:val="30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一级指标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二级指标</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三级指标</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指标解释</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指标说明</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评分标准</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得分</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扣分原因</w:t>
            </w:r>
          </w:p>
        </w:tc>
      </w:tr>
      <w:tr>
        <w:tblPrEx>
          <w:shd w:val="clear" w:color="auto" w:fill="auto"/>
          <w:tblCellMar>
            <w:top w:w="0" w:type="dxa"/>
            <w:left w:w="108" w:type="dxa"/>
            <w:bottom w:w="0" w:type="dxa"/>
            <w:right w:w="108" w:type="dxa"/>
          </w:tblCellMar>
        </w:tblPrEx>
        <w:trPr>
          <w:trHeight w:val="198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决策</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（16分）</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项目立项（6分）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立项依据充分性（3分）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项目立项是否符合法律法规、相关政策、发展规划以及部门职责，用以反映和考核项目立项依据情况。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①项目立项是否符合国家法律法规、国民经济发展规划和相关政策；                                                  ②项目立项是否符合行业发展规划和政策要求；                       ③项目立项是否与部门职责范围相符，属于部门履职所需；                                                       ④项目是否属于公共财政支持范围，是否符合中央、地方事权支出责任划分原则；                                                         ⑤项目是否与相关部门同类项目或部门内部相关项目重复。</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完全符合得满分，缺一项扣0.6分，扣完为止。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rPr>
                <w:rFonts w:hint="eastAsia" w:ascii="宋体" w:hAnsi="宋体" w:eastAsia="宋体" w:cs="宋体"/>
                <w:i w:val="0"/>
                <w:iCs w:val="0"/>
                <w:color w:val="auto"/>
                <w:sz w:val="18"/>
                <w:szCs w:val="18"/>
                <w:u w:val="none"/>
              </w:rPr>
            </w:pPr>
          </w:p>
        </w:tc>
      </w:tr>
      <w:tr>
        <w:tblPrEx>
          <w:shd w:val="clear" w:color="auto" w:fill="auto"/>
          <w:tblCellMar>
            <w:top w:w="0" w:type="dxa"/>
            <w:left w:w="108" w:type="dxa"/>
            <w:bottom w:w="0" w:type="dxa"/>
            <w:right w:w="108" w:type="dxa"/>
          </w:tblCellMar>
        </w:tblPrEx>
        <w:trPr>
          <w:trHeight w:val="1125"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立项程序规范性（3分）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项目申请、设立过程是否符合相关要求，用以反映和考核项目立项的规范情况。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①项目是否按照规定的程序申请设立；                      ②审批文件、材料是否符合相关要求；                            ③事前是否已经过必要的可行性研究、专家论证、风险评估、绩效评估、集体决策。</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完全符合得满分，缺一项扣1分，扣完为止。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三标段职中路部分路段不能施工，原因为该路段需通过南水北调保护区，故未实施。但是在前期勘察设计时并未发现。</w:t>
            </w:r>
          </w:p>
        </w:tc>
      </w:tr>
      <w:tr>
        <w:tblPrEx>
          <w:shd w:val="clear" w:color="auto" w:fill="auto"/>
          <w:tblCellMar>
            <w:top w:w="0" w:type="dxa"/>
            <w:left w:w="108" w:type="dxa"/>
            <w:bottom w:w="0" w:type="dxa"/>
            <w:right w:w="108" w:type="dxa"/>
          </w:tblCellMar>
        </w:tblPrEx>
        <w:trPr>
          <w:trHeight w:val="122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绩效目标（6分）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绩效目标合理性（3分）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项目所设定的绩效目标是否依据充分，是否符合客观实际，用以反映和考核项目绩效目标与项目实施的相符情况。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①项目是否有绩效目标；                                                               ②项目绩效目标与实际工作内容是否具有相关性；                                ③项目预期产出效益和效果是否符合正常的业绩水平；                       ④是否与预算确定的项目投资额或资金量相匹配。</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有绩效目标、绩效目标与实际工作内容相关、与预算确定的项目投资额匹配、产出效益和效果符合正常的业绩水平得满分，缺一项扣1分，扣完为止。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shd w:val="clear" w:color="auto" w:fill="auto"/>
          <w:tblCellMar>
            <w:top w:w="0" w:type="dxa"/>
            <w:left w:w="108" w:type="dxa"/>
            <w:bottom w:w="0" w:type="dxa"/>
            <w:right w:w="108" w:type="dxa"/>
          </w:tblCellMar>
        </w:tblPrEx>
        <w:trPr>
          <w:trHeight w:val="132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绩效指标明确性（3分）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依据绩效目标设定的绩效指标是否清晰、细化、可衡量等，用以反映和考核项目绩效目标的明细化情况。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①是否将项目绩效目标细化分解为具体的绩效指标；                   ②是否通过清晰、可衡量的指标值予以体现；                            ③是否与项目目标任务数或计划数相对应。</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绩效指标清晰可衡量、与项目目标任务数相对应得满分，缺一项扣1分，扣完为止。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未制定时效指标</w:t>
            </w:r>
          </w:p>
        </w:tc>
      </w:tr>
      <w:tr>
        <w:tblPrEx>
          <w:shd w:val="clear" w:color="auto" w:fill="auto"/>
          <w:tblCellMar>
            <w:top w:w="0" w:type="dxa"/>
            <w:left w:w="108" w:type="dxa"/>
            <w:bottom w:w="0" w:type="dxa"/>
            <w:right w:w="108" w:type="dxa"/>
          </w:tblCellMar>
        </w:tblPrEx>
        <w:trPr>
          <w:trHeight w:val="135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资金投入（4分）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预算编制科学性（2分）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项目预算编制是否经过科学论证、有明确标准，资金额度与年度目标是否相适应，用以反映和考核项目预算编制的科学性、合理性情况。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①预算编制是否经过科学论证；                                    ②预算内容与项目内容是否匹配；                                   ③预算额度测算依据是否充分，是否按照标准编制；                       ④预算确定的项目投资额或资金量是否与工作任务相匹配。</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预算编制经过科学论证、内容与项目内容相匹配、测算依据充分且按标准编制、项目投资额与工作任务相匹配得满分，缺一项扣0.5分，扣完为止。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shd w:val="clear" w:color="auto" w:fill="auto"/>
          <w:tblCellMar>
            <w:top w:w="0" w:type="dxa"/>
            <w:left w:w="108" w:type="dxa"/>
            <w:bottom w:w="0" w:type="dxa"/>
            <w:right w:w="108" w:type="dxa"/>
          </w:tblCellMar>
        </w:tblPrEx>
        <w:trPr>
          <w:trHeight w:val="119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资金分配合理性（2分）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项目预算资金分配是否有测算依据，与补助单位或地方实际是否相适应，用以反映和考核项目预算资金分配的科学性、合理性情况。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①预算资金分配依据是否充分；                              ②资金分配额度是否合理，与项目单位或地方实际是否相适应。</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资金分配依据充分且分配合理得满分，一项不符合扣1分，扣完为止。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shd w:val="clear" w:color="auto" w:fill="auto"/>
          <w:tblCellMar>
            <w:top w:w="0" w:type="dxa"/>
            <w:left w:w="108" w:type="dxa"/>
            <w:bottom w:w="0" w:type="dxa"/>
            <w:right w:w="108" w:type="dxa"/>
          </w:tblCellMar>
        </w:tblPrEx>
        <w:trPr>
          <w:trHeight w:val="90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过程</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（24分）</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资金管理（12分）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资金到位率</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实际到位资金与预算资金的比率，用以反映和考核资金落实情况对项目实施的总体保障程度。</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资金到位率=（实际到位资金/预算资金）×100%。实际到位资金：一定时期（本年度或项目期）内落实到具体项目的资金。预算资金：一定时期（本年度或项目期）内预算安排到具体项目的资金。</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实际得分=资金到位率*4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4 </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5"/>
                <w:szCs w:val="15"/>
                <w:u w:val="none"/>
              </w:rPr>
            </w:pPr>
          </w:p>
        </w:tc>
      </w:tr>
      <w:tr>
        <w:tblPrEx>
          <w:shd w:val="clear" w:color="auto" w:fill="auto"/>
          <w:tblCellMar>
            <w:top w:w="0" w:type="dxa"/>
            <w:left w:w="108" w:type="dxa"/>
            <w:bottom w:w="0" w:type="dxa"/>
            <w:right w:w="108" w:type="dxa"/>
          </w:tblCellMar>
        </w:tblPrEx>
        <w:trPr>
          <w:trHeight w:val="92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预算执行率   （4分）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项目预算资金是否按照计划执行，用以反映或考核项目预算执行情况。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预算执行率=（实际支出资金/实际到位资金）×100%。实际支出资金：一定时期（本年度或项目期）内项目实际拨付的资金。</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实际得分=预算执行率*4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4 </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5"/>
                <w:szCs w:val="15"/>
                <w:u w:val="none"/>
              </w:rPr>
            </w:pPr>
          </w:p>
        </w:tc>
      </w:tr>
      <w:tr>
        <w:tblPrEx>
          <w:shd w:val="clear" w:color="auto" w:fill="auto"/>
          <w:tblCellMar>
            <w:top w:w="0" w:type="dxa"/>
            <w:left w:w="108" w:type="dxa"/>
            <w:bottom w:w="0" w:type="dxa"/>
            <w:right w:w="108" w:type="dxa"/>
          </w:tblCellMar>
        </w:tblPrEx>
        <w:trPr>
          <w:trHeight w:val="1125"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资金使用合规性（4分）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 HYPERLINK "https://baike.sogou.com/lemma/ShowInnerLink.htm?lemmaId=58962889&amp;ss_c=ssc.citiao.link" \o "https://baike.sogou.com/lemma/ShowInnerLink.htm?lemmaId=58962889&amp;ss_c=ssc.citiao.link" </w:instrText>
            </w:r>
            <w:r>
              <w:rPr>
                <w:rFonts w:hint="eastAsia" w:ascii="宋体" w:hAnsi="宋体" w:eastAsia="宋体" w:cs="宋体"/>
                <w:i w:val="0"/>
                <w:iCs w:val="0"/>
                <w:color w:val="auto"/>
                <w:kern w:val="0"/>
                <w:sz w:val="18"/>
                <w:szCs w:val="18"/>
                <w:u w:val="none"/>
                <w:lang w:val="en-US" w:eastAsia="zh-CN" w:bidi="ar"/>
              </w:rPr>
              <w:fldChar w:fldCharType="separate"/>
            </w:r>
            <w:r>
              <w:rPr>
                <w:rStyle w:val="25"/>
                <w:rFonts w:hint="eastAsia" w:ascii="宋体" w:hAnsi="宋体" w:eastAsia="宋体" w:cs="宋体"/>
                <w:i w:val="0"/>
                <w:iCs w:val="0"/>
                <w:color w:val="auto"/>
                <w:sz w:val="18"/>
                <w:szCs w:val="18"/>
                <w:u w:val="none"/>
              </w:rPr>
              <w:t>项目资金使用是否符合相关的财务管理制度规定，用以反映和考核项目资金的规范运行情况。</w:t>
            </w:r>
            <w:r>
              <w:rPr>
                <w:rFonts w:hint="eastAsia" w:ascii="宋体" w:hAnsi="宋体" w:eastAsia="宋体" w:cs="宋体"/>
                <w:i w:val="0"/>
                <w:iCs w:val="0"/>
                <w:color w:val="auto"/>
                <w:kern w:val="0"/>
                <w:sz w:val="18"/>
                <w:szCs w:val="18"/>
                <w:u w:val="none"/>
                <w:lang w:val="en-US" w:eastAsia="zh-CN" w:bidi="ar"/>
              </w:rPr>
              <w:fldChar w:fldCharType="end"/>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①是否符合国家财经法规和财务管理制度以及有关专项资金管理办法的规定；                                              ②资金的拨付是否有完整的审批程序和手续；                         ③是否符合项目预算批复或合同规定的用途；                       ④是否存在截留、挤占、挪用、虚列支出等情况。</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完全符合得满分，缺一项扣1分，扣完为止。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shd w:val="clear" w:color="auto" w:fill="auto"/>
          <w:tblCellMar>
            <w:top w:w="0" w:type="dxa"/>
            <w:left w:w="108" w:type="dxa"/>
            <w:bottom w:w="0" w:type="dxa"/>
            <w:right w:w="108" w:type="dxa"/>
          </w:tblCellMar>
        </w:tblPrEx>
        <w:trPr>
          <w:trHeight w:val="124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组织实施（12分）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管理制度健全性（6分）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项目实施单位的财务和业务管理制度是否健全，用以反映和考核财务和业务管理制度对项目顺利实施的保障情况。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评价要点：                                                                                ①是否已制定或具有相应的财务和业务管理制度；                        ②财务和业务管理制度是否合法、合规、完整。                             ③ 是否制定详细的实施方案，明确项目管理相关人员、职责、项目实施节点、计划完工时间、验收时间等。  </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已制定或具有相应财务制度和业务管理制度且合法、合规、完整得满分，缺一项扣2分。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2018年4月27日，保定市徐水区人民政府办公室印发了《关于推进“四好农村路”建设工作实施方案的通知》（徐政办〔2018〕62号），明确了“村与村之间连接路建设工作”由交通局牵头，各乡（镇）各有关部门配合，自2018年至2020年，分三年实施，项目牵头部门未制定详细的实施方案。</w:t>
            </w:r>
          </w:p>
        </w:tc>
      </w:tr>
      <w:tr>
        <w:tblPrEx>
          <w:shd w:val="clear" w:color="auto" w:fill="auto"/>
          <w:tblCellMar>
            <w:top w:w="0" w:type="dxa"/>
            <w:left w:w="108" w:type="dxa"/>
            <w:bottom w:w="0" w:type="dxa"/>
            <w:right w:w="108" w:type="dxa"/>
          </w:tblCellMar>
        </w:tblPrEx>
        <w:trPr>
          <w:trHeight w:val="148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制度执行有效性（6分）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项目实施是否符合相关管理规定，用以反映和考核相关管理制度的有效执行情况。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①是否遵守相关法律法规和相关管理规定；                      ②项目调整及支出调整手续是否完备；                     ③项目合同书、验收报告、技术鉴定等资料是否齐全并及时归档；                                                    ④项目实施的人员条件、场地设备、信息支撑等是否落实到位。</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完全符合得满分，缺一项扣1分，扣完为止。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shd w:val="clear" w:color="auto" w:fill="auto"/>
          <w:tblCellMar>
            <w:top w:w="0" w:type="dxa"/>
            <w:left w:w="108" w:type="dxa"/>
            <w:bottom w:w="0" w:type="dxa"/>
            <w:right w:w="108" w:type="dxa"/>
          </w:tblCellMar>
        </w:tblPrEx>
        <w:trPr>
          <w:trHeight w:val="90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（40分）</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产出数量    （15分）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实际完成率 （15分）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项目实施的实际产出数与计划产出数的比率，用以反映和考核项目产出数量目标的实现程度。</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际完成率=（实际产出数/计划产出数）×100%。实际产出数：一定时期（本年度或项目期）内项目实际产出的产品或提供的服务数量。计划产出数：项目绩效目标确定的在一定时期（本年度或项目期）内计划产出的产品或提供的服务数量。</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得分=实际完成率*15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13.29 </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highlight w:val="none"/>
                <w:u w:val="none"/>
                <w:lang w:val="en-US" w:eastAsia="zh-CN" w:bidi="ar"/>
              </w:rPr>
              <w:t>计划完成公里数149.057公里，截至目前已公里完成公里数132.04公里，完成率88.58%</w:t>
            </w:r>
          </w:p>
        </w:tc>
      </w:tr>
      <w:tr>
        <w:tblPrEx>
          <w:shd w:val="clear" w:color="auto" w:fill="auto"/>
          <w:tblCellMar>
            <w:top w:w="0" w:type="dxa"/>
            <w:left w:w="108" w:type="dxa"/>
            <w:bottom w:w="0" w:type="dxa"/>
            <w:right w:w="108" w:type="dxa"/>
          </w:tblCellMar>
        </w:tblPrEx>
        <w:trPr>
          <w:trHeight w:val="90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产出质量    （10分）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质量达标率 （10分）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项目完成的质量达标产出数与实际产出数的比率，用以反映和考核项目产出质量目标的实现程度。</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质量达标率=（质量达标产出数/实际产出数）×100%。质量达标产出数：一定时期（本年度或项目期）内实际达到既定质量标准的产品或服务数量。既定质量标准是指项目实施单位设立绩效目标时依据计划标准、行业标准、历史标准或其他标准而设定的绩效指标值。</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工程质量能够达到预期目标的得10分，否则不得分。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5"/>
                <w:szCs w:val="15"/>
                <w:u w:val="none"/>
              </w:rPr>
            </w:pPr>
          </w:p>
        </w:tc>
      </w:tr>
      <w:tr>
        <w:tblPrEx>
          <w:shd w:val="clear" w:color="auto" w:fill="auto"/>
          <w:tblCellMar>
            <w:top w:w="0" w:type="dxa"/>
            <w:left w:w="108" w:type="dxa"/>
            <w:bottom w:w="0" w:type="dxa"/>
            <w:right w:w="108" w:type="dxa"/>
          </w:tblCellMar>
        </w:tblPrEx>
        <w:trPr>
          <w:trHeight w:val="815"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产出时效    （10分）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完成及时性 （10分）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项目实际完成时间与计划完成时间的比较，用以反映和考核项目产出时效目标的实现程度。</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 HYPERLINK "https://baike.sogou.com/lemma/ShowInnerLink.htm?lemmaId=76342282&amp;ss_c=ssc.citiao.link" \o "https://baike.sogou.com/lemma/ShowInnerLink.htm?lemmaId=76342282&amp;ss_c=ssc.citiao.link" </w:instrText>
            </w:r>
            <w:r>
              <w:rPr>
                <w:rFonts w:hint="eastAsia" w:ascii="宋体" w:hAnsi="宋体" w:eastAsia="宋体" w:cs="宋体"/>
                <w:i w:val="0"/>
                <w:iCs w:val="0"/>
                <w:color w:val="auto"/>
                <w:kern w:val="0"/>
                <w:sz w:val="18"/>
                <w:szCs w:val="18"/>
                <w:u w:val="none"/>
                <w:lang w:val="en-US" w:eastAsia="zh-CN" w:bidi="ar"/>
              </w:rPr>
              <w:fldChar w:fldCharType="separate"/>
            </w:r>
            <w:r>
              <w:rPr>
                <w:rStyle w:val="25"/>
                <w:rFonts w:hint="eastAsia" w:ascii="宋体" w:hAnsi="宋体" w:eastAsia="宋体" w:cs="宋体"/>
                <w:i w:val="0"/>
                <w:iCs w:val="0"/>
                <w:color w:val="auto"/>
                <w:sz w:val="18"/>
                <w:szCs w:val="18"/>
                <w:u w:val="none"/>
              </w:rPr>
              <w:t>实际完成时间：项目实施单位完成该项目实际所耗用的时间。计划完成时间：按照项目实施计划或相关规定完成该项目所需的时间。</w:t>
            </w:r>
            <w:r>
              <w:rPr>
                <w:rFonts w:hint="eastAsia" w:ascii="宋体" w:hAnsi="宋体" w:eastAsia="宋体" w:cs="宋体"/>
                <w:i w:val="0"/>
                <w:iCs w:val="0"/>
                <w:color w:val="auto"/>
                <w:kern w:val="0"/>
                <w:sz w:val="18"/>
                <w:szCs w:val="18"/>
                <w:u w:val="none"/>
                <w:lang w:val="en-US" w:eastAsia="zh-CN" w:bidi="ar"/>
              </w:rPr>
              <w:fldChar w:fldCharType="end"/>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项目按照经批复的可行性研究报告和合同约定的工期完成的得10分，工期每迟延1个月扣2分，扣完为止。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合同约定工期自2019年6月30日至2020年11月15日。截至2021年5月11日，该项目共完成率88.62%</w:t>
            </w:r>
          </w:p>
        </w:tc>
      </w:tr>
      <w:tr>
        <w:tblPrEx>
          <w:shd w:val="clear" w:color="auto" w:fill="auto"/>
          <w:tblCellMar>
            <w:top w:w="0" w:type="dxa"/>
            <w:left w:w="108" w:type="dxa"/>
            <w:bottom w:w="0" w:type="dxa"/>
            <w:right w:w="108" w:type="dxa"/>
          </w:tblCellMar>
        </w:tblPrEx>
        <w:trPr>
          <w:trHeight w:val="90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产出成本     （5分）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成本节约率   （5分）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 HYPERLINK "https://baike.sogou.com/lemma/ShowInnerLink.htm?lemmaId=11014307&amp;ss_c=ssc.citiao.link" \o "https://baike.sogou.com/lemma/ShowInnerLink.htm?lemmaId=11014307&amp;ss_c=ssc.citiao.link" </w:instrText>
            </w:r>
            <w:r>
              <w:rPr>
                <w:rFonts w:hint="eastAsia" w:ascii="宋体" w:hAnsi="宋体" w:eastAsia="宋体" w:cs="宋体"/>
                <w:i w:val="0"/>
                <w:iCs w:val="0"/>
                <w:color w:val="auto"/>
                <w:kern w:val="0"/>
                <w:sz w:val="18"/>
                <w:szCs w:val="18"/>
                <w:u w:val="none"/>
                <w:lang w:val="en-US" w:eastAsia="zh-CN" w:bidi="ar"/>
              </w:rPr>
              <w:fldChar w:fldCharType="separate"/>
            </w:r>
            <w:r>
              <w:rPr>
                <w:rStyle w:val="25"/>
                <w:rFonts w:hint="eastAsia" w:ascii="宋体" w:hAnsi="宋体" w:eastAsia="宋体" w:cs="宋体"/>
                <w:i w:val="0"/>
                <w:iCs w:val="0"/>
                <w:color w:val="auto"/>
                <w:sz w:val="18"/>
                <w:szCs w:val="18"/>
                <w:u w:val="none"/>
              </w:rPr>
              <w:t>完成项目计划工作目标的实际节约成本与计划成本的比率，用以反映和考核项目的成本节约程度。</w:t>
            </w:r>
            <w:r>
              <w:rPr>
                <w:rFonts w:hint="eastAsia" w:ascii="宋体" w:hAnsi="宋体" w:eastAsia="宋体" w:cs="宋体"/>
                <w:i w:val="0"/>
                <w:iCs w:val="0"/>
                <w:color w:val="auto"/>
                <w:kern w:val="0"/>
                <w:sz w:val="18"/>
                <w:szCs w:val="18"/>
                <w:u w:val="none"/>
                <w:lang w:val="en-US" w:eastAsia="zh-CN" w:bidi="ar"/>
              </w:rPr>
              <w:fldChar w:fldCharType="end"/>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节约率=[（计划成本-实际成本）/计划成本]×100%。实际成本：项目实施单位如期、保质、保量完成既定工作目标实际所耗费的支出。计划成本：项目实施单位为完成工作目标计划安排的支出，一般以项目预算为参考。</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成本节约率≥0，得5分，否则不得分。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shd w:val="clear" w:color="auto" w:fill="auto"/>
          <w:tblCellMar>
            <w:top w:w="0" w:type="dxa"/>
            <w:left w:w="108" w:type="dxa"/>
            <w:bottom w:w="0" w:type="dxa"/>
            <w:right w:w="108" w:type="dxa"/>
          </w:tblCellMar>
        </w:tblPrEx>
        <w:trPr>
          <w:trHeight w:val="86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（20分）</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项目效益      （12分）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经济效益    （3分）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项目实施所产生的经济效益</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项目的实施是否促进了城乡一体化发展，充分发挥农村路网的整体性功能。</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促进了城乡一体化发展，发挥了农村路网的整体性功能的得3分，否则酌情扣分。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114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    （5分）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项目实施所产生的社会效益。</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项目的实施是否解决了村民出行“最后一公里”的问题，改善相邻各村之间的交通状况。</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项目的实施解决了村民出行“最后一公里”的问题，改善了相邻各村之间交通状况的得5分，否则酌情扣分。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98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可持续影响 （4）</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项目实施所产生的可持续影响。</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项目实施是否能够持续提高当地居民生活质量，促进当地经济发展。</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达到预期目标的得4分，否则酌情扣分。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shd w:val="clear" w:color="auto" w:fill="auto"/>
          <w:tblCellMar>
            <w:top w:w="0" w:type="dxa"/>
            <w:left w:w="108" w:type="dxa"/>
            <w:bottom w:w="0" w:type="dxa"/>
            <w:right w:w="108" w:type="dxa"/>
          </w:tblCellMar>
        </w:tblPrEx>
        <w:trPr>
          <w:trHeight w:val="104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       （8分）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受益对象满意度（8分）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项目实施后受益对象的项目实施效果的满意程度。</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评价要点：调查人员中满意和较满意情况占全部调查对象满意度的比率。</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①满意度≥90%（8分）；                ②80%≤满意度＜90%（5分）；                   ③60%≤满意度＜80%（3分）；                       ④满意度＜60%（0分）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shd w:val="clear" w:color="auto" w:fill="auto"/>
          <w:tblCellMar>
            <w:top w:w="0" w:type="dxa"/>
            <w:left w:w="108" w:type="dxa"/>
            <w:bottom w:w="0" w:type="dxa"/>
            <w:right w:w="108" w:type="dxa"/>
          </w:tblCellMar>
        </w:tblPrEx>
        <w:trPr>
          <w:trHeight w:val="440" w:hRule="atLeast"/>
        </w:trPr>
        <w:tc>
          <w:tcPr>
            <w:tcW w:w="1292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81.29 </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bl>
    <w:p>
      <w:pPr>
        <w:widowControl/>
        <w:jc w:val="left"/>
        <w:rPr>
          <w:sz w:val="28"/>
          <w:szCs w:val="28"/>
        </w:rPr>
        <w:sectPr>
          <w:footerReference r:id="rId8" w:type="default"/>
          <w:pgSz w:w="16838" w:h="11906" w:orient="landscape"/>
          <w:pgMar w:top="663" w:right="567" w:bottom="380" w:left="567" w:header="851" w:footer="992" w:gutter="0"/>
          <w:cols w:space="0" w:num="1"/>
          <w:docGrid w:type="lines" w:linePitch="415" w:charSpace="0"/>
        </w:sectPr>
      </w:pPr>
    </w:p>
    <w:p>
      <w:pPr>
        <w:jc w:val="left"/>
        <w:rPr>
          <w:rFonts w:hint="default"/>
          <w:sz w:val="28"/>
          <w:szCs w:val="28"/>
          <w:highlight w:val="none"/>
          <w:lang w:val="en-US" w:eastAsia="zh-CN"/>
        </w:rPr>
      </w:pPr>
      <w:r>
        <w:rPr>
          <w:rFonts w:hint="eastAsia"/>
          <w:sz w:val="28"/>
          <w:szCs w:val="28"/>
          <w:highlight w:val="none"/>
          <w:lang w:eastAsia="zh-CN"/>
        </w:rPr>
        <w:t>附件</w:t>
      </w:r>
      <w:r>
        <w:rPr>
          <w:rFonts w:hint="eastAsia"/>
          <w:sz w:val="28"/>
          <w:szCs w:val="28"/>
          <w:highlight w:val="none"/>
          <w:lang w:val="en-US" w:eastAsia="zh-CN"/>
        </w:rPr>
        <w:t>2：</w:t>
      </w:r>
    </w:p>
    <w:p>
      <w:pPr>
        <w:spacing w:line="480" w:lineRule="exact"/>
        <w:ind w:right="113"/>
        <w:jc w:val="center"/>
        <w:rPr>
          <w:rFonts w:hint="eastAsia" w:ascii="宋体" w:hAnsi="宋体" w:cs="宋体"/>
          <w:b/>
          <w:bCs/>
          <w:spacing w:val="2"/>
          <w:sz w:val="32"/>
          <w:szCs w:val="32"/>
          <w:lang w:eastAsia="zh-CN"/>
        </w:rPr>
      </w:pPr>
      <w:r>
        <w:rPr>
          <w:rFonts w:hint="eastAsia" w:ascii="宋体" w:hAnsi="宋体" w:cs="宋体"/>
          <w:b/>
          <w:bCs/>
          <w:spacing w:val="2"/>
          <w:sz w:val="32"/>
          <w:szCs w:val="32"/>
        </w:rPr>
        <w:t>关于徐水区“四好”农村道路连接工程</w:t>
      </w:r>
    </w:p>
    <w:p>
      <w:pPr>
        <w:spacing w:line="480" w:lineRule="exact"/>
        <w:ind w:left="102" w:right="113" w:firstLine="651" w:firstLineChars="200"/>
        <w:jc w:val="center"/>
        <w:rPr>
          <w:rFonts w:hint="eastAsia" w:ascii="宋体" w:hAnsi="宋体" w:cs="宋体"/>
          <w:b/>
          <w:bCs/>
          <w:spacing w:val="2"/>
          <w:sz w:val="32"/>
          <w:szCs w:val="32"/>
        </w:rPr>
      </w:pPr>
      <w:r>
        <w:rPr>
          <w:rFonts w:hint="eastAsia" w:ascii="宋体" w:hAnsi="宋体" w:cs="宋体"/>
          <w:b/>
          <w:bCs/>
          <w:spacing w:val="2"/>
          <w:sz w:val="32"/>
          <w:szCs w:val="32"/>
        </w:rPr>
        <w:t>群众满意度调查问卷</w:t>
      </w:r>
    </w:p>
    <w:p>
      <w:pPr>
        <w:spacing w:line="480" w:lineRule="exact"/>
        <w:ind w:left="102" w:right="113" w:firstLine="568" w:firstLineChars="200"/>
        <w:rPr>
          <w:rFonts w:hint="eastAsia" w:ascii="宋体" w:hAnsi="宋体" w:cs="宋体"/>
          <w:spacing w:val="2"/>
          <w:sz w:val="28"/>
          <w:szCs w:val="28"/>
        </w:rPr>
      </w:pPr>
    </w:p>
    <w:p>
      <w:pPr>
        <w:spacing w:line="480" w:lineRule="exact"/>
        <w:ind w:left="102" w:right="113" w:firstLine="568" w:firstLineChars="200"/>
        <w:rPr>
          <w:rFonts w:ascii="宋体" w:hAnsi="宋体" w:cs="宋体"/>
          <w:b/>
          <w:bCs/>
          <w:sz w:val="18"/>
          <w:szCs w:val="18"/>
        </w:rPr>
      </w:pPr>
      <w:r>
        <w:rPr>
          <w:rFonts w:hint="eastAsia" w:ascii="宋体" w:hAnsi="宋体" w:cs="宋体"/>
          <w:spacing w:val="2"/>
          <w:sz w:val="28"/>
          <w:szCs w:val="28"/>
        </w:rPr>
        <w:t>您好！我们是河北德永会计师事务所安排的调查员。为做好</w:t>
      </w:r>
      <w:r>
        <w:rPr>
          <w:rFonts w:hint="eastAsia" w:ascii="宋体" w:hAnsi="宋体" w:cs="宋体"/>
          <w:sz w:val="28"/>
          <w:szCs w:val="28"/>
        </w:rPr>
        <w:t>“徐水区</w:t>
      </w:r>
      <w:r>
        <w:rPr>
          <w:rFonts w:hint="eastAsia" w:ascii="宋体" w:hAnsi="宋体" w:cs="宋体"/>
          <w:sz w:val="28"/>
          <w:szCs w:val="28"/>
          <w:lang w:eastAsia="zh-CN"/>
        </w:rPr>
        <w:t>‘</w:t>
      </w:r>
      <w:r>
        <w:rPr>
          <w:rFonts w:hint="eastAsia" w:ascii="宋体" w:hAnsi="宋体" w:cs="宋体"/>
          <w:sz w:val="28"/>
          <w:szCs w:val="28"/>
        </w:rPr>
        <w:t>四好</w:t>
      </w:r>
      <w:r>
        <w:rPr>
          <w:rFonts w:hint="eastAsia" w:ascii="宋体" w:hAnsi="宋体" w:cs="宋体"/>
          <w:sz w:val="28"/>
          <w:szCs w:val="28"/>
          <w:lang w:eastAsia="zh-CN"/>
        </w:rPr>
        <w:t>’</w:t>
      </w:r>
      <w:r>
        <w:rPr>
          <w:rFonts w:hint="eastAsia" w:ascii="宋体" w:hAnsi="宋体" w:cs="宋体"/>
          <w:sz w:val="28"/>
          <w:szCs w:val="28"/>
        </w:rPr>
        <w:t>农村道路连接工程”绩效评</w:t>
      </w:r>
      <w:r>
        <w:rPr>
          <w:rFonts w:hint="eastAsia" w:ascii="宋体" w:hAnsi="宋体" w:cs="宋体"/>
          <w:spacing w:val="2"/>
          <w:sz w:val="28"/>
          <w:szCs w:val="28"/>
        </w:rPr>
        <w:t>价，</w:t>
      </w:r>
      <w:r>
        <w:rPr>
          <w:rFonts w:hint="eastAsia" w:ascii="宋体" w:hAnsi="宋体" w:cs="宋体"/>
          <w:sz w:val="28"/>
          <w:szCs w:val="28"/>
        </w:rPr>
        <w:t>了解群众对该</w:t>
      </w:r>
      <w:r>
        <w:rPr>
          <w:rFonts w:hint="eastAsia" w:ascii="宋体" w:hAnsi="宋体" w:cs="宋体"/>
          <w:sz w:val="28"/>
          <w:szCs w:val="28"/>
          <w:lang w:eastAsia="zh-CN"/>
        </w:rPr>
        <w:t>工程</w:t>
      </w:r>
      <w:r>
        <w:rPr>
          <w:rFonts w:hint="eastAsia" w:ascii="宋体" w:hAnsi="宋体" w:cs="宋体"/>
          <w:sz w:val="28"/>
          <w:szCs w:val="28"/>
        </w:rPr>
        <w:t>的</w:t>
      </w:r>
      <w:r>
        <w:rPr>
          <w:rFonts w:hint="eastAsia" w:ascii="宋体" w:hAnsi="宋体" w:cs="宋体"/>
          <w:spacing w:val="-1"/>
          <w:sz w:val="28"/>
          <w:szCs w:val="28"/>
        </w:rPr>
        <w:t>满意度，我们做了调</w:t>
      </w:r>
      <w:r>
        <w:rPr>
          <w:rFonts w:hint="eastAsia" w:ascii="宋体" w:hAnsi="宋体" w:cs="宋体"/>
          <w:spacing w:val="2"/>
          <w:sz w:val="28"/>
          <w:szCs w:val="28"/>
        </w:rPr>
        <w:t>查问卷。您所填的问卷将是匿名的，对于您的问卷内</w:t>
      </w:r>
      <w:r>
        <w:rPr>
          <w:rFonts w:hint="eastAsia" w:ascii="宋体" w:hAnsi="宋体" w:cs="宋体"/>
          <w:sz w:val="28"/>
          <w:szCs w:val="28"/>
        </w:rPr>
        <w:t>容我们将严格予以保密。</w:t>
      </w:r>
      <w:r>
        <w:rPr>
          <w:rFonts w:hint="eastAsia" w:ascii="宋体" w:hAnsi="宋体" w:cs="宋体"/>
          <w:b/>
          <w:bCs/>
          <w:sz w:val="32"/>
          <w:szCs w:val="32"/>
        </w:rPr>
        <w:t>谢谢您的合作！</w:t>
      </w:r>
    </w:p>
    <w:p>
      <w:pPr>
        <w:spacing w:line="480" w:lineRule="exact"/>
        <w:ind w:left="102" w:right="113" w:firstLine="556" w:firstLineChars="200"/>
        <w:rPr>
          <w:rFonts w:ascii="宋体" w:hAnsi="宋体" w:cs="宋体"/>
          <w:spacing w:val="-1"/>
          <w:sz w:val="28"/>
          <w:szCs w:val="28"/>
        </w:rPr>
      </w:pPr>
      <w:r>
        <w:rPr>
          <w:rFonts w:hint="eastAsia" w:ascii="宋体" w:hAnsi="宋体" w:cs="宋体"/>
          <w:spacing w:val="-1"/>
          <w:sz w:val="28"/>
          <w:szCs w:val="28"/>
        </w:rPr>
        <w:t>请在您认为符合的选项打“√”</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1、您对</w:t>
      </w:r>
      <w:r>
        <w:rPr>
          <w:rFonts w:hint="eastAsia" w:ascii="宋体" w:hAnsi="宋体" w:cs="宋体"/>
          <w:spacing w:val="2"/>
          <w:sz w:val="28"/>
          <w:szCs w:val="28"/>
          <w:lang w:eastAsia="zh-CN"/>
        </w:rPr>
        <w:t>“四好”农村道路连接工程的选址、设计、位置布局是否满意：</w:t>
      </w:r>
      <w:r>
        <w:rPr>
          <w:rFonts w:hint="eastAsia" w:ascii="宋体" w:hAnsi="宋体" w:cs="宋体"/>
          <w:spacing w:val="2"/>
          <w:sz w:val="28"/>
          <w:szCs w:val="28"/>
        </w:rPr>
        <w:t xml:space="preserve">   </w:t>
      </w:r>
    </w:p>
    <w:p>
      <w:pPr>
        <w:spacing w:line="480" w:lineRule="exact"/>
        <w:ind w:left="102" w:right="113" w:firstLine="568" w:firstLineChars="200"/>
        <w:rPr>
          <w:rFonts w:ascii="宋体" w:hAnsi="宋体" w:cs="宋体"/>
          <w:spacing w:val="2"/>
          <w:sz w:val="28"/>
          <w:szCs w:val="28"/>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2、您对</w:t>
      </w:r>
      <w:r>
        <w:rPr>
          <w:rFonts w:hint="eastAsia" w:ascii="宋体" w:hAnsi="宋体" w:cs="宋体"/>
          <w:spacing w:val="2"/>
          <w:sz w:val="28"/>
          <w:szCs w:val="28"/>
          <w:lang w:eastAsia="zh-CN"/>
        </w:rPr>
        <w:t>“四好”农村道路连接工程的工程进度是否满意：</w:t>
      </w:r>
    </w:p>
    <w:p>
      <w:pPr>
        <w:spacing w:line="480" w:lineRule="exact"/>
        <w:ind w:left="102" w:right="113" w:firstLine="568" w:firstLineChars="200"/>
        <w:rPr>
          <w:rFonts w:ascii="宋体" w:hAnsi="宋体" w:cs="宋体"/>
          <w:spacing w:val="2"/>
          <w:sz w:val="28"/>
          <w:szCs w:val="28"/>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3、您对</w:t>
      </w:r>
      <w:r>
        <w:rPr>
          <w:rFonts w:hint="eastAsia" w:ascii="宋体" w:hAnsi="宋体" w:cs="宋体"/>
          <w:spacing w:val="2"/>
          <w:sz w:val="28"/>
          <w:szCs w:val="28"/>
          <w:lang w:eastAsia="zh-CN"/>
        </w:rPr>
        <w:t>“四好”农村道路连接工程的建设宽度是</w:t>
      </w:r>
      <w:r>
        <w:rPr>
          <w:rFonts w:hint="eastAsia" w:ascii="宋体" w:hAnsi="宋体" w:cs="宋体"/>
          <w:spacing w:val="2"/>
          <w:sz w:val="28"/>
          <w:szCs w:val="28"/>
        </w:rPr>
        <w:t>否满意：</w:t>
      </w:r>
    </w:p>
    <w:p>
      <w:pPr>
        <w:spacing w:line="480" w:lineRule="exact"/>
        <w:ind w:left="102" w:right="113" w:firstLine="568" w:firstLineChars="200"/>
        <w:rPr>
          <w:rFonts w:ascii="宋体" w:hAnsi="宋体" w:cs="宋体"/>
          <w:spacing w:val="2"/>
          <w:sz w:val="28"/>
          <w:szCs w:val="28"/>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4、您对</w:t>
      </w:r>
      <w:r>
        <w:rPr>
          <w:rFonts w:hint="eastAsia" w:ascii="宋体" w:hAnsi="宋体" w:cs="宋体"/>
          <w:spacing w:val="2"/>
          <w:sz w:val="28"/>
          <w:szCs w:val="28"/>
          <w:lang w:eastAsia="zh-CN"/>
        </w:rPr>
        <w:t>“四好”农村道路连接工程改善村民出行条件的方面</w:t>
      </w:r>
      <w:r>
        <w:rPr>
          <w:rFonts w:hint="eastAsia" w:ascii="宋体" w:hAnsi="宋体" w:cs="宋体"/>
          <w:spacing w:val="2"/>
          <w:sz w:val="28"/>
          <w:szCs w:val="28"/>
        </w:rPr>
        <w:t>是否满意：</w:t>
      </w:r>
    </w:p>
    <w:p>
      <w:pPr>
        <w:spacing w:line="480" w:lineRule="exact"/>
        <w:ind w:right="113" w:firstLine="568" w:firstLineChars="200"/>
        <w:rPr>
          <w:rFonts w:hint="default" w:ascii="宋体" w:hAnsi="宋体" w:eastAsia="宋体" w:cs="宋体"/>
          <w:spacing w:val="2"/>
          <w:sz w:val="28"/>
          <w:szCs w:val="28"/>
          <w:lang w:val="en-US" w:eastAsia="zh-CN"/>
        </w:rPr>
      </w:pPr>
      <w:r>
        <w:rPr>
          <w:rFonts w:hint="eastAsia" w:ascii="宋体" w:hAnsi="宋体" w:cs="宋体"/>
          <w:spacing w:val="2"/>
          <w:sz w:val="28"/>
          <w:szCs w:val="28"/>
          <w:lang w:val="en-US" w:eastAsia="zh-CN"/>
        </w:rPr>
        <w:t>5、您对</w:t>
      </w:r>
      <w:r>
        <w:rPr>
          <w:rFonts w:hint="eastAsia" w:ascii="宋体" w:hAnsi="宋体" w:cs="宋体"/>
          <w:spacing w:val="2"/>
          <w:sz w:val="28"/>
          <w:szCs w:val="28"/>
          <w:lang w:eastAsia="zh-CN"/>
        </w:rPr>
        <w:t>“四好”农村道路连接工程对促进农民增收、促进农村经济发展方面</w:t>
      </w:r>
      <w:r>
        <w:rPr>
          <w:rFonts w:hint="eastAsia" w:ascii="宋体" w:hAnsi="宋体" w:cs="宋体"/>
          <w:spacing w:val="2"/>
          <w:sz w:val="28"/>
          <w:szCs w:val="28"/>
          <w:lang w:val="en-US" w:eastAsia="zh-CN"/>
        </w:rPr>
        <w:t>是否满意：</w:t>
      </w:r>
    </w:p>
    <w:p>
      <w:pPr>
        <w:spacing w:line="480" w:lineRule="exact"/>
        <w:ind w:left="102" w:right="113" w:firstLine="568" w:firstLineChars="200"/>
        <w:rPr>
          <w:rFonts w:hint="eastAsia" w:ascii="宋体" w:hAnsi="宋体" w:cs="宋体"/>
          <w:spacing w:val="2"/>
          <w:sz w:val="28"/>
          <w:szCs w:val="28"/>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lang w:val="en-US" w:eastAsia="zh-CN"/>
        </w:rPr>
        <w:t>6、</w:t>
      </w:r>
      <w:r>
        <w:rPr>
          <w:rFonts w:hint="eastAsia" w:ascii="宋体" w:hAnsi="宋体" w:cs="宋体"/>
          <w:spacing w:val="2"/>
          <w:sz w:val="28"/>
          <w:szCs w:val="28"/>
        </w:rPr>
        <w:t>您对</w:t>
      </w:r>
      <w:r>
        <w:rPr>
          <w:rFonts w:hint="eastAsia" w:ascii="宋体" w:hAnsi="宋体" w:cs="宋体"/>
          <w:spacing w:val="2"/>
          <w:sz w:val="28"/>
          <w:szCs w:val="28"/>
          <w:lang w:eastAsia="zh-CN"/>
        </w:rPr>
        <w:t>该工程</w:t>
      </w:r>
      <w:r>
        <w:rPr>
          <w:rFonts w:hint="eastAsia" w:ascii="宋体" w:hAnsi="宋体" w:cs="宋体"/>
          <w:spacing w:val="2"/>
          <w:sz w:val="28"/>
          <w:szCs w:val="28"/>
        </w:rPr>
        <w:t>还有什么意见和建议？</w:t>
      </w:r>
    </w:p>
    <w:p>
      <w:pPr>
        <w:spacing w:line="480" w:lineRule="exact"/>
        <w:ind w:left="102" w:right="113" w:firstLine="568" w:firstLineChars="200"/>
        <w:rPr>
          <w:rFonts w:ascii="宋体" w:hAnsi="宋体" w:cs="宋体"/>
          <w:spacing w:val="2"/>
          <w:sz w:val="28"/>
          <w:szCs w:val="28"/>
        </w:rPr>
      </w:pPr>
    </w:p>
    <w:p>
      <w:pPr>
        <w:spacing w:line="480" w:lineRule="exact"/>
        <w:ind w:left="102" w:right="113" w:firstLine="568" w:firstLineChars="200"/>
        <w:rPr>
          <w:rFonts w:ascii="宋体" w:hAnsi="宋体" w:cs="宋体"/>
          <w:spacing w:val="2"/>
          <w:sz w:val="28"/>
          <w:szCs w:val="28"/>
        </w:rPr>
      </w:pPr>
    </w:p>
    <w:p>
      <w:pPr>
        <w:spacing w:line="480" w:lineRule="exact"/>
        <w:ind w:left="102" w:right="113" w:firstLine="568" w:firstLineChars="200"/>
        <w:rPr>
          <w:rFonts w:ascii="宋体" w:hAnsi="宋体" w:cs="宋体"/>
          <w:spacing w:val="2"/>
          <w:sz w:val="28"/>
          <w:szCs w:val="28"/>
        </w:rPr>
      </w:pPr>
    </w:p>
    <w:p>
      <w:pPr>
        <w:spacing w:line="480" w:lineRule="exact"/>
        <w:ind w:left="102" w:right="113" w:firstLine="568" w:firstLineChars="200"/>
        <w:rPr>
          <w:rFonts w:ascii="宋体" w:hAnsi="宋体" w:cs="宋体"/>
          <w:spacing w:val="2"/>
          <w:sz w:val="28"/>
          <w:szCs w:val="28"/>
        </w:rPr>
      </w:pPr>
    </w:p>
    <w:p>
      <w:pPr>
        <w:jc w:val="left"/>
        <w:rPr>
          <w:rFonts w:hint="eastAsia"/>
          <w:b/>
          <w:bCs/>
          <w:sz w:val="30"/>
          <w:szCs w:val="30"/>
          <w:lang w:eastAsia="zh-CN"/>
        </w:rPr>
      </w:pPr>
    </w:p>
    <w:p>
      <w:pPr>
        <w:jc w:val="left"/>
        <w:rPr>
          <w:rFonts w:hint="eastAsia"/>
          <w:sz w:val="28"/>
          <w:szCs w:val="28"/>
          <w:highlight w:val="none"/>
          <w:lang w:val="en-US" w:eastAsia="zh-CN"/>
        </w:rPr>
      </w:pPr>
      <w:r>
        <w:rPr>
          <w:rFonts w:hint="eastAsia"/>
          <w:sz w:val="28"/>
          <w:szCs w:val="28"/>
          <w:highlight w:val="none"/>
          <w:lang w:eastAsia="zh-CN"/>
        </w:rPr>
        <w:t>附件</w:t>
      </w:r>
      <w:r>
        <w:rPr>
          <w:rFonts w:hint="eastAsia"/>
          <w:sz w:val="28"/>
          <w:szCs w:val="28"/>
          <w:highlight w:val="none"/>
          <w:lang w:val="en-US" w:eastAsia="zh-CN"/>
        </w:rPr>
        <w:t>3:</w:t>
      </w:r>
    </w:p>
    <w:p>
      <w:pPr>
        <w:jc w:val="left"/>
        <w:rPr>
          <w:rFonts w:hint="eastAsia"/>
          <w:sz w:val="28"/>
          <w:szCs w:val="28"/>
          <w:highlight w:val="none"/>
          <w:lang w:val="en-US" w:eastAsia="zh-CN"/>
        </w:rPr>
      </w:pPr>
    </w:p>
    <w:p>
      <w:pPr>
        <w:jc w:val="center"/>
        <w:rPr>
          <w:rFonts w:hint="default"/>
          <w:sz w:val="28"/>
          <w:szCs w:val="28"/>
          <w:highlight w:val="none"/>
          <w:lang w:val="en-US" w:eastAsia="zh-CN"/>
        </w:rPr>
      </w:pPr>
      <w:r>
        <w:rPr>
          <w:rFonts w:hint="default"/>
          <w:sz w:val="28"/>
          <w:szCs w:val="28"/>
          <w:highlight w:val="none"/>
          <w:lang w:val="en-US" w:eastAsia="zh-CN"/>
        </w:rPr>
        <w:drawing>
          <wp:inline distT="0" distB="0" distL="114300" distR="114300">
            <wp:extent cx="5440045" cy="4078605"/>
            <wp:effectExtent l="0" t="0" r="8255" b="17145"/>
            <wp:docPr id="1" name="图片 1" descr="微信图片_2021061410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614104610"/>
                    <pic:cNvPicPr>
                      <a:picLocks noChangeAspect="1"/>
                    </pic:cNvPicPr>
                  </pic:nvPicPr>
                  <pic:blipFill>
                    <a:blip r:embed="rId11"/>
                    <a:stretch>
                      <a:fillRect/>
                    </a:stretch>
                  </pic:blipFill>
                  <pic:spPr>
                    <a:xfrm>
                      <a:off x="0" y="0"/>
                      <a:ext cx="5440045" cy="407860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411470" cy="3377565"/>
            <wp:effectExtent l="0" t="0" r="17780" b="13335"/>
            <wp:docPr id="2" name="图片 2" descr="微信图片_202106141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614104717"/>
                    <pic:cNvPicPr>
                      <a:picLocks noChangeAspect="1"/>
                    </pic:cNvPicPr>
                  </pic:nvPicPr>
                  <pic:blipFill>
                    <a:blip r:embed="rId12"/>
                    <a:stretch>
                      <a:fillRect/>
                    </a:stretch>
                  </pic:blipFill>
                  <pic:spPr>
                    <a:xfrm>
                      <a:off x="0" y="0"/>
                      <a:ext cx="5411470" cy="337756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453380" cy="3896995"/>
            <wp:effectExtent l="0" t="0" r="13970" b="8255"/>
            <wp:docPr id="3" name="图片 3" descr="微信图片_2021061410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614104732"/>
                    <pic:cNvPicPr>
                      <a:picLocks noChangeAspect="1"/>
                    </pic:cNvPicPr>
                  </pic:nvPicPr>
                  <pic:blipFill>
                    <a:blip r:embed="rId13"/>
                    <a:stretch>
                      <a:fillRect/>
                    </a:stretch>
                  </pic:blipFill>
                  <pic:spPr>
                    <a:xfrm>
                      <a:off x="0" y="0"/>
                      <a:ext cx="5453380" cy="389699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466715" cy="3822065"/>
            <wp:effectExtent l="0" t="0" r="635" b="6985"/>
            <wp:docPr id="4" name="图片 4" descr="微信图片_2021061410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614104751"/>
                    <pic:cNvPicPr>
                      <a:picLocks noChangeAspect="1"/>
                    </pic:cNvPicPr>
                  </pic:nvPicPr>
                  <pic:blipFill>
                    <a:blip r:embed="rId14"/>
                    <a:stretch>
                      <a:fillRect/>
                    </a:stretch>
                  </pic:blipFill>
                  <pic:spPr>
                    <a:xfrm>
                      <a:off x="0" y="0"/>
                      <a:ext cx="5466715" cy="382206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453380" cy="4090035"/>
            <wp:effectExtent l="0" t="0" r="13970" b="5715"/>
            <wp:docPr id="5" name="图片 5" descr="微信图片_2021061410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614105347"/>
                    <pic:cNvPicPr>
                      <a:picLocks noChangeAspect="1"/>
                    </pic:cNvPicPr>
                  </pic:nvPicPr>
                  <pic:blipFill>
                    <a:blip r:embed="rId15"/>
                    <a:stretch>
                      <a:fillRect/>
                    </a:stretch>
                  </pic:blipFill>
                  <pic:spPr>
                    <a:xfrm>
                      <a:off x="0" y="0"/>
                      <a:ext cx="5453380" cy="409003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554980" cy="3823335"/>
            <wp:effectExtent l="0" t="0" r="7620" b="5715"/>
            <wp:docPr id="6" name="图片 6" descr="微信图片_2021061410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614105354"/>
                    <pic:cNvPicPr>
                      <a:picLocks noChangeAspect="1"/>
                    </pic:cNvPicPr>
                  </pic:nvPicPr>
                  <pic:blipFill>
                    <a:blip r:embed="rId16"/>
                    <a:stretch>
                      <a:fillRect/>
                    </a:stretch>
                  </pic:blipFill>
                  <pic:spPr>
                    <a:xfrm>
                      <a:off x="0" y="0"/>
                      <a:ext cx="5554980" cy="382333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544820" cy="3813175"/>
            <wp:effectExtent l="0" t="0" r="17780" b="15875"/>
            <wp:docPr id="7" name="图片 7" descr="微信图片_2021061410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614105404"/>
                    <pic:cNvPicPr>
                      <a:picLocks noChangeAspect="1"/>
                    </pic:cNvPicPr>
                  </pic:nvPicPr>
                  <pic:blipFill>
                    <a:blip r:embed="rId17"/>
                    <a:stretch>
                      <a:fillRect/>
                    </a:stretch>
                  </pic:blipFill>
                  <pic:spPr>
                    <a:xfrm>
                      <a:off x="0" y="0"/>
                      <a:ext cx="5544820" cy="381317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526405" cy="4146550"/>
            <wp:effectExtent l="0" t="0" r="17145" b="6350"/>
            <wp:docPr id="8" name="图片 8" descr="微信图片_2021061410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614105410"/>
                    <pic:cNvPicPr>
                      <a:picLocks noChangeAspect="1"/>
                    </pic:cNvPicPr>
                  </pic:nvPicPr>
                  <pic:blipFill>
                    <a:blip r:embed="rId18"/>
                    <a:stretch>
                      <a:fillRect/>
                    </a:stretch>
                  </pic:blipFill>
                  <pic:spPr>
                    <a:xfrm>
                      <a:off x="0" y="0"/>
                      <a:ext cx="5526405" cy="4146550"/>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490210" cy="3744595"/>
            <wp:effectExtent l="0" t="0" r="15240" b="8255"/>
            <wp:docPr id="9" name="图片 9" descr="微信图片_2021061410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614105441"/>
                    <pic:cNvPicPr>
                      <a:picLocks noChangeAspect="1"/>
                    </pic:cNvPicPr>
                  </pic:nvPicPr>
                  <pic:blipFill>
                    <a:blip r:embed="rId19"/>
                    <a:stretch>
                      <a:fillRect/>
                    </a:stretch>
                  </pic:blipFill>
                  <pic:spPr>
                    <a:xfrm>
                      <a:off x="0" y="0"/>
                      <a:ext cx="5490210" cy="374459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501640" cy="4124325"/>
            <wp:effectExtent l="0" t="0" r="3810" b="9525"/>
            <wp:docPr id="10" name="图片 10" descr="微信图片_202106141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614105511"/>
                    <pic:cNvPicPr>
                      <a:picLocks noChangeAspect="1"/>
                    </pic:cNvPicPr>
                  </pic:nvPicPr>
                  <pic:blipFill>
                    <a:blip r:embed="rId20"/>
                    <a:stretch>
                      <a:fillRect/>
                    </a:stretch>
                  </pic:blipFill>
                  <pic:spPr>
                    <a:xfrm>
                      <a:off x="0" y="0"/>
                      <a:ext cx="5501640" cy="412432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319395" cy="3989705"/>
            <wp:effectExtent l="0" t="0" r="14605" b="10795"/>
            <wp:docPr id="11" name="图片 11" descr="微信图片_2021061410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614105520"/>
                    <pic:cNvPicPr>
                      <a:picLocks noChangeAspect="1"/>
                    </pic:cNvPicPr>
                  </pic:nvPicPr>
                  <pic:blipFill>
                    <a:blip r:embed="rId21"/>
                    <a:stretch>
                      <a:fillRect/>
                    </a:stretch>
                  </pic:blipFill>
                  <pic:spPr>
                    <a:xfrm>
                      <a:off x="0" y="0"/>
                      <a:ext cx="5319395" cy="3989705"/>
                    </a:xfrm>
                    <a:prstGeom prst="rect">
                      <a:avLst/>
                    </a:prstGeom>
                  </pic:spPr>
                </pic:pic>
              </a:graphicData>
            </a:graphic>
          </wp:inline>
        </w:drawing>
      </w:r>
      <w:r>
        <w:rPr>
          <w:rFonts w:hint="eastAsia" w:ascii="宋体" w:hAnsi="宋体" w:eastAsia="仿宋_GB2312" w:cs="宋体"/>
          <w:spacing w:val="-1"/>
          <w:sz w:val="28"/>
          <w:szCs w:val="28"/>
          <w:lang w:eastAsia="zh-CN"/>
        </w:rPr>
        <w:drawing>
          <wp:inline distT="0" distB="0" distL="114300" distR="114300">
            <wp:extent cx="5286375" cy="3741420"/>
            <wp:effectExtent l="0" t="0" r="9525" b="11430"/>
            <wp:docPr id="12" name="图片 12" descr="微信图片_2021061410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614105949"/>
                    <pic:cNvPicPr>
                      <a:picLocks noChangeAspect="1"/>
                    </pic:cNvPicPr>
                  </pic:nvPicPr>
                  <pic:blipFill>
                    <a:blip r:embed="rId22"/>
                    <a:stretch>
                      <a:fillRect/>
                    </a:stretch>
                  </pic:blipFill>
                  <pic:spPr>
                    <a:xfrm>
                      <a:off x="0" y="0"/>
                      <a:ext cx="5286375" cy="3741420"/>
                    </a:xfrm>
                    <a:prstGeom prst="rect">
                      <a:avLst/>
                    </a:prstGeom>
                  </pic:spPr>
                </pic:pic>
              </a:graphicData>
            </a:graphic>
          </wp:inline>
        </w:drawing>
      </w:r>
    </w:p>
    <w:sectPr>
      <w:pgSz w:w="11906" w:h="16838"/>
      <w:pgMar w:top="2098" w:right="1304" w:bottom="1871" w:left="1531" w:header="851" w:footer="992" w:gutter="0"/>
      <w:cols w:space="720" w:num="1"/>
      <w:docGrid w:type="lines" w:linePitch="4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55" o:spid="_x0000_s205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71" o:spid="_x0000_s2071"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w:r>
    <w:r>
      <w:pict>
        <v:shape id="_x0000_s2072" o:spid="_x0000_s2072"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69" o:spid="_x0000_s206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w:r>
    <w:r>
      <w:pict>
        <v:shape id="_x0000_s2060" o:spid="_x0000_s206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58" o:spid="_x0000_s205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364458"/>
    <w:multiLevelType w:val="singleLevel"/>
    <w:tmpl w:val="F0364458"/>
    <w:lvl w:ilvl="0" w:tentative="0">
      <w:start w:val="2"/>
      <w:numFmt w:val="decimal"/>
      <w:suff w:val="nothing"/>
      <w:lvlText w:val="（%1）"/>
      <w:lvlJc w:val="left"/>
    </w:lvl>
  </w:abstractNum>
  <w:abstractNum w:abstractNumId="1">
    <w:nsid w:val="14AA43FA"/>
    <w:multiLevelType w:val="singleLevel"/>
    <w:tmpl w:val="14AA43F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0"/>
  <w:bordersDoNotSurroundFooter w:val="0"/>
  <w:documentProtection w:enforcement="0"/>
  <w:defaultTabStop w:val="420"/>
  <w:drawingGridHorizontalSpacing w:val="150"/>
  <w:drawingGridVerticalSpacing w:val="41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11E5F"/>
    <w:rsid w:val="000127ED"/>
    <w:rsid w:val="00023AE0"/>
    <w:rsid w:val="00030F3E"/>
    <w:rsid w:val="00037E06"/>
    <w:rsid w:val="00045441"/>
    <w:rsid w:val="00050492"/>
    <w:rsid w:val="00051A2C"/>
    <w:rsid w:val="00054505"/>
    <w:rsid w:val="00057D87"/>
    <w:rsid w:val="000618D4"/>
    <w:rsid w:val="00072BB7"/>
    <w:rsid w:val="000730AB"/>
    <w:rsid w:val="00085772"/>
    <w:rsid w:val="00086F23"/>
    <w:rsid w:val="00093980"/>
    <w:rsid w:val="000A5380"/>
    <w:rsid w:val="000A5CF7"/>
    <w:rsid w:val="000A650F"/>
    <w:rsid w:val="000B0BAF"/>
    <w:rsid w:val="000B1E3C"/>
    <w:rsid w:val="000B67C0"/>
    <w:rsid w:val="000B771D"/>
    <w:rsid w:val="000C05C1"/>
    <w:rsid w:val="000C090B"/>
    <w:rsid w:val="000C6532"/>
    <w:rsid w:val="000D1760"/>
    <w:rsid w:val="000D1AF4"/>
    <w:rsid w:val="000D2198"/>
    <w:rsid w:val="000D6C36"/>
    <w:rsid w:val="000D7925"/>
    <w:rsid w:val="000E56E4"/>
    <w:rsid w:val="000F65B4"/>
    <w:rsid w:val="00105032"/>
    <w:rsid w:val="00112699"/>
    <w:rsid w:val="001235AB"/>
    <w:rsid w:val="001279E6"/>
    <w:rsid w:val="00140BC0"/>
    <w:rsid w:val="00141A9B"/>
    <w:rsid w:val="001445E3"/>
    <w:rsid w:val="00150395"/>
    <w:rsid w:val="00150D14"/>
    <w:rsid w:val="00164A3D"/>
    <w:rsid w:val="001711E9"/>
    <w:rsid w:val="001725F8"/>
    <w:rsid w:val="00177F9C"/>
    <w:rsid w:val="001809B6"/>
    <w:rsid w:val="00192F21"/>
    <w:rsid w:val="00197CAE"/>
    <w:rsid w:val="001A1659"/>
    <w:rsid w:val="001A1879"/>
    <w:rsid w:val="001A1ECF"/>
    <w:rsid w:val="001A2339"/>
    <w:rsid w:val="001A2955"/>
    <w:rsid w:val="001A6C46"/>
    <w:rsid w:val="001A72D0"/>
    <w:rsid w:val="001C08F9"/>
    <w:rsid w:val="001C681B"/>
    <w:rsid w:val="001D5909"/>
    <w:rsid w:val="001E4011"/>
    <w:rsid w:val="001E57BD"/>
    <w:rsid w:val="001E6218"/>
    <w:rsid w:val="001F2702"/>
    <w:rsid w:val="001F4CE7"/>
    <w:rsid w:val="00202046"/>
    <w:rsid w:val="00206E2F"/>
    <w:rsid w:val="00213BA5"/>
    <w:rsid w:val="00214369"/>
    <w:rsid w:val="002273CC"/>
    <w:rsid w:val="002328AC"/>
    <w:rsid w:val="00241DE4"/>
    <w:rsid w:val="00245501"/>
    <w:rsid w:val="00252E58"/>
    <w:rsid w:val="002542FF"/>
    <w:rsid w:val="00254C5A"/>
    <w:rsid w:val="00256F95"/>
    <w:rsid w:val="00264A01"/>
    <w:rsid w:val="00267882"/>
    <w:rsid w:val="0027589D"/>
    <w:rsid w:val="00283F04"/>
    <w:rsid w:val="002926DB"/>
    <w:rsid w:val="002964F4"/>
    <w:rsid w:val="002A24D8"/>
    <w:rsid w:val="002A4F27"/>
    <w:rsid w:val="002B41E0"/>
    <w:rsid w:val="002B7093"/>
    <w:rsid w:val="002C34AD"/>
    <w:rsid w:val="002D2976"/>
    <w:rsid w:val="002E0FFB"/>
    <w:rsid w:val="002E19C7"/>
    <w:rsid w:val="002E2919"/>
    <w:rsid w:val="002E6A3A"/>
    <w:rsid w:val="00301C47"/>
    <w:rsid w:val="003026F0"/>
    <w:rsid w:val="00303093"/>
    <w:rsid w:val="003055C5"/>
    <w:rsid w:val="003066EE"/>
    <w:rsid w:val="00314841"/>
    <w:rsid w:val="00316D48"/>
    <w:rsid w:val="003218BB"/>
    <w:rsid w:val="003256B2"/>
    <w:rsid w:val="00330DE5"/>
    <w:rsid w:val="00334094"/>
    <w:rsid w:val="00335B26"/>
    <w:rsid w:val="00335C7E"/>
    <w:rsid w:val="00336B28"/>
    <w:rsid w:val="00341E79"/>
    <w:rsid w:val="003525AE"/>
    <w:rsid w:val="00355A11"/>
    <w:rsid w:val="00357442"/>
    <w:rsid w:val="0036255A"/>
    <w:rsid w:val="0037782C"/>
    <w:rsid w:val="00391A2C"/>
    <w:rsid w:val="003921F3"/>
    <w:rsid w:val="0039321E"/>
    <w:rsid w:val="00397AB6"/>
    <w:rsid w:val="003A3CAB"/>
    <w:rsid w:val="003A49F8"/>
    <w:rsid w:val="003A741D"/>
    <w:rsid w:val="003B24FF"/>
    <w:rsid w:val="003B4159"/>
    <w:rsid w:val="003B6864"/>
    <w:rsid w:val="003C5F0C"/>
    <w:rsid w:val="003D0C31"/>
    <w:rsid w:val="003D6C6B"/>
    <w:rsid w:val="003E41CD"/>
    <w:rsid w:val="003E6E2A"/>
    <w:rsid w:val="003F5F6E"/>
    <w:rsid w:val="00401DE5"/>
    <w:rsid w:val="004178BA"/>
    <w:rsid w:val="00427366"/>
    <w:rsid w:val="0043228D"/>
    <w:rsid w:val="004364AF"/>
    <w:rsid w:val="00440FCC"/>
    <w:rsid w:val="0044112E"/>
    <w:rsid w:val="00445B8F"/>
    <w:rsid w:val="00451699"/>
    <w:rsid w:val="004520FE"/>
    <w:rsid w:val="0045396E"/>
    <w:rsid w:val="00456FD8"/>
    <w:rsid w:val="00482F18"/>
    <w:rsid w:val="00487CFE"/>
    <w:rsid w:val="00492DFD"/>
    <w:rsid w:val="004A5BBC"/>
    <w:rsid w:val="004A6A14"/>
    <w:rsid w:val="004B68FB"/>
    <w:rsid w:val="004D50D4"/>
    <w:rsid w:val="004D74FF"/>
    <w:rsid w:val="004D75C3"/>
    <w:rsid w:val="004E0119"/>
    <w:rsid w:val="004E29D1"/>
    <w:rsid w:val="004E5DF4"/>
    <w:rsid w:val="004F3C29"/>
    <w:rsid w:val="004F60F9"/>
    <w:rsid w:val="004F715B"/>
    <w:rsid w:val="004F7EBA"/>
    <w:rsid w:val="005032C0"/>
    <w:rsid w:val="00505D0C"/>
    <w:rsid w:val="0051742B"/>
    <w:rsid w:val="00517C6E"/>
    <w:rsid w:val="00526B25"/>
    <w:rsid w:val="00540956"/>
    <w:rsid w:val="00547A56"/>
    <w:rsid w:val="00551F57"/>
    <w:rsid w:val="00561AE1"/>
    <w:rsid w:val="00584649"/>
    <w:rsid w:val="005A03F2"/>
    <w:rsid w:val="005A1938"/>
    <w:rsid w:val="005A6A16"/>
    <w:rsid w:val="005B41FA"/>
    <w:rsid w:val="005B637F"/>
    <w:rsid w:val="005C2B12"/>
    <w:rsid w:val="005C6BB2"/>
    <w:rsid w:val="005D21C3"/>
    <w:rsid w:val="005D2AFB"/>
    <w:rsid w:val="005E07F3"/>
    <w:rsid w:val="005E404E"/>
    <w:rsid w:val="005E485A"/>
    <w:rsid w:val="005F6EEC"/>
    <w:rsid w:val="006013EF"/>
    <w:rsid w:val="0062172F"/>
    <w:rsid w:val="00625985"/>
    <w:rsid w:val="00643249"/>
    <w:rsid w:val="00645382"/>
    <w:rsid w:val="006479EF"/>
    <w:rsid w:val="00650E8E"/>
    <w:rsid w:val="00661630"/>
    <w:rsid w:val="00661CE1"/>
    <w:rsid w:val="0066276F"/>
    <w:rsid w:val="00663712"/>
    <w:rsid w:val="00676D37"/>
    <w:rsid w:val="00680AF6"/>
    <w:rsid w:val="00682FED"/>
    <w:rsid w:val="00690CA5"/>
    <w:rsid w:val="00697B4F"/>
    <w:rsid w:val="00697DA0"/>
    <w:rsid w:val="006A11F3"/>
    <w:rsid w:val="006A31EE"/>
    <w:rsid w:val="006B3718"/>
    <w:rsid w:val="006D612D"/>
    <w:rsid w:val="006E5F4F"/>
    <w:rsid w:val="006F2AE4"/>
    <w:rsid w:val="00701060"/>
    <w:rsid w:val="00701137"/>
    <w:rsid w:val="0071775A"/>
    <w:rsid w:val="00723B3D"/>
    <w:rsid w:val="00734E8D"/>
    <w:rsid w:val="00747C7E"/>
    <w:rsid w:val="00750ABC"/>
    <w:rsid w:val="007649AB"/>
    <w:rsid w:val="0076516B"/>
    <w:rsid w:val="007659F4"/>
    <w:rsid w:val="00772DC7"/>
    <w:rsid w:val="00774C87"/>
    <w:rsid w:val="007920B9"/>
    <w:rsid w:val="00796888"/>
    <w:rsid w:val="00796EF8"/>
    <w:rsid w:val="007A3F31"/>
    <w:rsid w:val="007A6981"/>
    <w:rsid w:val="007B02ED"/>
    <w:rsid w:val="007B402E"/>
    <w:rsid w:val="007D189D"/>
    <w:rsid w:val="007D5837"/>
    <w:rsid w:val="007E3D9E"/>
    <w:rsid w:val="007E7ECE"/>
    <w:rsid w:val="007F444F"/>
    <w:rsid w:val="007F7B9D"/>
    <w:rsid w:val="00805AB8"/>
    <w:rsid w:val="0080611B"/>
    <w:rsid w:val="008077C3"/>
    <w:rsid w:val="00812818"/>
    <w:rsid w:val="008205BC"/>
    <w:rsid w:val="00822273"/>
    <w:rsid w:val="00823449"/>
    <w:rsid w:val="00826CE1"/>
    <w:rsid w:val="00826F6B"/>
    <w:rsid w:val="0085220E"/>
    <w:rsid w:val="0085233A"/>
    <w:rsid w:val="00853915"/>
    <w:rsid w:val="00855A4E"/>
    <w:rsid w:val="00856A52"/>
    <w:rsid w:val="00866310"/>
    <w:rsid w:val="00873DC7"/>
    <w:rsid w:val="00876FC0"/>
    <w:rsid w:val="00880F66"/>
    <w:rsid w:val="00890C04"/>
    <w:rsid w:val="00895857"/>
    <w:rsid w:val="008A1AFE"/>
    <w:rsid w:val="008A2876"/>
    <w:rsid w:val="008B3F93"/>
    <w:rsid w:val="008B537A"/>
    <w:rsid w:val="008B6FC9"/>
    <w:rsid w:val="008C5A34"/>
    <w:rsid w:val="008D1F65"/>
    <w:rsid w:val="008D5410"/>
    <w:rsid w:val="008F1C8A"/>
    <w:rsid w:val="00901306"/>
    <w:rsid w:val="00904C3C"/>
    <w:rsid w:val="009065B0"/>
    <w:rsid w:val="00911922"/>
    <w:rsid w:val="00911D85"/>
    <w:rsid w:val="00914B09"/>
    <w:rsid w:val="009157D0"/>
    <w:rsid w:val="00926829"/>
    <w:rsid w:val="0092787E"/>
    <w:rsid w:val="009305CA"/>
    <w:rsid w:val="00932363"/>
    <w:rsid w:val="00933D13"/>
    <w:rsid w:val="00937E6D"/>
    <w:rsid w:val="00943709"/>
    <w:rsid w:val="00945E63"/>
    <w:rsid w:val="00953248"/>
    <w:rsid w:val="00956578"/>
    <w:rsid w:val="00957AFE"/>
    <w:rsid w:val="009665F5"/>
    <w:rsid w:val="009734C6"/>
    <w:rsid w:val="00982B1D"/>
    <w:rsid w:val="00990F40"/>
    <w:rsid w:val="00991B91"/>
    <w:rsid w:val="009A1CC2"/>
    <w:rsid w:val="009A223C"/>
    <w:rsid w:val="009C076E"/>
    <w:rsid w:val="009C1C5C"/>
    <w:rsid w:val="009C2FD4"/>
    <w:rsid w:val="009C51A1"/>
    <w:rsid w:val="009C6F85"/>
    <w:rsid w:val="009C7958"/>
    <w:rsid w:val="009C7E9D"/>
    <w:rsid w:val="009D2A0A"/>
    <w:rsid w:val="009E002D"/>
    <w:rsid w:val="009E1D10"/>
    <w:rsid w:val="009F2A98"/>
    <w:rsid w:val="009F4B09"/>
    <w:rsid w:val="009F7AF9"/>
    <w:rsid w:val="00A01F94"/>
    <w:rsid w:val="00A02E08"/>
    <w:rsid w:val="00A07653"/>
    <w:rsid w:val="00A11E5F"/>
    <w:rsid w:val="00A21192"/>
    <w:rsid w:val="00A22862"/>
    <w:rsid w:val="00A23D20"/>
    <w:rsid w:val="00A516A6"/>
    <w:rsid w:val="00A5726D"/>
    <w:rsid w:val="00A72701"/>
    <w:rsid w:val="00A741DC"/>
    <w:rsid w:val="00A83506"/>
    <w:rsid w:val="00A856CF"/>
    <w:rsid w:val="00A91C65"/>
    <w:rsid w:val="00A94837"/>
    <w:rsid w:val="00A96E14"/>
    <w:rsid w:val="00A97344"/>
    <w:rsid w:val="00AA0789"/>
    <w:rsid w:val="00AA08CD"/>
    <w:rsid w:val="00AA0983"/>
    <w:rsid w:val="00AA134E"/>
    <w:rsid w:val="00AA7B8B"/>
    <w:rsid w:val="00AB323A"/>
    <w:rsid w:val="00AB45A6"/>
    <w:rsid w:val="00AC7BEA"/>
    <w:rsid w:val="00AD5A97"/>
    <w:rsid w:val="00AD7475"/>
    <w:rsid w:val="00AD7BAD"/>
    <w:rsid w:val="00AF4A5A"/>
    <w:rsid w:val="00AF57CB"/>
    <w:rsid w:val="00B109CE"/>
    <w:rsid w:val="00B122FF"/>
    <w:rsid w:val="00B1388A"/>
    <w:rsid w:val="00B17FC9"/>
    <w:rsid w:val="00B20191"/>
    <w:rsid w:val="00B25846"/>
    <w:rsid w:val="00B358F5"/>
    <w:rsid w:val="00B60961"/>
    <w:rsid w:val="00B61279"/>
    <w:rsid w:val="00B613B5"/>
    <w:rsid w:val="00B65FA9"/>
    <w:rsid w:val="00B7147C"/>
    <w:rsid w:val="00B77A69"/>
    <w:rsid w:val="00B8077C"/>
    <w:rsid w:val="00B84F63"/>
    <w:rsid w:val="00B90AF1"/>
    <w:rsid w:val="00B932A7"/>
    <w:rsid w:val="00B95840"/>
    <w:rsid w:val="00BA1026"/>
    <w:rsid w:val="00BA2D7A"/>
    <w:rsid w:val="00BB0EFE"/>
    <w:rsid w:val="00BB3132"/>
    <w:rsid w:val="00BC6CD7"/>
    <w:rsid w:val="00BC7AF8"/>
    <w:rsid w:val="00BD3632"/>
    <w:rsid w:val="00BD633B"/>
    <w:rsid w:val="00BD7B20"/>
    <w:rsid w:val="00BE3405"/>
    <w:rsid w:val="00BF1AFB"/>
    <w:rsid w:val="00C0331C"/>
    <w:rsid w:val="00C05C90"/>
    <w:rsid w:val="00C10DE7"/>
    <w:rsid w:val="00C16396"/>
    <w:rsid w:val="00C21060"/>
    <w:rsid w:val="00C213E9"/>
    <w:rsid w:val="00C23EC2"/>
    <w:rsid w:val="00C3657B"/>
    <w:rsid w:val="00C405F3"/>
    <w:rsid w:val="00C4195A"/>
    <w:rsid w:val="00C41BB0"/>
    <w:rsid w:val="00C44DD5"/>
    <w:rsid w:val="00C45953"/>
    <w:rsid w:val="00C5330E"/>
    <w:rsid w:val="00C53ACF"/>
    <w:rsid w:val="00C66BF3"/>
    <w:rsid w:val="00C7368A"/>
    <w:rsid w:val="00C77AFB"/>
    <w:rsid w:val="00C815C1"/>
    <w:rsid w:val="00C83715"/>
    <w:rsid w:val="00C86B3B"/>
    <w:rsid w:val="00C87DAF"/>
    <w:rsid w:val="00C90CFE"/>
    <w:rsid w:val="00C91A5B"/>
    <w:rsid w:val="00C96AD7"/>
    <w:rsid w:val="00CA01BA"/>
    <w:rsid w:val="00CA45F3"/>
    <w:rsid w:val="00CB26D0"/>
    <w:rsid w:val="00CC0C47"/>
    <w:rsid w:val="00CC1AA7"/>
    <w:rsid w:val="00CC407F"/>
    <w:rsid w:val="00CC7285"/>
    <w:rsid w:val="00CD1503"/>
    <w:rsid w:val="00CD1BA3"/>
    <w:rsid w:val="00CE3C3A"/>
    <w:rsid w:val="00CE5F10"/>
    <w:rsid w:val="00D015EB"/>
    <w:rsid w:val="00D1287E"/>
    <w:rsid w:val="00D17FBC"/>
    <w:rsid w:val="00D20DAB"/>
    <w:rsid w:val="00D4061F"/>
    <w:rsid w:val="00D436C9"/>
    <w:rsid w:val="00D52E9C"/>
    <w:rsid w:val="00D56BCA"/>
    <w:rsid w:val="00D571AA"/>
    <w:rsid w:val="00D60DE3"/>
    <w:rsid w:val="00D63712"/>
    <w:rsid w:val="00D63821"/>
    <w:rsid w:val="00D63E0D"/>
    <w:rsid w:val="00D73155"/>
    <w:rsid w:val="00D90E33"/>
    <w:rsid w:val="00D92F9F"/>
    <w:rsid w:val="00D96546"/>
    <w:rsid w:val="00DA2069"/>
    <w:rsid w:val="00DB4841"/>
    <w:rsid w:val="00DD00EF"/>
    <w:rsid w:val="00DD5625"/>
    <w:rsid w:val="00DE5F6C"/>
    <w:rsid w:val="00DF1857"/>
    <w:rsid w:val="00E065FA"/>
    <w:rsid w:val="00E16079"/>
    <w:rsid w:val="00E17D09"/>
    <w:rsid w:val="00E273F6"/>
    <w:rsid w:val="00E31267"/>
    <w:rsid w:val="00E33ABA"/>
    <w:rsid w:val="00E33BDF"/>
    <w:rsid w:val="00E46273"/>
    <w:rsid w:val="00E5201A"/>
    <w:rsid w:val="00E61725"/>
    <w:rsid w:val="00E62219"/>
    <w:rsid w:val="00E63547"/>
    <w:rsid w:val="00E8398D"/>
    <w:rsid w:val="00E909AE"/>
    <w:rsid w:val="00E94AA3"/>
    <w:rsid w:val="00E958D2"/>
    <w:rsid w:val="00E965DB"/>
    <w:rsid w:val="00E96937"/>
    <w:rsid w:val="00EA1470"/>
    <w:rsid w:val="00EB03B6"/>
    <w:rsid w:val="00EB429B"/>
    <w:rsid w:val="00EB4BB4"/>
    <w:rsid w:val="00EB6814"/>
    <w:rsid w:val="00EC3FDE"/>
    <w:rsid w:val="00EC5963"/>
    <w:rsid w:val="00ED0048"/>
    <w:rsid w:val="00ED286B"/>
    <w:rsid w:val="00EE59B6"/>
    <w:rsid w:val="00F13A31"/>
    <w:rsid w:val="00F20ADF"/>
    <w:rsid w:val="00F25309"/>
    <w:rsid w:val="00F312C2"/>
    <w:rsid w:val="00F3751C"/>
    <w:rsid w:val="00F41BB1"/>
    <w:rsid w:val="00F429FB"/>
    <w:rsid w:val="00F64FDD"/>
    <w:rsid w:val="00F674B8"/>
    <w:rsid w:val="00F67C39"/>
    <w:rsid w:val="00F67FA0"/>
    <w:rsid w:val="00F67FA1"/>
    <w:rsid w:val="00F7476E"/>
    <w:rsid w:val="00F7760C"/>
    <w:rsid w:val="00F82BC0"/>
    <w:rsid w:val="00F90D52"/>
    <w:rsid w:val="00F9720F"/>
    <w:rsid w:val="00FA07DB"/>
    <w:rsid w:val="00FA49D4"/>
    <w:rsid w:val="00FA4F11"/>
    <w:rsid w:val="00FB4EFC"/>
    <w:rsid w:val="00FC2CD8"/>
    <w:rsid w:val="00FC4120"/>
    <w:rsid w:val="00FD10CC"/>
    <w:rsid w:val="00FD313B"/>
    <w:rsid w:val="00FD6DB2"/>
    <w:rsid w:val="00FF0418"/>
    <w:rsid w:val="01003934"/>
    <w:rsid w:val="0107611F"/>
    <w:rsid w:val="012465FF"/>
    <w:rsid w:val="012B4DA3"/>
    <w:rsid w:val="01414458"/>
    <w:rsid w:val="015B52A2"/>
    <w:rsid w:val="0179089B"/>
    <w:rsid w:val="017A1B51"/>
    <w:rsid w:val="018812E4"/>
    <w:rsid w:val="01942CFB"/>
    <w:rsid w:val="01993134"/>
    <w:rsid w:val="01A27A4B"/>
    <w:rsid w:val="01C86649"/>
    <w:rsid w:val="01F813BE"/>
    <w:rsid w:val="020E53F2"/>
    <w:rsid w:val="023163D0"/>
    <w:rsid w:val="024B1BEA"/>
    <w:rsid w:val="027E2505"/>
    <w:rsid w:val="028C26FB"/>
    <w:rsid w:val="02A76950"/>
    <w:rsid w:val="02BC63CD"/>
    <w:rsid w:val="02C36C4A"/>
    <w:rsid w:val="02C70962"/>
    <w:rsid w:val="03197AA2"/>
    <w:rsid w:val="033019E1"/>
    <w:rsid w:val="03813F19"/>
    <w:rsid w:val="0383575F"/>
    <w:rsid w:val="039E4C4B"/>
    <w:rsid w:val="03AA3EA8"/>
    <w:rsid w:val="03B1202E"/>
    <w:rsid w:val="03CA3C2E"/>
    <w:rsid w:val="040F5726"/>
    <w:rsid w:val="04134127"/>
    <w:rsid w:val="0436204E"/>
    <w:rsid w:val="04540552"/>
    <w:rsid w:val="04722C86"/>
    <w:rsid w:val="04A22776"/>
    <w:rsid w:val="04A448F2"/>
    <w:rsid w:val="04AA0A4D"/>
    <w:rsid w:val="04AB2517"/>
    <w:rsid w:val="04B21EC4"/>
    <w:rsid w:val="04CE619F"/>
    <w:rsid w:val="05246E85"/>
    <w:rsid w:val="052D3BF6"/>
    <w:rsid w:val="052E5ADF"/>
    <w:rsid w:val="054E2BBF"/>
    <w:rsid w:val="057E7F50"/>
    <w:rsid w:val="05800D35"/>
    <w:rsid w:val="058C1FA9"/>
    <w:rsid w:val="05903005"/>
    <w:rsid w:val="06117CCC"/>
    <w:rsid w:val="061428C9"/>
    <w:rsid w:val="06480E1B"/>
    <w:rsid w:val="064E48C0"/>
    <w:rsid w:val="066F0ABC"/>
    <w:rsid w:val="0672780F"/>
    <w:rsid w:val="067500CF"/>
    <w:rsid w:val="06880BFB"/>
    <w:rsid w:val="06883A6D"/>
    <w:rsid w:val="06B11F17"/>
    <w:rsid w:val="07021889"/>
    <w:rsid w:val="07057BE4"/>
    <w:rsid w:val="07444628"/>
    <w:rsid w:val="077C509F"/>
    <w:rsid w:val="07E2787C"/>
    <w:rsid w:val="08201ACB"/>
    <w:rsid w:val="08255414"/>
    <w:rsid w:val="082B6F06"/>
    <w:rsid w:val="082F1B24"/>
    <w:rsid w:val="08451561"/>
    <w:rsid w:val="08506666"/>
    <w:rsid w:val="085C297F"/>
    <w:rsid w:val="08696195"/>
    <w:rsid w:val="08AB4974"/>
    <w:rsid w:val="08F57D5E"/>
    <w:rsid w:val="0919631E"/>
    <w:rsid w:val="09387203"/>
    <w:rsid w:val="095C6ACC"/>
    <w:rsid w:val="096C0638"/>
    <w:rsid w:val="09A57182"/>
    <w:rsid w:val="09DE3C99"/>
    <w:rsid w:val="09E22D4E"/>
    <w:rsid w:val="0A207FCD"/>
    <w:rsid w:val="0A492416"/>
    <w:rsid w:val="0A502063"/>
    <w:rsid w:val="0A6F7EF5"/>
    <w:rsid w:val="0A717C8E"/>
    <w:rsid w:val="0A856F47"/>
    <w:rsid w:val="0AAD366A"/>
    <w:rsid w:val="0AAF5DD0"/>
    <w:rsid w:val="0AB5345C"/>
    <w:rsid w:val="0AC43792"/>
    <w:rsid w:val="0AE45AA0"/>
    <w:rsid w:val="0B046A35"/>
    <w:rsid w:val="0B2016C8"/>
    <w:rsid w:val="0B301837"/>
    <w:rsid w:val="0B37390F"/>
    <w:rsid w:val="0B905564"/>
    <w:rsid w:val="0BCE2FBD"/>
    <w:rsid w:val="0C05619E"/>
    <w:rsid w:val="0C363C8F"/>
    <w:rsid w:val="0C500A06"/>
    <w:rsid w:val="0C550432"/>
    <w:rsid w:val="0C6E3C5C"/>
    <w:rsid w:val="0CA9622A"/>
    <w:rsid w:val="0CCA7238"/>
    <w:rsid w:val="0CE61773"/>
    <w:rsid w:val="0D1603AF"/>
    <w:rsid w:val="0D3B1690"/>
    <w:rsid w:val="0D5A77FC"/>
    <w:rsid w:val="0D5C3DFC"/>
    <w:rsid w:val="0D634543"/>
    <w:rsid w:val="0D6F1511"/>
    <w:rsid w:val="0D916195"/>
    <w:rsid w:val="0DDD206B"/>
    <w:rsid w:val="0DE22485"/>
    <w:rsid w:val="0DF22E63"/>
    <w:rsid w:val="0DF4047D"/>
    <w:rsid w:val="0E0B7EEA"/>
    <w:rsid w:val="0E2F5E8B"/>
    <w:rsid w:val="0E327D44"/>
    <w:rsid w:val="0E4612B5"/>
    <w:rsid w:val="0E49358D"/>
    <w:rsid w:val="0EA8553C"/>
    <w:rsid w:val="0EA95FE6"/>
    <w:rsid w:val="0EBA7CA9"/>
    <w:rsid w:val="0EBB72E1"/>
    <w:rsid w:val="0EE949DC"/>
    <w:rsid w:val="0F036662"/>
    <w:rsid w:val="0F1B4176"/>
    <w:rsid w:val="0F2A185A"/>
    <w:rsid w:val="0F3F24A8"/>
    <w:rsid w:val="0F4D79AC"/>
    <w:rsid w:val="0F8E2324"/>
    <w:rsid w:val="10054C01"/>
    <w:rsid w:val="100E43B2"/>
    <w:rsid w:val="101803B7"/>
    <w:rsid w:val="104C561C"/>
    <w:rsid w:val="104D2B35"/>
    <w:rsid w:val="105E4E97"/>
    <w:rsid w:val="10637EBA"/>
    <w:rsid w:val="106C79B8"/>
    <w:rsid w:val="107058B3"/>
    <w:rsid w:val="107C6102"/>
    <w:rsid w:val="109C42EE"/>
    <w:rsid w:val="109F56E0"/>
    <w:rsid w:val="10B03E25"/>
    <w:rsid w:val="10B17D1B"/>
    <w:rsid w:val="10BD1A67"/>
    <w:rsid w:val="10D04765"/>
    <w:rsid w:val="10F4597F"/>
    <w:rsid w:val="111E4B7A"/>
    <w:rsid w:val="11246F65"/>
    <w:rsid w:val="113D199D"/>
    <w:rsid w:val="115370EA"/>
    <w:rsid w:val="115B2A46"/>
    <w:rsid w:val="117C2F02"/>
    <w:rsid w:val="117D6F38"/>
    <w:rsid w:val="11975A27"/>
    <w:rsid w:val="11A7598A"/>
    <w:rsid w:val="11D62C11"/>
    <w:rsid w:val="11DE469C"/>
    <w:rsid w:val="11E16AE8"/>
    <w:rsid w:val="11F276E8"/>
    <w:rsid w:val="11F97256"/>
    <w:rsid w:val="11FF0FAA"/>
    <w:rsid w:val="120B52D9"/>
    <w:rsid w:val="12826153"/>
    <w:rsid w:val="129B1203"/>
    <w:rsid w:val="13087FF1"/>
    <w:rsid w:val="132656CD"/>
    <w:rsid w:val="136A68BC"/>
    <w:rsid w:val="137421F0"/>
    <w:rsid w:val="138D21F6"/>
    <w:rsid w:val="13C02521"/>
    <w:rsid w:val="13E03955"/>
    <w:rsid w:val="13F13629"/>
    <w:rsid w:val="14365636"/>
    <w:rsid w:val="143A1C19"/>
    <w:rsid w:val="14581F33"/>
    <w:rsid w:val="14666B80"/>
    <w:rsid w:val="14806151"/>
    <w:rsid w:val="14952A28"/>
    <w:rsid w:val="14E074A9"/>
    <w:rsid w:val="14E23413"/>
    <w:rsid w:val="14E9314E"/>
    <w:rsid w:val="14EC363E"/>
    <w:rsid w:val="15025977"/>
    <w:rsid w:val="15751943"/>
    <w:rsid w:val="157B009D"/>
    <w:rsid w:val="15A25D1A"/>
    <w:rsid w:val="15F81B24"/>
    <w:rsid w:val="15FC71CB"/>
    <w:rsid w:val="16281F9C"/>
    <w:rsid w:val="1681345B"/>
    <w:rsid w:val="169518FE"/>
    <w:rsid w:val="16C8364A"/>
    <w:rsid w:val="17037C0B"/>
    <w:rsid w:val="17213F34"/>
    <w:rsid w:val="172476FF"/>
    <w:rsid w:val="174A0786"/>
    <w:rsid w:val="174D0964"/>
    <w:rsid w:val="175D7DAD"/>
    <w:rsid w:val="176540A6"/>
    <w:rsid w:val="17783E9C"/>
    <w:rsid w:val="17AF4029"/>
    <w:rsid w:val="17E262B5"/>
    <w:rsid w:val="17FF5BE3"/>
    <w:rsid w:val="182E7ED4"/>
    <w:rsid w:val="183045B6"/>
    <w:rsid w:val="18435BE7"/>
    <w:rsid w:val="18470098"/>
    <w:rsid w:val="18A35F81"/>
    <w:rsid w:val="18C85562"/>
    <w:rsid w:val="18D82D51"/>
    <w:rsid w:val="18FF35D4"/>
    <w:rsid w:val="190E32F4"/>
    <w:rsid w:val="192008FE"/>
    <w:rsid w:val="192F112F"/>
    <w:rsid w:val="193052F6"/>
    <w:rsid w:val="19546F6A"/>
    <w:rsid w:val="199064F2"/>
    <w:rsid w:val="19B95C06"/>
    <w:rsid w:val="19F07385"/>
    <w:rsid w:val="1A5904DE"/>
    <w:rsid w:val="1A68702D"/>
    <w:rsid w:val="1AC2537B"/>
    <w:rsid w:val="1AF4294F"/>
    <w:rsid w:val="1B0249BB"/>
    <w:rsid w:val="1B1C15C9"/>
    <w:rsid w:val="1B570D69"/>
    <w:rsid w:val="1B7278A4"/>
    <w:rsid w:val="1B815B33"/>
    <w:rsid w:val="1B843248"/>
    <w:rsid w:val="1BA76D7C"/>
    <w:rsid w:val="1BA91A6B"/>
    <w:rsid w:val="1BB13F52"/>
    <w:rsid w:val="1BB83978"/>
    <w:rsid w:val="1BC220FC"/>
    <w:rsid w:val="1BCE14E5"/>
    <w:rsid w:val="1C006AC4"/>
    <w:rsid w:val="1C3C5377"/>
    <w:rsid w:val="1C5235BC"/>
    <w:rsid w:val="1C5D68BE"/>
    <w:rsid w:val="1C60780B"/>
    <w:rsid w:val="1C7031D7"/>
    <w:rsid w:val="1C897325"/>
    <w:rsid w:val="1CAA608D"/>
    <w:rsid w:val="1CB06DA3"/>
    <w:rsid w:val="1CBC1B96"/>
    <w:rsid w:val="1CDC61B0"/>
    <w:rsid w:val="1CDD7656"/>
    <w:rsid w:val="1D17670A"/>
    <w:rsid w:val="1D34744D"/>
    <w:rsid w:val="1D3A7352"/>
    <w:rsid w:val="1D71197F"/>
    <w:rsid w:val="1D712FCE"/>
    <w:rsid w:val="1D8B6E7D"/>
    <w:rsid w:val="1D9B1894"/>
    <w:rsid w:val="1DA7228F"/>
    <w:rsid w:val="1DBD1DF1"/>
    <w:rsid w:val="1DF3195E"/>
    <w:rsid w:val="1E0C58F3"/>
    <w:rsid w:val="1E1A474A"/>
    <w:rsid w:val="1E3D2300"/>
    <w:rsid w:val="1E3F7AE3"/>
    <w:rsid w:val="1E4E5730"/>
    <w:rsid w:val="1E5A7FFF"/>
    <w:rsid w:val="1EBD2A25"/>
    <w:rsid w:val="1EDA04D4"/>
    <w:rsid w:val="1EDB452E"/>
    <w:rsid w:val="1EFD24E3"/>
    <w:rsid w:val="1EFD6B5F"/>
    <w:rsid w:val="1F1218F7"/>
    <w:rsid w:val="1F525DBA"/>
    <w:rsid w:val="1F713F95"/>
    <w:rsid w:val="1F9D2C8A"/>
    <w:rsid w:val="1FB07195"/>
    <w:rsid w:val="1FB1560A"/>
    <w:rsid w:val="1FEF2C9E"/>
    <w:rsid w:val="1FFF7CDC"/>
    <w:rsid w:val="201E4E32"/>
    <w:rsid w:val="20330FC6"/>
    <w:rsid w:val="20354BF1"/>
    <w:rsid w:val="204C35DD"/>
    <w:rsid w:val="20903D68"/>
    <w:rsid w:val="20A3502A"/>
    <w:rsid w:val="20B07B54"/>
    <w:rsid w:val="20B26E07"/>
    <w:rsid w:val="20C83398"/>
    <w:rsid w:val="20DD557F"/>
    <w:rsid w:val="211377F6"/>
    <w:rsid w:val="21240C7A"/>
    <w:rsid w:val="21360382"/>
    <w:rsid w:val="21434A03"/>
    <w:rsid w:val="218B6B8E"/>
    <w:rsid w:val="21A36C00"/>
    <w:rsid w:val="21B302C0"/>
    <w:rsid w:val="21E15DF6"/>
    <w:rsid w:val="21E76615"/>
    <w:rsid w:val="21ED1AF3"/>
    <w:rsid w:val="21F33B7C"/>
    <w:rsid w:val="22033E8E"/>
    <w:rsid w:val="220F6A27"/>
    <w:rsid w:val="222332E4"/>
    <w:rsid w:val="22435EA1"/>
    <w:rsid w:val="225E1725"/>
    <w:rsid w:val="22772BDA"/>
    <w:rsid w:val="22802D63"/>
    <w:rsid w:val="22845AB4"/>
    <w:rsid w:val="22B401AB"/>
    <w:rsid w:val="22F607FE"/>
    <w:rsid w:val="22F97D2F"/>
    <w:rsid w:val="23155822"/>
    <w:rsid w:val="231B1A50"/>
    <w:rsid w:val="231D3046"/>
    <w:rsid w:val="235D3D13"/>
    <w:rsid w:val="23BB183A"/>
    <w:rsid w:val="23D05407"/>
    <w:rsid w:val="23FB78A1"/>
    <w:rsid w:val="244021C5"/>
    <w:rsid w:val="24405EA1"/>
    <w:rsid w:val="24554D88"/>
    <w:rsid w:val="245C52DB"/>
    <w:rsid w:val="24772937"/>
    <w:rsid w:val="249C19AD"/>
    <w:rsid w:val="24AE4623"/>
    <w:rsid w:val="24F5628A"/>
    <w:rsid w:val="24F63058"/>
    <w:rsid w:val="25115BD4"/>
    <w:rsid w:val="25152F5D"/>
    <w:rsid w:val="25237103"/>
    <w:rsid w:val="25A721B0"/>
    <w:rsid w:val="25B26FE4"/>
    <w:rsid w:val="25DF678F"/>
    <w:rsid w:val="25ED2094"/>
    <w:rsid w:val="262977D0"/>
    <w:rsid w:val="26315965"/>
    <w:rsid w:val="26317123"/>
    <w:rsid w:val="263A73F2"/>
    <w:rsid w:val="263C48CB"/>
    <w:rsid w:val="263C5E72"/>
    <w:rsid w:val="26500849"/>
    <w:rsid w:val="26780617"/>
    <w:rsid w:val="26847176"/>
    <w:rsid w:val="26886F86"/>
    <w:rsid w:val="26925C46"/>
    <w:rsid w:val="269D5952"/>
    <w:rsid w:val="26F41FB8"/>
    <w:rsid w:val="27043058"/>
    <w:rsid w:val="27364429"/>
    <w:rsid w:val="274D3FB6"/>
    <w:rsid w:val="27545406"/>
    <w:rsid w:val="27833F3C"/>
    <w:rsid w:val="2795735E"/>
    <w:rsid w:val="27EF2880"/>
    <w:rsid w:val="27F13A21"/>
    <w:rsid w:val="27F819EB"/>
    <w:rsid w:val="28062900"/>
    <w:rsid w:val="2836530C"/>
    <w:rsid w:val="284D4FE7"/>
    <w:rsid w:val="285F1382"/>
    <w:rsid w:val="28C260FB"/>
    <w:rsid w:val="29224CD0"/>
    <w:rsid w:val="292E5069"/>
    <w:rsid w:val="294552DD"/>
    <w:rsid w:val="294703CA"/>
    <w:rsid w:val="29997DF3"/>
    <w:rsid w:val="29C62ABF"/>
    <w:rsid w:val="29F00158"/>
    <w:rsid w:val="29F238EB"/>
    <w:rsid w:val="2A171CC4"/>
    <w:rsid w:val="2A18258C"/>
    <w:rsid w:val="2A350B0F"/>
    <w:rsid w:val="2A4B3C3F"/>
    <w:rsid w:val="2A50499A"/>
    <w:rsid w:val="2A6E6A52"/>
    <w:rsid w:val="2AC248FA"/>
    <w:rsid w:val="2AC64B53"/>
    <w:rsid w:val="2ACE792E"/>
    <w:rsid w:val="2AEF7803"/>
    <w:rsid w:val="2AF97CB4"/>
    <w:rsid w:val="2AFE04AC"/>
    <w:rsid w:val="2B227098"/>
    <w:rsid w:val="2B791410"/>
    <w:rsid w:val="2BB328FF"/>
    <w:rsid w:val="2BE06ECE"/>
    <w:rsid w:val="2BE50675"/>
    <w:rsid w:val="2BFC3B27"/>
    <w:rsid w:val="2C505A98"/>
    <w:rsid w:val="2C9F5868"/>
    <w:rsid w:val="2CA854FF"/>
    <w:rsid w:val="2D0778E2"/>
    <w:rsid w:val="2D1C0AEB"/>
    <w:rsid w:val="2D526B7C"/>
    <w:rsid w:val="2D5E1480"/>
    <w:rsid w:val="2D6447D2"/>
    <w:rsid w:val="2D6D0593"/>
    <w:rsid w:val="2D6E7A11"/>
    <w:rsid w:val="2D935A20"/>
    <w:rsid w:val="2DBC63E3"/>
    <w:rsid w:val="2DCE75BE"/>
    <w:rsid w:val="2DD30D39"/>
    <w:rsid w:val="2E0003B0"/>
    <w:rsid w:val="2E457BCB"/>
    <w:rsid w:val="2E5200E9"/>
    <w:rsid w:val="2E9F0240"/>
    <w:rsid w:val="2EAE262C"/>
    <w:rsid w:val="2EAE6A2E"/>
    <w:rsid w:val="2EBD1E12"/>
    <w:rsid w:val="2ECB0AE2"/>
    <w:rsid w:val="2F2B0F7C"/>
    <w:rsid w:val="2F416AD8"/>
    <w:rsid w:val="2F55491D"/>
    <w:rsid w:val="2F8337D6"/>
    <w:rsid w:val="2FAF4D85"/>
    <w:rsid w:val="2FBE1939"/>
    <w:rsid w:val="2FD8197F"/>
    <w:rsid w:val="2FF33EC8"/>
    <w:rsid w:val="300131F1"/>
    <w:rsid w:val="300A507B"/>
    <w:rsid w:val="30127F4A"/>
    <w:rsid w:val="30195AFF"/>
    <w:rsid w:val="301A7B0D"/>
    <w:rsid w:val="301A7BEA"/>
    <w:rsid w:val="30247EA4"/>
    <w:rsid w:val="30370C40"/>
    <w:rsid w:val="304E0FE9"/>
    <w:rsid w:val="30600CEC"/>
    <w:rsid w:val="306C79C8"/>
    <w:rsid w:val="30916FFE"/>
    <w:rsid w:val="30CA57E9"/>
    <w:rsid w:val="310A28E9"/>
    <w:rsid w:val="31330D55"/>
    <w:rsid w:val="315040C3"/>
    <w:rsid w:val="31570277"/>
    <w:rsid w:val="316E379B"/>
    <w:rsid w:val="317E7511"/>
    <w:rsid w:val="318459E2"/>
    <w:rsid w:val="318B08AD"/>
    <w:rsid w:val="31A13782"/>
    <w:rsid w:val="31CF127B"/>
    <w:rsid w:val="31D033ED"/>
    <w:rsid w:val="32023CC6"/>
    <w:rsid w:val="321D60A8"/>
    <w:rsid w:val="322066AC"/>
    <w:rsid w:val="326D09E6"/>
    <w:rsid w:val="32B86CCC"/>
    <w:rsid w:val="32CF0240"/>
    <w:rsid w:val="32F02A08"/>
    <w:rsid w:val="32F621B4"/>
    <w:rsid w:val="32FE2EA5"/>
    <w:rsid w:val="3305003D"/>
    <w:rsid w:val="33146B30"/>
    <w:rsid w:val="331816D1"/>
    <w:rsid w:val="332E1986"/>
    <w:rsid w:val="33316F40"/>
    <w:rsid w:val="338826B1"/>
    <w:rsid w:val="338D097D"/>
    <w:rsid w:val="33AA0927"/>
    <w:rsid w:val="33BD4D5E"/>
    <w:rsid w:val="33E41D02"/>
    <w:rsid w:val="33FA6CB4"/>
    <w:rsid w:val="3463015F"/>
    <w:rsid w:val="34766EC0"/>
    <w:rsid w:val="350739D4"/>
    <w:rsid w:val="35260066"/>
    <w:rsid w:val="35776F37"/>
    <w:rsid w:val="35A20810"/>
    <w:rsid w:val="35A41DCF"/>
    <w:rsid w:val="35A6123F"/>
    <w:rsid w:val="35B359C0"/>
    <w:rsid w:val="35D157B9"/>
    <w:rsid w:val="35D864DD"/>
    <w:rsid w:val="35E86AEA"/>
    <w:rsid w:val="36074077"/>
    <w:rsid w:val="361A3116"/>
    <w:rsid w:val="367D294C"/>
    <w:rsid w:val="369D5C1D"/>
    <w:rsid w:val="36AE13E1"/>
    <w:rsid w:val="36D7419E"/>
    <w:rsid w:val="36FF6099"/>
    <w:rsid w:val="371426FE"/>
    <w:rsid w:val="371C16B7"/>
    <w:rsid w:val="37337C1E"/>
    <w:rsid w:val="37461810"/>
    <w:rsid w:val="378050B1"/>
    <w:rsid w:val="37A7049B"/>
    <w:rsid w:val="37AF2E55"/>
    <w:rsid w:val="37B041B8"/>
    <w:rsid w:val="37BA6E6F"/>
    <w:rsid w:val="37BB62E3"/>
    <w:rsid w:val="37C275FC"/>
    <w:rsid w:val="37CB25D7"/>
    <w:rsid w:val="37DC7031"/>
    <w:rsid w:val="37DE2980"/>
    <w:rsid w:val="37E46B52"/>
    <w:rsid w:val="37F47D27"/>
    <w:rsid w:val="380D4216"/>
    <w:rsid w:val="381D591D"/>
    <w:rsid w:val="3820434D"/>
    <w:rsid w:val="383332DD"/>
    <w:rsid w:val="38517D59"/>
    <w:rsid w:val="3888139E"/>
    <w:rsid w:val="38965112"/>
    <w:rsid w:val="38A63548"/>
    <w:rsid w:val="38D83427"/>
    <w:rsid w:val="39004EE4"/>
    <w:rsid w:val="390A0237"/>
    <w:rsid w:val="395F26C1"/>
    <w:rsid w:val="396C132B"/>
    <w:rsid w:val="399A32F8"/>
    <w:rsid w:val="39B703CE"/>
    <w:rsid w:val="39C802B0"/>
    <w:rsid w:val="39F57874"/>
    <w:rsid w:val="3A0C64BF"/>
    <w:rsid w:val="3A143CD2"/>
    <w:rsid w:val="3A1B7356"/>
    <w:rsid w:val="3A3C7203"/>
    <w:rsid w:val="3A3F32B7"/>
    <w:rsid w:val="3A4534B3"/>
    <w:rsid w:val="3A5F0651"/>
    <w:rsid w:val="3A9061E2"/>
    <w:rsid w:val="3A9164BE"/>
    <w:rsid w:val="3AC30568"/>
    <w:rsid w:val="3ACA1E51"/>
    <w:rsid w:val="3B2106FF"/>
    <w:rsid w:val="3B64464E"/>
    <w:rsid w:val="3B764887"/>
    <w:rsid w:val="3B782206"/>
    <w:rsid w:val="3B92414C"/>
    <w:rsid w:val="3BC3791A"/>
    <w:rsid w:val="3BFB74FF"/>
    <w:rsid w:val="3C3D6AD5"/>
    <w:rsid w:val="3C4B0DD6"/>
    <w:rsid w:val="3C522BAD"/>
    <w:rsid w:val="3C937372"/>
    <w:rsid w:val="3CC86630"/>
    <w:rsid w:val="3CCA0A95"/>
    <w:rsid w:val="3CEA3E7B"/>
    <w:rsid w:val="3D1D0F97"/>
    <w:rsid w:val="3D4641B6"/>
    <w:rsid w:val="3D4E0FEB"/>
    <w:rsid w:val="3D570AB7"/>
    <w:rsid w:val="3D61067E"/>
    <w:rsid w:val="3D775545"/>
    <w:rsid w:val="3DA84569"/>
    <w:rsid w:val="3DE346C0"/>
    <w:rsid w:val="3DEC4C1A"/>
    <w:rsid w:val="3E14510F"/>
    <w:rsid w:val="3E166A58"/>
    <w:rsid w:val="3E181D31"/>
    <w:rsid w:val="3E456E5B"/>
    <w:rsid w:val="3E617B8D"/>
    <w:rsid w:val="3E631761"/>
    <w:rsid w:val="3E8847AA"/>
    <w:rsid w:val="3EA56EE3"/>
    <w:rsid w:val="3EBC018B"/>
    <w:rsid w:val="3ECE2F5C"/>
    <w:rsid w:val="3F16432E"/>
    <w:rsid w:val="3F475757"/>
    <w:rsid w:val="3F505163"/>
    <w:rsid w:val="3F545FC8"/>
    <w:rsid w:val="3F6C41F2"/>
    <w:rsid w:val="3F972BB5"/>
    <w:rsid w:val="3F9E622E"/>
    <w:rsid w:val="3FAD790D"/>
    <w:rsid w:val="3FC15DAC"/>
    <w:rsid w:val="3FC719F4"/>
    <w:rsid w:val="404560DF"/>
    <w:rsid w:val="40702400"/>
    <w:rsid w:val="408D08E9"/>
    <w:rsid w:val="40F83192"/>
    <w:rsid w:val="411B4498"/>
    <w:rsid w:val="417B3290"/>
    <w:rsid w:val="417B38C0"/>
    <w:rsid w:val="418439C9"/>
    <w:rsid w:val="41D43820"/>
    <w:rsid w:val="423425BE"/>
    <w:rsid w:val="429E129C"/>
    <w:rsid w:val="42A37C06"/>
    <w:rsid w:val="42B4371C"/>
    <w:rsid w:val="42C50376"/>
    <w:rsid w:val="42CE2D3E"/>
    <w:rsid w:val="42ED2CCD"/>
    <w:rsid w:val="432C0C67"/>
    <w:rsid w:val="43335690"/>
    <w:rsid w:val="434E0F27"/>
    <w:rsid w:val="43800918"/>
    <w:rsid w:val="43946227"/>
    <w:rsid w:val="43AE782F"/>
    <w:rsid w:val="43B8756C"/>
    <w:rsid w:val="43BB7D58"/>
    <w:rsid w:val="43C6133A"/>
    <w:rsid w:val="43E27DAC"/>
    <w:rsid w:val="43F506E9"/>
    <w:rsid w:val="441339DB"/>
    <w:rsid w:val="442278F0"/>
    <w:rsid w:val="4428373B"/>
    <w:rsid w:val="44433E40"/>
    <w:rsid w:val="44484A7F"/>
    <w:rsid w:val="445837A4"/>
    <w:rsid w:val="446C162F"/>
    <w:rsid w:val="447B6AA6"/>
    <w:rsid w:val="448C66F6"/>
    <w:rsid w:val="44FE0566"/>
    <w:rsid w:val="4514471C"/>
    <w:rsid w:val="453B1A49"/>
    <w:rsid w:val="453F1545"/>
    <w:rsid w:val="457F7F52"/>
    <w:rsid w:val="45937DC0"/>
    <w:rsid w:val="45A879FD"/>
    <w:rsid w:val="45DB57E0"/>
    <w:rsid w:val="45EE3DEF"/>
    <w:rsid w:val="460C2C10"/>
    <w:rsid w:val="466B5C0E"/>
    <w:rsid w:val="4693346B"/>
    <w:rsid w:val="46D7084C"/>
    <w:rsid w:val="46E7553D"/>
    <w:rsid w:val="46E84AD0"/>
    <w:rsid w:val="46F404DA"/>
    <w:rsid w:val="47022DDB"/>
    <w:rsid w:val="472C4A39"/>
    <w:rsid w:val="473C3D61"/>
    <w:rsid w:val="47481B22"/>
    <w:rsid w:val="474D6866"/>
    <w:rsid w:val="475C42E4"/>
    <w:rsid w:val="47D94CF2"/>
    <w:rsid w:val="47E950BE"/>
    <w:rsid w:val="47FC03C7"/>
    <w:rsid w:val="480A1795"/>
    <w:rsid w:val="481E491E"/>
    <w:rsid w:val="482B2FFA"/>
    <w:rsid w:val="4838441B"/>
    <w:rsid w:val="48485489"/>
    <w:rsid w:val="48644107"/>
    <w:rsid w:val="487E7CF0"/>
    <w:rsid w:val="488615DC"/>
    <w:rsid w:val="48C84BB3"/>
    <w:rsid w:val="490049DC"/>
    <w:rsid w:val="49393BE4"/>
    <w:rsid w:val="49444963"/>
    <w:rsid w:val="495C1AEA"/>
    <w:rsid w:val="4968237E"/>
    <w:rsid w:val="497B013A"/>
    <w:rsid w:val="498A5CE0"/>
    <w:rsid w:val="49AA5DDB"/>
    <w:rsid w:val="49C33235"/>
    <w:rsid w:val="49D07F96"/>
    <w:rsid w:val="49F03D7D"/>
    <w:rsid w:val="49FE11CD"/>
    <w:rsid w:val="4A132ACD"/>
    <w:rsid w:val="4A1B2AE0"/>
    <w:rsid w:val="4A5974AE"/>
    <w:rsid w:val="4A5F41D2"/>
    <w:rsid w:val="4A9B304D"/>
    <w:rsid w:val="4AB76927"/>
    <w:rsid w:val="4ACC120F"/>
    <w:rsid w:val="4AD055A4"/>
    <w:rsid w:val="4AE65A81"/>
    <w:rsid w:val="4B1941E5"/>
    <w:rsid w:val="4B2F74D4"/>
    <w:rsid w:val="4B352710"/>
    <w:rsid w:val="4B354939"/>
    <w:rsid w:val="4BA124B8"/>
    <w:rsid w:val="4BB614EB"/>
    <w:rsid w:val="4BBF538E"/>
    <w:rsid w:val="4BC72B1F"/>
    <w:rsid w:val="4BE91114"/>
    <w:rsid w:val="4C05627F"/>
    <w:rsid w:val="4C2A35FC"/>
    <w:rsid w:val="4C604C3A"/>
    <w:rsid w:val="4C7E20E0"/>
    <w:rsid w:val="4C8837C5"/>
    <w:rsid w:val="4CDA68EB"/>
    <w:rsid w:val="4CF66CAC"/>
    <w:rsid w:val="4CFC49EF"/>
    <w:rsid w:val="4D1E2DC9"/>
    <w:rsid w:val="4D4945EF"/>
    <w:rsid w:val="4D5C2B2D"/>
    <w:rsid w:val="4D854B2C"/>
    <w:rsid w:val="4D8F4A7A"/>
    <w:rsid w:val="4DBB5D86"/>
    <w:rsid w:val="4E0527CE"/>
    <w:rsid w:val="4E1B15CD"/>
    <w:rsid w:val="4E411497"/>
    <w:rsid w:val="4E417DC3"/>
    <w:rsid w:val="4E770E53"/>
    <w:rsid w:val="4E7B7B48"/>
    <w:rsid w:val="4E8303B9"/>
    <w:rsid w:val="4E850B96"/>
    <w:rsid w:val="4E894356"/>
    <w:rsid w:val="4E9A409C"/>
    <w:rsid w:val="4EA57DC5"/>
    <w:rsid w:val="4ECE241F"/>
    <w:rsid w:val="4EFE5887"/>
    <w:rsid w:val="4F026156"/>
    <w:rsid w:val="4F0B7589"/>
    <w:rsid w:val="4F2A2679"/>
    <w:rsid w:val="4F3A5219"/>
    <w:rsid w:val="4F4C5928"/>
    <w:rsid w:val="4F5F59CE"/>
    <w:rsid w:val="4F7D6285"/>
    <w:rsid w:val="4F94592C"/>
    <w:rsid w:val="4FC44855"/>
    <w:rsid w:val="501D5D39"/>
    <w:rsid w:val="502B6704"/>
    <w:rsid w:val="506C5901"/>
    <w:rsid w:val="50805941"/>
    <w:rsid w:val="509718D4"/>
    <w:rsid w:val="50A236F3"/>
    <w:rsid w:val="50BC0F98"/>
    <w:rsid w:val="50BF20E2"/>
    <w:rsid w:val="50C14B62"/>
    <w:rsid w:val="50D3695C"/>
    <w:rsid w:val="50D6651B"/>
    <w:rsid w:val="510F1E0A"/>
    <w:rsid w:val="511122C0"/>
    <w:rsid w:val="511F19CD"/>
    <w:rsid w:val="51632FF8"/>
    <w:rsid w:val="51670C05"/>
    <w:rsid w:val="51844645"/>
    <w:rsid w:val="519954EF"/>
    <w:rsid w:val="51BA5FCE"/>
    <w:rsid w:val="52003C83"/>
    <w:rsid w:val="520A5C81"/>
    <w:rsid w:val="524833B7"/>
    <w:rsid w:val="527C4A77"/>
    <w:rsid w:val="527F421B"/>
    <w:rsid w:val="528C3E64"/>
    <w:rsid w:val="52B90268"/>
    <w:rsid w:val="52F72AA8"/>
    <w:rsid w:val="532067C9"/>
    <w:rsid w:val="53251CDC"/>
    <w:rsid w:val="53343624"/>
    <w:rsid w:val="533E3FEB"/>
    <w:rsid w:val="53635670"/>
    <w:rsid w:val="537F6D72"/>
    <w:rsid w:val="539B4555"/>
    <w:rsid w:val="539E16DA"/>
    <w:rsid w:val="53A32513"/>
    <w:rsid w:val="53B61053"/>
    <w:rsid w:val="53CF2225"/>
    <w:rsid w:val="53FE592D"/>
    <w:rsid w:val="54042746"/>
    <w:rsid w:val="54126C5B"/>
    <w:rsid w:val="544F4F75"/>
    <w:rsid w:val="545144FD"/>
    <w:rsid w:val="546C70EA"/>
    <w:rsid w:val="548E6782"/>
    <w:rsid w:val="551F6956"/>
    <w:rsid w:val="55627EA8"/>
    <w:rsid w:val="557137A4"/>
    <w:rsid w:val="557C2064"/>
    <w:rsid w:val="559A66C2"/>
    <w:rsid w:val="55C374A8"/>
    <w:rsid w:val="55D6253B"/>
    <w:rsid w:val="55EB6F64"/>
    <w:rsid w:val="55EC1152"/>
    <w:rsid w:val="55FB4216"/>
    <w:rsid w:val="56203E5A"/>
    <w:rsid w:val="562A2A7F"/>
    <w:rsid w:val="563E7D25"/>
    <w:rsid w:val="564B458E"/>
    <w:rsid w:val="56580428"/>
    <w:rsid w:val="56684980"/>
    <w:rsid w:val="56792962"/>
    <w:rsid w:val="56AD1477"/>
    <w:rsid w:val="56B42AB9"/>
    <w:rsid w:val="56EB337E"/>
    <w:rsid w:val="57247F65"/>
    <w:rsid w:val="573B3F98"/>
    <w:rsid w:val="57492FAC"/>
    <w:rsid w:val="58225E02"/>
    <w:rsid w:val="58520694"/>
    <w:rsid w:val="585E5BA8"/>
    <w:rsid w:val="587122DA"/>
    <w:rsid w:val="588E13BF"/>
    <w:rsid w:val="5891699E"/>
    <w:rsid w:val="58AC609E"/>
    <w:rsid w:val="58CA0850"/>
    <w:rsid w:val="58EA34F4"/>
    <w:rsid w:val="58F6102A"/>
    <w:rsid w:val="59031A39"/>
    <w:rsid w:val="59194AD7"/>
    <w:rsid w:val="597F3785"/>
    <w:rsid w:val="59BA2941"/>
    <w:rsid w:val="59C95467"/>
    <w:rsid w:val="59E319A6"/>
    <w:rsid w:val="59E96494"/>
    <w:rsid w:val="5A3676DD"/>
    <w:rsid w:val="5A3C594E"/>
    <w:rsid w:val="5A4009BF"/>
    <w:rsid w:val="5A6D7EBD"/>
    <w:rsid w:val="5A6F0593"/>
    <w:rsid w:val="5A707949"/>
    <w:rsid w:val="5AAE2683"/>
    <w:rsid w:val="5ACA252E"/>
    <w:rsid w:val="5ACD38F5"/>
    <w:rsid w:val="5ADE4867"/>
    <w:rsid w:val="5AEF1271"/>
    <w:rsid w:val="5AF04581"/>
    <w:rsid w:val="5AF721F4"/>
    <w:rsid w:val="5B10362C"/>
    <w:rsid w:val="5B2B0042"/>
    <w:rsid w:val="5B395C6D"/>
    <w:rsid w:val="5BAD4AB0"/>
    <w:rsid w:val="5BC3189A"/>
    <w:rsid w:val="5BF41C67"/>
    <w:rsid w:val="5C240674"/>
    <w:rsid w:val="5C24195F"/>
    <w:rsid w:val="5C3021B3"/>
    <w:rsid w:val="5C553C10"/>
    <w:rsid w:val="5C594EF0"/>
    <w:rsid w:val="5C62465A"/>
    <w:rsid w:val="5C965AD7"/>
    <w:rsid w:val="5C9C1AB7"/>
    <w:rsid w:val="5CEA1D1B"/>
    <w:rsid w:val="5CF94E7D"/>
    <w:rsid w:val="5D312DA5"/>
    <w:rsid w:val="5D586B67"/>
    <w:rsid w:val="5D5B6193"/>
    <w:rsid w:val="5D611CF6"/>
    <w:rsid w:val="5D7B238B"/>
    <w:rsid w:val="5D953B1C"/>
    <w:rsid w:val="5D983C26"/>
    <w:rsid w:val="5D996EBC"/>
    <w:rsid w:val="5DBA54DC"/>
    <w:rsid w:val="5DEB0993"/>
    <w:rsid w:val="5E042870"/>
    <w:rsid w:val="5E7D30ED"/>
    <w:rsid w:val="5EAD6C9C"/>
    <w:rsid w:val="5EAE2515"/>
    <w:rsid w:val="5ED52824"/>
    <w:rsid w:val="5EF0582B"/>
    <w:rsid w:val="5F435985"/>
    <w:rsid w:val="5F4D79D3"/>
    <w:rsid w:val="5FB62151"/>
    <w:rsid w:val="5FB9154B"/>
    <w:rsid w:val="5FCF6E40"/>
    <w:rsid w:val="5FDF3616"/>
    <w:rsid w:val="5FED676F"/>
    <w:rsid w:val="601A4B11"/>
    <w:rsid w:val="607209CF"/>
    <w:rsid w:val="60873C43"/>
    <w:rsid w:val="608C742D"/>
    <w:rsid w:val="6091482D"/>
    <w:rsid w:val="609B7E78"/>
    <w:rsid w:val="60AA7836"/>
    <w:rsid w:val="60AB765E"/>
    <w:rsid w:val="60DD1149"/>
    <w:rsid w:val="60E85A88"/>
    <w:rsid w:val="610004E5"/>
    <w:rsid w:val="61051D03"/>
    <w:rsid w:val="610D34E3"/>
    <w:rsid w:val="612D657A"/>
    <w:rsid w:val="6153188F"/>
    <w:rsid w:val="618E3FB1"/>
    <w:rsid w:val="61CD4142"/>
    <w:rsid w:val="61F13505"/>
    <w:rsid w:val="61F70891"/>
    <w:rsid w:val="62081E98"/>
    <w:rsid w:val="620B661D"/>
    <w:rsid w:val="620F2A52"/>
    <w:rsid w:val="622B199B"/>
    <w:rsid w:val="624812F3"/>
    <w:rsid w:val="6264571E"/>
    <w:rsid w:val="6279138D"/>
    <w:rsid w:val="62AC3EE8"/>
    <w:rsid w:val="62AE5028"/>
    <w:rsid w:val="62BE7E2A"/>
    <w:rsid w:val="62C53D5B"/>
    <w:rsid w:val="62DB04CF"/>
    <w:rsid w:val="62F95F84"/>
    <w:rsid w:val="63027C9D"/>
    <w:rsid w:val="636E0FFC"/>
    <w:rsid w:val="63AC68ED"/>
    <w:rsid w:val="640A64F7"/>
    <w:rsid w:val="64340F42"/>
    <w:rsid w:val="64676CB4"/>
    <w:rsid w:val="64A642B7"/>
    <w:rsid w:val="64EF561D"/>
    <w:rsid w:val="65075DE6"/>
    <w:rsid w:val="65231E3A"/>
    <w:rsid w:val="65482DDF"/>
    <w:rsid w:val="654A5867"/>
    <w:rsid w:val="655318C6"/>
    <w:rsid w:val="6560259F"/>
    <w:rsid w:val="65931EDD"/>
    <w:rsid w:val="65B23AC1"/>
    <w:rsid w:val="65DE28A6"/>
    <w:rsid w:val="65E60B6F"/>
    <w:rsid w:val="66041C0C"/>
    <w:rsid w:val="66613728"/>
    <w:rsid w:val="666910D5"/>
    <w:rsid w:val="667A0BE3"/>
    <w:rsid w:val="66A837D1"/>
    <w:rsid w:val="66B43920"/>
    <w:rsid w:val="66D22602"/>
    <w:rsid w:val="66FE32A8"/>
    <w:rsid w:val="67540551"/>
    <w:rsid w:val="679C7331"/>
    <w:rsid w:val="67AF6427"/>
    <w:rsid w:val="67B4480B"/>
    <w:rsid w:val="67CA21D2"/>
    <w:rsid w:val="67CD2E0A"/>
    <w:rsid w:val="67E95CE9"/>
    <w:rsid w:val="67F51E41"/>
    <w:rsid w:val="67F66AB2"/>
    <w:rsid w:val="67FE7603"/>
    <w:rsid w:val="680D034C"/>
    <w:rsid w:val="6815685E"/>
    <w:rsid w:val="684744CB"/>
    <w:rsid w:val="684A29D3"/>
    <w:rsid w:val="688B3E6F"/>
    <w:rsid w:val="68975BA0"/>
    <w:rsid w:val="68AE4C8E"/>
    <w:rsid w:val="68C72BC1"/>
    <w:rsid w:val="68F17A34"/>
    <w:rsid w:val="68FF13A4"/>
    <w:rsid w:val="690178B8"/>
    <w:rsid w:val="69497B31"/>
    <w:rsid w:val="694C14FE"/>
    <w:rsid w:val="695318FB"/>
    <w:rsid w:val="6958523A"/>
    <w:rsid w:val="69854E5E"/>
    <w:rsid w:val="699E4E29"/>
    <w:rsid w:val="699F0071"/>
    <w:rsid w:val="699F31A7"/>
    <w:rsid w:val="6A4A278F"/>
    <w:rsid w:val="6A4B7F7C"/>
    <w:rsid w:val="6A5F1E0E"/>
    <w:rsid w:val="6A736CBD"/>
    <w:rsid w:val="6A845C6A"/>
    <w:rsid w:val="6A9B1068"/>
    <w:rsid w:val="6A9E6904"/>
    <w:rsid w:val="6ABD48B3"/>
    <w:rsid w:val="6AC36461"/>
    <w:rsid w:val="6AFF3C12"/>
    <w:rsid w:val="6B1F5808"/>
    <w:rsid w:val="6B25333A"/>
    <w:rsid w:val="6B4B3FBF"/>
    <w:rsid w:val="6B5D1494"/>
    <w:rsid w:val="6B795DAA"/>
    <w:rsid w:val="6B8F7EE2"/>
    <w:rsid w:val="6BC74DB9"/>
    <w:rsid w:val="6BCD3C6B"/>
    <w:rsid w:val="6BD94CF5"/>
    <w:rsid w:val="6BF8707F"/>
    <w:rsid w:val="6C2B5BB8"/>
    <w:rsid w:val="6C593B8F"/>
    <w:rsid w:val="6C8267EF"/>
    <w:rsid w:val="6CA25293"/>
    <w:rsid w:val="6CC61278"/>
    <w:rsid w:val="6CCC120C"/>
    <w:rsid w:val="6CD96D2B"/>
    <w:rsid w:val="6CE02A99"/>
    <w:rsid w:val="6CE420E2"/>
    <w:rsid w:val="6CFB0AEE"/>
    <w:rsid w:val="6D04283D"/>
    <w:rsid w:val="6D1A649B"/>
    <w:rsid w:val="6D294295"/>
    <w:rsid w:val="6D2E186C"/>
    <w:rsid w:val="6DBF3308"/>
    <w:rsid w:val="6E0428BC"/>
    <w:rsid w:val="6E0A5F6B"/>
    <w:rsid w:val="6E0B6F9C"/>
    <w:rsid w:val="6E320196"/>
    <w:rsid w:val="6E39241B"/>
    <w:rsid w:val="6ECE7846"/>
    <w:rsid w:val="6EE03BED"/>
    <w:rsid w:val="6F18799F"/>
    <w:rsid w:val="6F5020EA"/>
    <w:rsid w:val="6F5A5949"/>
    <w:rsid w:val="6FAF644F"/>
    <w:rsid w:val="6FB1408D"/>
    <w:rsid w:val="6FDE5227"/>
    <w:rsid w:val="70462B36"/>
    <w:rsid w:val="70553C42"/>
    <w:rsid w:val="70901464"/>
    <w:rsid w:val="70940BF4"/>
    <w:rsid w:val="70A0261E"/>
    <w:rsid w:val="70A96FE6"/>
    <w:rsid w:val="70B4602B"/>
    <w:rsid w:val="70EB3DB4"/>
    <w:rsid w:val="70F53F12"/>
    <w:rsid w:val="71072DD9"/>
    <w:rsid w:val="714F1569"/>
    <w:rsid w:val="716B1A32"/>
    <w:rsid w:val="71732D58"/>
    <w:rsid w:val="718C3E37"/>
    <w:rsid w:val="71915716"/>
    <w:rsid w:val="71955EFB"/>
    <w:rsid w:val="720E7483"/>
    <w:rsid w:val="7211401C"/>
    <w:rsid w:val="721627CD"/>
    <w:rsid w:val="72576952"/>
    <w:rsid w:val="72661D6D"/>
    <w:rsid w:val="72721C75"/>
    <w:rsid w:val="72951A37"/>
    <w:rsid w:val="72A37546"/>
    <w:rsid w:val="72DE2250"/>
    <w:rsid w:val="72E12135"/>
    <w:rsid w:val="72E2594D"/>
    <w:rsid w:val="72F20A73"/>
    <w:rsid w:val="73054401"/>
    <w:rsid w:val="730D36FB"/>
    <w:rsid w:val="73150A3D"/>
    <w:rsid w:val="73716B6C"/>
    <w:rsid w:val="737B0A6B"/>
    <w:rsid w:val="739C2A88"/>
    <w:rsid w:val="73A814F6"/>
    <w:rsid w:val="73CE085D"/>
    <w:rsid w:val="73E44663"/>
    <w:rsid w:val="74282365"/>
    <w:rsid w:val="74427782"/>
    <w:rsid w:val="74512320"/>
    <w:rsid w:val="745B2E48"/>
    <w:rsid w:val="74B3429D"/>
    <w:rsid w:val="74CC51DA"/>
    <w:rsid w:val="74D32EA5"/>
    <w:rsid w:val="74F304CE"/>
    <w:rsid w:val="75146837"/>
    <w:rsid w:val="751533C0"/>
    <w:rsid w:val="751A33F0"/>
    <w:rsid w:val="75294F97"/>
    <w:rsid w:val="75505E1F"/>
    <w:rsid w:val="75670781"/>
    <w:rsid w:val="75744C29"/>
    <w:rsid w:val="75AD6A92"/>
    <w:rsid w:val="75BE639A"/>
    <w:rsid w:val="75C13364"/>
    <w:rsid w:val="75D931E7"/>
    <w:rsid w:val="75E67078"/>
    <w:rsid w:val="76123904"/>
    <w:rsid w:val="762D2664"/>
    <w:rsid w:val="76443A1D"/>
    <w:rsid w:val="767E1270"/>
    <w:rsid w:val="768123B7"/>
    <w:rsid w:val="76902DFA"/>
    <w:rsid w:val="76912CC2"/>
    <w:rsid w:val="76AB6B0A"/>
    <w:rsid w:val="76B628BC"/>
    <w:rsid w:val="76D2656C"/>
    <w:rsid w:val="76D4149B"/>
    <w:rsid w:val="76E60A8D"/>
    <w:rsid w:val="77280D22"/>
    <w:rsid w:val="77526882"/>
    <w:rsid w:val="77836411"/>
    <w:rsid w:val="778C35D8"/>
    <w:rsid w:val="780E027F"/>
    <w:rsid w:val="782034A7"/>
    <w:rsid w:val="78306DEB"/>
    <w:rsid w:val="78620678"/>
    <w:rsid w:val="7866636C"/>
    <w:rsid w:val="78734977"/>
    <w:rsid w:val="78A3381B"/>
    <w:rsid w:val="78BE2D03"/>
    <w:rsid w:val="79182CA6"/>
    <w:rsid w:val="792018DB"/>
    <w:rsid w:val="794C5432"/>
    <w:rsid w:val="79622438"/>
    <w:rsid w:val="79754725"/>
    <w:rsid w:val="797F0343"/>
    <w:rsid w:val="79A70769"/>
    <w:rsid w:val="79DE162C"/>
    <w:rsid w:val="79EE0681"/>
    <w:rsid w:val="7A1D101B"/>
    <w:rsid w:val="7A2540B3"/>
    <w:rsid w:val="7A480199"/>
    <w:rsid w:val="7A603F19"/>
    <w:rsid w:val="7A6C7660"/>
    <w:rsid w:val="7AA73E5E"/>
    <w:rsid w:val="7AAD6471"/>
    <w:rsid w:val="7AC23622"/>
    <w:rsid w:val="7B0254DE"/>
    <w:rsid w:val="7B39348F"/>
    <w:rsid w:val="7B6962D7"/>
    <w:rsid w:val="7B6A2CF0"/>
    <w:rsid w:val="7B84298F"/>
    <w:rsid w:val="7B873604"/>
    <w:rsid w:val="7BA919F6"/>
    <w:rsid w:val="7BAA2185"/>
    <w:rsid w:val="7BB0487A"/>
    <w:rsid w:val="7C361FD1"/>
    <w:rsid w:val="7C4E181F"/>
    <w:rsid w:val="7C6F6FAC"/>
    <w:rsid w:val="7C781FB0"/>
    <w:rsid w:val="7C914A01"/>
    <w:rsid w:val="7CA03FCB"/>
    <w:rsid w:val="7CA9403B"/>
    <w:rsid w:val="7CAE2104"/>
    <w:rsid w:val="7CE75968"/>
    <w:rsid w:val="7D644F18"/>
    <w:rsid w:val="7D7527BD"/>
    <w:rsid w:val="7DA94C83"/>
    <w:rsid w:val="7DB064FA"/>
    <w:rsid w:val="7E0601E9"/>
    <w:rsid w:val="7E293911"/>
    <w:rsid w:val="7E2F51D6"/>
    <w:rsid w:val="7E4D65E6"/>
    <w:rsid w:val="7E79238B"/>
    <w:rsid w:val="7E8E2E0B"/>
    <w:rsid w:val="7E931354"/>
    <w:rsid w:val="7EB554A1"/>
    <w:rsid w:val="7F054EDA"/>
    <w:rsid w:val="7F153ED5"/>
    <w:rsid w:val="7F2F6C90"/>
    <w:rsid w:val="7F70522E"/>
    <w:rsid w:val="7F776C84"/>
    <w:rsid w:val="7F7E3D1E"/>
    <w:rsid w:val="7F8C6B77"/>
    <w:rsid w:val="7F961060"/>
    <w:rsid w:val="7FC746CE"/>
    <w:rsid w:val="7FCF14D7"/>
    <w:rsid w:val="7FD00373"/>
    <w:rsid w:val="7FE65316"/>
    <w:rsid w:val="7FF528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4"/>
      <w:lang w:val="en-US" w:eastAsia="zh-CN" w:bidi="ar-SA"/>
    </w:rPr>
  </w:style>
  <w:style w:type="paragraph" w:styleId="2">
    <w:name w:val="heading 1"/>
    <w:basedOn w:val="1"/>
    <w:next w:val="1"/>
    <w:link w:val="33"/>
    <w:qFormat/>
    <w:uiPriority w:val="99"/>
    <w:pPr>
      <w:keepNext/>
      <w:keepLines/>
      <w:spacing w:before="340" w:after="330" w:line="578" w:lineRule="auto"/>
      <w:outlineLvl w:val="0"/>
    </w:pPr>
    <w:rPr>
      <w:rFonts w:eastAsia="宋体"/>
      <w:b/>
      <w:bCs/>
      <w:kern w:val="44"/>
      <w:sz w:val="44"/>
      <w:szCs w:val="44"/>
    </w:rPr>
  </w:style>
  <w:style w:type="paragraph" w:styleId="3">
    <w:name w:val="heading 2"/>
    <w:basedOn w:val="1"/>
    <w:next w:val="1"/>
    <w:link w:val="32"/>
    <w:qFormat/>
    <w:uiPriority w:val="0"/>
    <w:pPr>
      <w:keepNext/>
      <w:keepLines/>
      <w:spacing w:before="260" w:after="260" w:line="416" w:lineRule="auto"/>
      <w:outlineLvl w:val="1"/>
    </w:pPr>
    <w:rPr>
      <w:rFonts w:ascii="Cambria" w:hAnsi="Cambria"/>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800"/>
      <w:jc w:val="left"/>
    </w:pPr>
    <w:rPr>
      <w:rFonts w:asciiTheme="minorHAnsi" w:hAnsiTheme="minorHAnsi"/>
      <w:sz w:val="18"/>
      <w:szCs w:val="18"/>
    </w:rPr>
  </w:style>
  <w:style w:type="paragraph" w:styleId="5">
    <w:name w:val="Body Text Indent"/>
    <w:basedOn w:val="1"/>
    <w:link w:val="28"/>
    <w:qFormat/>
    <w:uiPriority w:val="0"/>
    <w:pPr>
      <w:autoSpaceDE w:val="0"/>
      <w:autoSpaceDN w:val="0"/>
      <w:adjustRightInd w:val="0"/>
      <w:snapToGrid w:val="0"/>
      <w:spacing w:line="588" w:lineRule="atLeast"/>
      <w:ind w:left="1596" w:hanging="969"/>
    </w:pPr>
    <w:rPr>
      <w:rFonts w:ascii="宋体" w:hAnsi="宋体"/>
      <w:spacing w:val="6"/>
    </w:rPr>
  </w:style>
  <w:style w:type="paragraph" w:styleId="6">
    <w:name w:val="toc 5"/>
    <w:basedOn w:val="1"/>
    <w:next w:val="1"/>
    <w:qFormat/>
    <w:uiPriority w:val="0"/>
    <w:pPr>
      <w:ind w:left="1200"/>
      <w:jc w:val="left"/>
    </w:pPr>
    <w:rPr>
      <w:rFonts w:asciiTheme="minorHAnsi" w:hAnsiTheme="minorHAnsi"/>
      <w:sz w:val="18"/>
      <w:szCs w:val="18"/>
    </w:rPr>
  </w:style>
  <w:style w:type="paragraph" w:styleId="7">
    <w:name w:val="toc 3"/>
    <w:basedOn w:val="1"/>
    <w:next w:val="1"/>
    <w:qFormat/>
    <w:uiPriority w:val="0"/>
    <w:pPr>
      <w:ind w:left="600"/>
      <w:jc w:val="left"/>
    </w:pPr>
    <w:rPr>
      <w:rFonts w:asciiTheme="minorHAnsi" w:hAnsiTheme="minorHAnsi"/>
      <w:i/>
      <w:iCs/>
      <w:sz w:val="20"/>
      <w:szCs w:val="20"/>
    </w:rPr>
  </w:style>
  <w:style w:type="paragraph" w:styleId="8">
    <w:name w:val="Plain Text"/>
    <w:basedOn w:val="1"/>
    <w:qFormat/>
    <w:uiPriority w:val="0"/>
    <w:rPr>
      <w:rFonts w:ascii="宋体" w:hAnsi="Courier New" w:cs="Courier New"/>
      <w:szCs w:val="21"/>
    </w:rPr>
  </w:style>
  <w:style w:type="paragraph" w:styleId="9">
    <w:name w:val="toc 8"/>
    <w:basedOn w:val="1"/>
    <w:next w:val="1"/>
    <w:qFormat/>
    <w:uiPriority w:val="0"/>
    <w:pPr>
      <w:ind w:left="2100"/>
      <w:jc w:val="left"/>
    </w:pPr>
    <w:rPr>
      <w:rFonts w:asciiTheme="minorHAnsi" w:hAnsiTheme="minorHAnsi"/>
      <w:sz w:val="18"/>
      <w:szCs w:val="18"/>
    </w:rPr>
  </w:style>
  <w:style w:type="paragraph" w:styleId="10">
    <w:name w:val="Balloon Text"/>
    <w:basedOn w:val="1"/>
    <w:link w:val="4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nhideWhenUsed/>
    <w:qFormat/>
    <w:uiPriority w:val="39"/>
    <w:pPr>
      <w:spacing w:before="120" w:after="120"/>
      <w:jc w:val="left"/>
    </w:pPr>
    <w:rPr>
      <w:rFonts w:asciiTheme="minorHAnsi" w:hAnsiTheme="minorHAnsi"/>
      <w:b/>
      <w:bCs/>
      <w:caps/>
      <w:sz w:val="20"/>
      <w:szCs w:val="20"/>
    </w:rPr>
  </w:style>
  <w:style w:type="paragraph" w:styleId="14">
    <w:name w:val="toc 4"/>
    <w:basedOn w:val="1"/>
    <w:next w:val="1"/>
    <w:qFormat/>
    <w:uiPriority w:val="0"/>
    <w:pPr>
      <w:ind w:left="900"/>
      <w:jc w:val="left"/>
    </w:pPr>
    <w:rPr>
      <w:rFonts w:asciiTheme="minorHAnsi" w:hAnsiTheme="minorHAnsi"/>
      <w:sz w:val="18"/>
      <w:szCs w:val="18"/>
    </w:rPr>
  </w:style>
  <w:style w:type="paragraph" w:styleId="15">
    <w:name w:val="toc 6"/>
    <w:basedOn w:val="1"/>
    <w:next w:val="1"/>
    <w:qFormat/>
    <w:uiPriority w:val="0"/>
    <w:pPr>
      <w:ind w:left="1500"/>
      <w:jc w:val="left"/>
    </w:pPr>
    <w:rPr>
      <w:rFonts w:asciiTheme="minorHAnsi" w:hAnsiTheme="minorHAnsi"/>
      <w:sz w:val="18"/>
      <w:szCs w:val="18"/>
    </w:rPr>
  </w:style>
  <w:style w:type="paragraph" w:styleId="16">
    <w:name w:val="toc 2"/>
    <w:basedOn w:val="1"/>
    <w:next w:val="1"/>
    <w:unhideWhenUsed/>
    <w:qFormat/>
    <w:uiPriority w:val="39"/>
    <w:pPr>
      <w:ind w:left="300"/>
      <w:jc w:val="left"/>
    </w:pPr>
    <w:rPr>
      <w:rFonts w:asciiTheme="minorHAnsi" w:hAnsiTheme="minorHAnsi"/>
      <w:smallCaps/>
      <w:sz w:val="20"/>
      <w:szCs w:val="20"/>
    </w:rPr>
  </w:style>
  <w:style w:type="paragraph" w:styleId="17">
    <w:name w:val="toc 9"/>
    <w:basedOn w:val="1"/>
    <w:next w:val="1"/>
    <w:qFormat/>
    <w:uiPriority w:val="0"/>
    <w:pPr>
      <w:ind w:left="2400"/>
      <w:jc w:val="left"/>
    </w:pPr>
    <w:rPr>
      <w:rFonts w:asciiTheme="minorHAnsi" w:hAnsiTheme="minorHAnsi"/>
      <w:sz w:val="18"/>
      <w:szCs w:val="18"/>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Title"/>
    <w:basedOn w:val="1"/>
    <w:next w:val="1"/>
    <w:qFormat/>
    <w:uiPriority w:val="0"/>
    <w:pPr>
      <w:spacing w:before="240" w:after="60"/>
      <w:jc w:val="center"/>
      <w:outlineLvl w:val="0"/>
    </w:pPr>
    <w:rPr>
      <w:rFonts w:ascii="Cambria" w:hAnsi="Cambria" w:eastAsia="宋体"/>
      <w:b/>
      <w:bCs/>
      <w:kern w:val="0"/>
      <w:sz w:val="32"/>
      <w:szCs w:val="32"/>
    </w:rPr>
  </w:style>
  <w:style w:type="table" w:styleId="21">
    <w:name w:val="Table Grid"/>
    <w:basedOn w:val="2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0"/>
    <w:rPr>
      <w:b/>
    </w:rPr>
  </w:style>
  <w:style w:type="character" w:styleId="24">
    <w:name w:val="FollowedHyperlink"/>
    <w:qFormat/>
    <w:uiPriority w:val="0"/>
    <w:rPr>
      <w:color w:val="000000"/>
      <w:sz w:val="18"/>
      <w:szCs w:val="18"/>
      <w:u w:val="none"/>
    </w:rPr>
  </w:style>
  <w:style w:type="character" w:styleId="25">
    <w:name w:val="Hyperlink"/>
    <w:unhideWhenUsed/>
    <w:qFormat/>
    <w:uiPriority w:val="99"/>
    <w:rPr>
      <w:color w:val="0563C1"/>
      <w:u w:val="single"/>
    </w:rPr>
  </w:style>
  <w:style w:type="character" w:customStyle="1" w:styleId="26">
    <w:name w:val="font51"/>
    <w:qFormat/>
    <w:uiPriority w:val="0"/>
    <w:rPr>
      <w:rFonts w:hint="eastAsia" w:ascii="宋体" w:hAnsi="宋体" w:eastAsia="宋体" w:cs="宋体"/>
      <w:color w:val="000000"/>
      <w:sz w:val="20"/>
      <w:szCs w:val="20"/>
      <w:u w:val="none"/>
    </w:rPr>
  </w:style>
  <w:style w:type="character" w:customStyle="1" w:styleId="27">
    <w:name w:val="font21"/>
    <w:qFormat/>
    <w:uiPriority w:val="0"/>
    <w:rPr>
      <w:rFonts w:hint="eastAsia" w:ascii="宋体" w:hAnsi="宋体" w:eastAsia="宋体" w:cs="宋体"/>
      <w:color w:val="000000"/>
      <w:sz w:val="20"/>
      <w:szCs w:val="20"/>
      <w:u w:val="none"/>
    </w:rPr>
  </w:style>
  <w:style w:type="character" w:customStyle="1" w:styleId="28">
    <w:name w:val="正文文本缩进 Char"/>
    <w:link w:val="5"/>
    <w:qFormat/>
    <w:uiPriority w:val="0"/>
    <w:rPr>
      <w:rFonts w:ascii="宋体" w:hAnsi="宋体" w:eastAsia="仿宋_GB2312"/>
      <w:spacing w:val="6"/>
      <w:kern w:val="2"/>
      <w:sz w:val="30"/>
      <w:szCs w:val="24"/>
    </w:rPr>
  </w:style>
  <w:style w:type="character" w:customStyle="1" w:styleId="29">
    <w:name w:val="font61"/>
    <w:qFormat/>
    <w:uiPriority w:val="0"/>
    <w:rPr>
      <w:rFonts w:hint="eastAsia" w:ascii="宋体" w:hAnsi="宋体" w:eastAsia="宋体" w:cs="宋体"/>
      <w:color w:val="000000"/>
      <w:sz w:val="20"/>
      <w:szCs w:val="20"/>
      <w:u w:val="none"/>
    </w:rPr>
  </w:style>
  <w:style w:type="character" w:customStyle="1" w:styleId="30">
    <w:name w:val="font01"/>
    <w:qFormat/>
    <w:uiPriority w:val="0"/>
    <w:rPr>
      <w:rFonts w:hint="eastAsia" w:ascii="宋体" w:hAnsi="宋体" w:eastAsia="宋体" w:cs="宋体"/>
      <w:color w:val="000000"/>
      <w:sz w:val="20"/>
      <w:szCs w:val="20"/>
      <w:u w:val="none"/>
    </w:rPr>
  </w:style>
  <w:style w:type="character" w:customStyle="1" w:styleId="31">
    <w:name w:val="font41"/>
    <w:qFormat/>
    <w:uiPriority w:val="0"/>
    <w:rPr>
      <w:rFonts w:hint="default" w:ascii="Times New Roman" w:hAnsi="Times New Roman" w:cs="Times New Roman"/>
      <w:color w:val="000000"/>
      <w:sz w:val="20"/>
      <w:szCs w:val="20"/>
      <w:u w:val="none"/>
    </w:rPr>
  </w:style>
  <w:style w:type="character" w:customStyle="1" w:styleId="32">
    <w:name w:val="标题 2 Char"/>
    <w:link w:val="3"/>
    <w:qFormat/>
    <w:uiPriority w:val="0"/>
    <w:rPr>
      <w:rFonts w:ascii="Cambria" w:hAnsi="Cambria" w:eastAsia="仿宋_GB2312"/>
      <w:b/>
      <w:bCs/>
      <w:kern w:val="2"/>
      <w:sz w:val="32"/>
      <w:szCs w:val="32"/>
    </w:rPr>
  </w:style>
  <w:style w:type="character" w:customStyle="1" w:styleId="33">
    <w:name w:val="标题 1 Char"/>
    <w:link w:val="2"/>
    <w:qFormat/>
    <w:uiPriority w:val="99"/>
    <w:rPr>
      <w:b/>
      <w:bCs/>
      <w:kern w:val="44"/>
      <w:sz w:val="44"/>
      <w:szCs w:val="44"/>
    </w:rPr>
  </w:style>
  <w:style w:type="character" w:customStyle="1" w:styleId="34">
    <w:name w:val="font11"/>
    <w:qFormat/>
    <w:uiPriority w:val="0"/>
    <w:rPr>
      <w:rFonts w:hint="eastAsia" w:ascii="宋体" w:hAnsi="宋体" w:eastAsia="宋体" w:cs="宋体"/>
      <w:color w:val="000000"/>
      <w:sz w:val="20"/>
      <w:szCs w:val="20"/>
      <w:u w:val="none"/>
    </w:rPr>
  </w:style>
  <w:style w:type="character" w:customStyle="1" w:styleId="35">
    <w:name w:val="font71"/>
    <w:qFormat/>
    <w:uiPriority w:val="0"/>
    <w:rPr>
      <w:rFonts w:hint="eastAsia" w:ascii="宋体" w:hAnsi="宋体" w:eastAsia="宋体" w:cs="宋体"/>
      <w:color w:val="000000"/>
      <w:sz w:val="16"/>
      <w:szCs w:val="16"/>
      <w:u w:val="none"/>
    </w:rPr>
  </w:style>
  <w:style w:type="paragraph" w:customStyle="1" w:styleId="36">
    <w:name w:val="标题 11"/>
    <w:basedOn w:val="1"/>
    <w:qFormat/>
    <w:uiPriority w:val="1"/>
    <w:pPr>
      <w:ind w:left="226"/>
      <w:outlineLvl w:val="1"/>
    </w:pPr>
    <w:rPr>
      <w:rFonts w:ascii="仿宋_GB2312" w:hAnsi="仿宋_GB2312"/>
      <w:sz w:val="32"/>
      <w:szCs w:val="32"/>
    </w:rPr>
  </w:style>
  <w:style w:type="paragraph" w:customStyle="1" w:styleId="37">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3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1">
    <w:name w:val="批注框文本 Char"/>
    <w:basedOn w:val="22"/>
    <w:link w:val="10"/>
    <w:qFormat/>
    <w:uiPriority w:val="0"/>
    <w:rPr>
      <w:rFonts w:eastAsia="仿宋_GB2312"/>
      <w:kern w:val="2"/>
      <w:sz w:val="18"/>
      <w:szCs w:val="18"/>
    </w:rPr>
  </w:style>
  <w:style w:type="character" w:customStyle="1" w:styleId="42">
    <w:name w:val="font31"/>
    <w:basedOn w:val="22"/>
    <w:qFormat/>
    <w:uiPriority w:val="0"/>
    <w:rPr>
      <w:rFonts w:hint="eastAsia" w:ascii="宋体" w:hAnsi="宋体" w:eastAsia="宋体" w:cs="宋体"/>
      <w:color w:val="000000"/>
      <w:sz w:val="20"/>
      <w:szCs w:val="20"/>
      <w:u w:val="none"/>
    </w:rPr>
  </w:style>
  <w:style w:type="character" w:customStyle="1" w:styleId="43">
    <w:name w:val="font91"/>
    <w:basedOn w:val="22"/>
    <w:qFormat/>
    <w:uiPriority w:val="0"/>
    <w:rPr>
      <w:rFonts w:hint="default" w:ascii="Times New Roman" w:hAnsi="Times New Roman" w:cs="Times New Roman"/>
      <w:color w:val="000000"/>
      <w:sz w:val="20"/>
      <w:szCs w:val="20"/>
      <w:u w:val="none"/>
    </w:rPr>
  </w:style>
  <w:style w:type="character" w:customStyle="1" w:styleId="44">
    <w:name w:val="font101"/>
    <w:basedOn w:val="22"/>
    <w:qFormat/>
    <w:uiPriority w:val="0"/>
    <w:rPr>
      <w:rFonts w:hint="default" w:ascii="Times New Roman" w:hAnsi="Times New Roman" w:cs="Times New Roman"/>
      <w:color w:val="000000"/>
      <w:sz w:val="20"/>
      <w:szCs w:val="20"/>
      <w:u w:val="none"/>
    </w:rPr>
  </w:style>
  <w:style w:type="paragraph" w:customStyle="1" w:styleId="45">
    <w:name w:val="TOC 标题3"/>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5"/>
    <customShpInfo spid="_x0000_s2071"/>
    <customShpInfo spid="_x0000_s2072"/>
    <customShpInfo spid="_x0000_s2069"/>
    <customShpInfo spid="_x0000_s2060"/>
    <customShpInfo spid="_x0000_s2058"/>
    <customShpInfo spid="_x0000_s105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FD017C-430E-4C68-BA73-F8FD2BDC7018}">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26</Pages>
  <Words>2174</Words>
  <Characters>12393</Characters>
  <Lines>103</Lines>
  <Paragraphs>29</Paragraphs>
  <TotalTime>5</TotalTime>
  <ScaleCrop>false</ScaleCrop>
  <LinksUpToDate>false</LinksUpToDate>
  <CharactersWithSpaces>14538</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2020-05-23T06:47:00Z</dcterms:created>
  <dc:creator>89532</dc:creator>
  <cp:lastModifiedBy>user</cp:lastModifiedBy>
  <cp:lastPrinted>2018-06-28T08:27:00Z</cp:lastPrinted>
  <dcterms:modified xsi:type="dcterms:W3CDTF">2025-05-14T05:45:50Z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309564E1A6FA49448C825DFBD879352D</vt:lpwstr>
  </property>
</Properties>
</file>