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sz w:val="48"/>
          <w:szCs w:val="48"/>
        </w:rPr>
      </w:pPr>
      <w:r>
        <w:rPr>
          <w:rFonts w:eastAsia="黑体"/>
          <w:b/>
          <w:bCs/>
          <w:spacing w:val="1"/>
          <w:sz w:val="48"/>
          <w:szCs w:val="48"/>
        </w:rPr>
        <w:t>项目支出绩效评价报告</w:t>
      </w: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before="8" w:line="620" w:lineRule="exact"/>
        <w:rPr>
          <w:sz w:val="62"/>
          <w:szCs w:val="62"/>
        </w:rPr>
      </w:pPr>
    </w:p>
    <w:p>
      <w:pPr>
        <w:spacing w:line="580" w:lineRule="exact"/>
        <w:ind w:firstLine="720" w:firstLineChars="300"/>
        <w:rPr>
          <w:rFonts w:eastAsia="宋体"/>
          <w:sz w:val="24"/>
        </w:rPr>
      </w:pPr>
      <w:r>
        <w:rPr>
          <w:rFonts w:eastAsia="宋体"/>
          <w:sz w:val="24"/>
        </w:rPr>
        <w:t>评价机构：河北德永会计师事务所有限公司</w:t>
      </w:r>
    </w:p>
    <w:p>
      <w:pPr>
        <w:spacing w:line="580" w:lineRule="exact"/>
        <w:ind w:firstLine="720" w:firstLineChars="300"/>
        <w:rPr>
          <w:rFonts w:eastAsia="宋体"/>
          <w:sz w:val="24"/>
        </w:rPr>
      </w:pPr>
      <w:r>
        <w:rPr>
          <w:rFonts w:eastAsia="宋体"/>
          <w:sz w:val="24"/>
        </w:rPr>
        <w:t>委托单位：</w:t>
      </w:r>
      <w:r>
        <w:rPr>
          <w:rFonts w:hint="eastAsia" w:eastAsia="宋体"/>
          <w:sz w:val="24"/>
          <w:lang w:eastAsia="zh-CN"/>
        </w:rPr>
        <w:t>保定市徐水区</w:t>
      </w:r>
      <w:r>
        <w:rPr>
          <w:rFonts w:eastAsia="宋体"/>
          <w:sz w:val="24"/>
        </w:rPr>
        <w:t>财政局</w:t>
      </w:r>
    </w:p>
    <w:p>
      <w:pPr>
        <w:spacing w:line="580" w:lineRule="exact"/>
        <w:ind w:firstLine="720" w:firstLineChars="300"/>
        <w:rPr>
          <w:rFonts w:hint="eastAsia" w:eastAsia="宋体"/>
          <w:sz w:val="24"/>
          <w:lang w:eastAsia="zh-CN"/>
        </w:rPr>
      </w:pPr>
      <w:r>
        <w:rPr>
          <w:rFonts w:eastAsia="宋体"/>
          <w:sz w:val="24"/>
        </w:rPr>
        <w:t>被评价单位：</w:t>
      </w:r>
      <w:r>
        <w:rPr>
          <w:rFonts w:hint="eastAsia" w:eastAsia="宋体"/>
          <w:sz w:val="24"/>
          <w:lang w:eastAsia="zh-CN"/>
        </w:rPr>
        <w:t>河北徐水经济开发区管理委员会</w:t>
      </w:r>
    </w:p>
    <w:p>
      <w:pPr>
        <w:spacing w:line="580" w:lineRule="exact"/>
        <w:ind w:firstLine="720" w:firstLineChars="300"/>
        <w:rPr>
          <w:rFonts w:eastAsia="宋体"/>
          <w:sz w:val="24"/>
        </w:rPr>
      </w:pPr>
      <w:r>
        <w:rPr>
          <w:rFonts w:eastAsia="宋体"/>
          <w:sz w:val="24"/>
        </w:rPr>
        <w:t>评价项目：</w:t>
      </w:r>
      <w:r>
        <w:rPr>
          <w:rFonts w:hint="eastAsia" w:eastAsia="宋体"/>
          <w:sz w:val="24"/>
        </w:rPr>
        <w:t>徐水</w:t>
      </w:r>
      <w:r>
        <w:rPr>
          <w:rFonts w:hint="eastAsia" w:eastAsia="宋体"/>
          <w:sz w:val="24"/>
          <w:lang w:eastAsia="zh-CN"/>
        </w:rPr>
        <w:t>经济</w:t>
      </w:r>
      <w:r>
        <w:rPr>
          <w:rFonts w:hint="eastAsia" w:eastAsia="宋体"/>
          <w:sz w:val="24"/>
        </w:rPr>
        <w:t>开发区客运中心项目</w:t>
      </w:r>
    </w:p>
    <w:p>
      <w:pPr>
        <w:spacing w:line="580" w:lineRule="exact"/>
        <w:ind w:firstLine="720" w:firstLineChars="300"/>
        <w:rPr>
          <w:rFonts w:hint="eastAsia" w:eastAsia="宋体"/>
          <w:sz w:val="24"/>
          <w:lang w:eastAsia="zh-CN"/>
        </w:rPr>
      </w:pPr>
      <w:r>
        <w:rPr>
          <w:rFonts w:eastAsia="宋体"/>
          <w:sz w:val="24"/>
        </w:rPr>
        <w:t>工作组组长：</w:t>
      </w:r>
      <w:r>
        <w:rPr>
          <w:rFonts w:hint="eastAsia" w:eastAsia="宋体"/>
          <w:sz w:val="24"/>
          <w:lang w:eastAsia="zh-CN"/>
        </w:rPr>
        <w:t>曹晓红</w:t>
      </w:r>
    </w:p>
    <w:p>
      <w:pPr>
        <w:spacing w:line="580" w:lineRule="exact"/>
        <w:ind w:firstLine="720" w:firstLineChars="300"/>
        <w:rPr>
          <w:rFonts w:hint="eastAsia" w:eastAsia="宋体"/>
          <w:sz w:val="24"/>
          <w:lang w:eastAsia="zh-CN"/>
        </w:rPr>
      </w:pPr>
      <w:r>
        <w:rPr>
          <w:rFonts w:eastAsia="宋体"/>
          <w:sz w:val="24"/>
        </w:rPr>
        <w:t>工作组成员：</w:t>
      </w:r>
      <w:r>
        <w:rPr>
          <w:rFonts w:hint="eastAsia" w:eastAsia="宋体"/>
          <w:sz w:val="24"/>
          <w:lang w:eastAsia="zh-CN"/>
        </w:rPr>
        <w:t>王娇、马振丽、杨新岗</w:t>
      </w:r>
    </w:p>
    <w:p>
      <w:pPr>
        <w:spacing w:line="580" w:lineRule="exact"/>
        <w:ind w:firstLine="720" w:firstLineChars="300"/>
        <w:rPr>
          <w:rFonts w:eastAsia="宋体"/>
          <w:sz w:val="24"/>
        </w:rPr>
      </w:pPr>
      <w:r>
        <w:rPr>
          <w:rFonts w:eastAsia="宋体"/>
          <w:sz w:val="24"/>
        </w:rPr>
        <w:t>工作组联系电话：0311－69053103</w:t>
      </w:r>
    </w:p>
    <w:p>
      <w:pPr>
        <w:spacing w:line="580" w:lineRule="exact"/>
        <w:ind w:firstLine="720" w:firstLineChars="300"/>
        <w:rPr>
          <w:rFonts w:eastAsia="宋体"/>
          <w:sz w:val="24"/>
        </w:rPr>
        <w:sectPr>
          <w:headerReference r:id="rId3" w:type="default"/>
          <w:pgSz w:w="11906" w:h="16838"/>
          <w:pgMar w:top="2098" w:right="1304" w:bottom="1531" w:left="1531" w:header="851" w:footer="992" w:gutter="0"/>
          <w:pgNumType w:start="1"/>
          <w:cols w:space="720" w:num="1"/>
          <w:docGrid w:type="lines" w:linePitch="415" w:charSpace="0"/>
        </w:sectPr>
      </w:pPr>
      <w:r>
        <w:rPr>
          <w:rFonts w:eastAsia="宋体"/>
          <w:sz w:val="24"/>
        </w:rPr>
        <w:t>报告日期：202</w:t>
      </w:r>
      <w:r>
        <w:rPr>
          <w:rFonts w:hint="eastAsia" w:eastAsia="宋体"/>
          <w:sz w:val="24"/>
          <w:lang w:val="en-US" w:eastAsia="zh-CN"/>
        </w:rPr>
        <w:t>1</w:t>
      </w:r>
      <w:r>
        <w:rPr>
          <w:rFonts w:eastAsia="宋体"/>
          <w:sz w:val="24"/>
        </w:rPr>
        <w:t>年</w:t>
      </w:r>
      <w:r>
        <w:rPr>
          <w:rFonts w:hint="eastAsia" w:eastAsia="宋体"/>
          <w:sz w:val="24"/>
          <w:lang w:val="en-US" w:eastAsia="zh-CN"/>
        </w:rPr>
        <w:t>6</w:t>
      </w:r>
      <w:r>
        <w:rPr>
          <w:rFonts w:eastAsia="宋体"/>
          <w:sz w:val="24"/>
        </w:rPr>
        <w:t>月</w:t>
      </w:r>
      <w:r>
        <w:rPr>
          <w:rFonts w:hint="eastAsia" w:eastAsia="宋体"/>
          <w:sz w:val="24"/>
          <w:lang w:val="en-US" w:eastAsia="zh-CN"/>
        </w:rPr>
        <w:t>28</w:t>
      </w:r>
      <w:r>
        <w:rPr>
          <w:rFonts w:eastAsia="宋体"/>
          <w:sz w:val="24"/>
        </w:rPr>
        <w:t>日</w:t>
      </w:r>
    </w:p>
    <w:sdt>
      <w:sdtPr>
        <w:rPr>
          <w:rFonts w:hint="eastAsia" w:ascii="宋体" w:hAnsi="宋体" w:eastAsia="宋体" w:cs="宋体"/>
          <w:color w:val="auto"/>
          <w:sz w:val="44"/>
          <w:szCs w:val="44"/>
          <w:lang w:val="zh-CN"/>
        </w:rPr>
        <w:id w:val="2967093"/>
        <w:docPartObj>
          <w:docPartGallery w:val="Table of Contents"/>
          <w:docPartUnique/>
        </w:docPartObj>
      </w:sdtPr>
      <w:sdtEndPr>
        <w:rPr>
          <w:rFonts w:hint="eastAsia" w:ascii="宋体" w:hAnsi="宋体" w:eastAsia="宋体" w:cs="宋体"/>
          <w:b w:val="0"/>
          <w:bCs w:val="0"/>
          <w:caps/>
          <w:color w:val="auto"/>
          <w:kern w:val="0"/>
          <w:sz w:val="24"/>
          <w:szCs w:val="24"/>
          <w:lang w:val="en-US"/>
        </w:rPr>
      </w:sdtEndPr>
      <w:sdtContent>
        <w:p>
          <w:pPr>
            <w:pStyle w:val="45"/>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44"/>
              <w:szCs w:val="44"/>
              <w:lang w:val="zh-CN"/>
            </w:rPr>
          </w:pPr>
          <w:r>
            <w:rPr>
              <w:rFonts w:hint="eastAsia" w:ascii="宋体" w:hAnsi="宋体" w:eastAsia="宋体" w:cs="宋体"/>
              <w:color w:val="auto"/>
              <w:sz w:val="44"/>
              <w:szCs w:val="44"/>
              <w:lang w:val="en-US" w:eastAsia="zh-CN"/>
            </w:rPr>
            <w:t xml:space="preserve">目 </w:t>
          </w:r>
          <w:r>
            <w:rPr>
              <w:rFonts w:hint="eastAsia" w:ascii="宋体" w:hAnsi="宋体" w:eastAsia="宋体" w:cs="宋体"/>
              <w:color w:val="auto"/>
              <w:sz w:val="44"/>
              <w:szCs w:val="44"/>
              <w:lang w:val="zh-CN"/>
            </w:rPr>
            <w:t>录</w:t>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_Toc18786 </w:instrText>
          </w:r>
          <w:r>
            <w:rPr>
              <w:rFonts w:hint="eastAsia" w:ascii="宋体" w:hAnsi="宋体" w:eastAsia="宋体" w:cs="宋体"/>
              <w:sz w:val="24"/>
              <w:szCs w:val="24"/>
            </w:rPr>
            <w:fldChar w:fldCharType="separate"/>
          </w:r>
          <w:r>
            <w:rPr>
              <w:rFonts w:hint="eastAsia" w:ascii="宋体" w:hAnsi="宋体" w:eastAsia="宋体" w:cs="宋体"/>
              <w:sz w:val="24"/>
              <w:szCs w:val="24"/>
            </w:rPr>
            <w:t>第一部分   摘要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_Toc18786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_Toc9053 </w:instrText>
          </w:r>
          <w:r>
            <w:rPr>
              <w:rFonts w:hint="eastAsia" w:ascii="宋体" w:hAnsi="宋体" w:eastAsia="宋体" w:cs="宋体"/>
              <w:sz w:val="24"/>
              <w:szCs w:val="24"/>
            </w:rPr>
            <w:fldChar w:fldCharType="separate"/>
          </w:r>
          <w:r>
            <w:rPr>
              <w:rFonts w:hint="eastAsia" w:ascii="宋体" w:hAnsi="宋体" w:eastAsia="宋体" w:cs="宋体"/>
              <w:sz w:val="24"/>
              <w:szCs w:val="24"/>
            </w:rPr>
            <w:t>第二部分   绩效评价报告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_Toc9053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_Toc486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一、基本概况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_Toc29066 </w:instrText>
          </w:r>
          <w:r>
            <w:rPr>
              <w:rFonts w:hint="eastAsia" w:ascii="宋体" w:hAnsi="宋体" w:eastAsia="宋体" w:cs="宋体"/>
              <w:sz w:val="24"/>
              <w:szCs w:val="24"/>
            </w:rPr>
            <w:fldChar w:fldCharType="separate"/>
          </w:r>
          <w:r>
            <w:rPr>
              <w:rFonts w:hint="eastAsia" w:ascii="宋体" w:hAnsi="宋体" w:eastAsia="宋体" w:cs="宋体"/>
              <w:sz w:val="24"/>
              <w:szCs w:val="24"/>
            </w:rPr>
            <w:t>（一）项目概况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_Toc29066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_Toc14928 </w:instrText>
          </w:r>
          <w:r>
            <w:rPr>
              <w:rFonts w:hint="eastAsia" w:ascii="宋体" w:hAnsi="宋体" w:eastAsia="宋体" w:cs="宋体"/>
              <w:sz w:val="24"/>
              <w:szCs w:val="24"/>
            </w:rPr>
            <w:fldChar w:fldCharType="separate"/>
          </w:r>
          <w:r>
            <w:rPr>
              <w:rFonts w:hint="eastAsia" w:ascii="宋体" w:hAnsi="宋体" w:eastAsia="宋体" w:cs="宋体"/>
              <w:sz w:val="24"/>
              <w:szCs w:val="24"/>
            </w:rPr>
            <w:t>（二）绩效目标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_Toc14928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_Toc11421 </w:instrText>
          </w:r>
          <w:r>
            <w:rPr>
              <w:rFonts w:hint="eastAsia" w:ascii="宋体" w:hAnsi="宋体" w:eastAsia="宋体" w:cs="宋体"/>
              <w:sz w:val="24"/>
              <w:szCs w:val="24"/>
            </w:rPr>
            <w:fldChar w:fldCharType="separate"/>
          </w:r>
          <w:r>
            <w:rPr>
              <w:rFonts w:hint="eastAsia" w:ascii="宋体" w:hAnsi="宋体" w:eastAsia="宋体" w:cs="宋体"/>
              <w:sz w:val="24"/>
              <w:szCs w:val="24"/>
            </w:rPr>
            <w:t>二、绩效评价工作开展情况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_Toc11421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_Toc29904 </w:instrText>
          </w:r>
          <w:r>
            <w:rPr>
              <w:rFonts w:hint="eastAsia" w:ascii="宋体" w:hAnsi="宋体" w:eastAsia="宋体" w:cs="宋体"/>
              <w:sz w:val="24"/>
              <w:szCs w:val="24"/>
            </w:rPr>
            <w:fldChar w:fldCharType="separate"/>
          </w:r>
          <w:r>
            <w:rPr>
              <w:rFonts w:hint="eastAsia" w:ascii="宋体" w:hAnsi="宋体" w:eastAsia="宋体" w:cs="宋体"/>
              <w:sz w:val="24"/>
              <w:szCs w:val="24"/>
            </w:rPr>
            <w:t>（一）绩效评价目的、对象和范围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_Toc29904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_Toc28694 </w:instrText>
          </w:r>
          <w:r>
            <w:rPr>
              <w:rFonts w:hint="eastAsia" w:ascii="宋体" w:hAnsi="宋体" w:eastAsia="宋体" w:cs="宋体"/>
              <w:sz w:val="24"/>
              <w:szCs w:val="24"/>
            </w:rPr>
            <w:fldChar w:fldCharType="separate"/>
          </w:r>
          <w:r>
            <w:rPr>
              <w:rFonts w:hint="eastAsia" w:ascii="宋体" w:hAnsi="宋体" w:eastAsia="宋体" w:cs="宋体"/>
              <w:sz w:val="24"/>
              <w:szCs w:val="24"/>
            </w:rPr>
            <w:t>（二）绩效评价原则、指标体系、依据、方法及标准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_Toc28694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_Toc12051 </w:instrText>
          </w:r>
          <w:r>
            <w:rPr>
              <w:rFonts w:hint="eastAsia" w:ascii="宋体" w:hAnsi="宋体" w:eastAsia="宋体" w:cs="宋体"/>
              <w:sz w:val="24"/>
              <w:szCs w:val="24"/>
            </w:rPr>
            <w:fldChar w:fldCharType="separate"/>
          </w:r>
          <w:r>
            <w:rPr>
              <w:rFonts w:hint="eastAsia" w:ascii="宋体" w:hAnsi="宋体" w:eastAsia="宋体" w:cs="宋体"/>
              <w:sz w:val="24"/>
              <w:szCs w:val="24"/>
            </w:rPr>
            <w:t>（三）绩效评价工作过程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_Toc12051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_Toc6753 </w:instrText>
          </w:r>
          <w:r>
            <w:rPr>
              <w:rFonts w:hint="eastAsia" w:ascii="宋体" w:hAnsi="宋体" w:eastAsia="宋体" w:cs="宋体"/>
              <w:sz w:val="24"/>
              <w:szCs w:val="24"/>
            </w:rPr>
            <w:fldChar w:fldCharType="separate"/>
          </w:r>
          <w:r>
            <w:rPr>
              <w:rFonts w:hint="eastAsia" w:ascii="宋体" w:hAnsi="宋体" w:eastAsia="宋体" w:cs="宋体"/>
              <w:sz w:val="24"/>
              <w:szCs w:val="24"/>
            </w:rPr>
            <w:t>三、综合评价情况及评价结论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_Toc6753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_Toc28573 </w:instrText>
          </w:r>
          <w:r>
            <w:rPr>
              <w:rFonts w:hint="eastAsia" w:ascii="宋体" w:hAnsi="宋体" w:eastAsia="宋体" w:cs="宋体"/>
              <w:sz w:val="24"/>
              <w:szCs w:val="24"/>
            </w:rPr>
            <w:fldChar w:fldCharType="separate"/>
          </w:r>
          <w:r>
            <w:rPr>
              <w:rFonts w:hint="eastAsia" w:ascii="宋体" w:hAnsi="宋体" w:eastAsia="宋体" w:cs="宋体"/>
              <w:sz w:val="24"/>
              <w:szCs w:val="24"/>
            </w:rPr>
            <w:t>四、绩效评价指标分析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_Toc28573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default"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t>（一）决策</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t>13</w:t>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lang w:val="en-US" w:eastAsia="zh-CN"/>
            </w:rPr>
          </w:pPr>
          <w:r>
            <w:rPr>
              <w:rFonts w:hint="eastAsia" w:ascii="宋体" w:hAnsi="宋体" w:eastAsia="宋体" w:cs="宋体"/>
              <w:b w:val="0"/>
              <w:bCs w:val="0"/>
              <w:caps w:val="0"/>
              <w:smallCaps/>
              <w:kern w:val="2"/>
              <w:sz w:val="24"/>
              <w:szCs w:val="24"/>
              <w:lang w:val="en-US" w:eastAsia="zh-CN" w:bidi="ar-SA"/>
            </w:rPr>
            <w:t>（二）过程</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t>14</w:t>
          </w:r>
          <w:r>
            <w:rPr>
              <w:rFonts w:hint="eastAsia" w:ascii="宋体" w:hAnsi="宋体" w:eastAsia="宋体" w:cs="宋体"/>
              <w:b w:val="0"/>
              <w:bCs w:val="0"/>
              <w:caps w:val="0"/>
              <w:smallCaps/>
              <w:kern w:val="2"/>
              <w:sz w:val="24"/>
              <w:szCs w:val="24"/>
              <w:lang w:val="en-US" w:eastAsia="zh-CN" w:bidi="ar-SA"/>
            </w:rPr>
            <w:tab/>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_Toc15014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（二）产出</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_Toc15014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15</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sz w:val="24"/>
              <w:szCs w:val="24"/>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_Toc2243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（三）效果</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_Toc2243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15</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_Toc8818 </w:instrText>
          </w:r>
          <w:r>
            <w:rPr>
              <w:rFonts w:hint="eastAsia" w:ascii="宋体" w:hAnsi="宋体" w:eastAsia="宋体" w:cs="宋体"/>
              <w:sz w:val="24"/>
              <w:szCs w:val="24"/>
            </w:rPr>
            <w:fldChar w:fldCharType="separate"/>
          </w:r>
          <w:r>
            <w:rPr>
              <w:rFonts w:hint="eastAsia" w:ascii="宋体" w:hAnsi="宋体" w:eastAsia="宋体" w:cs="宋体"/>
              <w:sz w:val="24"/>
              <w:szCs w:val="24"/>
            </w:rPr>
            <w:t>五、存在问题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_Toc8818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_Toc21571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（一）资金管理方面</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_Toc21571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16</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t>（二）项目管理方面</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_Toc21571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16</w:t>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_Toc25479 </w:instrText>
          </w:r>
          <w:r>
            <w:rPr>
              <w:rFonts w:hint="eastAsia" w:ascii="宋体" w:hAnsi="宋体" w:eastAsia="宋体" w:cs="宋体"/>
              <w:sz w:val="24"/>
              <w:szCs w:val="24"/>
            </w:rPr>
            <w:fldChar w:fldCharType="separate"/>
          </w:r>
          <w:r>
            <w:rPr>
              <w:rFonts w:hint="eastAsia" w:ascii="宋体" w:hAnsi="宋体" w:eastAsia="宋体" w:cs="宋体"/>
              <w:sz w:val="24"/>
              <w:szCs w:val="24"/>
            </w:rPr>
            <w:t>六、有关建议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_Toc25479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_Toc21229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（一）资金管理方面</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_Toc21229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17</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_Toc28390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（二）项目管理方面</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_Toc28390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17</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sz w:val="24"/>
              <w:szCs w:val="24"/>
            </w:rPr>
            <w:fldChar w:fldCharType="end"/>
          </w:r>
        </w:p>
      </w:sdtContent>
    </w:sdt>
    <w:p>
      <w:pPr>
        <w:keepNext w:val="0"/>
        <w:keepLines w:val="0"/>
        <w:pageBreakBefore w:val="0"/>
        <w:widowControl w:val="0"/>
        <w:kinsoku/>
        <w:wordWrap/>
        <w:overflowPunct/>
        <w:topLinePunct w:val="0"/>
        <w:autoSpaceDE/>
        <w:autoSpaceDN/>
        <w:bidi w:val="0"/>
        <w:adjustRightInd/>
        <w:snapToGrid/>
        <w:spacing w:line="440" w:lineRule="exact"/>
        <w:jc w:val="right"/>
        <w:textAlignment w:val="auto"/>
        <w:outlineLvl w:val="1"/>
        <w:rPr>
          <w:rFonts w:hint="eastAsia" w:ascii="宋体" w:hAnsi="宋体" w:eastAsia="宋体" w:cs="宋体"/>
          <w:sz w:val="24"/>
          <w:szCs w:val="24"/>
        </w:rPr>
        <w:sectPr>
          <w:footerReference r:id="rId4" w:type="default"/>
          <w:pgSz w:w="11906" w:h="16838"/>
          <w:pgMar w:top="2098" w:right="1304" w:bottom="1531" w:left="1531" w:header="851" w:footer="992" w:gutter="0"/>
          <w:pgNumType w:start="1"/>
          <w:cols w:space="720" w:num="1"/>
          <w:docGrid w:type="lines" w:linePitch="415" w:charSpace="0"/>
        </w:sectPr>
      </w:pPr>
    </w:p>
    <w:p>
      <w:pPr>
        <w:spacing w:line="320" w:lineRule="exact"/>
        <w:rPr>
          <w:rFonts w:eastAsia="新宋体"/>
          <w:b/>
          <w:sz w:val="32"/>
        </w:rPr>
      </w:pPr>
      <w:r>
        <w:rPr>
          <w:rFonts w:eastAsia="新宋体"/>
        </w:rPr>
        <w:drawing>
          <wp:anchor distT="0" distB="0" distL="114300" distR="114300" simplePos="0" relativeHeight="251660288" behindDoc="0" locked="0" layoutInCell="1" allowOverlap="1">
            <wp:simplePos x="0" y="0"/>
            <wp:positionH relativeFrom="column">
              <wp:posOffset>118110</wp:posOffset>
            </wp:positionH>
            <wp:positionV relativeFrom="paragraph">
              <wp:posOffset>-3810</wp:posOffset>
            </wp:positionV>
            <wp:extent cx="1270635" cy="854710"/>
            <wp:effectExtent l="0" t="0" r="5715" b="2540"/>
            <wp:wrapSquare wrapText="bothSides"/>
            <wp:docPr id="30" name="图片 3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标2 拷贝"/>
                    <pic:cNvPicPr>
                      <a:picLocks noChangeAspect="1" noChangeArrowheads="1"/>
                    </pic:cNvPicPr>
                  </pic:nvPicPr>
                  <pic:blipFill>
                    <a:blip r:embed="rId9" cstate="print"/>
                    <a:srcRect/>
                    <a:stretch>
                      <a:fillRect/>
                    </a:stretch>
                  </pic:blipFill>
                  <pic:spPr>
                    <a:xfrm>
                      <a:off x="0" y="0"/>
                      <a:ext cx="1270635" cy="854710"/>
                    </a:xfrm>
                    <a:prstGeom prst="rect">
                      <a:avLst/>
                    </a:prstGeom>
                    <a:noFill/>
                    <a:ln w="9525">
                      <a:noFill/>
                      <a:miter lim="800000"/>
                      <a:headEnd/>
                      <a:tailEnd/>
                    </a:ln>
                    <a:effectLst/>
                  </pic:spPr>
                </pic:pic>
              </a:graphicData>
            </a:graphic>
          </wp:anchor>
        </w:drawing>
      </w:r>
      <w:r>
        <w:rPr>
          <w:rFonts w:eastAsia="新宋体"/>
          <w:b/>
          <w:sz w:val="32"/>
        </w:rPr>
        <w:t xml:space="preserve">河 北 德 永 会 计 师 事 务 所 有 限 公 司    </w:t>
      </w:r>
    </w:p>
    <w:p>
      <w:pPr>
        <w:spacing w:line="320" w:lineRule="exact"/>
        <w:rPr>
          <w:rFonts w:eastAsia="幼圆"/>
          <w:b/>
          <w:sz w:val="18"/>
          <w:szCs w:val="18"/>
        </w:rPr>
      </w:pPr>
      <w:r>
        <w:rPr>
          <w:rFonts w:eastAsia="幼圆"/>
          <w:b/>
          <w:sz w:val="18"/>
          <w:szCs w:val="18"/>
        </w:rPr>
        <w:t xml:space="preserve">石家庄市建设南大街269号    No．269Jianshe Street  Shijiazhuang China </w:t>
      </w:r>
    </w:p>
    <w:p>
      <w:pPr>
        <w:spacing w:line="320" w:lineRule="exact"/>
        <w:rPr>
          <w:rFonts w:eastAsia="幼圆"/>
          <w:b/>
          <w:sz w:val="18"/>
          <w:szCs w:val="18"/>
        </w:rPr>
      </w:pPr>
      <w:r>
        <w:rPr>
          <w:rFonts w:eastAsia="幼圆"/>
          <w:b/>
          <w:sz w:val="18"/>
          <w:szCs w:val="18"/>
        </w:rPr>
        <w:t>Tel： （0311）69053105   69053103               Fax： （0311）69053103</w:t>
      </w:r>
    </w:p>
    <w:p>
      <w:pPr>
        <w:spacing w:line="320" w:lineRule="exact"/>
        <w:rPr>
          <w:rFonts w:eastAsia="新宋体"/>
          <w:b/>
          <w:sz w:val="18"/>
          <w:szCs w:val="18"/>
        </w:rPr>
      </w:pPr>
      <w:r>
        <w:rPr>
          <w:rFonts w:eastAsia="幼圆"/>
          <w:b/>
          <w:sz w:val="18"/>
          <w:szCs w:val="18"/>
        </w:rPr>
        <w:t>E-Mail: hebeidey@126.com</w:t>
      </w:r>
    </w:p>
    <w:p>
      <w:pPr>
        <w:wordWrap w:val="0"/>
        <w:jc w:val="right"/>
        <w:rPr>
          <w:rFonts w:eastAsia="宋体"/>
          <w:b/>
          <w:sz w:val="21"/>
          <w:szCs w:val="21"/>
        </w:rPr>
      </w:pPr>
      <w:r>
        <w:rPr>
          <w:rFonts w:eastAsia="幼圆"/>
          <w:b/>
          <w:szCs w:val="21"/>
        </w:rPr>
        <w:pict>
          <v:line id="_x0000_s1055" o:spid="_x0000_s1055" o:spt="20" style="position:absolute;left:0pt;flip:y;margin-left:-120.35pt;margin-top:3pt;height:0.8pt;width:459pt;z-index:251659264;mso-width-relative:page;mso-height-relative:page;" coordsize="21600,21600">
            <v:path arrowok="t"/>
            <v:fill focussize="0,0"/>
            <v:stroke weight="1pt"/>
            <v:imagedata o:title=""/>
            <o:lock v:ext="edit"/>
          </v:line>
        </w:pict>
      </w:r>
      <w:r>
        <w:rPr>
          <w:rFonts w:eastAsia="宋体"/>
          <w:b/>
          <w:sz w:val="21"/>
          <w:szCs w:val="21"/>
        </w:rPr>
        <w:t>冀德永评价字（202</w:t>
      </w:r>
      <w:r>
        <w:rPr>
          <w:rFonts w:hint="eastAsia" w:eastAsia="宋体"/>
          <w:b/>
          <w:sz w:val="21"/>
          <w:szCs w:val="21"/>
          <w:lang w:val="en-US" w:eastAsia="zh-CN"/>
        </w:rPr>
        <w:t>1</w:t>
      </w:r>
      <w:r>
        <w:rPr>
          <w:rFonts w:eastAsia="宋体"/>
          <w:b/>
          <w:sz w:val="21"/>
          <w:szCs w:val="21"/>
        </w:rPr>
        <w:t>）第</w:t>
      </w:r>
      <w:r>
        <w:rPr>
          <w:rFonts w:hint="eastAsia" w:eastAsia="宋体"/>
          <w:b/>
          <w:sz w:val="21"/>
          <w:szCs w:val="21"/>
          <w:lang w:val="en-US" w:eastAsia="zh-CN"/>
        </w:rPr>
        <w:t>6008</w:t>
      </w:r>
      <w:r>
        <w:rPr>
          <w:rFonts w:eastAsia="宋体"/>
          <w:b/>
          <w:sz w:val="21"/>
          <w:szCs w:val="21"/>
        </w:rPr>
        <w:t>号</w:t>
      </w:r>
    </w:p>
    <w:p>
      <w:pPr>
        <w:spacing w:beforeLines="50" w:afterLines="50" w:line="580" w:lineRule="exact"/>
        <w:jc w:val="center"/>
        <w:rPr>
          <w:rFonts w:eastAsia="宋体"/>
          <w:b/>
          <w:sz w:val="44"/>
          <w:szCs w:val="44"/>
        </w:rPr>
      </w:pPr>
      <w:r>
        <w:rPr>
          <w:rFonts w:hint="eastAsia" w:eastAsia="宋体"/>
          <w:b/>
          <w:sz w:val="44"/>
          <w:szCs w:val="44"/>
        </w:rPr>
        <w:t>徐水经济开发区客运中心项目</w:t>
      </w:r>
    </w:p>
    <w:p>
      <w:pPr>
        <w:spacing w:beforeLines="50" w:afterLines="50" w:line="580" w:lineRule="exact"/>
        <w:jc w:val="center"/>
        <w:rPr>
          <w:rFonts w:eastAsia="宋体"/>
          <w:b/>
          <w:sz w:val="44"/>
          <w:szCs w:val="44"/>
        </w:rPr>
      </w:pPr>
      <w:r>
        <w:rPr>
          <w:rFonts w:eastAsia="宋体"/>
          <w:b/>
          <w:sz w:val="44"/>
          <w:szCs w:val="44"/>
        </w:rPr>
        <w:t>绩效评价报告</w:t>
      </w:r>
    </w:p>
    <w:p>
      <w:pPr>
        <w:spacing w:line="580" w:lineRule="exact"/>
        <w:rPr>
          <w:sz w:val="32"/>
          <w:szCs w:val="32"/>
        </w:rPr>
      </w:pPr>
      <w:r>
        <w:rPr>
          <w:rFonts w:hint="eastAsia"/>
          <w:sz w:val="32"/>
          <w:szCs w:val="32"/>
          <w:lang w:eastAsia="zh-CN"/>
        </w:rPr>
        <w:t>保定市徐水区</w:t>
      </w:r>
      <w:r>
        <w:rPr>
          <w:sz w:val="32"/>
          <w:szCs w:val="32"/>
        </w:rPr>
        <w:t>财政局：</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我们接受贵单位的委托，于202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日至202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cs="仿宋_GB2312"/>
          <w:sz w:val="32"/>
          <w:szCs w:val="32"/>
          <w:lang w:val="en-US" w:eastAsia="zh-CN"/>
        </w:rPr>
        <w:t>28</w:t>
      </w:r>
      <w:r>
        <w:rPr>
          <w:rFonts w:hint="eastAsia" w:ascii="仿宋_GB2312" w:hAnsi="仿宋_GB2312" w:eastAsia="仿宋_GB2312" w:cs="仿宋_GB2312"/>
          <w:sz w:val="32"/>
          <w:szCs w:val="32"/>
        </w:rPr>
        <w:t>日对</w:t>
      </w:r>
      <w:r>
        <w:rPr>
          <w:rFonts w:hint="eastAsia" w:ascii="仿宋_GB2312" w:hAnsi="仿宋_GB2312" w:eastAsia="仿宋_GB2312" w:cs="仿宋_GB2312"/>
          <w:sz w:val="32"/>
          <w:szCs w:val="32"/>
          <w:lang w:eastAsia="zh-CN"/>
        </w:rPr>
        <w:t>河北徐水经济开发区管理委员会</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eastAsia="zh-CN"/>
        </w:rPr>
        <w:t>徐水开发区管委会</w:t>
      </w:r>
      <w:r>
        <w:rPr>
          <w:rFonts w:hint="eastAsia" w:ascii="仿宋_GB2312" w:hAnsi="仿宋_GB2312" w:eastAsia="仿宋_GB2312" w:cs="仿宋_GB2312"/>
          <w:sz w:val="32"/>
          <w:szCs w:val="32"/>
        </w:rPr>
        <w:t>”）承担的</w:t>
      </w:r>
      <w:r>
        <w:rPr>
          <w:rFonts w:hint="eastAsia" w:ascii="仿宋_GB2312" w:hAnsi="仿宋_GB2312" w:eastAsia="仿宋_GB2312" w:cs="仿宋_GB2312"/>
          <w:sz w:val="32"/>
          <w:szCs w:val="32"/>
          <w:lang w:eastAsia="zh-CN"/>
        </w:rPr>
        <w:t>徐水开发区客运中心</w:t>
      </w:r>
      <w:r>
        <w:rPr>
          <w:rFonts w:hint="eastAsia" w:ascii="仿宋_GB2312" w:hAnsi="仿宋_GB2312" w:eastAsia="仿宋_GB2312" w:cs="仿宋_GB2312"/>
          <w:sz w:val="32"/>
          <w:szCs w:val="32"/>
        </w:rPr>
        <w:t>项目（以下简称“该项目”）进行了绩效评价。与绩效评价有关的项目资料由项目相关单位提供，并对项目相关资料的真实性、完整性、合法性负责。我们的责任是根据项目相关资料，对项目从决策、过程、产出、效果四个方面和执行国家法律、法规的情况提出评价意见。</w:t>
      </w:r>
    </w:p>
    <w:p>
      <w:pPr>
        <w:spacing w:line="580" w:lineRule="exact"/>
        <w:ind w:firstLine="640" w:firstLineChars="200"/>
        <w:rPr>
          <w:sz w:val="32"/>
          <w:szCs w:val="32"/>
        </w:rPr>
      </w:pPr>
      <w:r>
        <w:rPr>
          <w:rFonts w:hint="eastAsia" w:ascii="仿宋_GB2312" w:hAnsi="仿宋_GB2312" w:eastAsia="仿宋_GB2312" w:cs="仿宋_GB2312"/>
          <w:sz w:val="32"/>
          <w:szCs w:val="32"/>
        </w:rPr>
        <w:t>我们的绩效评价工作是依据《中国注册会计师</w:t>
      </w:r>
      <w:r>
        <w:rPr>
          <w:sz w:val="32"/>
          <w:szCs w:val="32"/>
        </w:rPr>
        <w:t>执业准则》和财政部门的相关规定进行的。在评价工作中，我们结合被评价项目的实际情况实施了包括询问、资料</w:t>
      </w:r>
      <w:r>
        <w:rPr>
          <w:rFonts w:hint="eastAsia"/>
          <w:sz w:val="32"/>
          <w:szCs w:val="32"/>
          <w:lang w:eastAsia="zh-CN"/>
        </w:rPr>
        <w:t>审查</w:t>
      </w:r>
      <w:r>
        <w:rPr>
          <w:sz w:val="32"/>
          <w:szCs w:val="32"/>
        </w:rPr>
        <w:t>、</w:t>
      </w:r>
      <w:r>
        <w:rPr>
          <w:rFonts w:hint="eastAsia"/>
          <w:sz w:val="32"/>
          <w:szCs w:val="32"/>
          <w:lang w:eastAsia="zh-CN"/>
        </w:rPr>
        <w:t>计算分析、现场踏勘、</w:t>
      </w:r>
      <w:r>
        <w:rPr>
          <w:sz w:val="32"/>
          <w:szCs w:val="32"/>
        </w:rPr>
        <w:t>等评价手段。绩效评价工作现已完成，评价情况如下：</w:t>
      </w:r>
    </w:p>
    <w:p>
      <w:pPr>
        <w:spacing w:line="580" w:lineRule="exact"/>
        <w:rPr>
          <w:szCs w:val="30"/>
        </w:rPr>
      </w:pPr>
    </w:p>
    <w:p>
      <w:pPr>
        <w:spacing w:line="580" w:lineRule="exact"/>
        <w:rPr>
          <w:szCs w:val="30"/>
        </w:rPr>
      </w:pPr>
    </w:p>
    <w:p>
      <w:pPr>
        <w:pStyle w:val="19"/>
        <w:spacing w:before="0" w:after="360" w:line="580" w:lineRule="exact"/>
        <w:jc w:val="both"/>
        <w:rPr>
          <w:rFonts w:ascii="Times New Roman" w:hAnsi="Times New Roman" w:eastAsia="黑体"/>
        </w:rPr>
      </w:pPr>
      <w:bookmarkStart w:id="0" w:name="_Toc8224135"/>
      <w:bookmarkStart w:id="1" w:name="_Toc38821358"/>
    </w:p>
    <w:p>
      <w:pPr>
        <w:pStyle w:val="19"/>
        <w:spacing w:before="0" w:after="360" w:line="580" w:lineRule="exact"/>
        <w:rPr>
          <w:rFonts w:ascii="Times New Roman" w:hAnsi="Times New Roman" w:eastAsia="黑体"/>
        </w:rPr>
        <w:sectPr>
          <w:footerReference r:id="rId5" w:type="default"/>
          <w:pgSz w:w="11906" w:h="16838"/>
          <w:pgMar w:top="2098" w:right="1304" w:bottom="1871" w:left="1531" w:header="851" w:footer="992" w:gutter="0"/>
          <w:pgNumType w:start="1"/>
          <w:cols w:space="720" w:num="1"/>
          <w:docGrid w:type="lines" w:linePitch="415" w:charSpace="0"/>
        </w:sectPr>
      </w:pPr>
      <w:bookmarkStart w:id="2" w:name="_Toc14344"/>
      <w:bookmarkStart w:id="3" w:name="_Toc41137179"/>
    </w:p>
    <w:p>
      <w:pPr>
        <w:pStyle w:val="19"/>
        <w:spacing w:before="0" w:after="360" w:line="580" w:lineRule="exact"/>
        <w:rPr>
          <w:rFonts w:ascii="Times New Roman" w:hAnsi="Times New Roman" w:eastAsia="黑体"/>
        </w:rPr>
      </w:pPr>
      <w:bookmarkStart w:id="4" w:name="_Toc18786"/>
      <w:r>
        <w:rPr>
          <w:rFonts w:ascii="Times New Roman" w:hAnsi="Times New Roman" w:eastAsia="黑体"/>
        </w:rPr>
        <w:t>第一部分   摘要</w:t>
      </w:r>
      <w:bookmarkEnd w:id="0"/>
      <w:bookmarkEnd w:id="1"/>
      <w:bookmarkEnd w:id="2"/>
      <w:bookmarkEnd w:id="3"/>
      <w:bookmarkEnd w:id="4"/>
    </w:p>
    <w:p>
      <w:pPr>
        <w:spacing w:line="580" w:lineRule="exact"/>
        <w:ind w:firstLine="643" w:firstLineChars="200"/>
        <w:rPr>
          <w:rFonts w:hint="eastAsia" w:ascii="仿宋_GB2312" w:hAnsi="仿宋_GB2312" w:eastAsia="仿宋_GB2312" w:cs="仿宋_GB2312"/>
          <w:sz w:val="32"/>
          <w:szCs w:val="32"/>
          <w:lang w:val="en-US" w:eastAsia="zh-CN"/>
        </w:rPr>
      </w:pPr>
      <w:bookmarkStart w:id="5" w:name="_Toc39666629"/>
      <w:r>
        <w:rPr>
          <w:rFonts w:hint="eastAsia" w:ascii="仿宋_GB2312" w:hAnsi="仿宋_GB2312" w:eastAsia="仿宋_GB2312" w:cs="仿宋_GB2312"/>
          <w:b/>
          <w:bCs/>
          <w:sz w:val="32"/>
          <w:szCs w:val="32"/>
          <w:lang w:val="en-US" w:eastAsia="zh-CN"/>
        </w:rPr>
        <w:t>1.项目背景。</w:t>
      </w:r>
      <w:r>
        <w:rPr>
          <w:rFonts w:hint="eastAsia" w:ascii="仿宋_GB2312" w:hAnsi="仿宋_GB2312" w:eastAsia="仿宋_GB2312" w:cs="仿宋_GB2312"/>
          <w:sz w:val="32"/>
          <w:szCs w:val="32"/>
          <w:lang w:val="en-US" w:eastAsia="zh-CN"/>
        </w:rPr>
        <w:t>公交客运站是公益性的交通基础设施，是培育和发展道路运输市场的载体，承担着旅客集散和客运班车接发的重要职责，关系着道路运输的效率和质量，同时也对交通运输布局产生着重要影响，是运输网络畅通的重要保障。加强客运站的建设和管理，是建设和谐交通、服务型交通行业的重要组成部分，是贯彻交通运输部提出的“三个服务”中服务人民群众安全便捷出行的重要内容。徐水经济开发区地处京津冀三角黄金腹地，距雄安新区30公里，优越的地理位置和便利的交通环境，吸引了大批实力雄厚的重点项目落户于此。因此，完善该地交通基础设施，增强客运安全生产能力是势在必行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2.项目主要建设内容。</w:t>
      </w:r>
      <w:r>
        <w:rPr>
          <w:rFonts w:hint="eastAsia" w:ascii="仿宋_GB2312" w:hAnsi="仿宋_GB2312" w:eastAsia="仿宋_GB2312" w:cs="仿宋_GB2312"/>
          <w:sz w:val="32"/>
          <w:szCs w:val="32"/>
          <w:lang w:val="en-US" w:eastAsia="zh-CN"/>
        </w:rPr>
        <w:t>综合楼建筑面积1286.66平方米、门卫建筑面积80平方米（2个）、公厕建筑面积85.71平方米、驻车场11900.56平方米、无轨车场5400平方米、社会停车场5361.80平方米、新建围墙864米、公交站亭36套、新建绿地面积3112.36平方米、道路硬化面积5600平方米、车辆维修车间9986平方米（其中地面硬化6000平方米、钢构检修棚2500平方米）、消防水池133.30平方米。</w:t>
      </w:r>
    </w:p>
    <w:p>
      <w:pPr>
        <w:numPr>
          <w:ilvl w:val="0"/>
          <w:numId w:val="0"/>
        </w:numPr>
        <w:spacing w:line="580" w:lineRule="exact"/>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3.项目实施情况。</w:t>
      </w:r>
      <w:r>
        <w:rPr>
          <w:rFonts w:hint="eastAsia" w:ascii="仿宋_GB2312" w:hAnsi="仿宋_GB2312" w:eastAsia="仿宋_GB2312" w:cs="仿宋_GB2312"/>
          <w:sz w:val="32"/>
          <w:szCs w:val="32"/>
        </w:rPr>
        <w:t>该项目于20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月出具可行性研究报告并经</w:t>
      </w:r>
      <w:r>
        <w:rPr>
          <w:rFonts w:hint="eastAsia" w:ascii="仿宋_GB2312" w:hAnsi="仿宋_GB2312" w:eastAsia="仿宋_GB2312" w:cs="仿宋_GB2312"/>
          <w:sz w:val="32"/>
          <w:szCs w:val="32"/>
          <w:lang w:eastAsia="zh-CN"/>
        </w:rPr>
        <w:t>徐水经济开发区行政审批局批复；</w:t>
      </w:r>
      <w:r>
        <w:rPr>
          <w:rFonts w:hint="eastAsia" w:ascii="仿宋_GB2312" w:hAnsi="仿宋_GB2312" w:eastAsia="仿宋_GB2312" w:cs="仿宋_GB2312"/>
          <w:sz w:val="32"/>
          <w:szCs w:val="32"/>
          <w:lang w:val="en-US" w:eastAsia="zh-CN"/>
        </w:rPr>
        <w:t>2020年8月开始组织招标，2020年9月27日确定中标单位并与中标单位签订EPC总承包合同，合同约定的工期为2020年9月30日至2021年10月30日；2020年9月30日该项目正式开工，经现场评价和估算，截至评价日，项目整体完工进度约为80%。</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项目实施涉及主要单位如下：</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建设单位：</w:t>
      </w:r>
      <w:r>
        <w:rPr>
          <w:rFonts w:hint="eastAsia" w:ascii="仿宋_GB2312" w:hAnsi="仿宋_GB2312" w:eastAsia="仿宋_GB2312" w:cs="仿宋_GB2312"/>
          <w:sz w:val="32"/>
          <w:szCs w:val="32"/>
          <w:lang w:eastAsia="zh-CN"/>
        </w:rPr>
        <w:t>河北徐水经济开发区管理委员会</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监理单位：</w:t>
      </w:r>
      <w:r>
        <w:rPr>
          <w:rFonts w:hint="eastAsia" w:ascii="仿宋_GB2312" w:hAnsi="仿宋_GB2312" w:eastAsia="仿宋_GB2312" w:cs="仿宋_GB2312"/>
          <w:sz w:val="32"/>
          <w:szCs w:val="32"/>
          <w:lang w:val="en-US" w:eastAsia="zh-CN"/>
        </w:rPr>
        <w:t>恒康工程科技有限公司</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勘察单位：</w:t>
      </w:r>
      <w:r>
        <w:rPr>
          <w:rFonts w:hint="eastAsia" w:ascii="仿宋_GB2312" w:hAnsi="仿宋_GB2312" w:eastAsia="仿宋_GB2312" w:cs="仿宋_GB2312"/>
          <w:sz w:val="32"/>
          <w:szCs w:val="32"/>
          <w:lang w:val="en-US" w:eastAsia="zh-CN"/>
        </w:rPr>
        <w:t>保定九华工程勘察有限公司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设计单位：</w:t>
      </w:r>
      <w:r>
        <w:rPr>
          <w:rFonts w:hint="eastAsia" w:ascii="仿宋_GB2312" w:hAnsi="仿宋_GB2312" w:eastAsia="仿宋_GB2312" w:cs="仿宋_GB2312"/>
          <w:sz w:val="32"/>
          <w:szCs w:val="32"/>
          <w:lang w:val="en-US" w:eastAsia="zh-CN"/>
        </w:rPr>
        <w:t>保定市建筑设计院有限公司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施工单位：河北建设集团天辰建筑工程有限公司</w:t>
      </w:r>
    </w:p>
    <w:p>
      <w:pPr>
        <w:numPr>
          <w:ilvl w:val="0"/>
          <w:numId w:val="0"/>
        </w:numPr>
        <w:spacing w:line="580" w:lineRule="exact"/>
        <w:ind w:firstLine="643"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.资金投入和使用情况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Cs/>
          <w:sz w:val="32"/>
          <w:szCs w:val="32"/>
          <w:lang w:eastAsia="zh-CN"/>
        </w:rPr>
        <w:t>该项目预算总投</w:t>
      </w:r>
      <w:r>
        <w:rPr>
          <w:rFonts w:hint="eastAsia" w:ascii="仿宋_GB2312" w:hAnsi="仿宋_GB2312" w:eastAsia="仿宋_GB2312" w:cs="仿宋_GB2312"/>
          <w:bCs/>
          <w:sz w:val="32"/>
          <w:szCs w:val="32"/>
          <w:highlight w:val="none"/>
          <w:lang w:eastAsia="zh-CN"/>
        </w:rPr>
        <w:t>资</w:t>
      </w:r>
      <w:r>
        <w:rPr>
          <w:rFonts w:hint="eastAsia" w:ascii="仿宋_GB2312" w:hAnsi="仿宋_GB2312" w:eastAsia="仿宋_GB2312" w:cs="仿宋_GB2312"/>
          <w:bCs/>
          <w:sz w:val="32"/>
          <w:szCs w:val="32"/>
          <w:highlight w:val="none"/>
          <w:lang w:val="en-US" w:eastAsia="zh-CN"/>
        </w:rPr>
        <w:t>3770万元，</w:t>
      </w:r>
      <w:r>
        <w:rPr>
          <w:rFonts w:hint="eastAsia" w:ascii="仿宋_GB2312" w:hAnsi="仿宋_GB2312" w:eastAsia="仿宋_GB2312" w:cs="仿宋_GB2312"/>
          <w:sz w:val="32"/>
          <w:szCs w:val="32"/>
          <w:highlight w:val="none"/>
          <w:lang w:eastAsia="zh-CN"/>
        </w:rPr>
        <w:t>全</w:t>
      </w:r>
      <w:r>
        <w:rPr>
          <w:rFonts w:hint="eastAsia" w:ascii="仿宋_GB2312" w:hAnsi="仿宋_GB2312" w:eastAsia="仿宋_GB2312" w:cs="仿宋_GB2312"/>
          <w:sz w:val="32"/>
          <w:szCs w:val="32"/>
          <w:lang w:eastAsia="zh-CN"/>
        </w:rPr>
        <w:t>部为财政资金，其中专项债券资</w:t>
      </w:r>
      <w:r>
        <w:rPr>
          <w:rFonts w:hint="eastAsia" w:ascii="仿宋_GB2312" w:hAnsi="仿宋_GB2312" w:eastAsia="仿宋_GB2312" w:cs="仿宋_GB2312"/>
          <w:bCs/>
          <w:sz w:val="32"/>
          <w:szCs w:val="32"/>
          <w:highlight w:val="none"/>
          <w:lang w:val="en-US" w:eastAsia="zh-CN"/>
        </w:rPr>
        <w:t>金3300万元</w:t>
      </w:r>
      <w:r>
        <w:rPr>
          <w:rFonts w:hint="eastAsia" w:ascii="仿宋_GB2312" w:hAnsi="仿宋_GB2312" w:eastAsia="仿宋_GB2312" w:cs="仿宋_GB2312"/>
          <w:bCs/>
          <w:sz w:val="32"/>
          <w:szCs w:val="32"/>
          <w:lang w:val="en-US" w:eastAsia="zh-CN"/>
        </w:rPr>
        <w:t>，本次评价的资金范围为该部分专项债券资金。截止2020年12月31日，共支出3300万元，预算执行率100%。</w:t>
      </w:r>
    </w:p>
    <w:p>
      <w:pPr>
        <w:pStyle w:val="19"/>
        <w:spacing w:before="0" w:after="0" w:line="580" w:lineRule="exact"/>
        <w:ind w:firstLine="643" w:firstLineChars="200"/>
        <w:jc w:val="left"/>
        <w:rPr>
          <w:rFonts w:hint="eastAsia" w:ascii="仿宋_GB2312" w:hAnsi="仿宋_GB2312" w:eastAsia="仿宋_GB2312" w:cs="仿宋_GB2312"/>
          <w:b/>
          <w:bCs/>
          <w:kern w:val="2"/>
          <w:sz w:val="32"/>
          <w:szCs w:val="32"/>
          <w:lang w:val="en-US" w:eastAsia="zh-CN" w:bidi="ar-SA"/>
        </w:rPr>
      </w:pPr>
      <w:bookmarkStart w:id="6" w:name="_Toc28301"/>
      <w:r>
        <w:rPr>
          <w:rFonts w:hint="eastAsia" w:ascii="仿宋_GB2312" w:hAnsi="仿宋_GB2312" w:eastAsia="仿宋_GB2312" w:cs="仿宋_GB2312"/>
          <w:b/>
          <w:bCs/>
          <w:kern w:val="2"/>
          <w:sz w:val="32"/>
          <w:szCs w:val="32"/>
          <w:lang w:val="en-US" w:eastAsia="zh-CN" w:bidi="ar-SA"/>
        </w:rPr>
        <w:t>5.综合评价情况及评价结论</w:t>
      </w:r>
      <w:bookmarkEnd w:id="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经综合评价，</w:t>
      </w:r>
      <w:r>
        <w:rPr>
          <w:rFonts w:hint="eastAsia" w:ascii="仿宋_GB2312" w:hAnsi="仿宋_GB2312" w:eastAsia="仿宋_GB2312" w:cs="仿宋_GB2312"/>
          <w:sz w:val="32"/>
          <w:szCs w:val="32"/>
          <w:lang w:eastAsia="zh-CN"/>
        </w:rPr>
        <w:t>徐水经济开发区客运中心</w:t>
      </w:r>
      <w:r>
        <w:rPr>
          <w:rFonts w:hint="eastAsia" w:ascii="仿宋_GB2312" w:hAnsi="仿宋_GB2312" w:eastAsia="仿宋_GB2312" w:cs="仿宋_GB2312"/>
          <w:sz w:val="32"/>
          <w:szCs w:val="32"/>
        </w:rPr>
        <w:t>项目</w:t>
      </w:r>
      <w:r>
        <w:rPr>
          <w:rFonts w:hint="eastAsia" w:ascii="仿宋_GB2312" w:hAnsi="仿宋_GB2312" w:eastAsia="仿宋_GB2312" w:cs="仿宋_GB2312"/>
          <w:b/>
          <w:bCs/>
          <w:sz w:val="32"/>
          <w:szCs w:val="32"/>
        </w:rPr>
        <w:t>绩效评价得分</w:t>
      </w:r>
      <w:r>
        <w:rPr>
          <w:rFonts w:hint="eastAsia" w:ascii="仿宋_GB2312" w:hAnsi="仿宋_GB2312" w:eastAsia="仿宋_GB2312" w:cs="仿宋_GB2312"/>
          <w:b/>
          <w:bCs/>
          <w:sz w:val="32"/>
          <w:szCs w:val="32"/>
          <w:lang w:val="en-US" w:eastAsia="zh-CN"/>
        </w:rPr>
        <w:t>80.20</w:t>
      </w:r>
      <w:r>
        <w:rPr>
          <w:rFonts w:hint="eastAsia" w:ascii="仿宋_GB2312" w:hAnsi="仿宋_GB2312" w:eastAsia="仿宋_GB2312" w:cs="仿宋_GB2312"/>
          <w:b/>
          <w:bCs/>
          <w:sz w:val="32"/>
          <w:szCs w:val="32"/>
        </w:rPr>
        <w:t>分，评价等级为“</w:t>
      </w:r>
      <w:r>
        <w:rPr>
          <w:rFonts w:hint="eastAsia" w:ascii="仿宋_GB2312" w:hAnsi="仿宋_GB2312" w:eastAsia="仿宋_GB2312" w:cs="仿宋_GB2312"/>
          <w:b/>
          <w:bCs/>
          <w:sz w:val="32"/>
          <w:szCs w:val="32"/>
          <w:lang w:eastAsia="zh-CN"/>
        </w:rPr>
        <w:t>良</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从总体情况看，</w:t>
      </w:r>
      <w:r>
        <w:rPr>
          <w:rFonts w:hint="eastAsia" w:ascii="仿宋_GB2312" w:hAnsi="仿宋_GB2312" w:eastAsia="仿宋_GB2312" w:cs="仿宋_GB2312"/>
          <w:sz w:val="32"/>
          <w:szCs w:val="32"/>
          <w:lang w:eastAsia="zh-CN"/>
        </w:rPr>
        <w:t>徐水开发区管委会积极组织项目实施，</w:t>
      </w:r>
      <w:r>
        <w:rPr>
          <w:rFonts w:hint="eastAsia" w:ascii="仿宋_GB2312" w:hAnsi="仿宋_GB2312" w:eastAsia="仿宋_GB2312" w:cs="仿宋_GB2312"/>
          <w:sz w:val="32"/>
          <w:szCs w:val="32"/>
        </w:rPr>
        <w:t>将该项目作为重要的民生任务来抓</w:t>
      </w:r>
      <w:r>
        <w:rPr>
          <w:rFonts w:hint="eastAsia" w:ascii="仿宋_GB2312" w:hAnsi="仿宋_GB2312" w:eastAsia="仿宋_GB2312" w:cs="仿宋_GB2312"/>
          <w:sz w:val="32"/>
          <w:szCs w:val="32"/>
          <w:lang w:eastAsia="zh-CN"/>
        </w:rPr>
        <w:t>。一是该项目立项依据充分、程序规范、绩效目标设定较合理、绩效指标清晰、细化、可衡量。二是资金到位及时、预算执行率高。三是项目管理制度较为健全、制度执行基本有效。四是部分工程已经完工并投入使用，受益群众满意度较高。因该项目还未</w:t>
      </w:r>
      <w:r>
        <w:rPr>
          <w:rFonts w:hint="eastAsia" w:ascii="仿宋_GB2312" w:hAnsi="仿宋_GB2312" w:eastAsia="仿宋_GB2312" w:cs="仿宋_GB2312"/>
          <w:color w:val="auto"/>
          <w:sz w:val="32"/>
          <w:szCs w:val="32"/>
          <w:lang w:eastAsia="zh-CN"/>
        </w:rPr>
        <w:t>整体完工，未整体</w:t>
      </w:r>
      <w:r>
        <w:rPr>
          <w:rFonts w:hint="eastAsia" w:ascii="仿宋_GB2312" w:hAnsi="仿宋_GB2312" w:eastAsia="仿宋_GB2312" w:cs="仿宋_GB2312"/>
          <w:sz w:val="32"/>
          <w:szCs w:val="32"/>
          <w:lang w:eastAsia="zh-CN"/>
        </w:rPr>
        <w:t>投入使用，项目预期的经济效益、社会效益未能显现。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通过本次绩效评价工作，我们也发现该项目在</w:t>
      </w:r>
      <w:r>
        <w:rPr>
          <w:rFonts w:hint="eastAsia" w:ascii="仿宋_GB2312" w:hAnsi="仿宋_GB2312" w:eastAsia="仿宋_GB2312" w:cs="仿宋_GB2312"/>
          <w:color w:val="auto"/>
          <w:sz w:val="32"/>
          <w:szCs w:val="32"/>
          <w:lang w:eastAsia="zh-CN"/>
        </w:rPr>
        <w:t>资金管理和</w:t>
      </w:r>
      <w:r>
        <w:rPr>
          <w:rFonts w:hint="eastAsia" w:ascii="仿宋_GB2312" w:hAnsi="仿宋_GB2312" w:eastAsia="仿宋_GB2312" w:cs="仿宋_GB2312"/>
          <w:sz w:val="32"/>
          <w:szCs w:val="32"/>
        </w:rPr>
        <w:t>项目管理中仍存在一些不足之处。具体如下</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sz w:val="32"/>
          <w:szCs w:val="32"/>
          <w:lang w:val="en-US" w:eastAsia="zh-CN"/>
        </w:rPr>
        <w:t>（1）建设</w:t>
      </w:r>
      <w:r>
        <w:rPr>
          <w:rFonts w:hint="eastAsia" w:ascii="仿宋_GB2312" w:hAnsi="仿宋_GB2312" w:eastAsia="仿宋_GB2312" w:cs="仿宋_GB2312"/>
          <w:b w:val="0"/>
          <w:bCs w:val="0"/>
          <w:kern w:val="2"/>
          <w:sz w:val="32"/>
          <w:szCs w:val="32"/>
          <w:lang w:val="en-US" w:eastAsia="zh-CN" w:bidi="ar-SA"/>
        </w:rPr>
        <w:t>程序有瑕疵，项目施工许可证的颁发时间晚于项目开工时间。</w:t>
      </w:r>
      <w:r>
        <w:rPr>
          <w:rFonts w:hint="eastAsia" w:ascii="仿宋_GB2312" w:hAnsi="仿宋_GB2312" w:eastAsia="仿宋_GB2312" w:cs="仿宋_GB2312"/>
          <w:sz w:val="32"/>
          <w:szCs w:val="32"/>
          <w:lang w:val="en-US" w:eastAsia="zh-CN"/>
        </w:rPr>
        <w:t>（2）工程管理存在不足，一是</w:t>
      </w:r>
      <w:r>
        <w:rPr>
          <w:rFonts w:hint="eastAsia" w:ascii="仿宋_GB2312" w:hAnsi="仿宋_GB2312" w:eastAsia="仿宋_GB2312" w:cs="仿宋_GB2312"/>
          <w:b w:val="0"/>
          <w:bCs w:val="0"/>
          <w:kern w:val="2"/>
          <w:sz w:val="32"/>
          <w:szCs w:val="32"/>
          <w:lang w:val="en-US" w:eastAsia="zh-CN" w:bidi="ar-SA"/>
        </w:rPr>
        <w:t>实际施工情况与施工图设计不一致，尚未进行变更手续；二是</w:t>
      </w:r>
      <w:r>
        <w:rPr>
          <w:rFonts w:hint="eastAsia" w:ascii="仿宋_GB2312" w:hAnsi="仿宋_GB2312" w:eastAsia="仿宋_GB2312" w:cs="仿宋_GB2312"/>
          <w:sz w:val="32"/>
          <w:szCs w:val="32"/>
          <w:lang w:val="en-US" w:eastAsia="zh-CN"/>
        </w:rPr>
        <w:t>施工合同未约定质保金；三是</w:t>
      </w:r>
      <w:r>
        <w:rPr>
          <w:rFonts w:hint="eastAsia" w:ascii="仿宋_GB2312" w:hAnsi="仿宋_GB2312" w:eastAsia="仿宋_GB2312" w:cs="仿宋_GB2312"/>
          <w:b w:val="0"/>
          <w:bCs w:val="0"/>
          <w:sz w:val="32"/>
          <w:szCs w:val="32"/>
          <w:lang w:val="en-US" w:eastAsia="zh-CN"/>
        </w:rPr>
        <w:t>项目实施方案制定不精细，未进行职责分工，未明确项目完工时间、竣工结算时间、验收时间等项目实施的重要时间节点。（3）工程进度款拨付存在超拨情况，实</w:t>
      </w:r>
      <w:r>
        <w:rPr>
          <w:rFonts w:hint="eastAsia" w:ascii="仿宋_GB2312" w:hAnsi="仿宋_GB2312" w:eastAsia="仿宋_GB2312" w:cs="仿宋_GB2312"/>
          <w:b w:val="0"/>
          <w:bCs w:val="0"/>
          <w:color w:val="auto"/>
          <w:sz w:val="32"/>
          <w:szCs w:val="32"/>
          <w:lang w:val="en-US" w:eastAsia="zh-CN"/>
        </w:rPr>
        <w:t>际</w:t>
      </w:r>
      <w:r>
        <w:rPr>
          <w:rFonts w:hint="eastAsia" w:ascii="仿宋_GB2312" w:hAnsi="仿宋_GB2312" w:eastAsia="仿宋_GB2312" w:cs="仿宋_GB2312"/>
          <w:color w:val="auto"/>
          <w:sz w:val="32"/>
          <w:szCs w:val="32"/>
          <w:lang w:val="en-US" w:eastAsia="zh-CN"/>
        </w:rPr>
        <w:t>支付资金超过已完工程量，资金支付进度与工程进度不匹配。</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针对上述发现的问题，为进一步提升项目单位今后的预算绩效管理水平，提出以下建议：</w:t>
      </w:r>
    </w:p>
    <w:p>
      <w:pPr>
        <w:pStyle w:val="19"/>
        <w:keepNext w:val="0"/>
        <w:keepLines w:val="0"/>
        <w:pageBreakBefore w:val="0"/>
        <w:widowControl w:val="0"/>
        <w:numPr>
          <w:ilvl w:val="0"/>
          <w:numId w:val="1"/>
        </w:numPr>
        <w:kinsoku/>
        <w:wordWrap/>
        <w:overflowPunct/>
        <w:topLinePunct w:val="0"/>
        <w:autoSpaceDE/>
        <w:autoSpaceDN/>
        <w:bidi w:val="0"/>
        <w:adjustRightInd/>
        <w:snapToGrid/>
        <w:spacing w:before="0" w:after="0" w:line="58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针对项目施工许可证的颁发时间晚于项目开工时间的问题，建议在今后的项目中，要做到提前谋划，按照规定的程序开展工作，保证工程的合规性。</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after="0" w:line="58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（2）针对工程管理存在的不足，一是严格按照图纸施工，对于确实不能按照施工图施工的，及时履行相应的变更手续。二是</w:t>
      </w:r>
      <w:r>
        <w:rPr>
          <w:rFonts w:hint="eastAsia" w:ascii="仿宋_GB2312" w:hAnsi="仿宋_GB2312" w:eastAsia="仿宋_GB2312" w:cs="仿宋_GB2312"/>
          <w:b w:val="0"/>
          <w:bCs w:val="0"/>
          <w:sz w:val="32"/>
          <w:szCs w:val="32"/>
          <w:lang w:val="en-US" w:eastAsia="zh-CN"/>
        </w:rPr>
        <w:t>法务部门应严格审核合同条款，按照《建筑工程质量保证金管理办法》的要求，合理确定缺陷责任期和质量保证金。三是</w:t>
      </w:r>
      <w:r>
        <w:rPr>
          <w:rFonts w:hint="eastAsia" w:ascii="仿宋_GB2312" w:hAnsi="仿宋_GB2312" w:eastAsia="仿宋_GB2312" w:cs="仿宋_GB2312"/>
          <w:b w:val="0"/>
          <w:bCs w:val="0"/>
          <w:kern w:val="2"/>
          <w:sz w:val="32"/>
          <w:szCs w:val="32"/>
          <w:lang w:val="en-US" w:eastAsia="zh-CN" w:bidi="ar-SA"/>
        </w:rPr>
        <w:t>针对</w:t>
      </w:r>
      <w:r>
        <w:rPr>
          <w:rFonts w:hint="eastAsia" w:ascii="仿宋_GB2312" w:hAnsi="仿宋_GB2312" w:eastAsia="仿宋_GB2312" w:cs="仿宋_GB2312"/>
          <w:b w:val="0"/>
          <w:bCs w:val="0"/>
          <w:sz w:val="32"/>
          <w:szCs w:val="32"/>
          <w:lang w:val="en-US" w:eastAsia="zh-CN"/>
        </w:rPr>
        <w:t>项目实施方案制定不精细的问题，建议完善项目实施方案或者编制项目实施计划，明确项目管理人员、职责范围、项目施工的重要时间节点，加强项目管理，提高项目管理效率</w:t>
      </w:r>
      <w:r>
        <w:rPr>
          <w:rFonts w:hint="eastAsia" w:ascii="仿宋_GB2312" w:hAnsi="仿宋_GB2312" w:eastAsia="仿宋_GB2312" w:cs="仿宋_GB2312"/>
          <w:b w:val="0"/>
          <w:bCs w:val="0"/>
          <w:kern w:val="2"/>
          <w:sz w:val="32"/>
          <w:szCs w:val="32"/>
          <w:lang w:val="en-US" w:eastAsia="zh-CN" w:bidi="ar-SA"/>
        </w:rPr>
        <w:t>，以保证工程施工质量及建设程序合法合规。</w:t>
      </w:r>
    </w:p>
    <w:p>
      <w:pPr>
        <w:pStyle w:val="19"/>
        <w:numPr>
          <w:ilvl w:val="0"/>
          <w:numId w:val="0"/>
        </w:numPr>
        <w:spacing w:before="0" w:after="360" w:line="58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t>（3）</w:t>
      </w:r>
      <w:r>
        <w:rPr>
          <w:rFonts w:hint="eastAsia" w:ascii="仿宋_GB2312" w:hAnsi="仿宋_GB2312" w:eastAsia="仿宋_GB2312" w:cs="仿宋_GB2312"/>
          <w:b w:val="0"/>
          <w:bCs w:val="0"/>
          <w:sz w:val="32"/>
          <w:szCs w:val="32"/>
          <w:lang w:val="en-US" w:eastAsia="zh-CN"/>
        </w:rPr>
        <w:t>加强工程资金管理，严把资金审核支付关。一是项目承担单位指定专人负责工程量的复核工作或者引入第三方进行跟踪审计，确保资金支付进度与实际工程量相匹配，避免资金流失的风险。</w:t>
      </w:r>
      <w:bookmarkEnd w:id="5"/>
      <w:bookmarkStart w:id="7" w:name="_Toc9053"/>
      <w:bookmarkStart w:id="8" w:name="_Toc485233444"/>
      <w:bookmarkStart w:id="9" w:name="_Toc22871"/>
      <w:bookmarkStart w:id="10" w:name="_Toc38821359"/>
      <w:bookmarkStart w:id="11" w:name="_Toc7956020"/>
      <w:bookmarkStart w:id="12" w:name="_Toc41137180"/>
      <w:bookmarkStart w:id="13" w:name="_Toc38452628"/>
      <w:bookmarkStart w:id="14" w:name="_Toc38447884"/>
      <w:bookmarkStart w:id="15" w:name="_Toc8741_WPSOffice_Type3"/>
      <w:r>
        <w:rPr>
          <w:rFonts w:hint="eastAsia" w:ascii="仿宋_GB2312" w:hAnsi="仿宋_GB2312" w:eastAsia="仿宋_GB2312" w:cs="仿宋_GB2312"/>
          <w:b w:val="0"/>
          <w:bCs w:val="0"/>
          <w:sz w:val="32"/>
          <w:szCs w:val="32"/>
          <w:lang w:val="en-US" w:eastAsia="zh-CN"/>
        </w:rPr>
        <w:t>二是科学规划工期，加快工程进度，力促工程早日竣工，尽早投入使用，显现项目效益。</w:t>
      </w: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jc w:val="both"/>
        <w:rPr>
          <w:rFonts w:ascii="Times New Roman" w:hAnsi="Times New Roman" w:eastAsia="黑体"/>
        </w:rPr>
      </w:pPr>
    </w:p>
    <w:p>
      <w:pPr>
        <w:pStyle w:val="19"/>
        <w:numPr>
          <w:ilvl w:val="0"/>
          <w:numId w:val="0"/>
        </w:numPr>
        <w:spacing w:before="0" w:after="360" w:line="580" w:lineRule="exact"/>
        <w:jc w:val="center"/>
        <w:rPr>
          <w:rFonts w:ascii="Times New Roman" w:hAnsi="Times New Roman" w:eastAsia="黑体"/>
        </w:rPr>
      </w:pPr>
      <w:r>
        <w:rPr>
          <w:rFonts w:ascii="Times New Roman" w:hAnsi="Times New Roman" w:eastAsia="黑体"/>
        </w:rPr>
        <w:t>第二部分   绩效评价报告</w:t>
      </w:r>
      <w:bookmarkEnd w:id="7"/>
      <w:bookmarkEnd w:id="8"/>
      <w:bookmarkEnd w:id="9"/>
      <w:bookmarkEnd w:id="10"/>
      <w:bookmarkEnd w:id="11"/>
      <w:bookmarkEnd w:id="12"/>
    </w:p>
    <w:p>
      <w:pPr>
        <w:pStyle w:val="2"/>
        <w:keepNext w:val="0"/>
        <w:keepLines w:val="0"/>
        <w:spacing w:before="0" w:after="0" w:line="580" w:lineRule="exact"/>
        <w:ind w:firstLine="643" w:firstLineChars="200"/>
        <w:jc w:val="left"/>
        <w:rPr>
          <w:rFonts w:eastAsia="黑体"/>
          <w:bCs w:val="0"/>
          <w:sz w:val="32"/>
          <w:szCs w:val="32"/>
        </w:rPr>
      </w:pPr>
      <w:bookmarkStart w:id="16" w:name="_Toc32754"/>
      <w:bookmarkStart w:id="17" w:name="_Toc41137181"/>
      <w:bookmarkStart w:id="18" w:name="_Toc486"/>
      <w:r>
        <w:rPr>
          <w:rFonts w:eastAsia="黑体"/>
          <w:bCs w:val="0"/>
          <w:sz w:val="32"/>
          <w:szCs w:val="32"/>
        </w:rPr>
        <w:t>一、基本概况</w:t>
      </w:r>
      <w:bookmarkEnd w:id="13"/>
      <w:bookmarkEnd w:id="14"/>
      <w:bookmarkEnd w:id="16"/>
      <w:bookmarkEnd w:id="17"/>
      <w:bookmarkEnd w:id="18"/>
    </w:p>
    <w:p>
      <w:pPr>
        <w:pStyle w:val="3"/>
        <w:spacing w:before="0" w:after="0" w:line="580" w:lineRule="exact"/>
        <w:ind w:firstLine="643" w:firstLineChars="200"/>
        <w:rPr>
          <w:rFonts w:ascii="Times New Roman" w:hAnsi="Times New Roman" w:eastAsia="楷体_GB2312"/>
        </w:rPr>
      </w:pPr>
      <w:bookmarkStart w:id="19" w:name="_Toc41137182"/>
      <w:bookmarkStart w:id="20" w:name="_Toc38447885"/>
      <w:bookmarkStart w:id="21" w:name="_Toc29066"/>
      <w:bookmarkStart w:id="22" w:name="_Toc4540"/>
      <w:bookmarkStart w:id="23" w:name="_Toc38452629"/>
      <w:r>
        <w:rPr>
          <w:rFonts w:ascii="Times New Roman" w:hAnsi="Times New Roman" w:eastAsia="楷体_GB2312"/>
        </w:rPr>
        <w:t>（一）项目概况</w:t>
      </w:r>
      <w:bookmarkEnd w:id="19"/>
      <w:bookmarkEnd w:id="20"/>
      <w:bookmarkEnd w:id="21"/>
      <w:bookmarkEnd w:id="22"/>
      <w:bookmarkEnd w:id="23"/>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项目背景</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交客运站是公益性的交通基础设施，是培育和发展道路运输市场的载体，承担着旅客集散和客运班车接发的重要职责，关系着道路运输的效率和质量，同时也对交通运输布局产生着重要影响，是运输网络畅通的重要保障。加强客运站的建设和管理，是建设和谐交通、服务型交通行业的重要组成部分，是贯彻交通运输部提出的“三个服务”中服务人民群众安全便捷出行的重要内容。徐水经济开发区地处京津冀三角黄金腹地，距雄安新区30公里，优越的地理位置和便利的交通环境，吸引了大批实力雄厚的重点项目落户于此。因此，完善该地交通基础设施，增强客运安全生产能力是势在必行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项目主要</w:t>
      </w:r>
      <w:r>
        <w:rPr>
          <w:rFonts w:hint="eastAsia" w:ascii="仿宋_GB2312" w:hAnsi="仿宋_GB2312" w:cs="仿宋_GB2312"/>
          <w:b w:val="0"/>
          <w:bCs w:val="0"/>
          <w:sz w:val="32"/>
          <w:szCs w:val="32"/>
          <w:lang w:eastAsia="zh-CN"/>
        </w:rPr>
        <w:t>建设</w:t>
      </w:r>
      <w:r>
        <w:rPr>
          <w:rFonts w:hint="eastAsia" w:ascii="仿宋_GB2312" w:hAnsi="仿宋_GB2312" w:eastAsia="仿宋_GB2312" w:cs="仿宋_GB2312"/>
          <w:b w:val="0"/>
          <w:bCs w:val="0"/>
          <w:sz w:val="32"/>
          <w:szCs w:val="32"/>
        </w:rPr>
        <w:t>内容</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项目建设地点：西邻保定市朝阳北大街，北临徐大公路（S333）。</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项目主要建设内容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综合楼建筑面积1286.66平方米、门卫建筑面积80平方米（2个）、公厕建筑面积85.71平方米、驻车场11900.56平方米、无轨车场5400平方米、社会停车场5361.80平方米、新建围墙864米、公交站亭36套、新建绿地面积3112.36平方米、道路硬化面积5600平方米、车辆维修车间9986平方米（</w:t>
      </w:r>
      <w:r>
        <w:rPr>
          <w:rFonts w:hint="eastAsia" w:ascii="仿宋_GB2312" w:hAnsi="仿宋_GB2312" w:cs="仿宋_GB2312"/>
          <w:sz w:val="32"/>
          <w:szCs w:val="32"/>
          <w:lang w:val="en-US" w:eastAsia="zh-CN"/>
        </w:rPr>
        <w:t>其中</w:t>
      </w:r>
      <w:r>
        <w:rPr>
          <w:rFonts w:hint="eastAsia" w:ascii="仿宋_GB2312" w:hAnsi="仿宋_GB2312" w:eastAsia="仿宋_GB2312" w:cs="仿宋_GB2312"/>
          <w:sz w:val="32"/>
          <w:szCs w:val="32"/>
          <w:lang w:val="en-US" w:eastAsia="zh-CN"/>
        </w:rPr>
        <w:t>地面硬化6000平方米，钢构检修棚2500平方米）、消防水池133.30平方米。</w:t>
      </w:r>
    </w:p>
    <w:p>
      <w:pPr>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3.项目实施情况</w:t>
      </w:r>
    </w:p>
    <w:p>
      <w:pPr>
        <w:numPr>
          <w:ilvl w:val="0"/>
          <w:numId w:val="0"/>
        </w:numPr>
        <w:spacing w:line="580" w:lineRule="exact"/>
        <w:ind w:firstLine="640" w:firstLineChars="200"/>
        <w:rPr>
          <w:rFonts w:hint="eastAsia" w:ascii="仿宋_GB2312" w:hAnsi="仿宋_GB2312" w:cs="仿宋_GB2312"/>
          <w:sz w:val="32"/>
          <w:szCs w:val="32"/>
          <w:lang w:val="en-US" w:eastAsia="zh-CN"/>
        </w:rPr>
      </w:pPr>
      <w:r>
        <w:rPr>
          <w:rFonts w:hint="eastAsia" w:ascii="仿宋_GB2312" w:hAnsi="仿宋_GB2312" w:eastAsia="仿宋_GB2312" w:cs="仿宋_GB2312"/>
          <w:sz w:val="32"/>
          <w:szCs w:val="32"/>
        </w:rPr>
        <w:t>该项目于20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月出具可行性研究报告并经</w:t>
      </w:r>
      <w:r>
        <w:rPr>
          <w:rFonts w:hint="eastAsia" w:ascii="仿宋_GB2312" w:hAnsi="仿宋_GB2312" w:eastAsia="仿宋_GB2312" w:cs="仿宋_GB2312"/>
          <w:sz w:val="32"/>
          <w:szCs w:val="32"/>
          <w:lang w:eastAsia="zh-CN"/>
        </w:rPr>
        <w:t>徐水经济开发区行政审批局批复；</w:t>
      </w:r>
      <w:r>
        <w:rPr>
          <w:rFonts w:hint="eastAsia" w:ascii="仿宋_GB2312" w:hAnsi="仿宋_GB2312" w:eastAsia="仿宋_GB2312" w:cs="仿宋_GB2312"/>
          <w:sz w:val="32"/>
          <w:szCs w:val="32"/>
          <w:lang w:val="en-US" w:eastAsia="zh-CN"/>
        </w:rPr>
        <w:t>2020年8月开始组织招标，2020年9月27日确定中标单位并与中标单位签订EPC总承包合同</w:t>
      </w:r>
      <w:r>
        <w:rPr>
          <w:rFonts w:hint="eastAsia" w:ascii="仿宋_GB2312" w:hAnsi="仿宋_GB2312" w:cs="仿宋_GB2312"/>
          <w:sz w:val="32"/>
          <w:szCs w:val="32"/>
          <w:lang w:val="en-US" w:eastAsia="zh-CN"/>
        </w:rPr>
        <w:t>，合同约定的工期为2020年9月30日至2021年10月30日；</w:t>
      </w:r>
      <w:r>
        <w:rPr>
          <w:rFonts w:hint="eastAsia" w:ascii="仿宋_GB2312" w:hAnsi="仿宋_GB2312" w:eastAsia="仿宋_GB2312" w:cs="仿宋_GB2312"/>
          <w:sz w:val="32"/>
          <w:szCs w:val="32"/>
          <w:lang w:val="en-US" w:eastAsia="zh-CN"/>
        </w:rPr>
        <w:t>2020年9月30日</w:t>
      </w:r>
      <w:r>
        <w:rPr>
          <w:rFonts w:hint="eastAsia" w:ascii="仿宋_GB2312" w:hAnsi="仿宋_GB2312" w:cs="仿宋_GB2312"/>
          <w:sz w:val="32"/>
          <w:szCs w:val="32"/>
          <w:lang w:val="en-US" w:eastAsia="zh-CN"/>
        </w:rPr>
        <w:t>该项目</w:t>
      </w:r>
      <w:r>
        <w:rPr>
          <w:rFonts w:hint="eastAsia" w:ascii="仿宋_GB2312" w:hAnsi="仿宋_GB2312" w:eastAsia="仿宋_GB2312" w:cs="仿宋_GB2312"/>
          <w:sz w:val="32"/>
          <w:szCs w:val="32"/>
          <w:lang w:val="en-US" w:eastAsia="zh-CN"/>
        </w:rPr>
        <w:t>正式开工</w:t>
      </w:r>
      <w:r>
        <w:rPr>
          <w:rFonts w:hint="eastAsia" w:ascii="仿宋_GB2312" w:hAnsi="仿宋_GB2312" w:cs="仿宋_GB2312"/>
          <w:sz w:val="32"/>
          <w:szCs w:val="32"/>
          <w:lang w:val="en-US" w:eastAsia="zh-CN"/>
        </w:rPr>
        <w:t>，经现场评价和估算，截至评价日，项目整体完工进度约为80%。</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项目实施涉及主要单位如下：</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建设单位：</w:t>
      </w:r>
      <w:r>
        <w:rPr>
          <w:rFonts w:hint="eastAsia" w:ascii="仿宋_GB2312" w:hAnsi="仿宋_GB2312" w:eastAsia="仿宋_GB2312" w:cs="仿宋_GB2312"/>
          <w:sz w:val="32"/>
          <w:szCs w:val="32"/>
          <w:lang w:eastAsia="zh-CN"/>
        </w:rPr>
        <w:t>河北徐水经济开发区管理委员会</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监理单位：</w:t>
      </w:r>
      <w:r>
        <w:rPr>
          <w:rFonts w:hint="eastAsia" w:ascii="仿宋_GB2312" w:hAnsi="仿宋_GB2312" w:eastAsia="仿宋_GB2312" w:cs="仿宋_GB2312"/>
          <w:sz w:val="32"/>
          <w:szCs w:val="32"/>
          <w:lang w:val="en-US" w:eastAsia="zh-CN"/>
        </w:rPr>
        <w:t>恒康工程科技有限公司</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勘察单位：</w:t>
      </w:r>
      <w:r>
        <w:rPr>
          <w:rFonts w:hint="eastAsia" w:ascii="仿宋_GB2312" w:hAnsi="仿宋_GB2312" w:eastAsia="仿宋_GB2312" w:cs="仿宋_GB2312"/>
          <w:sz w:val="32"/>
          <w:szCs w:val="32"/>
          <w:lang w:val="en-US" w:eastAsia="zh-CN"/>
        </w:rPr>
        <w:t>保定九华工程勘察有限公司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设计单位：</w:t>
      </w:r>
      <w:r>
        <w:rPr>
          <w:rFonts w:hint="eastAsia" w:ascii="仿宋_GB2312" w:hAnsi="仿宋_GB2312" w:eastAsia="仿宋_GB2312" w:cs="仿宋_GB2312"/>
          <w:sz w:val="32"/>
          <w:szCs w:val="32"/>
          <w:lang w:val="en-US" w:eastAsia="zh-CN"/>
        </w:rPr>
        <w:t>保定市建筑设计院有限公司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施工单位：河北建设集团天辰建筑工程有限公司</w:t>
      </w:r>
    </w:p>
    <w:p>
      <w:pPr>
        <w:numPr>
          <w:ilvl w:val="0"/>
          <w:numId w:val="0"/>
        </w:num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.资金投入和使用情况</w:t>
      </w:r>
    </w:p>
    <w:p>
      <w:pPr>
        <w:numPr>
          <w:ilvl w:val="0"/>
          <w:numId w:val="0"/>
        </w:numPr>
        <w:spacing w:line="580" w:lineRule="exact"/>
        <w:ind w:firstLine="640" w:firstLineChars="200"/>
        <w:rPr>
          <w:rFonts w:hint="eastAsia" w:ascii="仿宋_GB2312" w:hAnsi="仿宋_GB2312" w:eastAsia="仿宋_GB2312" w:cs="仿宋_GB2312"/>
          <w:bCs/>
          <w:sz w:val="32"/>
          <w:szCs w:val="32"/>
          <w:lang w:val="en-US" w:eastAsia="zh-CN"/>
        </w:rPr>
      </w:pPr>
      <w:bookmarkStart w:id="24" w:name="_Toc41137183"/>
      <w:bookmarkStart w:id="25" w:name="_Toc7170"/>
      <w:bookmarkStart w:id="26" w:name="_Toc14928"/>
      <w:r>
        <w:rPr>
          <w:rFonts w:hint="eastAsia" w:ascii="仿宋_GB2312" w:hAnsi="仿宋_GB2312" w:eastAsia="仿宋_GB2312" w:cs="仿宋_GB2312"/>
          <w:bCs/>
          <w:sz w:val="32"/>
          <w:szCs w:val="32"/>
          <w:lang w:eastAsia="zh-CN"/>
        </w:rPr>
        <w:t>该项目预算总投</w:t>
      </w:r>
      <w:r>
        <w:rPr>
          <w:rFonts w:hint="eastAsia" w:ascii="仿宋_GB2312" w:hAnsi="仿宋_GB2312" w:eastAsia="仿宋_GB2312" w:cs="仿宋_GB2312"/>
          <w:bCs/>
          <w:sz w:val="32"/>
          <w:szCs w:val="32"/>
          <w:highlight w:val="none"/>
          <w:lang w:eastAsia="zh-CN"/>
        </w:rPr>
        <w:t>资</w:t>
      </w:r>
      <w:r>
        <w:rPr>
          <w:rFonts w:hint="eastAsia" w:ascii="仿宋_GB2312" w:hAnsi="仿宋_GB2312" w:eastAsia="仿宋_GB2312" w:cs="仿宋_GB2312"/>
          <w:bCs/>
          <w:sz w:val="32"/>
          <w:szCs w:val="32"/>
          <w:highlight w:val="none"/>
          <w:lang w:val="en-US" w:eastAsia="zh-CN"/>
        </w:rPr>
        <w:t>3770万元，</w:t>
      </w:r>
      <w:r>
        <w:rPr>
          <w:rFonts w:hint="eastAsia"/>
          <w:sz w:val="32"/>
          <w:szCs w:val="32"/>
          <w:highlight w:val="none"/>
          <w:lang w:eastAsia="zh-CN"/>
        </w:rPr>
        <w:t>全</w:t>
      </w:r>
      <w:r>
        <w:rPr>
          <w:rFonts w:hint="eastAsia"/>
          <w:sz w:val="32"/>
          <w:szCs w:val="32"/>
          <w:lang w:eastAsia="zh-CN"/>
        </w:rPr>
        <w:t>部为财政资金，其中专项债券资</w:t>
      </w:r>
      <w:r>
        <w:rPr>
          <w:rFonts w:hint="eastAsia" w:ascii="仿宋_GB2312" w:hAnsi="仿宋_GB2312" w:eastAsia="仿宋_GB2312" w:cs="仿宋_GB2312"/>
          <w:bCs/>
          <w:sz w:val="32"/>
          <w:szCs w:val="32"/>
          <w:highlight w:val="none"/>
          <w:lang w:val="en-US" w:eastAsia="zh-CN"/>
        </w:rPr>
        <w:t>金3300万元</w:t>
      </w:r>
      <w:r>
        <w:rPr>
          <w:rFonts w:hint="eastAsia" w:ascii="仿宋_GB2312" w:hAnsi="仿宋_GB2312" w:eastAsia="仿宋_GB2312" w:cs="仿宋_GB2312"/>
          <w:bCs/>
          <w:sz w:val="32"/>
          <w:szCs w:val="32"/>
          <w:lang w:val="en-US" w:eastAsia="zh-CN"/>
        </w:rPr>
        <w:t>，本次评价的资金范围为该部分</w:t>
      </w:r>
      <w:r>
        <w:rPr>
          <w:rFonts w:hint="eastAsia" w:ascii="仿宋_GB2312" w:hAnsi="仿宋_GB2312" w:cs="仿宋_GB2312"/>
          <w:bCs/>
          <w:sz w:val="32"/>
          <w:szCs w:val="32"/>
          <w:lang w:val="en-US" w:eastAsia="zh-CN"/>
        </w:rPr>
        <w:t>专项债券资金</w:t>
      </w:r>
      <w:r>
        <w:rPr>
          <w:rFonts w:hint="eastAsia" w:ascii="仿宋_GB2312" w:hAnsi="仿宋_GB2312" w:eastAsia="仿宋_GB2312" w:cs="仿宋_GB2312"/>
          <w:bCs/>
          <w:sz w:val="32"/>
          <w:szCs w:val="32"/>
          <w:lang w:val="en-US" w:eastAsia="zh-CN"/>
        </w:rPr>
        <w:t>。</w:t>
      </w:r>
      <w:r>
        <w:rPr>
          <w:rFonts w:hint="eastAsia" w:ascii="仿宋_GB2312" w:hAnsi="仿宋_GB2312" w:cs="仿宋_GB2312"/>
          <w:bCs/>
          <w:sz w:val="32"/>
          <w:szCs w:val="32"/>
          <w:lang w:val="en-US" w:eastAsia="zh-CN"/>
        </w:rPr>
        <w:t>截止2020年12月31日</w:t>
      </w:r>
      <w:r>
        <w:rPr>
          <w:rFonts w:hint="eastAsia" w:ascii="仿宋_GB2312" w:hAnsi="仿宋_GB2312" w:eastAsia="仿宋_GB2312" w:cs="仿宋_GB2312"/>
          <w:bCs/>
          <w:sz w:val="32"/>
          <w:szCs w:val="32"/>
          <w:lang w:val="en-US" w:eastAsia="zh-CN"/>
        </w:rPr>
        <w:t>，</w:t>
      </w:r>
      <w:r>
        <w:rPr>
          <w:rFonts w:hint="eastAsia" w:ascii="仿宋_GB2312" w:hAnsi="仿宋_GB2312" w:cs="仿宋_GB2312"/>
          <w:bCs/>
          <w:sz w:val="32"/>
          <w:szCs w:val="32"/>
          <w:lang w:val="en-US" w:eastAsia="zh-CN"/>
        </w:rPr>
        <w:t>共</w:t>
      </w:r>
      <w:r>
        <w:rPr>
          <w:rFonts w:hint="eastAsia" w:ascii="仿宋_GB2312" w:hAnsi="仿宋_GB2312" w:eastAsia="仿宋_GB2312" w:cs="仿宋_GB2312"/>
          <w:bCs/>
          <w:sz w:val="32"/>
          <w:szCs w:val="32"/>
          <w:lang w:val="en-US" w:eastAsia="zh-CN"/>
        </w:rPr>
        <w:t>支出3300万元，预算执行率100%。</w:t>
      </w:r>
    </w:p>
    <w:p>
      <w:pPr>
        <w:pStyle w:val="3"/>
        <w:spacing w:before="0" w:after="0" w:line="580" w:lineRule="exact"/>
        <w:ind w:firstLine="643" w:firstLineChars="200"/>
        <w:rPr>
          <w:rFonts w:ascii="Times New Roman" w:hAnsi="Times New Roman" w:eastAsia="楷体_GB2312"/>
        </w:rPr>
      </w:pPr>
      <w:r>
        <w:rPr>
          <w:rFonts w:ascii="Times New Roman" w:hAnsi="Times New Roman" w:eastAsia="楷体_GB2312"/>
        </w:rPr>
        <w:t>（二）绩效目标</w:t>
      </w:r>
      <w:bookmarkEnd w:id="24"/>
      <w:bookmarkEnd w:id="25"/>
      <w:bookmarkEnd w:id="26"/>
    </w:p>
    <w:p>
      <w:pPr>
        <w:spacing w:line="580" w:lineRule="exact"/>
        <w:ind w:firstLine="640" w:firstLineChars="200"/>
        <w:rPr>
          <w:rFonts w:hint="eastAsia"/>
          <w:sz w:val="32"/>
          <w:szCs w:val="32"/>
          <w:lang w:eastAsia="zh-CN"/>
        </w:rPr>
      </w:pPr>
      <w:r>
        <w:rPr>
          <w:rFonts w:hint="eastAsia"/>
          <w:sz w:val="32"/>
          <w:szCs w:val="32"/>
          <w:lang w:eastAsia="zh-CN"/>
        </w:rPr>
        <w:t>项目建成后将大大提高客运安全生产能力，畅通城市交通，改善交通秩序，更好的促进徐水区交通运输业的发展，充分发挥开发区经济主战场的重要地位，为徐水区的腾飞奠定坚实的经济基础。</w:t>
      </w:r>
    </w:p>
    <w:p>
      <w:pPr>
        <w:pStyle w:val="2"/>
        <w:keepNext w:val="0"/>
        <w:keepLines w:val="0"/>
        <w:spacing w:before="0" w:after="0" w:line="580" w:lineRule="exact"/>
        <w:ind w:firstLine="643" w:firstLineChars="200"/>
        <w:jc w:val="left"/>
        <w:rPr>
          <w:rFonts w:eastAsia="黑体"/>
          <w:sz w:val="32"/>
          <w:szCs w:val="32"/>
        </w:rPr>
      </w:pPr>
      <w:bookmarkStart w:id="27" w:name="_Toc11421"/>
      <w:bookmarkStart w:id="28" w:name="_Toc3315"/>
      <w:bookmarkStart w:id="29" w:name="_Toc38452630"/>
      <w:bookmarkStart w:id="30" w:name="_Toc41137184"/>
      <w:bookmarkStart w:id="31" w:name="_Toc38447886"/>
      <w:r>
        <w:rPr>
          <w:rFonts w:eastAsia="黑体"/>
          <w:sz w:val="32"/>
          <w:szCs w:val="32"/>
        </w:rPr>
        <w:t>二、绩效评价工作开展情况</w:t>
      </w:r>
      <w:bookmarkEnd w:id="27"/>
      <w:bookmarkEnd w:id="28"/>
      <w:bookmarkEnd w:id="29"/>
      <w:bookmarkEnd w:id="30"/>
      <w:bookmarkEnd w:id="31"/>
    </w:p>
    <w:p>
      <w:pPr>
        <w:pStyle w:val="3"/>
        <w:spacing w:before="0" w:after="0" w:line="580" w:lineRule="exact"/>
        <w:ind w:firstLine="643" w:firstLineChars="200"/>
        <w:rPr>
          <w:rFonts w:ascii="Times New Roman" w:hAnsi="Times New Roman" w:eastAsia="楷体_GB2312"/>
        </w:rPr>
      </w:pPr>
      <w:bookmarkStart w:id="32" w:name="_Toc24259"/>
      <w:bookmarkStart w:id="33" w:name="_Toc38452631"/>
      <w:bookmarkStart w:id="34" w:name="_Toc29904"/>
      <w:bookmarkStart w:id="35" w:name="_Toc41137185"/>
      <w:bookmarkStart w:id="36" w:name="_Toc38447887"/>
      <w:r>
        <w:rPr>
          <w:rFonts w:ascii="Times New Roman" w:hAnsi="Times New Roman" w:eastAsia="楷体_GB2312"/>
        </w:rPr>
        <w:t>（一）绩效评价目的、对象和范围</w:t>
      </w:r>
      <w:bookmarkEnd w:id="32"/>
      <w:bookmarkEnd w:id="33"/>
      <w:bookmarkEnd w:id="34"/>
      <w:bookmarkEnd w:id="35"/>
      <w:bookmarkEnd w:id="36"/>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1.绩效评价目的</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旨在通过考核该项目的决策、过程、产出和效果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2.绩效评价对象</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评价对象为徐水经济开发区客运中心项目。</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3.绩效评价范围</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本次绩效评价范围为徐水经济开发区客运中心项目</w:t>
      </w:r>
      <w:r>
        <w:rPr>
          <w:rFonts w:hint="eastAsia" w:ascii="仿宋_GB2312" w:hAnsi="仿宋_GB2312" w:eastAsia="仿宋_GB2312" w:cs="仿宋_GB2312"/>
          <w:sz w:val="32"/>
          <w:szCs w:val="32"/>
          <w:lang w:eastAsia="zh-CN"/>
        </w:rPr>
        <w:t>建设资金</w:t>
      </w:r>
      <w:r>
        <w:rPr>
          <w:rFonts w:hint="eastAsia" w:ascii="仿宋_GB2312" w:hAnsi="仿宋_GB2312" w:eastAsia="仿宋_GB2312" w:cs="仿宋_GB2312"/>
          <w:sz w:val="32"/>
          <w:szCs w:val="32"/>
        </w:rPr>
        <w:t>的收入、支出情况，绩效目标、指标设定及完成情况，资金使用合规性，管理制度的建设及执行情况，项目产出数量、质量、时效及成本情况，项目产生的效益及受益群体对项目实施效果的满意程度。</w:t>
      </w:r>
    </w:p>
    <w:bookmarkEnd w:id="15"/>
    <w:p>
      <w:pPr>
        <w:pStyle w:val="3"/>
        <w:spacing w:before="0" w:after="0" w:line="580" w:lineRule="exact"/>
        <w:ind w:firstLine="643" w:firstLineChars="200"/>
        <w:rPr>
          <w:rFonts w:ascii="Times New Roman" w:hAnsi="Times New Roman" w:eastAsia="楷体_GB2312"/>
        </w:rPr>
      </w:pPr>
      <w:bookmarkStart w:id="37" w:name="_Toc38447888"/>
      <w:bookmarkStart w:id="38" w:name="_Toc28694"/>
      <w:bookmarkStart w:id="39" w:name="_Toc41137186"/>
      <w:bookmarkStart w:id="40" w:name="_Toc16283"/>
      <w:bookmarkStart w:id="41" w:name="_Toc38452632"/>
      <w:bookmarkStart w:id="42" w:name="_Toc10977_WPSOffice_Type3"/>
      <w:r>
        <w:rPr>
          <w:rFonts w:ascii="Times New Roman" w:hAnsi="Times New Roman" w:eastAsia="楷体_GB2312"/>
        </w:rPr>
        <w:t>（二）绩效评价原则、指标体系、依据、方法及标准</w:t>
      </w:r>
      <w:bookmarkEnd w:id="37"/>
      <w:bookmarkEnd w:id="38"/>
      <w:bookmarkEnd w:id="39"/>
      <w:bookmarkEnd w:id="40"/>
      <w:bookmarkEnd w:id="41"/>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绩效评价原则</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（1）科学公正。绩效评价应当运用科学合理的方法，按照规范的程序，对项目绩效进行客观、公正的反映。</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（2）统筹兼顾。单位自评、部门评价和财政评价应职责明确，各有侧重，相互衔接。</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（3）激励约束。绩效评价结果应与预算安排、政策调整、改进管理实质性挂钩，体现奖优罚劣和激励相容导向，有效要安排、低效要压减、无效要问责。</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（4）公开透明。绩效评价结果应依法依规公开，并自觉接受社会监督。</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绩效评价指标体系</w:t>
      </w:r>
    </w:p>
    <w:bookmarkEnd w:id="42"/>
    <w:p>
      <w:pPr>
        <w:spacing w:line="580" w:lineRule="exact"/>
        <w:ind w:firstLine="640" w:firstLineChars="200"/>
        <w:rPr>
          <w:rFonts w:hint="eastAsia" w:ascii="仿宋_GB2312" w:hAnsi="仿宋_GB2312" w:eastAsia="仿宋_GB2312" w:cs="仿宋_GB2312"/>
          <w:sz w:val="32"/>
          <w:szCs w:val="32"/>
        </w:rPr>
      </w:pPr>
      <w:bookmarkStart w:id="43" w:name="_Toc24787_WPSOffice_Level1"/>
      <w:bookmarkStart w:id="44" w:name="_Toc4001_WPSOffice_Level1"/>
      <w:bookmarkStart w:id="45" w:name="_Toc16829_WPSOffice_Level1"/>
      <w:bookmarkStart w:id="46" w:name="_Toc8028_WPSOffice_Level1"/>
      <w:r>
        <w:rPr>
          <w:rFonts w:hint="eastAsia" w:ascii="仿宋_GB2312" w:hAnsi="仿宋_GB2312" w:eastAsia="仿宋_GB2312" w:cs="仿宋_GB2312"/>
          <w:sz w:val="32"/>
          <w:szCs w:val="32"/>
        </w:rPr>
        <w:t>（1）绩效指标设计。本次绩效评价指标体系按照财政部《关于印发&lt;项目支出绩效评价管理办法&gt;的通知》（财预〔2020〕10号）和《河北省省级部门预算绩效目标设定规范》（冀财绩〔2019〕6号）的有关要求设计，共4个一级指标、11个二级指标、</w:t>
      </w:r>
      <w:r>
        <w:rPr>
          <w:rFonts w:hint="eastAsia" w:ascii="仿宋_GB2312" w:hAnsi="仿宋_GB2312" w:cs="仿宋_GB2312"/>
          <w:sz w:val="32"/>
          <w:szCs w:val="32"/>
          <w:lang w:val="en-US" w:eastAsia="zh-CN"/>
        </w:rPr>
        <w:t>28</w:t>
      </w:r>
      <w:r>
        <w:rPr>
          <w:rFonts w:hint="eastAsia" w:ascii="仿宋_GB2312" w:hAnsi="仿宋_GB2312" w:eastAsia="仿宋_GB2312" w:cs="仿宋_GB2312"/>
          <w:sz w:val="32"/>
          <w:szCs w:val="32"/>
        </w:rPr>
        <w:t>个三级指标。指标体系分别从决策、过程、产出、效果四个方面进行绩效评价。</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（2）绩效评价等级。通过对指标体系量化评分，绩效评价分为四个等级，其中：分值≥90为“优”，80≤分值&lt;90为“良”，60≤分值&lt;80为“中”，分值&lt;60为“差”。</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绩效评价依据</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（1）《中华人民共和国预算法》；</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（2）中共中央国务院《关于全面实施预算绩效管理的意见》（中发〔2018〕34号）；</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（3）中共河北省委河北省人民政府《关于全面实施预算绩效管理的实施意见》（冀发〔2018〕54号）；</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（4）《项目支出绩效评价管理办法》（财预〔2020〕10号）；</w:t>
      </w:r>
    </w:p>
    <w:p>
      <w:pPr>
        <w:spacing w:line="58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（5）其他与项目绩效评价工作相关的文件。</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本次绩效评价方法主要包括成本效益法、比较法、因素分析法、公众评判法。具体如下：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成本效益法：是指将投入与产出、效益进行关联性分析的方法。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比较法：是指将实施情况与绩效目标、历史情况、不同部门和地区同类支出情况进行比较的方法。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因素分析法：是指综合分析影响绩效目标实现、实施效果的内外部因素的方法。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公众评判法：是指通过专家评估、公众问卷及抽样调查等方式进行评判的方法。</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绩效评价标准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计划标准：以预先制定的目标、计划、预算等作为评价标准。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历史标准：参照同类指标的历史数据制定评价标准。</w:t>
      </w:r>
    </w:p>
    <w:p>
      <w:pPr>
        <w:spacing w:line="580" w:lineRule="exact"/>
        <w:ind w:firstLine="640" w:firstLineChars="200"/>
        <w:rPr>
          <w:sz w:val="32"/>
          <w:szCs w:val="32"/>
        </w:rPr>
      </w:pPr>
      <w:r>
        <w:rPr>
          <w:rFonts w:hint="eastAsia" w:ascii="仿宋_GB2312" w:hAnsi="仿宋_GB2312" w:eastAsia="仿宋_GB2312" w:cs="仿宋_GB2312"/>
          <w:sz w:val="32"/>
          <w:szCs w:val="32"/>
        </w:rPr>
        <w:t>行业标准：参照国家、省公</w:t>
      </w:r>
      <w:r>
        <w:rPr>
          <w:sz w:val="32"/>
          <w:szCs w:val="32"/>
        </w:rPr>
        <w:t>布的行业指标数据作为评价标准。</w:t>
      </w:r>
    </w:p>
    <w:p>
      <w:pPr>
        <w:pStyle w:val="3"/>
        <w:spacing w:before="0" w:after="0" w:line="580" w:lineRule="exact"/>
        <w:ind w:firstLine="643" w:firstLineChars="200"/>
        <w:rPr>
          <w:rFonts w:ascii="Times New Roman" w:hAnsi="Times New Roman" w:eastAsia="楷体_GB2312"/>
        </w:rPr>
      </w:pPr>
      <w:bookmarkStart w:id="47" w:name="_Toc38447889"/>
      <w:bookmarkStart w:id="48" w:name="_Toc12051"/>
      <w:bookmarkStart w:id="49" w:name="_Toc38452633"/>
      <w:bookmarkStart w:id="50" w:name="_Toc3504"/>
      <w:bookmarkStart w:id="51" w:name="_Toc41137187"/>
      <w:r>
        <w:rPr>
          <w:rFonts w:ascii="Times New Roman" w:hAnsi="Times New Roman" w:eastAsia="楷体_GB2312"/>
        </w:rPr>
        <w:t>（三）绩效评价工作过程</w:t>
      </w:r>
      <w:bookmarkEnd w:id="47"/>
      <w:bookmarkEnd w:id="48"/>
      <w:bookmarkEnd w:id="49"/>
      <w:bookmarkEnd w:id="50"/>
      <w:bookmarkEnd w:id="51"/>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本次绩效评价工作经过了前期准备、绩效评价实施方案和指标体系制定、组织实施、绩效评价报告撰写四个阶段。</w:t>
      </w:r>
    </w:p>
    <w:p>
      <w:pPr>
        <w:spacing w:line="580" w:lineRule="exact"/>
        <w:ind w:firstLine="640" w:firstLineChars="200"/>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1.前期准备阶段</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评价组与</w:t>
      </w:r>
      <w:r>
        <w:rPr>
          <w:rFonts w:hint="eastAsia" w:ascii="仿宋_GB2312" w:hAnsi="仿宋_GB2312" w:eastAsia="仿宋_GB2312" w:cs="仿宋_GB2312"/>
          <w:sz w:val="32"/>
          <w:szCs w:val="32"/>
          <w:lang w:eastAsia="zh-CN"/>
        </w:rPr>
        <w:t>徐水开发区管委会</w:t>
      </w:r>
      <w:r>
        <w:rPr>
          <w:rFonts w:hint="eastAsia" w:ascii="仿宋_GB2312" w:hAnsi="仿宋_GB2312" w:eastAsia="仿宋_GB2312" w:cs="仿宋_GB2312"/>
          <w:sz w:val="32"/>
          <w:szCs w:val="32"/>
        </w:rPr>
        <w:t>充分沟通，收集相关资料，主要包括预算绩效目标指标表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相关政策文件和管理制度、</w:t>
      </w:r>
      <w:r>
        <w:rPr>
          <w:rFonts w:hint="eastAsia" w:ascii="仿宋_GB2312" w:hAnsi="仿宋_GB2312" w:eastAsia="仿宋_GB2312" w:cs="仿宋_GB2312"/>
          <w:sz w:val="32"/>
          <w:szCs w:val="32"/>
          <w:lang w:eastAsia="zh-CN"/>
        </w:rPr>
        <w:t>项目招投标和</w:t>
      </w:r>
      <w:r>
        <w:rPr>
          <w:rFonts w:hint="eastAsia" w:ascii="仿宋_GB2312" w:hAnsi="仿宋_GB2312" w:eastAsia="仿宋_GB2312" w:cs="仿宋_GB2312"/>
          <w:sz w:val="32"/>
          <w:szCs w:val="32"/>
        </w:rPr>
        <w:t>资金收支等资料，为制定绩效评价实施方案和指标体系奠定了基础。</w:t>
      </w:r>
    </w:p>
    <w:p>
      <w:pPr>
        <w:spacing w:line="580" w:lineRule="exact"/>
        <w:ind w:firstLine="640" w:firstLineChars="200"/>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2.制定绩效评价实施方案和指标体系</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基于对</w:t>
      </w:r>
      <w:r>
        <w:rPr>
          <w:rFonts w:hint="eastAsia" w:ascii="仿宋_GB2312" w:hAnsi="仿宋_GB2312" w:eastAsia="仿宋_GB2312" w:cs="仿宋_GB2312"/>
          <w:sz w:val="32"/>
          <w:szCs w:val="32"/>
          <w:lang w:eastAsia="zh-CN"/>
        </w:rPr>
        <w:t>徐水经济开发区客运中心</w:t>
      </w:r>
      <w:r>
        <w:rPr>
          <w:rFonts w:hint="eastAsia" w:ascii="仿宋_GB2312" w:hAnsi="仿宋_GB2312" w:eastAsia="仿宋_GB2312" w:cs="仿宋_GB2312"/>
          <w:sz w:val="32"/>
          <w:szCs w:val="32"/>
        </w:rPr>
        <w:t>项目相关资料的收集和了解，我们制定了绩效评价实施方案和指标体系，由</w:t>
      </w:r>
      <w:r>
        <w:rPr>
          <w:rFonts w:hint="eastAsia" w:ascii="仿宋_GB2312" w:hAnsi="仿宋_GB2312" w:eastAsia="仿宋_GB2312" w:cs="仿宋_GB2312"/>
          <w:sz w:val="32"/>
          <w:szCs w:val="32"/>
          <w:lang w:eastAsia="zh-CN"/>
        </w:rPr>
        <w:t>徐水区</w:t>
      </w:r>
      <w:r>
        <w:rPr>
          <w:rFonts w:hint="eastAsia" w:ascii="仿宋_GB2312" w:hAnsi="仿宋_GB2312" w:eastAsia="仿宋_GB2312" w:cs="仿宋_GB2312"/>
          <w:sz w:val="32"/>
          <w:szCs w:val="32"/>
        </w:rPr>
        <w:t>财政局相关人员对绩效评价实施方案及指标体系进行修正，确定最终方案。</w:t>
      </w:r>
    </w:p>
    <w:p>
      <w:pPr>
        <w:spacing w:line="580" w:lineRule="exact"/>
        <w:ind w:firstLine="640" w:firstLineChars="200"/>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3.组织实施阶段</w:t>
      </w:r>
    </w:p>
    <w:p>
      <w:pPr>
        <w:spacing w:line="580" w:lineRule="exact"/>
        <w:ind w:firstLine="640" w:firstLineChars="200"/>
        <w:textAlignment w:val="baseline"/>
        <w:rPr>
          <w:sz w:val="32"/>
          <w:szCs w:val="32"/>
        </w:rPr>
      </w:pPr>
      <w:r>
        <w:rPr>
          <w:rFonts w:hint="eastAsia"/>
          <w:sz w:val="32"/>
          <w:szCs w:val="32"/>
        </w:rPr>
        <w:t>我们</w:t>
      </w:r>
      <w:r>
        <w:rPr>
          <w:sz w:val="32"/>
          <w:szCs w:val="32"/>
        </w:rPr>
        <w:t>根据绩效评价实施方案和指标体系，对该项目开展现场评价工作，主要包括查看项目绩效目标和指标，</w:t>
      </w:r>
      <w:r>
        <w:rPr>
          <w:rFonts w:hint="eastAsia"/>
          <w:sz w:val="32"/>
          <w:szCs w:val="32"/>
          <w:lang w:eastAsia="zh-CN"/>
        </w:rPr>
        <w:t>审查项目招投标手续和项目实施程序，</w:t>
      </w:r>
      <w:r>
        <w:rPr>
          <w:sz w:val="32"/>
          <w:szCs w:val="32"/>
        </w:rPr>
        <w:t>核对收入支出情况，查看</w:t>
      </w:r>
      <w:r>
        <w:rPr>
          <w:rFonts w:hint="eastAsia"/>
          <w:sz w:val="32"/>
          <w:szCs w:val="32"/>
        </w:rPr>
        <w:t>管理</w:t>
      </w:r>
      <w:r>
        <w:rPr>
          <w:sz w:val="32"/>
          <w:szCs w:val="32"/>
        </w:rPr>
        <w:t>制度及执行情况，</w:t>
      </w:r>
      <w:r>
        <w:rPr>
          <w:rFonts w:hint="eastAsia"/>
          <w:sz w:val="32"/>
          <w:szCs w:val="32"/>
          <w:lang w:eastAsia="zh-CN"/>
        </w:rPr>
        <w:t>现场踏勘施工情况，针对已投入使用的部分</w:t>
      </w:r>
      <w:r>
        <w:rPr>
          <w:sz w:val="32"/>
          <w:szCs w:val="32"/>
        </w:rPr>
        <w:t>随机选取</w:t>
      </w:r>
      <w:r>
        <w:rPr>
          <w:rFonts w:hint="eastAsia"/>
          <w:sz w:val="32"/>
          <w:szCs w:val="32"/>
        </w:rPr>
        <w:t>受益</w:t>
      </w:r>
      <w:r>
        <w:rPr>
          <w:sz w:val="32"/>
          <w:szCs w:val="32"/>
        </w:rPr>
        <w:t>对象进行满意度调查。根据收集的数据、资料进行核对、比较、计算</w:t>
      </w:r>
      <w:r>
        <w:rPr>
          <w:rFonts w:hint="eastAsia"/>
          <w:sz w:val="32"/>
          <w:szCs w:val="32"/>
          <w:lang w:eastAsia="zh-CN"/>
        </w:rPr>
        <w:t>、分析，</w:t>
      </w:r>
      <w:r>
        <w:rPr>
          <w:sz w:val="32"/>
          <w:szCs w:val="32"/>
        </w:rPr>
        <w:t>对该项目进行评分。</w:t>
      </w:r>
    </w:p>
    <w:p>
      <w:pPr>
        <w:spacing w:line="580" w:lineRule="exact"/>
        <w:ind w:firstLine="640" w:firstLineChars="200"/>
        <w:textAlignment w:val="baseline"/>
        <w:rPr>
          <w:b w:val="0"/>
          <w:bCs w:val="0"/>
          <w:sz w:val="32"/>
          <w:szCs w:val="32"/>
        </w:rPr>
      </w:pPr>
      <w:r>
        <w:rPr>
          <w:b w:val="0"/>
          <w:bCs w:val="0"/>
          <w:sz w:val="32"/>
          <w:szCs w:val="32"/>
        </w:rPr>
        <w:t>4</w:t>
      </w:r>
      <w:r>
        <w:rPr>
          <w:rFonts w:hint="eastAsia"/>
          <w:b w:val="0"/>
          <w:bCs w:val="0"/>
          <w:sz w:val="32"/>
          <w:szCs w:val="32"/>
          <w:lang w:val="en-US" w:eastAsia="zh-CN"/>
        </w:rPr>
        <w:t>.</w:t>
      </w:r>
      <w:r>
        <w:rPr>
          <w:b w:val="0"/>
          <w:bCs w:val="0"/>
          <w:sz w:val="32"/>
          <w:szCs w:val="32"/>
        </w:rPr>
        <w:t>撰写绩效评价报告</w:t>
      </w:r>
    </w:p>
    <w:p>
      <w:pPr>
        <w:spacing w:line="580" w:lineRule="exact"/>
        <w:ind w:firstLine="640" w:firstLineChars="200"/>
        <w:textAlignment w:val="baseline"/>
        <w:rPr>
          <w:sz w:val="32"/>
          <w:szCs w:val="32"/>
        </w:rPr>
      </w:pPr>
      <w:r>
        <w:rPr>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pPr>
        <w:pStyle w:val="2"/>
        <w:keepNext w:val="0"/>
        <w:keepLines w:val="0"/>
        <w:spacing w:before="0" w:after="0" w:line="580" w:lineRule="exact"/>
        <w:ind w:firstLine="643" w:firstLineChars="200"/>
        <w:jc w:val="left"/>
        <w:rPr>
          <w:rFonts w:eastAsia="黑体"/>
          <w:sz w:val="32"/>
          <w:szCs w:val="32"/>
        </w:rPr>
      </w:pPr>
      <w:bookmarkStart w:id="52" w:name="_Toc14152"/>
      <w:bookmarkStart w:id="53" w:name="_Toc41137188"/>
      <w:bookmarkStart w:id="54" w:name="_Toc38447890"/>
      <w:bookmarkStart w:id="55" w:name="_Toc38452634"/>
      <w:bookmarkStart w:id="56" w:name="_Toc6753"/>
      <w:r>
        <w:rPr>
          <w:rFonts w:eastAsia="黑体"/>
          <w:sz w:val="32"/>
          <w:szCs w:val="32"/>
        </w:rPr>
        <w:t>三、综合评价情况及评价结论</w:t>
      </w:r>
      <w:bookmarkEnd w:id="52"/>
      <w:bookmarkEnd w:id="53"/>
      <w:bookmarkEnd w:id="54"/>
      <w:bookmarkEnd w:id="55"/>
      <w:bookmarkEnd w:id="56"/>
    </w:p>
    <w:p>
      <w:pPr>
        <w:spacing w:afterLines="5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经综合评价，</w:t>
      </w:r>
      <w:r>
        <w:rPr>
          <w:rFonts w:hint="eastAsia" w:ascii="仿宋_GB2312" w:hAnsi="仿宋_GB2312" w:eastAsia="仿宋_GB2312" w:cs="仿宋_GB2312"/>
          <w:sz w:val="32"/>
          <w:szCs w:val="32"/>
          <w:lang w:eastAsia="zh-CN"/>
        </w:rPr>
        <w:t>徐水经济开发区客运中心</w:t>
      </w:r>
      <w:r>
        <w:rPr>
          <w:rFonts w:hint="eastAsia" w:ascii="仿宋_GB2312" w:hAnsi="仿宋_GB2312" w:eastAsia="仿宋_GB2312" w:cs="仿宋_GB2312"/>
          <w:sz w:val="32"/>
          <w:szCs w:val="32"/>
        </w:rPr>
        <w:t>项目绩效评价得分</w:t>
      </w:r>
      <w:r>
        <w:rPr>
          <w:rFonts w:hint="eastAsia" w:ascii="仿宋_GB2312" w:hAnsi="仿宋_GB2312" w:cs="仿宋_GB2312"/>
          <w:sz w:val="32"/>
          <w:szCs w:val="32"/>
          <w:lang w:val="en-US" w:eastAsia="zh-CN"/>
        </w:rPr>
        <w:t>80.20</w:t>
      </w:r>
      <w:r>
        <w:rPr>
          <w:rFonts w:hint="eastAsia" w:ascii="仿宋_GB2312" w:hAnsi="仿宋_GB2312" w:eastAsia="仿宋_GB2312" w:cs="仿宋_GB2312"/>
          <w:sz w:val="32"/>
          <w:szCs w:val="32"/>
        </w:rPr>
        <w:t>分，评价等级为“</w:t>
      </w:r>
      <w:r>
        <w:rPr>
          <w:rFonts w:hint="eastAsia" w:ascii="仿宋_GB2312" w:hAnsi="仿宋_GB2312" w:cs="仿宋_GB2312"/>
          <w:sz w:val="32"/>
          <w:szCs w:val="32"/>
          <w:lang w:eastAsia="zh-CN"/>
        </w:rPr>
        <w:t>良</w:t>
      </w:r>
      <w:r>
        <w:rPr>
          <w:rFonts w:hint="eastAsia" w:ascii="仿宋_GB2312" w:hAnsi="仿宋_GB2312" w:eastAsia="仿宋_GB2312" w:cs="仿宋_GB2312"/>
          <w:sz w:val="32"/>
          <w:szCs w:val="32"/>
        </w:rPr>
        <w:t>”。各项得分具体情况如下：</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37"/>
        <w:gridCol w:w="1922"/>
        <w:gridCol w:w="2154"/>
        <w:gridCol w:w="1784"/>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一级指标</w:t>
            </w: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二级指标</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三级指标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分值权重</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（16分）</w:t>
            </w: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项目立项（6分）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立项依据充分性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立项程序规范性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绩效目标（6分）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绩效目标合理性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绩效指标明确性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4"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资金投入（4分）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预算编制科学性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（24分）</w:t>
            </w: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资金管理（12分）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资金到位率</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预算执行率    </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资金使用合规性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组织实施（12分）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管理制度健全性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制度执行有效性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        （40分）</w:t>
            </w: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产出数量（18分）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综合楼建筑完成率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驻车场完成率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无轨车场完成率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社会停车场完成率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公交站亭完成率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新建绿地完成率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道路硬化面积完成率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车辆维修车间完成率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消防水池完成率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公厕建筑面积完成率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新建围墙完成率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产出质量（10分）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质量达标率 </w:t>
            </w:r>
          </w:p>
        </w:tc>
        <w:tc>
          <w:tcPr>
            <w:tcW w:w="961"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产出时效（8分）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完成及时性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产出成本（4分）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成本节约率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（20分）</w:t>
            </w: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项目效益（12分）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经济效益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社会效益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可持续影响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满意度（8分）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受益对象满意度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077" w:type="pct"/>
            <w:gridSpan w:val="3"/>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 计</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80.20 </w:t>
            </w:r>
          </w:p>
        </w:tc>
      </w:tr>
    </w:tbl>
    <w:p>
      <w:pPr>
        <w:spacing w:line="580" w:lineRule="exact"/>
        <w:ind w:firstLine="640" w:firstLineChars="200"/>
        <w:rPr>
          <w:sz w:val="32"/>
          <w:szCs w:val="32"/>
        </w:rPr>
      </w:pPr>
      <w:r>
        <w:rPr>
          <w:sz w:val="32"/>
          <w:szCs w:val="32"/>
        </w:rPr>
        <w:t>结合项目决策、过程、产出、效益及绩效评价指标体系等内容，对</w:t>
      </w:r>
      <w:r>
        <w:rPr>
          <w:rFonts w:hint="eastAsia"/>
          <w:sz w:val="32"/>
          <w:szCs w:val="32"/>
          <w:lang w:eastAsia="zh-CN"/>
        </w:rPr>
        <w:t>徐水经济开发区客运中心</w:t>
      </w:r>
      <w:r>
        <w:rPr>
          <w:sz w:val="32"/>
          <w:szCs w:val="32"/>
        </w:rPr>
        <w:t>项目作出如下评价：</w:t>
      </w:r>
    </w:p>
    <w:p>
      <w:pPr>
        <w:spacing w:line="580" w:lineRule="exact"/>
        <w:ind w:firstLine="640" w:firstLineChars="200"/>
        <w:rPr>
          <w:rFonts w:hint="default" w:ascii="仿宋_GB2312" w:hAnsi="仿宋"/>
          <w:sz w:val="32"/>
          <w:szCs w:val="32"/>
          <w:lang w:val="en-US" w:eastAsia="zh-CN"/>
        </w:rPr>
      </w:pPr>
      <w:r>
        <w:rPr>
          <w:rFonts w:hint="eastAsia" w:ascii="仿宋_GB2312" w:hAnsi="仿宋"/>
          <w:sz w:val="32"/>
          <w:szCs w:val="32"/>
        </w:rPr>
        <w:t>从总体情况看，</w:t>
      </w:r>
      <w:r>
        <w:rPr>
          <w:rFonts w:hint="eastAsia"/>
          <w:sz w:val="32"/>
          <w:szCs w:val="32"/>
          <w:lang w:eastAsia="zh-CN"/>
        </w:rPr>
        <w:t>徐水开发区管委会积极组织项目实施，</w:t>
      </w:r>
      <w:r>
        <w:rPr>
          <w:rFonts w:hint="eastAsia" w:ascii="仿宋_GB2312" w:hAnsi="仿宋"/>
          <w:sz w:val="32"/>
          <w:szCs w:val="32"/>
        </w:rPr>
        <w:t>将该项目作为重要的民生任务来抓</w:t>
      </w:r>
      <w:r>
        <w:rPr>
          <w:rFonts w:hint="eastAsia" w:ascii="仿宋_GB2312" w:hAnsi="仿宋"/>
          <w:sz w:val="32"/>
          <w:szCs w:val="32"/>
          <w:lang w:eastAsia="zh-CN"/>
        </w:rPr>
        <w:t>。一是该项目立项依据充分、程序规范、绩效目标设定较合理、绩效指标清晰、细化、可衡量。二是资金到位及时、预算执行率高。三是项目管理制度较为健全、制度执行基本有效。四是部分工程已经完工并投入使用，受益群众满意度较高。因该项目还未整体完工，未整体投入使用，项目预期的经济效益、社会效益未能显现。</w:t>
      </w:r>
    </w:p>
    <w:p>
      <w:pPr>
        <w:spacing w:line="580" w:lineRule="exact"/>
        <w:ind w:firstLine="640" w:firstLineChars="200"/>
        <w:rPr>
          <w:rFonts w:hint="eastAsia" w:ascii="仿宋_GB2312" w:hAnsi="仿宋"/>
          <w:sz w:val="32"/>
          <w:szCs w:val="32"/>
          <w:lang w:eastAsia="zh-CN"/>
        </w:rPr>
      </w:pPr>
      <w:r>
        <w:rPr>
          <w:rFonts w:hint="eastAsia" w:ascii="仿宋_GB2312" w:hAnsi="仿宋"/>
          <w:sz w:val="32"/>
          <w:szCs w:val="32"/>
          <w:lang w:eastAsia="zh-CN"/>
        </w:rPr>
        <w:t>通过本次绩效评价工作，我们也发现该项目在资金管理和项目管理中仍存在一些不足之处。如资金管理工作还有待加强，项目管理工作还有待提升。</w:t>
      </w:r>
    </w:p>
    <w:p>
      <w:pPr>
        <w:pStyle w:val="2"/>
        <w:keepNext w:val="0"/>
        <w:keepLines w:val="0"/>
        <w:spacing w:before="0" w:after="0" w:line="580" w:lineRule="exact"/>
        <w:ind w:firstLine="643" w:firstLineChars="200"/>
        <w:jc w:val="left"/>
        <w:rPr>
          <w:rFonts w:eastAsia="黑体"/>
          <w:sz w:val="32"/>
          <w:szCs w:val="32"/>
        </w:rPr>
      </w:pPr>
      <w:bookmarkStart w:id="57" w:name="_Toc38452635"/>
      <w:bookmarkStart w:id="58" w:name="_Toc38447891"/>
      <w:bookmarkStart w:id="59" w:name="_Toc28573"/>
      <w:bookmarkStart w:id="60" w:name="_Toc3561"/>
      <w:bookmarkStart w:id="61" w:name="_Toc41137189"/>
      <w:r>
        <w:rPr>
          <w:rFonts w:eastAsia="黑体"/>
          <w:sz w:val="32"/>
          <w:szCs w:val="32"/>
        </w:rPr>
        <w:t>四、绩效评价指标分析</w:t>
      </w:r>
      <w:bookmarkEnd w:id="57"/>
      <w:bookmarkEnd w:id="58"/>
      <w:bookmarkEnd w:id="59"/>
      <w:bookmarkEnd w:id="60"/>
      <w:bookmarkEnd w:id="61"/>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通过对</w:t>
      </w:r>
      <w:r>
        <w:rPr>
          <w:rFonts w:hint="eastAsia" w:ascii="仿宋_GB2312" w:hAnsi="仿宋_GB2312" w:eastAsia="仿宋_GB2312" w:cs="仿宋_GB2312"/>
          <w:sz w:val="32"/>
          <w:szCs w:val="32"/>
          <w:lang w:eastAsia="zh-CN"/>
        </w:rPr>
        <w:t>徐水开发区管委会</w:t>
      </w:r>
      <w:r>
        <w:rPr>
          <w:rFonts w:hint="eastAsia" w:ascii="仿宋_GB2312" w:hAnsi="仿宋_GB2312" w:eastAsia="仿宋_GB2312" w:cs="仿宋_GB2312"/>
          <w:sz w:val="32"/>
          <w:szCs w:val="32"/>
        </w:rPr>
        <w:t>提供的项目资料</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检查和现场实地查看，该项目综合得分</w:t>
      </w:r>
      <w:r>
        <w:rPr>
          <w:rFonts w:hint="eastAsia" w:ascii="仿宋_GB2312" w:hAnsi="仿宋_GB2312" w:cs="仿宋_GB2312"/>
          <w:sz w:val="32"/>
          <w:szCs w:val="32"/>
          <w:lang w:val="en-US" w:eastAsia="zh-CN"/>
        </w:rPr>
        <w:t>80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分，评价等级为“</w:t>
      </w:r>
      <w:r>
        <w:rPr>
          <w:rFonts w:hint="eastAsia" w:ascii="仿宋_GB2312" w:hAnsi="仿宋_GB2312" w:cs="仿宋_GB2312"/>
          <w:sz w:val="32"/>
          <w:szCs w:val="32"/>
          <w:lang w:eastAsia="zh-CN"/>
        </w:rPr>
        <w:t>良</w:t>
      </w:r>
      <w:r>
        <w:rPr>
          <w:rFonts w:hint="eastAsia" w:ascii="仿宋_GB2312" w:hAnsi="仿宋_GB2312" w:eastAsia="仿宋_GB2312" w:cs="仿宋_GB2312"/>
          <w:sz w:val="32"/>
          <w:szCs w:val="32"/>
        </w:rPr>
        <w:t>”。具体得分如下：</w:t>
      </w:r>
    </w:p>
    <w:tbl>
      <w:tblPr>
        <w:tblStyle w:val="20"/>
        <w:tblW w:w="47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5"/>
        <w:gridCol w:w="2220"/>
        <w:gridCol w:w="1545"/>
        <w:gridCol w:w="1452"/>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8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一级指标</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二级指标</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权重</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得分</w:t>
            </w:r>
          </w:p>
        </w:tc>
        <w:tc>
          <w:tcPr>
            <w:tcW w:w="173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180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决策</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（16分）</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1805" w:type="dxa"/>
            <w:vMerge w:val="continue"/>
            <w:shd w:val="clear" w:color="auto" w:fill="auto"/>
            <w:vAlign w:val="center"/>
          </w:tcPr>
          <w:p>
            <w:pP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402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决策部分小计</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jc w:val="center"/>
        </w:trPr>
        <w:tc>
          <w:tcPr>
            <w:tcW w:w="180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过程</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（24分）</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402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过程部分小计</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21</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180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         （40分）</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12.20</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产出质量</w:t>
            </w:r>
          </w:p>
        </w:tc>
        <w:tc>
          <w:tcPr>
            <w:tcW w:w="154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145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产出时效</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5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产出成本</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5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402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产出部分小计</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29.20</w:t>
            </w:r>
          </w:p>
        </w:tc>
        <w:tc>
          <w:tcPr>
            <w:tcW w:w="1734"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效益</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（20分）</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项目效益</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402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效益部分小计</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4025"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 计</w:t>
            </w:r>
          </w:p>
        </w:tc>
        <w:tc>
          <w:tcPr>
            <w:tcW w:w="15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45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80.20</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80.20%</w:t>
            </w:r>
          </w:p>
        </w:tc>
      </w:tr>
      <w:bookmarkEnd w:id="43"/>
      <w:bookmarkEnd w:id="44"/>
      <w:bookmarkEnd w:id="45"/>
      <w:bookmarkEnd w:id="46"/>
    </w:tbl>
    <w:p>
      <w:pPr>
        <w:spacing w:line="580" w:lineRule="exact"/>
        <w:ind w:firstLine="643" w:firstLineChars="200"/>
        <w:rPr>
          <w:rFonts w:hint="eastAsia" w:ascii="仿宋_GB2312" w:hAnsi="仿宋_GB2312" w:eastAsia="仿宋_GB2312" w:cs="仿宋_GB2312"/>
          <w:sz w:val="32"/>
          <w:szCs w:val="32"/>
        </w:rPr>
      </w:pPr>
      <w:bookmarkStart w:id="62" w:name="_Toc41137194"/>
      <w:bookmarkStart w:id="63" w:name="_Toc38452640"/>
      <w:bookmarkStart w:id="64" w:name="_Toc20719"/>
      <w:bookmarkStart w:id="65" w:name="_Toc38447896"/>
      <w:bookmarkStart w:id="66" w:name="_Toc8882_WPSOffice_Level1"/>
      <w:bookmarkStart w:id="67" w:name="_Toc29686_WPSOffice_Level1"/>
      <w:bookmarkStart w:id="68" w:name="_Toc10725_WPSOffice_Level1"/>
      <w:bookmarkStart w:id="69" w:name="_Toc3770_WPSOffice_Level1"/>
      <w:bookmarkStart w:id="70" w:name="_Toc10979_WPSOffice_Level1"/>
      <w:bookmarkStart w:id="71" w:name="_Toc8381_WPSOffice_Level1"/>
      <w:r>
        <w:rPr>
          <w:rFonts w:hint="eastAsia" w:ascii="楷体_GB2312" w:hAnsi="宋体" w:eastAsia="楷体_GB2312"/>
          <w:b/>
          <w:sz w:val="32"/>
          <w:szCs w:val="32"/>
        </w:rPr>
        <w:t>（一）决策。</w:t>
      </w:r>
      <w:r>
        <w:rPr>
          <w:rFonts w:hint="eastAsia" w:ascii="仿宋_GB2312" w:hAnsi="仿宋_GB2312" w:eastAsia="仿宋_GB2312" w:cs="仿宋_GB2312"/>
          <w:sz w:val="32"/>
          <w:szCs w:val="32"/>
          <w:u w:color="000000"/>
        </w:rPr>
        <w:t>决策</w:t>
      </w:r>
      <w:r>
        <w:rPr>
          <w:rFonts w:hint="eastAsia" w:ascii="仿宋_GB2312" w:hAnsi="仿宋_GB2312" w:eastAsia="仿宋_GB2312" w:cs="仿宋_GB2312"/>
          <w:sz w:val="32"/>
          <w:szCs w:val="32"/>
        </w:rPr>
        <w:t>绩效指标满分</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1.项目立项</w:t>
      </w:r>
    </w:p>
    <w:p>
      <w:pPr>
        <w:spacing w:line="58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2020年6月徐水开发区管委会</w:t>
      </w:r>
      <w:r>
        <w:rPr>
          <w:rFonts w:hint="eastAsia" w:ascii="仿宋_GB2312" w:hAnsi="仿宋_GB2312" w:cs="仿宋_GB2312"/>
          <w:sz w:val="32"/>
          <w:szCs w:val="32"/>
          <w:lang w:val="en-US" w:eastAsia="zh-CN"/>
        </w:rPr>
        <w:t>委托</w:t>
      </w:r>
      <w:r>
        <w:rPr>
          <w:rFonts w:hint="eastAsia" w:ascii="仿宋_GB2312" w:hAnsi="仿宋_GB2312" w:eastAsia="仿宋_GB2312" w:cs="仿宋_GB2312"/>
          <w:sz w:val="32"/>
          <w:szCs w:val="32"/>
          <w:lang w:val="en-US" w:eastAsia="zh-CN"/>
        </w:rPr>
        <w:t>第三方出具《徐水开发区客运中心项目收益与融资自求平衡专项评价报告》、编制项目建议书和可行性研究报告，2020年7月河北徐水经济开发区行政审批局对该项目进行审批并出具了《河北徐水经济开发区行政审批局&lt;关于徐水开发区客运中心项目审批的批复&gt;》（徐经开审〔2020〕7号），项目总投资3300万元。2020年12月21日，经徐水区人民政府审批，</w:t>
      </w:r>
      <w:r>
        <w:rPr>
          <w:rFonts w:hint="eastAsia" w:ascii="仿宋_GB2312" w:hAnsi="仿宋_GB2312" w:eastAsia="仿宋_GB2312" w:cs="仿宋_GB2312"/>
          <w:sz w:val="32"/>
          <w:szCs w:val="32"/>
          <w:highlight w:val="none"/>
          <w:lang w:val="en-US" w:eastAsia="zh-CN"/>
        </w:rPr>
        <w:t>该项目增加车辆检修车间和消防水池两项</w:t>
      </w:r>
      <w:r>
        <w:rPr>
          <w:rFonts w:hint="eastAsia" w:ascii="仿宋_GB2312" w:hAnsi="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同</w:t>
      </w:r>
      <w:r>
        <w:rPr>
          <w:rFonts w:hint="eastAsia" w:ascii="仿宋_GB2312" w:hAnsi="仿宋_GB2312" w:eastAsia="仿宋_GB2312" w:cs="仿宋_GB2312"/>
          <w:sz w:val="32"/>
          <w:szCs w:val="32"/>
          <w:lang w:val="en-US" w:eastAsia="zh-CN"/>
        </w:rPr>
        <w:t>日该变更通过了徐水经济开发区行政审批局审批，变更后项目总投资为3770万元。该项目立项依据充分、立项程序较为规范。</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分，得分率100%。</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2.绩效目标</w:t>
      </w:r>
    </w:p>
    <w:p>
      <w:pPr>
        <w:spacing w:line="580" w:lineRule="exact"/>
        <w:ind w:firstLine="640"/>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徐水开发区客运中心项目</w:t>
      </w:r>
      <w:r>
        <w:rPr>
          <w:rFonts w:hint="eastAsia" w:ascii="仿宋_GB2312" w:hAnsi="仿宋_GB2312" w:eastAsia="仿宋_GB2312" w:cs="仿宋_GB2312"/>
          <w:sz w:val="32"/>
          <w:szCs w:val="32"/>
        </w:rPr>
        <w:t>绩效目标表</w:t>
      </w:r>
      <w:r>
        <w:rPr>
          <w:rFonts w:hint="eastAsia" w:ascii="仿宋_GB2312" w:hAnsi="仿宋_GB2312" w:eastAsia="仿宋_GB2312" w:cs="仿宋_GB2312"/>
          <w:sz w:val="32"/>
          <w:szCs w:val="32"/>
          <w:lang w:eastAsia="zh-CN"/>
        </w:rPr>
        <w:t>和该项目可行性研究报告</w:t>
      </w:r>
      <w:r>
        <w:rPr>
          <w:rFonts w:hint="eastAsia" w:ascii="仿宋_GB2312" w:hAnsi="仿宋_GB2312" w:eastAsia="仿宋_GB2312" w:cs="仿宋_GB2312"/>
          <w:sz w:val="32"/>
          <w:szCs w:val="32"/>
        </w:rPr>
        <w:t>，该项目绩效目标为</w:t>
      </w:r>
      <w:r>
        <w:rPr>
          <w:rFonts w:hint="eastAsia" w:ascii="仿宋_GB2312" w:hAnsi="仿宋_GB2312" w:eastAsia="仿宋_GB2312" w:cs="仿宋_GB2312"/>
          <w:sz w:val="32"/>
          <w:szCs w:val="32"/>
          <w:lang w:eastAsia="zh-CN"/>
        </w:rPr>
        <w:t>改善交通秩序、优化投资环境、加快徐水区交通运输业发展，提高当地居民的生活水平。项目绩效指标为各分项工程的建设平米数，绩效指标清晰、可衡量。</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分，得分6分，得分率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color="000000"/>
        </w:rPr>
        <w:t>资金投入</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该项目预算投资总额3770万元，预算编制经过科学论证、内容与项目内容相匹配、测算依据充分且按标准编制、项目投资额与工作任务相匹配。</w:t>
      </w:r>
    </w:p>
    <w:p>
      <w:pPr>
        <w:spacing w:line="580" w:lineRule="exact"/>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 xml:space="preserve">   该指标满分4分，得分</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0"/>
        </w:numPr>
        <w:spacing w:line="580"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lang w:eastAsia="zh-CN"/>
        </w:rPr>
        <w:t>（二）</w:t>
      </w:r>
      <w:r>
        <w:rPr>
          <w:rFonts w:hint="eastAsia" w:ascii="楷体_GB2312" w:hAnsi="宋体" w:eastAsia="楷体_GB2312"/>
          <w:b/>
          <w:sz w:val="32"/>
          <w:szCs w:val="32"/>
        </w:rPr>
        <w:t>过程。</w:t>
      </w:r>
      <w:r>
        <w:rPr>
          <w:rFonts w:hint="eastAsia" w:ascii="仿宋_GB2312" w:hAnsi="仿宋_GB2312" w:eastAsia="仿宋_GB2312" w:cs="仿宋_GB2312"/>
          <w:sz w:val="32"/>
          <w:szCs w:val="32"/>
          <w:u w:color="000000"/>
        </w:rPr>
        <w:t>过程</w:t>
      </w:r>
      <w:r>
        <w:rPr>
          <w:rFonts w:hint="eastAsia" w:ascii="仿宋_GB2312" w:hAnsi="仿宋_GB2312" w:eastAsia="仿宋_GB2312" w:cs="仿宋_GB2312"/>
          <w:sz w:val="32"/>
          <w:szCs w:val="32"/>
        </w:rPr>
        <w:t>绩效指标满</w:t>
      </w:r>
      <w:r>
        <w:rPr>
          <w:rFonts w:hint="eastAsia" w:ascii="仿宋_GB2312" w:hAnsi="仿宋_GB2312" w:cs="仿宋_GB2312"/>
          <w:sz w:val="32"/>
          <w:szCs w:val="32"/>
          <w:lang w:val="en-US" w:eastAsia="zh-CN"/>
        </w:rPr>
        <w:t>分</w:t>
      </w:r>
      <w:r>
        <w:rPr>
          <w:rFonts w:hint="eastAsia" w:ascii="仿宋_GB2312" w:hAnsi="仿宋_GB2312" w:eastAsia="仿宋_GB2312" w:cs="仿宋_GB2312"/>
          <w:sz w:val="32"/>
          <w:szCs w:val="32"/>
        </w:rPr>
        <w:t>24分，得分</w:t>
      </w:r>
      <w:r>
        <w:rPr>
          <w:rFonts w:hint="eastAsia" w:ascii="仿宋_GB2312" w:hAnsi="仿宋_GB2312" w:eastAsia="仿宋_GB2312" w:cs="仿宋_GB2312"/>
          <w:sz w:val="32"/>
          <w:szCs w:val="32"/>
          <w:lang w:val="en-US" w:eastAsia="zh-CN"/>
        </w:rPr>
        <w:t>2</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87.50</w:t>
      </w:r>
      <w:r>
        <w:rPr>
          <w:rFonts w:hint="eastAsia" w:ascii="仿宋_GB2312" w:hAnsi="仿宋_GB2312" w:eastAsia="仿宋_GB2312" w:cs="仿宋_GB2312"/>
          <w:sz w:val="32"/>
          <w:szCs w:val="32"/>
        </w:rPr>
        <w:t>%。主要扣分原因为施工合同未约定质保金，且进度款的支付超已完工程量</w:t>
      </w:r>
      <w:r>
        <w:rPr>
          <w:rFonts w:hint="eastAsia" w:ascii="仿宋_GB2312" w:hAnsi="仿宋_GB2312" w:eastAsia="仿宋_GB2312" w:cs="仿宋_GB2312"/>
          <w:sz w:val="32"/>
          <w:szCs w:val="32"/>
          <w:lang w:eastAsia="zh-CN"/>
        </w:rPr>
        <w:t>、项目施工许可证的颁发时间晚于项目开工时间、合同中约定的工期晚于经批复的《徐水开发区客运中心项目审批》中的工期、未制定详细的项目实施方案。</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1.资金管理</w:t>
      </w:r>
    </w:p>
    <w:p>
      <w:pPr>
        <w:spacing w:line="58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该项目预算</w:t>
      </w:r>
      <w:r>
        <w:rPr>
          <w:rFonts w:hint="eastAsia" w:ascii="仿宋_GB2312" w:hAnsi="仿宋_GB2312" w:eastAsia="仿宋_GB2312" w:cs="仿宋_GB2312"/>
          <w:sz w:val="32"/>
          <w:szCs w:val="32"/>
          <w:lang w:eastAsia="zh-CN"/>
        </w:rPr>
        <w:t>总投资</w:t>
      </w:r>
      <w:r>
        <w:rPr>
          <w:rFonts w:hint="eastAsia" w:ascii="仿宋_GB2312" w:hAnsi="仿宋_GB2312" w:eastAsia="仿宋_GB2312" w:cs="仿宋_GB2312"/>
          <w:sz w:val="32"/>
          <w:szCs w:val="32"/>
          <w:lang w:val="en-US" w:eastAsia="zh-CN"/>
        </w:rPr>
        <w:t>3770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，全部为财政资金，其中专项债券资金</w:t>
      </w:r>
      <w:r>
        <w:rPr>
          <w:rFonts w:hint="eastAsia" w:ascii="仿宋_GB2312" w:hAnsi="仿宋_GB2312" w:eastAsia="仿宋_GB2312" w:cs="仿宋_GB2312"/>
          <w:sz w:val="32"/>
          <w:szCs w:val="32"/>
          <w:lang w:val="en-US" w:eastAsia="zh-CN"/>
        </w:rPr>
        <w:t>3300万元。项目</w:t>
      </w:r>
      <w:r>
        <w:rPr>
          <w:rFonts w:hint="eastAsia" w:ascii="仿宋_GB2312" w:hAnsi="仿宋_GB2312" w:eastAsia="仿宋_GB2312" w:cs="仿宋_GB2312"/>
          <w:sz w:val="32"/>
          <w:szCs w:val="32"/>
          <w:lang w:eastAsia="zh-CN"/>
        </w:rPr>
        <w:t>中标金额</w:t>
      </w:r>
      <w:r>
        <w:rPr>
          <w:rFonts w:hint="eastAsia" w:ascii="仿宋_GB2312" w:hAnsi="仿宋_GB2312" w:eastAsia="仿宋_GB2312" w:cs="仿宋_GB2312"/>
          <w:sz w:val="32"/>
          <w:szCs w:val="32"/>
          <w:lang w:val="en-US" w:eastAsia="zh-CN"/>
        </w:rPr>
        <w:t>3668.90万元，其中建安工程款3586.98万元，勘察费39.40万元，设计费42.52万元。本次评价范围为专项债券资金3300万元。截止2020年12月31日，该部分专项债券资金已全部到位并支出，资金到位率100%，预算执行率100%。</w:t>
      </w:r>
    </w:p>
    <w:p>
      <w:pPr>
        <w:spacing w:line="58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通过查看资金支出凭证、合同有关条款、现场踏勘核实工程量，发现该项目施工合同未约定质保金，且进度款的支付超已完工程量。</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该指标满分12分，得分11分，得分率</w:t>
      </w:r>
      <w:r>
        <w:rPr>
          <w:rFonts w:hint="eastAsia" w:ascii="仿宋_GB2312" w:hAnsi="仿宋_GB2312" w:eastAsia="仿宋_GB2312" w:cs="仿宋_GB2312"/>
          <w:sz w:val="32"/>
          <w:szCs w:val="32"/>
          <w:lang w:val="en-US" w:eastAsia="zh-CN"/>
        </w:rPr>
        <w:t>91.67</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2.组织实施</w:t>
      </w:r>
    </w:p>
    <w:p>
      <w:pPr>
        <w:spacing w:line="58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该项目管理制度较为健全，项目前期决策程序较为规范，严格按照经核准的招标方案组织招标，确定中标单位。项目于</w:t>
      </w:r>
      <w:r>
        <w:rPr>
          <w:rFonts w:hint="eastAsia" w:ascii="仿宋_GB2312" w:hAnsi="仿宋_GB2312" w:eastAsia="仿宋_GB2312" w:cs="仿宋_GB2312"/>
          <w:sz w:val="32"/>
          <w:szCs w:val="32"/>
          <w:lang w:val="en-US" w:eastAsia="zh-CN"/>
        </w:rPr>
        <w:t>2020年9月30日正式开工，截至目前项目整体工程还未完工，个别分项工程还未实施，经现场评价和估算，该项目整体完工进度约为80%。</w:t>
      </w:r>
    </w:p>
    <w:p>
      <w:pPr>
        <w:spacing w:line="58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查看该项目有关资料，发现该项目在组织实施方面还存在欠缺。一是项目施工许可证的颁发时间晚于项目开工时间。项目开工时间为2020年9月30日，项目施工许可证颁发时间为2020年12月18日；二是项目实施方案制定不精细，未</w:t>
      </w:r>
      <w:r>
        <w:rPr>
          <w:rFonts w:hint="eastAsia" w:ascii="仿宋_GB2312" w:hAnsi="仿宋_GB2312" w:cs="仿宋_GB2312"/>
          <w:sz w:val="32"/>
          <w:szCs w:val="32"/>
          <w:lang w:val="en-US" w:eastAsia="zh-CN"/>
        </w:rPr>
        <w:t>进行职责分工</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未明确</w:t>
      </w:r>
      <w:r>
        <w:rPr>
          <w:rFonts w:hint="eastAsia" w:ascii="仿宋_GB2312" w:hAnsi="仿宋_GB2312" w:eastAsia="仿宋_GB2312" w:cs="仿宋_GB2312"/>
          <w:sz w:val="32"/>
          <w:szCs w:val="32"/>
          <w:lang w:val="en-US" w:eastAsia="zh-CN"/>
        </w:rPr>
        <w:t>项目竣工时间、验收时间等项目实施的重要时间节点。</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83.33</w:t>
      </w:r>
      <w:r>
        <w:rPr>
          <w:rFonts w:hint="eastAsia" w:ascii="仿宋_GB2312" w:hAnsi="仿宋_GB2312" w:eastAsia="仿宋_GB2312" w:cs="仿宋_GB2312"/>
          <w:sz w:val="32"/>
          <w:szCs w:val="32"/>
        </w:rPr>
        <w:t>%。</w:t>
      </w:r>
    </w:p>
    <w:p>
      <w:pPr>
        <w:spacing w:line="580" w:lineRule="exact"/>
        <w:ind w:firstLine="643" w:firstLineChars="200"/>
        <w:rPr>
          <w:rFonts w:hint="eastAsia" w:ascii="仿宋_GB2312" w:hAnsi="仿宋_GB2312" w:eastAsia="仿宋_GB2312" w:cs="仿宋_GB2312"/>
          <w:sz w:val="32"/>
          <w:szCs w:val="32"/>
        </w:rPr>
      </w:pPr>
      <w:r>
        <w:rPr>
          <w:rFonts w:ascii="楷体_GB2312" w:hAnsi="宋体" w:eastAsia="楷体_GB2312"/>
          <w:b/>
          <w:sz w:val="32"/>
          <w:szCs w:val="32"/>
        </w:rPr>
        <w:t>（三）产出。</w:t>
      </w:r>
      <w:r>
        <w:rPr>
          <w:rFonts w:hint="eastAsia" w:ascii="仿宋_GB2312" w:hAnsi="仿宋_GB2312" w:eastAsia="仿宋_GB2312" w:cs="仿宋_GB2312"/>
          <w:sz w:val="32"/>
          <w:szCs w:val="32"/>
        </w:rPr>
        <w:t>产出绩效指标满</w:t>
      </w:r>
      <w:r>
        <w:rPr>
          <w:rFonts w:hint="eastAsia" w:ascii="仿宋_GB2312" w:hAnsi="仿宋_GB2312" w:eastAsia="仿宋_GB2312" w:cs="仿宋_GB2312"/>
          <w:sz w:val="32"/>
          <w:szCs w:val="32"/>
          <w:lang w:eastAsia="zh-CN"/>
        </w:rPr>
        <w:t>分</w:t>
      </w:r>
      <w:r>
        <w:rPr>
          <w:rFonts w:hint="eastAsia" w:ascii="仿宋_GB2312" w:hAnsi="仿宋_GB2312" w:eastAsia="仿宋_GB2312" w:cs="仿宋_GB2312"/>
          <w:sz w:val="32"/>
          <w:szCs w:val="32"/>
        </w:rPr>
        <w:t>40分，得分</w:t>
      </w:r>
      <w:r>
        <w:rPr>
          <w:rFonts w:hint="eastAsia" w:ascii="仿宋_GB2312" w:hAnsi="仿宋_GB2312" w:eastAsia="仿宋_GB2312" w:cs="仿宋_GB2312"/>
          <w:sz w:val="32"/>
          <w:szCs w:val="32"/>
          <w:lang w:val="en-US" w:eastAsia="zh-CN"/>
        </w:rPr>
        <w:t>29.20</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7</w:t>
      </w:r>
      <w:r>
        <w:rPr>
          <w:rFonts w:hint="eastAsia" w:ascii="仿宋_GB2312" w:hAnsi="仿宋_GB2312" w:cs="仿宋_GB2312"/>
          <w:sz w:val="32"/>
          <w:szCs w:val="32"/>
          <w:lang w:val="en-US" w:eastAsia="zh-CN"/>
        </w:rPr>
        <w:t>3.0</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eastAsia="zh-CN"/>
        </w:rPr>
        <w:t>项目产出数量尚未达到预期指标，项目产出质量与预期不一致</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1.产出数量</w:t>
      </w:r>
    </w:p>
    <w:p>
      <w:pPr>
        <w:spacing w:line="580"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通过核对工程量清单和现场踏勘，该项目综合楼和公厕均未完成内部装修、外部装修、门窗工程、屋面工程；车辆维修车间的回填土、防水、装修等均未完成；新建围墙大部分未安装铁艺栅栏；新建绿地还未实施。</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12.20</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67.78</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2.产出质量</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因该项目尚未完工，相关部门还未验收，无法依据验收证书来衡量项目产出质量。但在现场踏勘时，发现</w:t>
      </w:r>
      <w:r>
        <w:rPr>
          <w:rFonts w:hint="eastAsia" w:ascii="仿宋_GB2312" w:hAnsi="仿宋_GB2312" w:eastAsia="仿宋_GB2312" w:cs="仿宋_GB2312"/>
          <w:sz w:val="32"/>
          <w:szCs w:val="32"/>
          <w:lang w:val="en-US" w:eastAsia="zh-CN"/>
        </w:rPr>
        <w:t>社会停车场、无轨停车场、公交车驻车场结构层实际施工与施工图设计不一致。设计为C30</w:t>
      </w:r>
      <w:bookmarkStart w:id="93" w:name="_GoBack"/>
      <w:bookmarkEnd w:id="93"/>
      <w:r>
        <w:rPr>
          <w:rFonts w:hint="eastAsia" w:ascii="仿宋_GB2312" w:hAnsi="仿宋_GB2312" w:cs="仿宋_GB2312"/>
          <w:sz w:val="32"/>
          <w:szCs w:val="32"/>
          <w:lang w:val="en-US" w:eastAsia="zh-CN"/>
        </w:rPr>
        <w:t>混凝土</w:t>
      </w:r>
      <w:r>
        <w:rPr>
          <w:rFonts w:hint="eastAsia" w:ascii="仿宋_GB2312" w:hAnsi="仿宋_GB2312" w:eastAsia="仿宋_GB2312" w:cs="仿宋_GB2312"/>
          <w:sz w:val="32"/>
          <w:szCs w:val="32"/>
          <w:lang w:val="en-US" w:eastAsia="zh-CN"/>
        </w:rPr>
        <w:t>面层+水泥稳定碎石+级配碎石，实际结构层为C30</w:t>
      </w:r>
      <w:r>
        <w:rPr>
          <w:rFonts w:hint="eastAsia" w:ascii="仿宋_GB2312" w:hAnsi="仿宋_GB2312" w:cs="仿宋_GB2312"/>
          <w:sz w:val="32"/>
          <w:szCs w:val="32"/>
          <w:lang w:val="en-US" w:eastAsia="zh-CN"/>
        </w:rPr>
        <w:t>混凝土</w:t>
      </w:r>
      <w:r>
        <w:rPr>
          <w:rFonts w:hint="eastAsia" w:ascii="仿宋_GB2312" w:hAnsi="仿宋_GB2312" w:eastAsia="仿宋_GB2312" w:cs="仿宋_GB2312"/>
          <w:sz w:val="32"/>
          <w:szCs w:val="32"/>
          <w:lang w:val="en-US" w:eastAsia="zh-CN"/>
        </w:rPr>
        <w:t>面层+水泥稳定碎石+砂砾，该变化未履行有关的变更手续。</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w:t>
      </w:r>
    </w:p>
    <w:p>
      <w:pPr>
        <w:pStyle w:val="2"/>
        <w:keepNext w:val="0"/>
        <w:keepLines w:val="0"/>
        <w:spacing w:before="0" w:after="0" w:line="580" w:lineRule="exact"/>
        <w:ind w:firstLine="640" w:firstLineChars="200"/>
        <w:jc w:val="left"/>
        <w:rPr>
          <w:rFonts w:hint="eastAsia" w:ascii="仿宋_GB2312" w:hAnsi="仿宋_GB2312" w:eastAsia="仿宋_GB2312" w:cs="仿宋_GB2312"/>
          <w:b w:val="0"/>
          <w:bCs w:val="0"/>
          <w:kern w:val="2"/>
          <w:sz w:val="32"/>
          <w:szCs w:val="32"/>
        </w:rPr>
      </w:pPr>
      <w:bookmarkStart w:id="72" w:name="_Toc2209"/>
      <w:bookmarkStart w:id="73" w:name="_Toc15014"/>
      <w:r>
        <w:rPr>
          <w:rFonts w:hint="eastAsia" w:ascii="仿宋_GB2312" w:hAnsi="仿宋_GB2312" w:eastAsia="仿宋_GB2312" w:cs="仿宋_GB2312"/>
          <w:b w:val="0"/>
          <w:bCs w:val="0"/>
          <w:kern w:val="2"/>
          <w:sz w:val="32"/>
          <w:szCs w:val="32"/>
        </w:rPr>
        <w:t>3.产出时效</w:t>
      </w:r>
      <w:bookmarkEnd w:id="72"/>
      <w:bookmarkEnd w:id="73"/>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该项目合同约定的工期为</w:t>
      </w:r>
      <w:r>
        <w:rPr>
          <w:rFonts w:hint="eastAsia" w:ascii="仿宋_GB2312" w:hAnsi="仿宋_GB2312" w:eastAsia="仿宋_GB2312" w:cs="仿宋_GB2312"/>
          <w:sz w:val="32"/>
          <w:szCs w:val="32"/>
          <w:lang w:val="en-US" w:eastAsia="zh-CN"/>
        </w:rPr>
        <w:t>2020年9月至2021年10月30日。截至目前，该项目还在施工过程中。</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0" w:firstLineChars="200"/>
        <w:jc w:val="left"/>
        <w:rPr>
          <w:rFonts w:hint="eastAsia" w:ascii="仿宋_GB2312" w:hAnsi="仿宋_GB2312" w:eastAsia="仿宋_GB2312" w:cs="仿宋_GB2312"/>
          <w:b w:val="0"/>
          <w:bCs w:val="0"/>
          <w:kern w:val="2"/>
          <w:sz w:val="32"/>
          <w:szCs w:val="32"/>
        </w:rPr>
      </w:pPr>
      <w:bookmarkStart w:id="74" w:name="_Toc22429"/>
      <w:bookmarkStart w:id="75" w:name="_Toc2243"/>
      <w:r>
        <w:rPr>
          <w:rFonts w:hint="eastAsia" w:ascii="仿宋_GB2312" w:hAnsi="仿宋_GB2312" w:eastAsia="仿宋_GB2312" w:cs="仿宋_GB2312"/>
          <w:b w:val="0"/>
          <w:bCs w:val="0"/>
          <w:kern w:val="2"/>
          <w:sz w:val="32"/>
          <w:szCs w:val="32"/>
        </w:rPr>
        <w:t>4.产出成本</w:t>
      </w:r>
      <w:bookmarkEnd w:id="74"/>
      <w:bookmarkEnd w:id="75"/>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该项目计划成本</w:t>
      </w:r>
      <w:r>
        <w:rPr>
          <w:rFonts w:hint="eastAsia" w:ascii="仿宋_GB2312" w:hAnsi="仿宋_GB2312" w:eastAsia="仿宋_GB2312" w:cs="仿宋_GB2312"/>
          <w:sz w:val="32"/>
          <w:szCs w:val="32"/>
          <w:lang w:val="en-US" w:eastAsia="zh-CN"/>
        </w:rPr>
        <w:t>3770万元，实际成本3668.90万元（因还未竣工结算，故本次评价以合同金额为准），成本节约率2.68%。</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分，得分率100%。</w:t>
      </w:r>
    </w:p>
    <w:p>
      <w:pPr>
        <w:spacing w:line="580"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rPr>
        <w:t>（四）</w:t>
      </w:r>
      <w:r>
        <w:rPr>
          <w:rFonts w:ascii="楷体_GB2312" w:hAnsi="宋体" w:eastAsia="楷体_GB2312"/>
          <w:b/>
          <w:sz w:val="32"/>
          <w:szCs w:val="32"/>
        </w:rPr>
        <w:t>效果。</w:t>
      </w:r>
      <w:r>
        <w:rPr>
          <w:rFonts w:hint="eastAsia" w:ascii="仿宋_GB2312" w:hAnsi="仿宋_GB2312" w:eastAsia="仿宋_GB2312" w:cs="仿宋_GB2312"/>
          <w:sz w:val="32"/>
          <w:szCs w:val="32"/>
        </w:rPr>
        <w:t>效果绩效指标满分20分，得分</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分，得分率为</w:t>
      </w:r>
      <w:r>
        <w:rPr>
          <w:rFonts w:hint="eastAsia" w:ascii="仿宋_GB2312" w:hAnsi="仿宋_GB2312" w:cs="仿宋_GB2312"/>
          <w:sz w:val="32"/>
          <w:szCs w:val="32"/>
          <w:lang w:val="en-US" w:eastAsia="zh-CN"/>
        </w:rPr>
        <w:t>70</w:t>
      </w:r>
      <w:r>
        <w:rPr>
          <w:rFonts w:hint="eastAsia" w:ascii="仿宋_GB2312" w:hAnsi="仿宋_GB2312" w:eastAsia="仿宋_GB2312" w:cs="仿宋_GB2312"/>
          <w:sz w:val="32"/>
          <w:szCs w:val="32"/>
        </w:rPr>
        <w:t>%。</w:t>
      </w:r>
    </w:p>
    <w:p>
      <w:pPr>
        <w:spacing w:line="58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1.项目效益</w:t>
      </w:r>
    </w:p>
    <w:p>
      <w:pPr>
        <w:spacing w:line="58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项目整体尚未完工和投入使用，</w:t>
      </w:r>
      <w:r>
        <w:rPr>
          <w:rFonts w:hint="eastAsia" w:ascii="仿宋_GB2312" w:hAnsi="仿宋_GB2312" w:eastAsia="仿宋_GB2312" w:cs="仿宋_GB2312"/>
          <w:sz w:val="32"/>
          <w:szCs w:val="32"/>
          <w:lang w:eastAsia="zh-CN"/>
        </w:rPr>
        <w:t>项目预期的经济效益、社会效益和可持续影响未能显现。</w:t>
      </w:r>
      <w:r>
        <w:rPr>
          <w:rFonts w:hint="eastAsia" w:ascii="仿宋_GB2312" w:hAnsi="仿宋_GB2312" w:eastAsia="仿宋_GB2312" w:cs="仿宋_GB2312"/>
          <w:bCs/>
          <w:sz w:val="32"/>
          <w:szCs w:val="32"/>
        </w:rPr>
        <w:t>因</w:t>
      </w:r>
      <w:r>
        <w:rPr>
          <w:rFonts w:hint="eastAsia" w:ascii="仿宋_GB2312" w:hAnsi="仿宋_GB2312" w:eastAsia="仿宋_GB2312" w:cs="仿宋_GB2312"/>
          <w:bCs/>
          <w:sz w:val="32"/>
          <w:szCs w:val="32"/>
          <w:lang w:eastAsia="zh-CN"/>
        </w:rPr>
        <w:t>该项目</w:t>
      </w:r>
      <w:r>
        <w:rPr>
          <w:rFonts w:hint="eastAsia" w:ascii="仿宋_GB2312" w:hAnsi="仿宋_GB2312" w:eastAsia="仿宋_GB2312" w:cs="仿宋_GB2312"/>
          <w:bCs/>
          <w:sz w:val="32"/>
          <w:szCs w:val="32"/>
        </w:rPr>
        <w:t>还未到计划的完工节点，故按照总分的50%计分。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0。</w:t>
      </w:r>
    </w:p>
    <w:p>
      <w:pPr>
        <w:spacing w:line="58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2.满意度</w:t>
      </w:r>
    </w:p>
    <w:p>
      <w:pPr>
        <w:spacing w:line="580"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该项目中无轨停车场、社会停车场已完工并投入使用，经向受益群体发放调查问卷，满意度为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3" w:firstLineChars="200"/>
        <w:jc w:val="left"/>
        <w:rPr>
          <w:rFonts w:eastAsia="黑体"/>
          <w:sz w:val="32"/>
          <w:szCs w:val="32"/>
        </w:rPr>
      </w:pPr>
      <w:bookmarkStart w:id="76" w:name="_Toc8818"/>
      <w:r>
        <w:rPr>
          <w:rFonts w:eastAsia="黑体"/>
          <w:sz w:val="32"/>
          <w:szCs w:val="32"/>
        </w:rPr>
        <w:t>五、存在问题</w:t>
      </w:r>
      <w:bookmarkEnd w:id="62"/>
      <w:bookmarkEnd w:id="63"/>
      <w:bookmarkEnd w:id="64"/>
      <w:bookmarkEnd w:id="65"/>
      <w:bookmarkEnd w:id="76"/>
      <w:bookmarkStart w:id="77" w:name="_Toc38447897"/>
      <w:bookmarkStart w:id="78" w:name="_Toc38452641"/>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3" w:firstLineChars="200"/>
        <w:jc w:val="left"/>
        <w:textAlignment w:val="auto"/>
        <w:rPr>
          <w:rFonts w:hint="eastAsia" w:ascii="仿宋_GB2312" w:hAnsi="仿宋_GB2312" w:eastAsia="仿宋_GB2312" w:cs="仿宋_GB2312"/>
          <w:b w:val="0"/>
          <w:bCs w:val="0"/>
          <w:kern w:val="2"/>
          <w:sz w:val="32"/>
          <w:szCs w:val="32"/>
          <w:lang w:val="en-US" w:eastAsia="zh-CN" w:bidi="ar-SA"/>
        </w:rPr>
      </w:pPr>
      <w:bookmarkStart w:id="79" w:name="_Toc3251"/>
      <w:bookmarkStart w:id="80" w:name="_Toc19057"/>
      <w:bookmarkStart w:id="81" w:name="_Toc21571"/>
      <w:bookmarkStart w:id="82" w:name="_Toc41137195"/>
      <w:r>
        <w:rPr>
          <w:rFonts w:hint="eastAsia" w:ascii="楷体_GB2312" w:hAnsi="宋体" w:eastAsia="楷体_GB2312" w:cs="Times New Roman"/>
          <w:b/>
          <w:bCs w:val="0"/>
          <w:kern w:val="2"/>
          <w:sz w:val="32"/>
          <w:szCs w:val="32"/>
          <w:lang w:val="en-US" w:eastAsia="zh-CN" w:bidi="ar-SA"/>
        </w:rPr>
        <w:t>（一）建设程序有瑕疵，项目施工许可证的颁发时间晚于项目开工时间。</w:t>
      </w:r>
      <w:r>
        <w:rPr>
          <w:rFonts w:hint="eastAsia" w:ascii="仿宋_GB2312" w:hAnsi="仿宋_GB2312" w:eastAsia="仿宋_GB2312" w:cs="仿宋_GB2312"/>
          <w:b w:val="0"/>
          <w:bCs w:val="0"/>
          <w:kern w:val="2"/>
          <w:sz w:val="32"/>
          <w:szCs w:val="32"/>
          <w:lang w:val="en-US" w:eastAsia="zh-CN" w:bidi="ar-SA"/>
        </w:rPr>
        <w:t>项目开工时间为2020年9月30日，项目施工许可证颁发时间为2020年12月。原因为该项目工期要求紧任务重，在区政府批准下边施工边完善手续。</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default" w:ascii="仿宋_GB2312" w:hAnsi="仿宋" w:cs="仿宋"/>
          <w:b w:val="0"/>
          <w:bCs w:val="0"/>
          <w:sz w:val="32"/>
          <w:szCs w:val="32"/>
          <w:lang w:val="en-US" w:eastAsia="zh-CN"/>
        </w:rPr>
      </w:pPr>
      <w:r>
        <w:rPr>
          <w:rFonts w:hint="eastAsia" w:ascii="楷体_GB2312" w:hAnsi="宋体" w:eastAsia="楷体_GB2312" w:cs="Times New Roman"/>
          <w:b/>
          <w:bCs w:val="0"/>
          <w:kern w:val="2"/>
          <w:sz w:val="32"/>
          <w:szCs w:val="32"/>
          <w:lang w:val="en-US" w:eastAsia="zh-CN" w:bidi="ar-SA"/>
        </w:rPr>
        <w:t>（二）工程管理存在不足。</w:t>
      </w:r>
      <w:r>
        <w:rPr>
          <w:rFonts w:hint="eastAsia"/>
          <w:b/>
          <w:bCs/>
          <w:sz w:val="32"/>
          <w:szCs w:val="32"/>
          <w:lang w:val="en-US" w:eastAsia="zh-CN"/>
        </w:rPr>
        <w:t>一是</w:t>
      </w:r>
      <w:r>
        <w:rPr>
          <w:rFonts w:hint="eastAsia" w:ascii="仿宋_GB2312" w:hAnsi="仿宋_GB2312" w:eastAsia="仿宋_GB2312" w:cs="仿宋_GB2312"/>
          <w:b w:val="0"/>
          <w:bCs w:val="0"/>
          <w:kern w:val="2"/>
          <w:sz w:val="32"/>
          <w:szCs w:val="32"/>
          <w:lang w:val="en-US" w:eastAsia="zh-CN" w:bidi="ar-SA"/>
        </w:rPr>
        <w:t>实际施工情况与施工图设计不一致，尚未进行变更手续</w:t>
      </w:r>
      <w:r>
        <w:rPr>
          <w:rFonts w:hint="eastAsia" w:ascii="仿宋_GB2312" w:hAnsi="仿宋_GB2312" w:cs="仿宋_GB2312"/>
          <w:b w:val="0"/>
          <w:bCs w:val="0"/>
          <w:kern w:val="2"/>
          <w:sz w:val="32"/>
          <w:szCs w:val="32"/>
          <w:lang w:val="en-US" w:eastAsia="zh-CN" w:bidi="ar-SA"/>
        </w:rPr>
        <w:t>。具体为</w:t>
      </w:r>
      <w:r>
        <w:rPr>
          <w:rFonts w:hint="eastAsia" w:ascii="仿宋_GB2312" w:hAnsi="仿宋_GB2312" w:eastAsia="仿宋_GB2312" w:cs="仿宋_GB2312"/>
          <w:b w:val="0"/>
          <w:bCs w:val="0"/>
          <w:kern w:val="2"/>
          <w:sz w:val="32"/>
          <w:szCs w:val="32"/>
          <w:lang w:val="en-US" w:eastAsia="zh-CN" w:bidi="ar-SA"/>
        </w:rPr>
        <w:t>社会停车场、无轨停车场、公交车驻车场结构层设计为C30</w:t>
      </w:r>
      <w:r>
        <w:rPr>
          <w:rFonts w:hint="eastAsia" w:ascii="仿宋_GB2312" w:hAnsi="仿宋_GB2312" w:cs="仿宋_GB2312"/>
          <w:b w:val="0"/>
          <w:bCs w:val="0"/>
          <w:kern w:val="2"/>
          <w:sz w:val="32"/>
          <w:szCs w:val="32"/>
          <w:lang w:val="en-US" w:eastAsia="zh-CN" w:bidi="ar-SA"/>
        </w:rPr>
        <w:t>混凝土</w:t>
      </w:r>
      <w:r>
        <w:rPr>
          <w:rFonts w:hint="eastAsia" w:ascii="仿宋_GB2312" w:hAnsi="仿宋_GB2312" w:eastAsia="仿宋_GB2312" w:cs="仿宋_GB2312"/>
          <w:b w:val="0"/>
          <w:bCs w:val="0"/>
          <w:kern w:val="2"/>
          <w:sz w:val="32"/>
          <w:szCs w:val="32"/>
          <w:lang w:val="en-US" w:eastAsia="zh-CN" w:bidi="ar-SA"/>
        </w:rPr>
        <w:t>面层+水泥稳定碎石+级配碎石+2:8灰土，经现场踏勘，结构层为C30</w:t>
      </w:r>
      <w:r>
        <w:rPr>
          <w:rFonts w:hint="eastAsia" w:ascii="仿宋_GB2312" w:hAnsi="仿宋_GB2312" w:cs="仿宋_GB2312"/>
          <w:b w:val="0"/>
          <w:bCs w:val="0"/>
          <w:kern w:val="2"/>
          <w:sz w:val="32"/>
          <w:szCs w:val="32"/>
          <w:lang w:val="en-US" w:eastAsia="zh-CN" w:bidi="ar-SA"/>
        </w:rPr>
        <w:t>混凝土</w:t>
      </w:r>
      <w:r>
        <w:rPr>
          <w:rFonts w:hint="eastAsia" w:ascii="仿宋_GB2312" w:hAnsi="仿宋_GB2312" w:eastAsia="仿宋_GB2312" w:cs="仿宋_GB2312"/>
          <w:b w:val="0"/>
          <w:bCs w:val="0"/>
          <w:kern w:val="2"/>
          <w:sz w:val="32"/>
          <w:szCs w:val="32"/>
          <w:lang w:val="en-US" w:eastAsia="zh-CN" w:bidi="ar-SA"/>
        </w:rPr>
        <w:t>面层+水泥稳定碎石+砂砾，与施工图设计不一致。</w:t>
      </w:r>
      <w:r>
        <w:rPr>
          <w:rFonts w:hint="eastAsia" w:ascii="仿宋_GB2312" w:hAnsi="仿宋_GB2312" w:cs="仿宋_GB2312"/>
          <w:b/>
          <w:bCs/>
          <w:kern w:val="2"/>
          <w:sz w:val="32"/>
          <w:szCs w:val="32"/>
          <w:lang w:val="en-US" w:eastAsia="zh-CN" w:bidi="ar-SA"/>
        </w:rPr>
        <w:t>二是</w:t>
      </w:r>
      <w:r>
        <w:rPr>
          <w:rFonts w:hint="eastAsia"/>
          <w:sz w:val="32"/>
          <w:szCs w:val="32"/>
          <w:lang w:val="en-US" w:eastAsia="zh-CN"/>
        </w:rPr>
        <w:t>施工合同未约定质保金。</w:t>
      </w:r>
      <w:r>
        <w:rPr>
          <w:rFonts w:hint="eastAsia"/>
          <w:b/>
          <w:bCs/>
          <w:sz w:val="32"/>
          <w:szCs w:val="32"/>
          <w:lang w:val="en-US" w:eastAsia="zh-CN"/>
        </w:rPr>
        <w:t>三是</w:t>
      </w:r>
      <w:r>
        <w:rPr>
          <w:rFonts w:hint="eastAsia" w:ascii="仿宋_GB2312" w:hAnsi="仿宋" w:cs="仿宋"/>
          <w:b w:val="0"/>
          <w:bCs w:val="0"/>
          <w:sz w:val="32"/>
          <w:szCs w:val="32"/>
          <w:lang w:val="en-US" w:eastAsia="zh-CN"/>
        </w:rPr>
        <w:t>项目实施方案制定不精细，该项目的实施方案主要是对项目基本建设情况、项目融资与收益情况、项目主管部门责任进行了明确，但未进行详细的职责分工、未明确项目完工时间、竣工结算时间、验收时间等项目实施的重要时间节点，不利于项目实施进度的有效控制。</w:t>
      </w:r>
    </w:p>
    <w:p>
      <w:pPr>
        <w:pStyle w:val="3"/>
        <w:spacing w:before="0" w:after="0" w:line="580" w:lineRule="exact"/>
        <w:ind w:firstLine="643" w:firstLineChars="200"/>
        <w:rPr>
          <w:rFonts w:hint="eastAsia" w:ascii="仿宋_GB2312" w:hAnsi="仿宋" w:eastAsia="仿宋_GB2312" w:cs="仿宋"/>
          <w:b w:val="0"/>
          <w:bCs w:val="0"/>
          <w:kern w:val="2"/>
          <w:sz w:val="32"/>
          <w:szCs w:val="32"/>
          <w:lang w:val="en-US" w:eastAsia="zh-CN" w:bidi="ar-SA"/>
        </w:rPr>
      </w:pPr>
      <w:r>
        <w:rPr>
          <w:rFonts w:hint="eastAsia" w:ascii="楷体_GB2312" w:hAnsi="宋体" w:eastAsia="楷体_GB2312" w:cs="Times New Roman"/>
          <w:b/>
          <w:bCs w:val="0"/>
          <w:kern w:val="2"/>
          <w:sz w:val="32"/>
          <w:szCs w:val="32"/>
          <w:lang w:val="en-US" w:eastAsia="zh-CN" w:bidi="ar-SA"/>
        </w:rPr>
        <w:t>（三）</w:t>
      </w:r>
      <w:bookmarkEnd w:id="77"/>
      <w:bookmarkEnd w:id="78"/>
      <w:bookmarkEnd w:id="79"/>
      <w:bookmarkEnd w:id="80"/>
      <w:bookmarkEnd w:id="81"/>
      <w:bookmarkEnd w:id="82"/>
      <w:bookmarkStart w:id="83" w:name="_Toc17895"/>
      <w:bookmarkStart w:id="84" w:name="_Toc38452642"/>
      <w:bookmarkStart w:id="85" w:name="_Toc41137197"/>
      <w:bookmarkStart w:id="86" w:name="_Toc22697"/>
      <w:bookmarkStart w:id="87" w:name="_Toc38447898"/>
      <w:r>
        <w:rPr>
          <w:rFonts w:hint="eastAsia" w:ascii="楷体_GB2312" w:hAnsi="宋体" w:eastAsia="楷体_GB2312" w:cs="Times New Roman"/>
          <w:b/>
          <w:bCs w:val="0"/>
          <w:kern w:val="2"/>
          <w:sz w:val="32"/>
          <w:szCs w:val="32"/>
          <w:lang w:val="en-US" w:eastAsia="zh-CN" w:bidi="ar-SA"/>
        </w:rPr>
        <w:t>工程进度款拨付存在超拨情况，实际支付资金超过已完工程量，资金支付进度与工程进度不匹配。</w:t>
      </w:r>
      <w:r>
        <w:rPr>
          <w:rFonts w:hint="eastAsia" w:ascii="仿宋_GB2312" w:hAnsi="仿宋" w:eastAsia="仿宋_GB2312" w:cs="仿宋"/>
          <w:b w:val="0"/>
          <w:bCs w:val="0"/>
          <w:kern w:val="2"/>
          <w:sz w:val="32"/>
          <w:szCs w:val="32"/>
          <w:lang w:val="en-US" w:eastAsia="zh-CN" w:bidi="ar-SA"/>
        </w:rPr>
        <w:t>截至2021年4月30日，该项目已支付工程款3300万元，占合同总价款的92%。通过现场踏勘和比较，发现部分工程主体还未完工、部分项目还未实施，但已经支付价款。例如：综合楼、门卫室及公共厕所未完成门窗工程、内部装修、外部装修、屋面防水及保温工程；消防水池未完成土方回填、池壁内外防水、门窗、屋面防水及保温工程；新建绿地和车辆维修车间还未实施。</w:t>
      </w:r>
    </w:p>
    <w:bookmarkEnd w:id="83"/>
    <w:bookmarkEnd w:id="84"/>
    <w:bookmarkEnd w:id="85"/>
    <w:bookmarkEnd w:id="86"/>
    <w:bookmarkEnd w:id="87"/>
    <w:p>
      <w:pPr>
        <w:pStyle w:val="2"/>
        <w:keepNext w:val="0"/>
        <w:keepLines w:val="0"/>
        <w:spacing w:before="0" w:after="0" w:line="580" w:lineRule="exact"/>
        <w:ind w:firstLine="643" w:firstLineChars="200"/>
        <w:jc w:val="left"/>
        <w:rPr>
          <w:rFonts w:eastAsia="黑体"/>
          <w:sz w:val="32"/>
          <w:szCs w:val="32"/>
        </w:rPr>
      </w:pPr>
      <w:bookmarkStart w:id="88" w:name="_Toc41137199"/>
      <w:bookmarkStart w:id="89" w:name="_Toc38452643"/>
      <w:bookmarkStart w:id="90" w:name="_Toc25479"/>
      <w:bookmarkStart w:id="91" w:name="_Toc38447899"/>
      <w:bookmarkStart w:id="92" w:name="_Toc4794"/>
      <w:r>
        <w:rPr>
          <w:rFonts w:eastAsia="黑体"/>
          <w:sz w:val="32"/>
          <w:szCs w:val="32"/>
        </w:rPr>
        <w:t>六、有关建议</w:t>
      </w:r>
      <w:bookmarkEnd w:id="88"/>
      <w:bookmarkEnd w:id="89"/>
      <w:bookmarkEnd w:id="90"/>
      <w:bookmarkEnd w:id="91"/>
      <w:bookmarkEnd w:id="92"/>
    </w:p>
    <w:p>
      <w:pPr>
        <w:spacing w:line="580" w:lineRule="exact"/>
        <w:ind w:firstLine="640"/>
        <w:rPr>
          <w:sz w:val="32"/>
          <w:szCs w:val="32"/>
        </w:rPr>
      </w:pPr>
      <w:r>
        <w:rPr>
          <w:sz w:val="32"/>
          <w:szCs w:val="32"/>
        </w:rPr>
        <w:t>针对上述发现的问题，为进一步提升项目单位今后的</w:t>
      </w:r>
      <w:r>
        <w:rPr>
          <w:rFonts w:hint="eastAsia"/>
          <w:sz w:val="32"/>
          <w:szCs w:val="32"/>
          <w:lang w:eastAsia="zh-CN"/>
        </w:rPr>
        <w:t>资金</w:t>
      </w:r>
      <w:r>
        <w:rPr>
          <w:rFonts w:hint="eastAsia"/>
          <w:sz w:val="32"/>
          <w:szCs w:val="32"/>
        </w:rPr>
        <w:t>和</w:t>
      </w:r>
      <w:r>
        <w:rPr>
          <w:sz w:val="32"/>
          <w:szCs w:val="32"/>
        </w:rPr>
        <w:t>项目管理水平，提出以下建议：</w:t>
      </w:r>
    </w:p>
    <w:p>
      <w:pPr>
        <w:spacing w:line="580" w:lineRule="exact"/>
        <w:ind w:firstLine="643" w:firstLineChars="200"/>
        <w:rPr>
          <w:rFonts w:hint="eastAsia" w:ascii="仿宋_GB2312" w:hAnsi="仿宋_GB2312" w:eastAsia="仿宋_GB2312" w:cs="仿宋_GB2312"/>
          <w:b w:val="0"/>
          <w:bCs w:val="0"/>
          <w:kern w:val="2"/>
          <w:sz w:val="32"/>
          <w:szCs w:val="32"/>
          <w:lang w:val="en-US" w:eastAsia="zh-CN" w:bidi="ar-SA"/>
        </w:rPr>
      </w:pPr>
      <w:r>
        <w:rPr>
          <w:rFonts w:hint="eastAsia" w:ascii="楷体_GB2312" w:hAnsi="宋体" w:eastAsia="楷体_GB2312" w:cs="Times New Roman"/>
          <w:b/>
          <w:bCs w:val="0"/>
          <w:kern w:val="2"/>
          <w:sz w:val="32"/>
          <w:szCs w:val="32"/>
          <w:lang w:val="en-US" w:eastAsia="zh-CN" w:bidi="ar-SA"/>
        </w:rPr>
        <w:t>（一）针对项目施工许可证的颁发时间晚于项目开工时间的问题，</w:t>
      </w:r>
      <w:r>
        <w:rPr>
          <w:rFonts w:hint="eastAsia" w:ascii="仿宋_GB2312" w:hAnsi="仿宋_GB2312" w:eastAsia="仿宋_GB2312" w:cs="仿宋_GB2312"/>
          <w:b w:val="0"/>
          <w:bCs w:val="0"/>
          <w:kern w:val="2"/>
          <w:sz w:val="32"/>
          <w:szCs w:val="32"/>
          <w:lang w:val="en-US" w:eastAsia="zh-CN" w:bidi="ar-SA"/>
        </w:rPr>
        <w:t>建议在今后的项目中，要做到提前谋划，按照规定的程序开展工作，保证工程的合规性。</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after="0" w:line="580" w:lineRule="exact"/>
        <w:ind w:firstLine="643" w:firstLineChars="200"/>
        <w:jc w:val="both"/>
        <w:textAlignment w:val="auto"/>
        <w:rPr>
          <w:rFonts w:hint="eastAsia" w:ascii="仿宋" w:hAnsi="仿宋" w:eastAsia="仿宋" w:cs="仿宋"/>
          <w:b w:val="0"/>
          <w:bCs w:val="0"/>
          <w:kern w:val="2"/>
          <w:sz w:val="32"/>
          <w:szCs w:val="32"/>
          <w:lang w:val="en-US" w:eastAsia="zh-CN" w:bidi="ar-SA"/>
        </w:rPr>
      </w:pPr>
      <w:r>
        <w:rPr>
          <w:rFonts w:hint="eastAsia" w:ascii="楷体_GB2312" w:hAnsi="宋体" w:eastAsia="楷体_GB2312" w:cs="Times New Roman"/>
          <w:b/>
          <w:bCs w:val="0"/>
          <w:kern w:val="2"/>
          <w:sz w:val="32"/>
          <w:szCs w:val="32"/>
          <w:lang w:val="en-US" w:eastAsia="zh-CN" w:bidi="ar-SA"/>
        </w:rPr>
        <w:t>（二）针对工程管理存在的不足，</w:t>
      </w:r>
      <w:r>
        <w:rPr>
          <w:rFonts w:hint="eastAsia" w:ascii="仿宋_GB2312" w:hAnsi="仿宋_GB2312" w:eastAsia="仿宋_GB2312" w:cs="仿宋_GB2312"/>
          <w:b/>
          <w:bCs/>
          <w:kern w:val="2"/>
          <w:sz w:val="32"/>
          <w:szCs w:val="32"/>
          <w:lang w:val="en-US" w:eastAsia="zh-CN" w:bidi="ar-SA"/>
        </w:rPr>
        <w:t>一是</w:t>
      </w:r>
      <w:r>
        <w:rPr>
          <w:rFonts w:hint="eastAsia" w:ascii="仿宋_GB2312" w:hAnsi="仿宋_GB2312" w:eastAsia="仿宋_GB2312" w:cs="仿宋_GB2312"/>
          <w:b w:val="0"/>
          <w:bCs w:val="0"/>
          <w:kern w:val="2"/>
          <w:sz w:val="32"/>
          <w:szCs w:val="32"/>
          <w:lang w:val="en-US" w:eastAsia="zh-CN" w:bidi="ar-SA"/>
        </w:rPr>
        <w:t>严格按照图纸施工，对于确实不能按照施工图施工的，及时履行相应的变更手续。</w:t>
      </w:r>
      <w:r>
        <w:rPr>
          <w:rFonts w:hint="eastAsia" w:ascii="仿宋_GB2312" w:hAnsi="仿宋_GB2312" w:eastAsia="仿宋_GB2312" w:cs="仿宋_GB2312"/>
          <w:b/>
          <w:bCs/>
          <w:kern w:val="2"/>
          <w:sz w:val="32"/>
          <w:szCs w:val="32"/>
          <w:lang w:val="en-US" w:eastAsia="zh-CN" w:bidi="ar-SA"/>
        </w:rPr>
        <w:t>二是</w:t>
      </w:r>
      <w:r>
        <w:rPr>
          <w:rFonts w:hint="eastAsia" w:ascii="仿宋_GB2312" w:hAnsi="仿宋_GB2312" w:eastAsia="仿宋_GB2312" w:cs="仿宋_GB2312"/>
          <w:b w:val="0"/>
          <w:bCs w:val="0"/>
          <w:sz w:val="32"/>
          <w:szCs w:val="32"/>
          <w:lang w:val="en-US" w:eastAsia="zh-CN"/>
        </w:rPr>
        <w:t>法务部门应严格审核合同条款，按照《建筑工程质量保证金管理办法》的要求，合理确定缺陷责任期和质量保证金。</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b w:val="0"/>
          <w:bCs w:val="0"/>
          <w:kern w:val="2"/>
          <w:sz w:val="32"/>
          <w:szCs w:val="32"/>
          <w:lang w:val="en-US" w:eastAsia="zh-CN" w:bidi="ar-SA"/>
        </w:rPr>
        <w:t>针对</w:t>
      </w:r>
      <w:r>
        <w:rPr>
          <w:rFonts w:hint="eastAsia" w:ascii="仿宋_GB2312" w:hAnsi="仿宋_GB2312" w:eastAsia="仿宋_GB2312" w:cs="仿宋_GB2312"/>
          <w:b w:val="0"/>
          <w:bCs w:val="0"/>
          <w:sz w:val="32"/>
          <w:szCs w:val="32"/>
          <w:lang w:val="en-US" w:eastAsia="zh-CN"/>
        </w:rPr>
        <w:t>项目实施方案制定不精细的问题，建议完善项目实施方案或者编制项目实施计划，明确项目管理人员、职责范围、项目施工的重要时间节点，加强项目管理，提高项目管理效率</w:t>
      </w:r>
      <w:r>
        <w:rPr>
          <w:rFonts w:hint="eastAsia" w:ascii="仿宋_GB2312" w:hAnsi="仿宋_GB2312" w:eastAsia="仿宋_GB2312" w:cs="仿宋_GB2312"/>
          <w:b w:val="0"/>
          <w:bCs w:val="0"/>
          <w:kern w:val="2"/>
          <w:sz w:val="32"/>
          <w:szCs w:val="32"/>
          <w:lang w:val="en-US" w:eastAsia="zh-CN" w:bidi="ar-SA"/>
        </w:rPr>
        <w:t>，以保证工程施工质量及建设程序合法合规。</w:t>
      </w:r>
    </w:p>
    <w:p>
      <w:pPr>
        <w:pStyle w:val="19"/>
        <w:numPr>
          <w:ilvl w:val="0"/>
          <w:numId w:val="0"/>
        </w:numPr>
        <w:spacing w:before="0" w:after="360" w:line="580" w:lineRule="exact"/>
        <w:ind w:firstLine="643" w:firstLineChars="200"/>
        <w:jc w:val="both"/>
        <w:rPr>
          <w:rFonts w:hint="eastAsia" w:ascii="仿宋_GB2312" w:hAnsi="仿宋_GB2312" w:eastAsia="仿宋_GB2312" w:cs="仿宋_GB2312"/>
          <w:b w:val="0"/>
          <w:bCs w:val="0"/>
          <w:sz w:val="32"/>
          <w:szCs w:val="32"/>
          <w:lang w:val="en-US" w:eastAsia="zh-CN"/>
        </w:rPr>
      </w:pPr>
      <w:r>
        <w:rPr>
          <w:rFonts w:hint="eastAsia" w:ascii="楷体_GB2312" w:hAnsi="宋体" w:eastAsia="楷体_GB2312" w:cs="Times New Roman"/>
          <w:b/>
          <w:bCs w:val="0"/>
          <w:kern w:val="2"/>
          <w:sz w:val="32"/>
          <w:szCs w:val="32"/>
          <w:lang w:val="en-US" w:eastAsia="zh-CN" w:bidi="ar-SA"/>
        </w:rPr>
        <w:t>（三）加强工程资金管理，严把资金审核支付关。</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b w:val="0"/>
          <w:bCs w:val="0"/>
          <w:sz w:val="32"/>
          <w:szCs w:val="32"/>
          <w:lang w:val="en-US" w:eastAsia="zh-CN"/>
        </w:rPr>
        <w:t>项目承担单位指定专人负责工程量的复核工作或者引入第三方进行跟踪审计，确保资金支付进度与实际工程量相匹配，避免资金流失的风险。</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b w:val="0"/>
          <w:bCs w:val="0"/>
          <w:sz w:val="32"/>
          <w:szCs w:val="32"/>
          <w:lang w:val="en-US" w:eastAsia="zh-CN"/>
        </w:rPr>
        <w:t>科学规划工期，加快工程进度，力促工程早日竣工，尽早投入使用，显现项目效益。</w:t>
      </w:r>
    </w:p>
    <w:p>
      <w:pPr>
        <w:spacing w:line="580" w:lineRule="exact"/>
        <w:ind w:firstLine="640"/>
        <w:rPr>
          <w:sz w:val="32"/>
          <w:szCs w:val="32"/>
        </w:rPr>
      </w:pPr>
    </w:p>
    <w:p>
      <w:pPr>
        <w:spacing w:line="580" w:lineRule="exact"/>
        <w:ind w:firstLine="640" w:firstLineChars="200"/>
        <w:rPr>
          <w:rFonts w:eastAsia="仿宋"/>
          <w:sz w:val="32"/>
          <w:szCs w:val="32"/>
        </w:rPr>
      </w:pPr>
    </w:p>
    <w:p>
      <w:pPr>
        <w:spacing w:line="580" w:lineRule="exact"/>
        <w:ind w:firstLine="640" w:firstLineChars="200"/>
        <w:rPr>
          <w:rFonts w:hint="eastAsia" w:eastAsia="仿宋"/>
          <w:sz w:val="32"/>
          <w:szCs w:val="32"/>
          <w:lang w:eastAsia="zh-CN"/>
        </w:rPr>
      </w:pPr>
      <w:r>
        <w:rPr>
          <w:rFonts w:eastAsia="仿宋"/>
          <w:sz w:val="32"/>
          <w:szCs w:val="32"/>
        </w:rPr>
        <w:t>附件</w:t>
      </w:r>
      <w:bookmarkEnd w:id="66"/>
      <w:r>
        <w:rPr>
          <w:rFonts w:hint="eastAsia" w:eastAsia="仿宋"/>
          <w:sz w:val="32"/>
          <w:szCs w:val="32"/>
          <w:lang w:val="en-US" w:eastAsia="zh-CN"/>
        </w:rPr>
        <w:t>1</w:t>
      </w:r>
      <w:r>
        <w:rPr>
          <w:rFonts w:hint="eastAsia" w:eastAsia="仿宋"/>
          <w:sz w:val="32"/>
          <w:szCs w:val="32"/>
          <w:lang w:eastAsia="zh-CN"/>
        </w:rPr>
        <w:t>：</w:t>
      </w:r>
      <w:r>
        <w:rPr>
          <w:rFonts w:hint="eastAsia" w:eastAsia="仿宋"/>
          <w:sz w:val="32"/>
          <w:szCs w:val="32"/>
        </w:rPr>
        <w:t>徐水经济开发区客运中心项目绩效评价指标</w:t>
      </w:r>
      <w:r>
        <w:rPr>
          <w:rFonts w:hint="eastAsia" w:eastAsia="仿宋"/>
          <w:sz w:val="32"/>
          <w:szCs w:val="32"/>
          <w:lang w:eastAsia="zh-CN"/>
        </w:rPr>
        <w:t>体系</w:t>
      </w:r>
    </w:p>
    <w:p>
      <w:pPr>
        <w:spacing w:line="580" w:lineRule="exact"/>
        <w:ind w:firstLine="640" w:firstLineChars="200"/>
        <w:rPr>
          <w:rFonts w:eastAsia="仿宋"/>
          <w:sz w:val="32"/>
          <w:szCs w:val="32"/>
        </w:rPr>
      </w:pPr>
      <w:r>
        <w:rPr>
          <w:rFonts w:hint="eastAsia" w:eastAsia="仿宋"/>
          <w:sz w:val="32"/>
          <w:szCs w:val="32"/>
          <w:lang w:eastAsia="zh-CN"/>
        </w:rPr>
        <w:t>附件</w:t>
      </w:r>
      <w:r>
        <w:rPr>
          <w:rFonts w:hint="eastAsia" w:eastAsia="仿宋"/>
          <w:sz w:val="32"/>
          <w:szCs w:val="32"/>
          <w:lang w:val="en-US" w:eastAsia="zh-CN"/>
        </w:rPr>
        <w:t>2：</w:t>
      </w:r>
      <w:r>
        <w:rPr>
          <w:rFonts w:hint="eastAsia" w:eastAsia="仿宋"/>
          <w:sz w:val="32"/>
          <w:szCs w:val="32"/>
        </w:rPr>
        <w:t>徐水经济开发区客运中心项目群众满意度调查问卷</w:t>
      </w:r>
    </w:p>
    <w:p>
      <w:pPr>
        <w:spacing w:line="580" w:lineRule="exact"/>
        <w:ind w:firstLine="640" w:firstLineChars="200"/>
        <w:rPr>
          <w:rFonts w:hint="default" w:eastAsia="仿宋"/>
          <w:sz w:val="32"/>
          <w:szCs w:val="32"/>
          <w:lang w:val="en-US" w:eastAsia="zh-CN"/>
        </w:rPr>
      </w:pPr>
      <w:r>
        <w:rPr>
          <w:rFonts w:hint="eastAsia" w:eastAsia="仿宋"/>
          <w:sz w:val="32"/>
          <w:szCs w:val="32"/>
          <w:lang w:val="en-US" w:eastAsia="zh-CN"/>
        </w:rPr>
        <w:t>附件3：部分现场踏勘照片</w:t>
      </w:r>
    </w:p>
    <w:bookmarkEnd w:id="67"/>
    <w:bookmarkEnd w:id="68"/>
    <w:bookmarkEnd w:id="69"/>
    <w:bookmarkEnd w:id="70"/>
    <w:bookmarkEnd w:id="71"/>
    <w:p>
      <w:pPr>
        <w:spacing w:line="580" w:lineRule="exact"/>
        <w:ind w:firstLine="640" w:firstLineChars="200"/>
        <w:rPr>
          <w:sz w:val="32"/>
          <w:szCs w:val="32"/>
        </w:rPr>
      </w:pPr>
    </w:p>
    <w:p>
      <w:pPr>
        <w:spacing w:line="580" w:lineRule="exact"/>
        <w:ind w:firstLine="640" w:firstLineChars="200"/>
        <w:rPr>
          <w:sz w:val="32"/>
          <w:szCs w:val="32"/>
        </w:rPr>
      </w:pPr>
    </w:p>
    <w:p>
      <w:pPr>
        <w:spacing w:line="580" w:lineRule="exact"/>
        <w:ind w:firstLine="640" w:firstLineChars="200"/>
        <w:rPr>
          <w:sz w:val="32"/>
          <w:szCs w:val="32"/>
        </w:rPr>
      </w:pPr>
      <w:r>
        <w:rPr>
          <w:sz w:val="32"/>
          <w:szCs w:val="32"/>
        </w:rPr>
        <w:t>河北德永会计师事务所         中国注册会计师：</w:t>
      </w:r>
    </w:p>
    <w:p>
      <w:pPr>
        <w:pStyle w:val="8"/>
        <w:spacing w:line="360" w:lineRule="auto"/>
        <w:ind w:right="300" w:rightChars="100" w:firstLine="1600" w:firstLineChars="500"/>
        <w:rPr>
          <w:rFonts w:ascii="Times New Roman" w:hAnsi="Times New Roman" w:cs="Times New Roman"/>
          <w:sz w:val="32"/>
          <w:szCs w:val="32"/>
        </w:rPr>
      </w:pPr>
      <w:r>
        <w:rPr>
          <w:rFonts w:ascii="Times New Roman" w:hAnsi="Times New Roman" w:cs="Times New Roman"/>
          <w:sz w:val="32"/>
          <w:szCs w:val="32"/>
        </w:rPr>
        <w:t xml:space="preserve">有限公司  </w:t>
      </w:r>
    </w:p>
    <w:p>
      <w:pPr>
        <w:pStyle w:val="8"/>
        <w:spacing w:line="660" w:lineRule="exact"/>
        <w:ind w:firstLine="1280" w:firstLineChars="400"/>
        <w:rPr>
          <w:rFonts w:ascii="Times New Roman" w:hAnsi="Times New Roman" w:cs="Times New Roman"/>
          <w:sz w:val="32"/>
          <w:szCs w:val="32"/>
        </w:rPr>
      </w:pPr>
      <w:r>
        <w:rPr>
          <w:rFonts w:ascii="Times New Roman" w:hAnsi="Times New Roman" w:cs="Times New Roman"/>
          <w:sz w:val="32"/>
          <w:szCs w:val="32"/>
        </w:rPr>
        <w:t xml:space="preserve">中国·石家庄              </w:t>
      </w:r>
      <w:r>
        <w:rPr>
          <w:rFonts w:hint="eastAsia" w:ascii="Times New Roman" w:hAnsi="Times New Roman" w:cs="Times New Roman"/>
          <w:sz w:val="32"/>
          <w:szCs w:val="32"/>
          <w:lang w:val="en-US" w:eastAsia="zh-CN"/>
        </w:rPr>
        <w:t xml:space="preserve"> </w:t>
      </w:r>
      <w:r>
        <w:rPr>
          <w:rFonts w:ascii="Times New Roman" w:hAnsi="Times New Roman" w:cs="Times New Roman"/>
          <w:sz w:val="32"/>
          <w:szCs w:val="32"/>
        </w:rPr>
        <w:t>中国注册会计师：</w:t>
      </w:r>
    </w:p>
    <w:p>
      <w:pPr>
        <w:pStyle w:val="8"/>
        <w:spacing w:line="660" w:lineRule="exact"/>
        <w:ind w:firstLine="4800" w:firstLineChars="1500"/>
        <w:rPr>
          <w:rFonts w:ascii="Times New Roman" w:hAnsi="Times New Roman" w:cs="Times New Roman"/>
          <w:sz w:val="32"/>
          <w:szCs w:val="32"/>
        </w:rPr>
      </w:pPr>
      <w:r>
        <w:rPr>
          <w:rFonts w:ascii="Times New Roman" w:hAnsi="Times New Roman" w:cs="Times New Roman"/>
          <w:sz w:val="32"/>
          <w:szCs w:val="32"/>
        </w:rPr>
        <w:t>二〇二</w:t>
      </w:r>
      <w:r>
        <w:rPr>
          <w:rFonts w:hint="eastAsia" w:ascii="Times New Roman" w:hAnsi="Times New Roman" w:cs="Times New Roman"/>
          <w:sz w:val="32"/>
          <w:szCs w:val="32"/>
          <w:lang w:eastAsia="zh-CN"/>
        </w:rPr>
        <w:t>一</w:t>
      </w:r>
      <w:r>
        <w:rPr>
          <w:rFonts w:ascii="Times New Roman" w:hAnsi="Times New Roman" w:cs="Times New Roman"/>
          <w:sz w:val="32"/>
          <w:szCs w:val="32"/>
        </w:rPr>
        <w:t>年</w:t>
      </w:r>
      <w:r>
        <w:rPr>
          <w:rFonts w:hint="eastAsia" w:ascii="Times New Roman" w:hAnsi="Times New Roman" w:cs="Times New Roman"/>
          <w:sz w:val="32"/>
          <w:szCs w:val="32"/>
          <w:lang w:eastAsia="zh-CN"/>
        </w:rPr>
        <w:t>六</w:t>
      </w:r>
      <w:r>
        <w:rPr>
          <w:rFonts w:ascii="Times New Roman" w:hAnsi="Times New Roman" w:cs="Times New Roman"/>
          <w:sz w:val="32"/>
          <w:szCs w:val="32"/>
        </w:rPr>
        <w:t>月</w:t>
      </w:r>
      <w:r>
        <w:rPr>
          <w:rFonts w:hint="eastAsia" w:ascii="Times New Roman" w:hAnsi="Times New Roman" w:cs="Times New Roman"/>
          <w:sz w:val="32"/>
          <w:szCs w:val="32"/>
          <w:lang w:eastAsia="zh-CN"/>
        </w:rPr>
        <w:t>二十八</w:t>
      </w:r>
      <w:r>
        <w:rPr>
          <w:rFonts w:ascii="Times New Roman" w:hAnsi="Times New Roman" w:cs="Times New Roman"/>
          <w:sz w:val="32"/>
          <w:szCs w:val="32"/>
        </w:rPr>
        <w:t xml:space="preserve">日  </w:t>
      </w:r>
    </w:p>
    <w:p>
      <w:pPr>
        <w:rPr>
          <w:sz w:val="32"/>
          <w:szCs w:val="32"/>
        </w:rPr>
      </w:pPr>
    </w:p>
    <w:p>
      <w:pPr>
        <w:jc w:val="center"/>
        <w:rPr>
          <w:sz w:val="32"/>
          <w:szCs w:val="32"/>
        </w:rPr>
        <w:sectPr>
          <w:footerReference r:id="rId6" w:type="default"/>
          <w:pgSz w:w="11906" w:h="16838"/>
          <w:pgMar w:top="2098" w:right="1304" w:bottom="1871" w:left="1531" w:header="851" w:footer="992" w:gutter="0"/>
          <w:cols w:space="720" w:num="1"/>
          <w:docGrid w:type="lines" w:linePitch="415" w:charSpace="0"/>
        </w:sectPr>
      </w:pPr>
    </w:p>
    <w:p>
      <w:pPr>
        <w:jc w:val="left"/>
        <w:rPr>
          <w:sz w:val="28"/>
          <w:szCs w:val="28"/>
          <w:highlight w:val="none"/>
        </w:rPr>
      </w:pPr>
      <w:r>
        <w:rPr>
          <w:sz w:val="28"/>
          <w:szCs w:val="28"/>
          <w:highlight w:val="none"/>
        </w:rPr>
        <w:t>附件1：</w:t>
      </w:r>
    </w:p>
    <w:p>
      <w:pPr>
        <w:widowControl/>
        <w:jc w:val="center"/>
        <w:rPr>
          <w:b/>
          <w:bCs/>
          <w:sz w:val="28"/>
          <w:szCs w:val="28"/>
        </w:rPr>
      </w:pPr>
      <w:r>
        <w:rPr>
          <w:rFonts w:hint="eastAsia"/>
          <w:b/>
          <w:bCs/>
          <w:sz w:val="28"/>
          <w:szCs w:val="28"/>
        </w:rPr>
        <w:t>徐水经济开发区客运中心项目绩效评价指标体系</w:t>
      </w:r>
    </w:p>
    <w:tbl>
      <w:tblPr>
        <w:tblStyle w:val="20"/>
        <w:tblpPr w:leftFromText="180" w:rightFromText="180" w:vertAnchor="text" w:horzAnchor="page" w:tblpX="644" w:tblpY="4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0"/>
        <w:gridCol w:w="1020"/>
        <w:gridCol w:w="2310"/>
        <w:gridCol w:w="2070"/>
        <w:gridCol w:w="4875"/>
        <w:gridCol w:w="1980"/>
        <w:gridCol w:w="780"/>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109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一级指标</w:t>
            </w: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二级指标</w:t>
            </w:r>
          </w:p>
        </w:tc>
        <w:tc>
          <w:tcPr>
            <w:tcW w:w="231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三级指标</w:t>
            </w:r>
          </w:p>
        </w:tc>
        <w:tc>
          <w:tcPr>
            <w:tcW w:w="20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指标解释</w:t>
            </w:r>
          </w:p>
        </w:tc>
        <w:tc>
          <w:tcPr>
            <w:tcW w:w="487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指标说明</w:t>
            </w:r>
          </w:p>
        </w:tc>
        <w:tc>
          <w:tcPr>
            <w:tcW w:w="198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评分标准</w:t>
            </w:r>
          </w:p>
        </w:tc>
        <w:tc>
          <w:tcPr>
            <w:tcW w:w="78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得分</w:t>
            </w:r>
          </w:p>
        </w:tc>
        <w:tc>
          <w:tcPr>
            <w:tcW w:w="179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0" w:hRule="atLeast"/>
        </w:trPr>
        <w:tc>
          <w:tcPr>
            <w:tcW w:w="109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（16分）</w:t>
            </w: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  （6分）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立项依据充分性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                                              ①项目立项是否符合国家法律法规、国民经济发展规划和相关政策；                                                  ②项目立项是否符合行业发展规划和政策要求；                       ③项目立项是否与部门职责范围相符，属于部门履职所需；                                                       ④项目是否属于公共财政支持范围，是否符合中央、地方事权支出责任划分原则；                                        ⑤项目是否与相关部门同类项目或部门内部相关项目重复。</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完全符合得满分，缺一项扣0.6分，扣完为止。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立项程序规范性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项目申请、设立过程是否符合相关要求，用以反映和考核项目立项的规范情况。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                                                     ①项目是否按照规定的程序申请设立；                      ②审批文件、材料是否符合相关要求；                            ③事前是否已经过必要的可行性研究、专家论证、风险评估、绩效评估、集体决策。</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完全符合得满分，缺一项扣1分，扣完为止。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  （6分）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绩效目标合理性</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项目所设定的绩效目标是否依据充分，是否符合客观实际，用以反映和考核项目绩效目标与项目实施的相符情况。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①项目是否有绩效目标；</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②项目绩效目标与实际工作内容是否具有相关性；</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③项目预期产出效益和效果是否符合正常的业绩水平；</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④是否与预算确定的项目投资额或资金量相匹配。</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有绩效目标、绩效目标与实际工作内容相关、与预算确定的项目投资额匹配、产出效益和效果符合正常的业绩水平得满分，缺一项扣</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绩效指标明确性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①是否将项目绩效目标细化分解为具体的绩效指标；</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②是否通过清晰、可衡量的指标值予以体现；</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③是否与项目目标任务数或计划数相对应。</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绩效指标清晰可衡量、与项目目标任务数相对应得满分，缺一项扣</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资金投入  （4分）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预算编制科学性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①预算编制是否经过科学论证；                                    ②预算内容与项目内容是否匹配；                                   ③预算额度测算依据是否充分，是否按照标准编制；                       ④预算确定的项目投资额或资金量是否与工作任务相匹配。</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预算编制经过科学论证、内容与项目内容相匹配、测算依据充分且按标准编制、项目投资额与工作任务相匹配得满分，缺一项扣1分，扣完为止。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09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（24分）</w:t>
            </w: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资金管理 （12分）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实际到位资金与预算资金的比率，用以反映和考核资金落实情况对项目实施的总体保障程度。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r>
              <w:rPr>
                <w:rFonts w:ascii="Arial" w:hAnsi="Arial" w:eastAsia="宋体" w:cs="Arial"/>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（实际到位资金</w:t>
            </w:r>
            <w:r>
              <w:rPr>
                <w:rFonts w:ascii="Arial" w:hAnsi="Arial" w:eastAsia="宋体" w:cs="Arial"/>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预算资金）</w:t>
            </w:r>
            <w:r>
              <w:rPr>
                <w:rFonts w:ascii="Arial" w:hAnsi="Arial" w:eastAsia="宋体" w:cs="Arial"/>
                <w:i w:val="0"/>
                <w:iCs w:val="0"/>
                <w:color w:val="000000"/>
                <w:kern w:val="0"/>
                <w:sz w:val="18"/>
                <w:szCs w:val="18"/>
                <w:u w:val="none"/>
                <w:lang w:val="en-US" w:eastAsia="zh-CN" w:bidi="ar"/>
              </w:rPr>
              <w:t>×100%</w:t>
            </w:r>
            <w:r>
              <w:rPr>
                <w:rFonts w:hint="eastAsia" w:ascii="宋体" w:hAnsi="宋体" w:eastAsia="宋体" w:cs="宋体"/>
                <w:i w:val="0"/>
                <w:iCs w:val="0"/>
                <w:color w:val="000000"/>
                <w:kern w:val="0"/>
                <w:sz w:val="18"/>
                <w:szCs w:val="18"/>
                <w:u w:val="none"/>
                <w:lang w:val="en-US" w:eastAsia="zh-CN" w:bidi="ar"/>
              </w:rPr>
              <w:t>。实际到位资金：一定时期（本年度或项目期）内落实到具体项目的资金。预算资金：一定时期（本年度或项目期）内预算安排到具体项目的资金。</w:t>
            </w:r>
          </w:p>
        </w:tc>
        <w:tc>
          <w:tcPr>
            <w:tcW w:w="19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实际得分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资金到位率</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4</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预算执行率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项目预算资金是否按照计划执行，用以反映或考核项目预算执行情况。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r>
              <w:rPr>
                <w:rFonts w:ascii="Arial" w:hAnsi="Arial" w:eastAsia="宋体" w:cs="Arial"/>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（实际支出资金</w:t>
            </w:r>
            <w:r>
              <w:rPr>
                <w:rFonts w:ascii="Arial" w:hAnsi="Arial" w:eastAsia="宋体" w:cs="Arial"/>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实际到位资金）</w:t>
            </w:r>
            <w:r>
              <w:rPr>
                <w:rFonts w:ascii="Arial" w:hAnsi="Arial" w:eastAsia="宋体" w:cs="Arial"/>
                <w:i w:val="0"/>
                <w:iCs w:val="0"/>
                <w:color w:val="000000"/>
                <w:kern w:val="0"/>
                <w:sz w:val="18"/>
                <w:szCs w:val="18"/>
                <w:u w:val="none"/>
                <w:lang w:val="en-US" w:eastAsia="zh-CN" w:bidi="ar"/>
              </w:rPr>
              <w:t>×100%</w:t>
            </w:r>
            <w:r>
              <w:rPr>
                <w:rFonts w:hint="eastAsia" w:ascii="宋体" w:hAnsi="宋体" w:eastAsia="宋体" w:cs="宋体"/>
                <w:i w:val="0"/>
                <w:iCs w:val="0"/>
                <w:color w:val="000000"/>
                <w:kern w:val="0"/>
                <w:sz w:val="18"/>
                <w:szCs w:val="18"/>
                <w:u w:val="none"/>
                <w:lang w:val="en-US" w:eastAsia="zh-CN" w:bidi="ar"/>
              </w:rPr>
              <w:t>。实际支出资金：一定时期（本年度或项目期）内项目实际拨付的资金。</w:t>
            </w:r>
          </w:p>
        </w:tc>
        <w:tc>
          <w:tcPr>
            <w:tcW w:w="19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实际得分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预算执行率</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4</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资金使用合规性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 HYPERLINK "https://baike.sogou.com/lemma/ShowInnerLink.htm?lemmaId=58962889&amp;ss_c=ssc.citiao.link" \o "https://baike.sogou.com/lemma/ShowInnerLink.htm?lemmaId=58962889&amp;ss_c=ssc.citiao.link"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t>项目资金使用是否符合相关的财务管理制度规定，用以反映和考核项目资金的规范运行情况。</w:t>
            </w:r>
            <w:r>
              <w:rPr>
                <w:rFonts w:hint="eastAsia" w:ascii="宋体" w:hAnsi="宋体" w:eastAsia="宋体" w:cs="宋体"/>
                <w:i w:val="0"/>
                <w:iCs w:val="0"/>
                <w:color w:val="000000"/>
                <w:kern w:val="0"/>
                <w:sz w:val="18"/>
                <w:szCs w:val="18"/>
                <w:u w:val="none"/>
                <w:lang w:val="en-US" w:eastAsia="zh-CN" w:bidi="ar"/>
              </w:rPr>
              <w:fldChar w:fldCharType="end"/>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                                           ①是否符合国家财经法规和财务管理制度以及有关专项资金管理办法的规定；                                              ②资金的拨付是否有完整的审批程序和手续；                         ③是否符合项目预算批复或合同规定的用途；                       ④是否存在截留、挤占、挪用、虚列支出等情况。</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完全符合得满分，缺一项扣</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5"/>
                <w:szCs w:val="15"/>
                <w:u w:val="none"/>
                <w:lang w:val="en-US" w:eastAsia="zh-CN" w:bidi="ar"/>
              </w:rPr>
              <w:t>施工合同未约定质保金，且进度款的支付超已完工程量。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组织实施 （12分）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管理制度健全性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项目实施单位的财务和业务管理制度是否健全，用以反映和考核财务和业务管理制度对项目顺利实施的保障情况。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①是否已制定或具有相应的财务和业务管理制度；</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②财务和业务管理制度是否合法、合规、完整。                             ③ 是否制定详细的实施方案，明确项目管理相关人员、职责、项目实施节点、计划完工时间、验收时间等。  </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已制定或具有相应财务制度和业务管理制度且合法、合规、完整得满分，缺一项扣2分。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项目实施方案制定不精细，未明确相关管理部门及人员、职责、项目竣工时间、验收时间等项目实施的重要时间节点。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8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制度执行有效性</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（6分）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项目实施是否符合相关管理规定，用以反映和考核相关管理制度的有效执行情况。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                                                   ①是否遵守相关法律法规和相关管理规定；                      ②项目调整及支出调整手续是否完备；                     ③项目合同书、验收报告、技术鉴定等资料是否齐全并及时归档；                                                  ④项目实施的人员条件、场地设备、信息支撑等是否落实到位。 ⑤项目实施过程中其他有关问题。</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完全符合得满分，缺一项扣</w:t>
            </w:r>
            <w:r>
              <w:rPr>
                <w:rFonts w:ascii="Arial" w:hAnsi="Arial" w:eastAsia="宋体" w:cs="Arial"/>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5"/>
                <w:szCs w:val="15"/>
                <w:u w:val="none"/>
                <w:lang w:val="en-US" w:eastAsia="zh-CN" w:bidi="ar"/>
              </w:rPr>
              <w:t>项目施工许可证的颁发时间晚于项目开工时间。项目开工时间为2020年9月30日，项目施工许可证颁发时间为2020年12月。原因为该项目工期要求仅任务重，在区政府批准下边施工边完善手续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trPr>
        <w:tc>
          <w:tcPr>
            <w:tcW w:w="109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 （40分）</w:t>
            </w: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产出数量    （18分）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综合楼完成率（3分）</w:t>
            </w:r>
          </w:p>
        </w:tc>
        <w:tc>
          <w:tcPr>
            <w:tcW w:w="207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项目实施的实际产出数与计划产出数的比率，用以反映和考核项目产出数量目标的实现程度。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综合楼建筑面积完成率=（实际产出数/计划产出数）×100%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得分=实际完成率*3</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未完成内部装修、外部装修、门窗工程、屋面工程。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驻车场完成率（2分）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驻车场完成率=（实际产出数/计划产出数）×100%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无轨车场完成率（2分）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无轨车场完成率=（实际产出数/计划产出数）×100%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社会停车场完成率（2分）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社会停车场完成率=（实际产出数/计划产出数）×100%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公交站亭完成率（1分）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公交车站完成率=（实际产出数/计划产出数）×100%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新建绿地完成率（1分）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新建绿地完成率=（实际产出数/计划产出数）×100%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5"/>
                <w:szCs w:val="15"/>
                <w:u w:val="none"/>
                <w:lang w:val="en-US" w:eastAsia="zh-CN" w:bidi="ar"/>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道路硬化面积完成率（2分）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道路硬化面积完成率=（实际产出数/计划产出数）×100%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车辆维修车间完成率（2分）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车辆维修车间完成率=（实际产出数/计划产出数）×100%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5"/>
                <w:szCs w:val="15"/>
                <w:u w:val="none"/>
                <w:lang w:val="en-US" w:eastAsia="zh-CN" w:bidi="ar"/>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消防水池完成率 （1分）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消防水池完成率=（实际产出数/计划产出数）×100%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回填土、防水、装修等均未完成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公厕建筑面积完成率（1分）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公厕建筑面积完成率=（实际产出数/计划产出数）×100%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未完成内部装修、外部装修、门窗工程、屋面工程。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新建围墙完成率（1分）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新建围墙完成率=（实际产出数/计划产出数）×100%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部分铁艺栅栏未安装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产出质量    （10分）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质量达标率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项目完成的质量达标产出数与实际产出数的比率，用以反映和考核项目产出质量目标的实现程度。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质量达标产出数/实际产出数）×100%。质量达标产出数：一定时期（本年度或项目期）内实际达到既定质量标准的产品或服务数量。既定质量标准是指项目实施单位设立绩效目标时依据计划标准、行业标准、历史标准或其他标准而设定的绩效指标值。</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工程质量能够达到预期目标的得8分，否则不得分。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社会停车场、无轨停车场、公交车驻车场结构层设计为C30混凝土面层+水泥稳定碎石+级配碎石+2:8灰土，经现场踏勘，结构层为C30混凝土面层+水泥稳定碎石+砂砾，与施工图设计不一致且无变更手续。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产出时效    （8分）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完成及时性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项目实际完成时间与计划完成时间的比较，用以反映和考核项目产出时效目标的实现程度。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 HYPERLINK "https://baike.sogou.com/lemma/ShowInnerLink.htm?lemmaId=76342282&amp;ss_c=ssc.citiao.link" \o "https://baike.sogou.com/lemma/ShowInnerLink.htm?lemmaId=76342282&amp;ss_c=ssc.citiao.link"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t>实际完成时间：项目实施单位完成该项目实际所耗用的时间。计划完成时间：按照项目实施计划或相关规定完成该项目所需的时间。</w:t>
            </w:r>
            <w:r>
              <w:rPr>
                <w:rFonts w:hint="eastAsia" w:ascii="宋体" w:hAnsi="宋体" w:eastAsia="宋体" w:cs="宋体"/>
                <w:i w:val="0"/>
                <w:iCs w:val="0"/>
                <w:color w:val="000000"/>
                <w:kern w:val="0"/>
                <w:sz w:val="18"/>
                <w:szCs w:val="18"/>
                <w:u w:val="none"/>
                <w:lang w:val="en-US" w:eastAsia="zh-CN" w:bidi="ar"/>
              </w:rPr>
              <w:fldChar w:fldCharType="end"/>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项目按照合同约定的工期完成的得10分，工期每迟延1个月扣2分，扣完为止。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产出成本     （4分）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成本节约率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 HYPERLINK "https://baike.sogou.com/lemma/ShowInnerLink.htm?lemmaId=11014307&amp;ss_c=ssc.citiao.link" \o "https://baike.sogou.com/lemma/ShowInnerLink.htm?lemmaId=11014307&amp;ss_c=ssc.citiao.link"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t>完成项目计划工作目标的实际节约成本与计划成本的比率，用以反映和考核项目的成本节约程度。</w:t>
            </w:r>
            <w:r>
              <w:rPr>
                <w:rFonts w:hint="eastAsia" w:ascii="宋体" w:hAnsi="宋体" w:eastAsia="宋体" w:cs="宋体"/>
                <w:i w:val="0"/>
                <w:iCs w:val="0"/>
                <w:color w:val="000000"/>
                <w:kern w:val="0"/>
                <w:sz w:val="18"/>
                <w:szCs w:val="18"/>
                <w:u w:val="none"/>
                <w:lang w:val="en-US" w:eastAsia="zh-CN" w:bidi="ar"/>
              </w:rPr>
              <w:fldChar w:fldCharType="end"/>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本节约率=[（计划成本-实际成本）/计划成本]×100%。实际成本：项目实施单位如期、保质、保量完成既定工作目标实际所耗费的支出。计划成本：项目实施单位为完成工作目标计划安排的支出，一般以项目预算为参考。</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成本节约率≤100%的得4分，否则不得分。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5" w:hRule="atLeast"/>
        </w:trPr>
        <w:tc>
          <w:tcPr>
            <w:tcW w:w="109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r>
              <w:rPr>
                <w:rFonts w:ascii="Arial" w:hAnsi="Arial" w:eastAsia="宋体" w:cs="Arial"/>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分）</w:t>
            </w: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项目效益      （12分）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经济效益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项目实施所产生的经济效益</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项目的实施是否提升城市品位，促进徐水区经济的发展。</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达到预期目标的得4分，否则酌情扣分。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项目尚未完工，经济效益还未显现。因还未到计划的完工节点，故按照总分的50%计分。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社会效益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项目实施所产生的社会效益。</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项目的实施是否为当地居民提供“安全、舒适、方便、快捷”的客运服务；规范市场管理，进一步增强客运生产能力，畅通城市交通，改善交通秩序；</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达到预期目标的得4分，否则酌情扣分。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项目尚未整体项目整体尚未完工和投入使用，社会效益还未显现。因还未到计划的完工节点，故按照总分的50%计分。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可持续影响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项目实施所产生的可持续影响。</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项目实施是否能够持续提高当地居民生活质量</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达到预期目标的得4分，否则酌情扣分。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项目整体尚未完工和投入使用，尚不能衡量可持续影响。因还未到计划的完工节点，故按照总分的50%计分。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       （8分）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受益对象满意度</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（8分）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项目实施后受益对象的项目实施效果的满意程度。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评价要点：调查人员中满意和较满意情况占全部调查对象满意度的比率。</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①满意度≥90%（8分）；                ②80%≤满意度＜90%（5分）；                 ③60%≤满意度＜80%（3分）；④满意度＜60%（0分）                       </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该项目中无轨停车场、社会停车场已完工并投入使用，经向受益群体发放调调查问卷，满意度较高。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10"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231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70" w:type="dxa"/>
            <w:shd w:val="clear" w:color="auto" w:fill="auto"/>
            <w:noWrap/>
            <w:vAlign w:val="center"/>
          </w:tcPr>
          <w:p>
            <w:pPr>
              <w:rPr>
                <w:rFonts w:hint="eastAsia" w:ascii="宋体" w:hAnsi="宋体" w:eastAsia="宋体" w:cs="宋体"/>
                <w:i w:val="0"/>
                <w:iCs w:val="0"/>
                <w:color w:val="000000"/>
                <w:sz w:val="18"/>
                <w:szCs w:val="18"/>
                <w:u w:val="none"/>
              </w:rPr>
            </w:pPr>
          </w:p>
        </w:tc>
        <w:tc>
          <w:tcPr>
            <w:tcW w:w="4875" w:type="dxa"/>
            <w:shd w:val="clear" w:color="auto" w:fill="auto"/>
            <w:noWrap/>
            <w:vAlign w:val="center"/>
          </w:tcPr>
          <w:p>
            <w:pPr>
              <w:rPr>
                <w:rFonts w:hint="eastAsia" w:ascii="宋体" w:hAnsi="宋体" w:eastAsia="宋体" w:cs="宋体"/>
                <w:i w:val="0"/>
                <w:iCs w:val="0"/>
                <w:color w:val="000000"/>
                <w:sz w:val="18"/>
                <w:szCs w:val="18"/>
                <w:u w:val="none"/>
              </w:rPr>
            </w:pPr>
          </w:p>
        </w:tc>
        <w:tc>
          <w:tcPr>
            <w:tcW w:w="1980" w:type="dxa"/>
            <w:shd w:val="clear" w:color="auto" w:fill="auto"/>
            <w:noWrap/>
            <w:vAlign w:val="center"/>
          </w:tcPr>
          <w:p>
            <w:pPr>
              <w:rPr>
                <w:rFonts w:hint="eastAsia" w:ascii="宋体" w:hAnsi="宋体" w:eastAsia="宋体" w:cs="宋体"/>
                <w:i w:val="0"/>
                <w:iCs w:val="0"/>
                <w:color w:val="000000"/>
                <w:sz w:val="18"/>
                <w:szCs w:val="18"/>
                <w:u w:val="none"/>
              </w:rPr>
            </w:pPr>
          </w:p>
        </w:tc>
        <w:tc>
          <w:tcPr>
            <w:tcW w:w="7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80.20 </w:t>
            </w:r>
          </w:p>
        </w:tc>
        <w:tc>
          <w:tcPr>
            <w:tcW w:w="1795" w:type="dxa"/>
            <w:shd w:val="clear" w:color="auto" w:fill="auto"/>
            <w:vAlign w:val="center"/>
          </w:tcPr>
          <w:p>
            <w:pPr>
              <w:jc w:val="center"/>
              <w:rPr>
                <w:rFonts w:hint="eastAsia" w:ascii="宋体" w:hAnsi="宋体" w:eastAsia="宋体" w:cs="宋体"/>
                <w:i w:val="0"/>
                <w:iCs w:val="0"/>
                <w:color w:val="000000"/>
                <w:sz w:val="18"/>
                <w:szCs w:val="18"/>
                <w:u w:val="none"/>
              </w:rPr>
            </w:pPr>
          </w:p>
        </w:tc>
      </w:tr>
    </w:tbl>
    <w:p>
      <w:pPr>
        <w:widowControl/>
        <w:jc w:val="left"/>
        <w:rPr>
          <w:sz w:val="28"/>
          <w:szCs w:val="28"/>
        </w:rPr>
      </w:pPr>
    </w:p>
    <w:p>
      <w:pPr>
        <w:widowControl/>
        <w:jc w:val="left"/>
        <w:rPr>
          <w:sz w:val="28"/>
          <w:szCs w:val="28"/>
        </w:rPr>
        <w:sectPr>
          <w:footerReference r:id="rId7" w:type="default"/>
          <w:pgSz w:w="16838" w:h="11906" w:orient="landscape"/>
          <w:pgMar w:top="663" w:right="567" w:bottom="380" w:left="567" w:header="851" w:footer="992" w:gutter="0"/>
          <w:cols w:space="0" w:num="1"/>
          <w:docGrid w:type="lines" w:linePitch="415" w:charSpace="0"/>
        </w:sectPr>
      </w:pPr>
    </w:p>
    <w:p>
      <w:pPr>
        <w:jc w:val="left"/>
        <w:rPr>
          <w:rFonts w:hint="default"/>
          <w:sz w:val="28"/>
          <w:szCs w:val="28"/>
          <w:highlight w:val="none"/>
          <w:lang w:val="en-US" w:eastAsia="zh-CN"/>
        </w:rPr>
      </w:pPr>
      <w:r>
        <w:rPr>
          <w:rFonts w:hint="eastAsia"/>
          <w:sz w:val="28"/>
          <w:szCs w:val="28"/>
          <w:highlight w:val="none"/>
          <w:lang w:eastAsia="zh-CN"/>
        </w:rPr>
        <w:t>附件</w:t>
      </w:r>
      <w:r>
        <w:rPr>
          <w:rFonts w:hint="eastAsia"/>
          <w:sz w:val="28"/>
          <w:szCs w:val="28"/>
          <w:highlight w:val="none"/>
          <w:lang w:val="en-US" w:eastAsia="zh-CN"/>
        </w:rPr>
        <w:t>2：</w:t>
      </w:r>
    </w:p>
    <w:p>
      <w:pPr>
        <w:jc w:val="center"/>
        <w:rPr>
          <w:rFonts w:hint="eastAsia"/>
          <w:b/>
          <w:bCs/>
          <w:sz w:val="30"/>
          <w:szCs w:val="30"/>
        </w:rPr>
      </w:pPr>
    </w:p>
    <w:p>
      <w:pPr>
        <w:spacing w:line="480" w:lineRule="exact"/>
        <w:ind w:left="102" w:right="113" w:firstLine="651" w:firstLineChars="200"/>
        <w:jc w:val="center"/>
        <w:rPr>
          <w:rFonts w:hint="eastAsia" w:ascii="宋体" w:hAnsi="宋体" w:cs="宋体"/>
          <w:b/>
          <w:bCs/>
          <w:spacing w:val="2"/>
          <w:sz w:val="32"/>
          <w:szCs w:val="32"/>
        </w:rPr>
      </w:pPr>
      <w:r>
        <w:rPr>
          <w:rFonts w:hint="eastAsia" w:ascii="宋体" w:hAnsi="宋体" w:cs="宋体"/>
          <w:b/>
          <w:bCs/>
          <w:spacing w:val="2"/>
          <w:sz w:val="32"/>
          <w:szCs w:val="32"/>
        </w:rPr>
        <w:t>关于徐水</w:t>
      </w:r>
      <w:r>
        <w:rPr>
          <w:rFonts w:hint="eastAsia" w:ascii="宋体" w:hAnsi="宋体" w:cs="宋体"/>
          <w:b/>
          <w:bCs/>
          <w:spacing w:val="2"/>
          <w:sz w:val="32"/>
          <w:szCs w:val="32"/>
          <w:lang w:eastAsia="zh-CN"/>
        </w:rPr>
        <w:t>经济</w:t>
      </w:r>
      <w:r>
        <w:rPr>
          <w:rFonts w:hint="eastAsia" w:ascii="宋体" w:hAnsi="宋体" w:cs="宋体"/>
          <w:b/>
          <w:bCs/>
          <w:spacing w:val="2"/>
          <w:sz w:val="32"/>
          <w:szCs w:val="32"/>
        </w:rPr>
        <w:t>开发区客运中心项目</w:t>
      </w:r>
    </w:p>
    <w:p>
      <w:pPr>
        <w:spacing w:line="480" w:lineRule="exact"/>
        <w:ind w:left="102" w:right="113" w:firstLine="651" w:firstLineChars="200"/>
        <w:jc w:val="center"/>
        <w:rPr>
          <w:rFonts w:hint="eastAsia" w:ascii="宋体" w:hAnsi="宋体" w:cs="宋体"/>
          <w:b/>
          <w:bCs/>
          <w:spacing w:val="2"/>
          <w:sz w:val="32"/>
          <w:szCs w:val="32"/>
        </w:rPr>
      </w:pPr>
      <w:r>
        <w:rPr>
          <w:rFonts w:hint="eastAsia" w:ascii="宋体" w:hAnsi="宋体" w:cs="宋体"/>
          <w:b/>
          <w:bCs/>
          <w:spacing w:val="2"/>
          <w:sz w:val="32"/>
          <w:szCs w:val="32"/>
        </w:rPr>
        <w:t>群众满意度调查问卷</w:t>
      </w:r>
    </w:p>
    <w:p>
      <w:pPr>
        <w:spacing w:line="480" w:lineRule="exact"/>
        <w:ind w:left="102" w:right="113" w:firstLine="568" w:firstLineChars="200"/>
        <w:rPr>
          <w:rFonts w:hint="eastAsia" w:ascii="宋体" w:hAnsi="宋体" w:cs="宋体"/>
          <w:spacing w:val="2"/>
          <w:sz w:val="28"/>
          <w:szCs w:val="28"/>
        </w:rPr>
      </w:pPr>
    </w:p>
    <w:p>
      <w:pPr>
        <w:spacing w:line="480" w:lineRule="exact"/>
        <w:ind w:left="102" w:right="113" w:firstLine="568" w:firstLineChars="200"/>
        <w:rPr>
          <w:rFonts w:ascii="宋体" w:hAnsi="宋体" w:cs="宋体"/>
          <w:b/>
          <w:bCs/>
          <w:sz w:val="18"/>
          <w:szCs w:val="18"/>
        </w:rPr>
      </w:pPr>
      <w:r>
        <w:rPr>
          <w:rFonts w:hint="eastAsia" w:ascii="宋体" w:hAnsi="宋体" w:cs="宋体"/>
          <w:spacing w:val="2"/>
          <w:sz w:val="28"/>
          <w:szCs w:val="28"/>
        </w:rPr>
        <w:t>您好！我们是河北德永会计师事务所安排的调查员。为做好</w:t>
      </w:r>
      <w:r>
        <w:rPr>
          <w:rFonts w:hint="eastAsia" w:ascii="宋体" w:hAnsi="宋体" w:cs="宋体"/>
          <w:sz w:val="28"/>
          <w:szCs w:val="28"/>
        </w:rPr>
        <w:t>“</w:t>
      </w:r>
      <w:r>
        <w:rPr>
          <w:rFonts w:hint="eastAsia" w:ascii="宋体" w:hAnsi="宋体" w:cs="宋体"/>
          <w:sz w:val="28"/>
          <w:szCs w:val="28"/>
          <w:lang w:eastAsia="zh-CN"/>
        </w:rPr>
        <w:t>徐水经济开发区客运中心项目</w:t>
      </w:r>
      <w:r>
        <w:rPr>
          <w:rFonts w:hint="eastAsia" w:ascii="宋体" w:hAnsi="宋体" w:cs="宋体"/>
          <w:sz w:val="28"/>
          <w:szCs w:val="28"/>
        </w:rPr>
        <w:t>”绩效评</w:t>
      </w:r>
      <w:r>
        <w:rPr>
          <w:rFonts w:hint="eastAsia" w:ascii="宋体" w:hAnsi="宋体" w:cs="宋体"/>
          <w:spacing w:val="2"/>
          <w:sz w:val="28"/>
          <w:szCs w:val="28"/>
        </w:rPr>
        <w:t>价，</w:t>
      </w:r>
      <w:r>
        <w:rPr>
          <w:rFonts w:hint="eastAsia" w:ascii="宋体" w:hAnsi="宋体" w:cs="宋体"/>
          <w:sz w:val="28"/>
          <w:szCs w:val="28"/>
        </w:rPr>
        <w:t>了解群众对该</w:t>
      </w:r>
      <w:r>
        <w:rPr>
          <w:rFonts w:hint="eastAsia" w:ascii="宋体" w:hAnsi="宋体" w:cs="宋体"/>
          <w:sz w:val="28"/>
          <w:szCs w:val="28"/>
          <w:lang w:eastAsia="zh-CN"/>
        </w:rPr>
        <w:t>工程</w:t>
      </w:r>
      <w:r>
        <w:rPr>
          <w:rFonts w:hint="eastAsia" w:ascii="宋体" w:hAnsi="宋体" w:cs="宋体"/>
          <w:sz w:val="28"/>
          <w:szCs w:val="28"/>
        </w:rPr>
        <w:t>的</w:t>
      </w:r>
      <w:r>
        <w:rPr>
          <w:rFonts w:hint="eastAsia" w:ascii="宋体" w:hAnsi="宋体" w:cs="宋体"/>
          <w:spacing w:val="-1"/>
          <w:sz w:val="28"/>
          <w:szCs w:val="28"/>
        </w:rPr>
        <w:t>满意度，我们做了调</w:t>
      </w:r>
      <w:r>
        <w:rPr>
          <w:rFonts w:hint="eastAsia" w:ascii="宋体" w:hAnsi="宋体" w:cs="宋体"/>
          <w:spacing w:val="2"/>
          <w:sz w:val="28"/>
          <w:szCs w:val="28"/>
        </w:rPr>
        <w:t>查问卷。您所填的问卷将是匿名的，对于您的问卷内</w:t>
      </w:r>
      <w:r>
        <w:rPr>
          <w:rFonts w:hint="eastAsia" w:ascii="宋体" w:hAnsi="宋体" w:cs="宋体"/>
          <w:sz w:val="28"/>
          <w:szCs w:val="28"/>
        </w:rPr>
        <w:t>容我们将严格予以保密。</w:t>
      </w:r>
      <w:r>
        <w:rPr>
          <w:rFonts w:hint="eastAsia" w:ascii="宋体" w:hAnsi="宋体" w:cs="宋体"/>
          <w:b/>
          <w:bCs/>
          <w:sz w:val="32"/>
          <w:szCs w:val="32"/>
        </w:rPr>
        <w:t>谢谢您的合作！</w:t>
      </w:r>
    </w:p>
    <w:p>
      <w:pPr>
        <w:spacing w:line="480" w:lineRule="exact"/>
        <w:ind w:left="102" w:right="113" w:firstLine="556" w:firstLineChars="200"/>
        <w:rPr>
          <w:rFonts w:ascii="宋体" w:hAnsi="宋体" w:cs="宋体"/>
          <w:spacing w:val="-1"/>
          <w:sz w:val="28"/>
          <w:szCs w:val="28"/>
        </w:rPr>
      </w:pPr>
      <w:r>
        <w:rPr>
          <w:rFonts w:hint="eastAsia" w:ascii="宋体" w:hAnsi="宋体" w:cs="宋体"/>
          <w:spacing w:val="-1"/>
          <w:sz w:val="28"/>
          <w:szCs w:val="28"/>
        </w:rPr>
        <w:t>请在您认为符合的选项打“√”</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1、您对</w:t>
      </w:r>
      <w:r>
        <w:rPr>
          <w:rFonts w:hint="eastAsia" w:ascii="宋体" w:hAnsi="宋体" w:cs="宋体"/>
          <w:spacing w:val="2"/>
          <w:sz w:val="28"/>
          <w:szCs w:val="28"/>
          <w:lang w:eastAsia="zh-CN"/>
        </w:rPr>
        <w:t>“</w:t>
      </w:r>
      <w:r>
        <w:rPr>
          <w:rFonts w:hint="eastAsia" w:ascii="宋体" w:hAnsi="宋体" w:cs="宋体"/>
          <w:sz w:val="28"/>
          <w:szCs w:val="28"/>
          <w:lang w:eastAsia="zh-CN"/>
        </w:rPr>
        <w:t>徐水经济开发区客运中心项目”</w:t>
      </w:r>
      <w:r>
        <w:rPr>
          <w:rFonts w:hint="eastAsia" w:ascii="宋体" w:hAnsi="宋体" w:cs="宋体"/>
          <w:spacing w:val="2"/>
          <w:sz w:val="28"/>
          <w:szCs w:val="28"/>
          <w:lang w:eastAsia="zh-CN"/>
        </w:rPr>
        <w:t>选址、设计、位置布局是否满意：</w:t>
      </w:r>
      <w:r>
        <w:rPr>
          <w:rFonts w:hint="eastAsia" w:ascii="宋体" w:hAnsi="宋体" w:cs="宋体"/>
          <w:spacing w:val="2"/>
          <w:sz w:val="28"/>
          <w:szCs w:val="28"/>
        </w:rPr>
        <w:t xml:space="preserve">   </w:t>
      </w:r>
    </w:p>
    <w:p>
      <w:pPr>
        <w:spacing w:line="480" w:lineRule="exact"/>
        <w:ind w:left="102" w:right="113" w:firstLine="568" w:firstLineChars="200"/>
        <w:rPr>
          <w:rFonts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2、您对</w:t>
      </w:r>
      <w:r>
        <w:rPr>
          <w:rFonts w:hint="eastAsia" w:ascii="宋体" w:hAnsi="宋体" w:cs="宋体"/>
          <w:spacing w:val="2"/>
          <w:sz w:val="28"/>
          <w:szCs w:val="28"/>
          <w:lang w:eastAsia="zh-CN"/>
        </w:rPr>
        <w:t>“</w:t>
      </w:r>
      <w:r>
        <w:rPr>
          <w:rFonts w:hint="eastAsia" w:ascii="宋体" w:hAnsi="宋体" w:cs="宋体"/>
          <w:sz w:val="28"/>
          <w:szCs w:val="28"/>
          <w:lang w:eastAsia="zh-CN"/>
        </w:rPr>
        <w:t>徐水经济开发区客运中心项目”的实施</w:t>
      </w:r>
      <w:r>
        <w:rPr>
          <w:rFonts w:hint="eastAsia" w:ascii="宋体" w:hAnsi="宋体" w:cs="宋体"/>
          <w:spacing w:val="2"/>
          <w:sz w:val="28"/>
          <w:szCs w:val="28"/>
          <w:lang w:eastAsia="zh-CN"/>
        </w:rPr>
        <w:t>进度是否满意：</w:t>
      </w:r>
    </w:p>
    <w:p>
      <w:pPr>
        <w:spacing w:line="480" w:lineRule="exact"/>
        <w:ind w:left="102" w:right="113" w:firstLine="568" w:firstLineChars="200"/>
        <w:rPr>
          <w:rFonts w:hint="default" w:ascii="宋体" w:hAnsi="宋体" w:cs="宋体"/>
          <w:spacing w:val="2"/>
          <w:sz w:val="28"/>
          <w:szCs w:val="28"/>
          <w:lang w:val="en-US" w:eastAsia="zh-CN"/>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lang w:val="en-US" w:eastAsia="zh-CN"/>
        </w:rPr>
        <w:t>3</w:t>
      </w:r>
      <w:r>
        <w:rPr>
          <w:rFonts w:hint="eastAsia" w:ascii="宋体" w:hAnsi="宋体" w:cs="宋体"/>
          <w:spacing w:val="2"/>
          <w:sz w:val="28"/>
          <w:szCs w:val="28"/>
        </w:rPr>
        <w:t>、您对</w:t>
      </w:r>
      <w:r>
        <w:rPr>
          <w:rFonts w:hint="eastAsia" w:ascii="宋体" w:hAnsi="宋体" w:cs="宋体"/>
          <w:spacing w:val="2"/>
          <w:sz w:val="28"/>
          <w:szCs w:val="28"/>
          <w:lang w:eastAsia="zh-CN"/>
        </w:rPr>
        <w:t>“</w:t>
      </w:r>
      <w:r>
        <w:rPr>
          <w:rFonts w:hint="eastAsia" w:ascii="宋体" w:hAnsi="宋体" w:cs="宋体"/>
          <w:sz w:val="28"/>
          <w:szCs w:val="28"/>
          <w:lang w:eastAsia="zh-CN"/>
        </w:rPr>
        <w:t>徐水经济开发区客运中心项目”</w:t>
      </w:r>
      <w:r>
        <w:rPr>
          <w:rFonts w:hint="eastAsia" w:ascii="宋体" w:hAnsi="宋体" w:cs="宋体"/>
          <w:spacing w:val="2"/>
          <w:sz w:val="28"/>
          <w:szCs w:val="28"/>
          <w:lang w:eastAsia="zh-CN"/>
        </w:rPr>
        <w:t>改善居民出行条件的方面</w:t>
      </w:r>
      <w:r>
        <w:rPr>
          <w:rFonts w:hint="eastAsia" w:ascii="宋体" w:hAnsi="宋体" w:cs="宋体"/>
          <w:spacing w:val="2"/>
          <w:sz w:val="28"/>
          <w:szCs w:val="28"/>
        </w:rPr>
        <w:t>是否满意：</w:t>
      </w:r>
    </w:p>
    <w:p>
      <w:pPr>
        <w:spacing w:line="480" w:lineRule="exact"/>
        <w:ind w:left="102" w:right="113" w:firstLine="568" w:firstLineChars="200"/>
        <w:rPr>
          <w:rFonts w:hint="eastAsia" w:ascii="宋体" w:hAnsi="宋体" w:cs="宋体"/>
          <w:spacing w:val="2"/>
          <w:sz w:val="28"/>
          <w:szCs w:val="28"/>
          <w:lang w:val="en-US" w:eastAsia="zh-CN"/>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hint="default" w:ascii="宋体" w:hAnsi="宋体" w:eastAsia="宋体" w:cs="宋体"/>
          <w:spacing w:val="2"/>
          <w:sz w:val="28"/>
          <w:szCs w:val="28"/>
          <w:lang w:val="en-US" w:eastAsia="zh-CN"/>
        </w:rPr>
      </w:pPr>
      <w:r>
        <w:rPr>
          <w:rFonts w:hint="eastAsia" w:ascii="宋体" w:hAnsi="宋体" w:cs="宋体"/>
          <w:spacing w:val="2"/>
          <w:sz w:val="28"/>
          <w:szCs w:val="28"/>
          <w:lang w:val="en-US" w:eastAsia="zh-CN"/>
        </w:rPr>
        <w:t>4、您对</w:t>
      </w:r>
      <w:r>
        <w:rPr>
          <w:rFonts w:hint="eastAsia" w:ascii="宋体" w:hAnsi="宋体" w:cs="宋体"/>
          <w:spacing w:val="2"/>
          <w:sz w:val="28"/>
          <w:szCs w:val="28"/>
          <w:lang w:eastAsia="zh-CN"/>
        </w:rPr>
        <w:t>“</w:t>
      </w:r>
      <w:r>
        <w:rPr>
          <w:rFonts w:hint="eastAsia" w:ascii="宋体" w:hAnsi="宋体" w:cs="宋体"/>
          <w:sz w:val="28"/>
          <w:szCs w:val="28"/>
          <w:lang w:eastAsia="zh-CN"/>
        </w:rPr>
        <w:t>徐水经济开发区客运中心项目</w:t>
      </w:r>
      <w:r>
        <w:rPr>
          <w:rFonts w:hint="eastAsia" w:ascii="宋体" w:hAnsi="宋体" w:cs="宋体"/>
          <w:spacing w:val="2"/>
          <w:sz w:val="28"/>
          <w:szCs w:val="28"/>
          <w:lang w:eastAsia="zh-CN"/>
        </w:rPr>
        <w:t>”促进当地经济发展</w:t>
      </w:r>
      <w:r>
        <w:rPr>
          <w:rFonts w:hint="eastAsia" w:ascii="宋体" w:hAnsi="宋体" w:cs="宋体"/>
          <w:spacing w:val="2"/>
          <w:sz w:val="28"/>
          <w:szCs w:val="28"/>
          <w:lang w:val="en-US" w:eastAsia="zh-CN"/>
        </w:rPr>
        <w:t>是否满意：</w:t>
      </w:r>
    </w:p>
    <w:p>
      <w:pPr>
        <w:spacing w:line="480" w:lineRule="exact"/>
        <w:ind w:left="102" w:right="113" w:firstLine="568" w:firstLineChars="200"/>
        <w:rPr>
          <w:rFonts w:hint="eastAsia" w:ascii="宋体" w:hAnsi="宋体" w:cs="宋体"/>
          <w:spacing w:val="2"/>
          <w:sz w:val="28"/>
          <w:szCs w:val="28"/>
        </w:rPr>
      </w:pPr>
      <w:r>
        <w:rPr>
          <w:rFonts w:hint="eastAsia" w:ascii="宋体" w:hAnsi="宋体" w:cs="宋体"/>
          <w:spacing w:val="2"/>
          <w:sz w:val="28"/>
          <w:szCs w:val="28"/>
        </w:rPr>
        <w:t xml:space="preserve">①满意         ② 一般       ③不满意  </w:t>
      </w:r>
    </w:p>
    <w:p>
      <w:pPr>
        <w:numPr>
          <w:ilvl w:val="0"/>
          <w:numId w:val="0"/>
        </w:numPr>
        <w:spacing w:line="480" w:lineRule="exact"/>
        <w:ind w:right="113" w:rightChars="0" w:firstLine="568" w:firstLineChars="200"/>
        <w:rPr>
          <w:rFonts w:hint="eastAsia" w:ascii="宋体" w:hAnsi="宋体" w:cs="宋体"/>
          <w:spacing w:val="2"/>
          <w:sz w:val="28"/>
          <w:szCs w:val="28"/>
        </w:rPr>
      </w:pPr>
      <w:r>
        <w:rPr>
          <w:rFonts w:hint="eastAsia" w:ascii="宋体" w:hAnsi="宋体" w:cs="宋体"/>
          <w:spacing w:val="2"/>
          <w:sz w:val="28"/>
          <w:szCs w:val="28"/>
          <w:lang w:val="en-US" w:eastAsia="zh-CN"/>
        </w:rPr>
        <w:t>5、</w:t>
      </w:r>
      <w:r>
        <w:rPr>
          <w:rFonts w:hint="eastAsia" w:ascii="宋体" w:hAnsi="宋体" w:cs="宋体"/>
          <w:spacing w:val="2"/>
          <w:sz w:val="28"/>
          <w:szCs w:val="28"/>
        </w:rPr>
        <w:t>您对</w:t>
      </w:r>
      <w:r>
        <w:rPr>
          <w:rFonts w:hint="eastAsia" w:ascii="宋体" w:hAnsi="宋体" w:cs="宋体"/>
          <w:spacing w:val="2"/>
          <w:sz w:val="28"/>
          <w:szCs w:val="28"/>
          <w:lang w:eastAsia="zh-CN"/>
        </w:rPr>
        <w:t>该工程</w:t>
      </w:r>
      <w:r>
        <w:rPr>
          <w:rFonts w:hint="eastAsia" w:ascii="宋体" w:hAnsi="宋体" w:cs="宋体"/>
          <w:spacing w:val="2"/>
          <w:sz w:val="28"/>
          <w:szCs w:val="28"/>
        </w:rPr>
        <w:t>还有什么意见和建议？</w:t>
      </w:r>
    </w:p>
    <w:p>
      <w:pPr>
        <w:numPr>
          <w:ilvl w:val="0"/>
          <w:numId w:val="0"/>
        </w:numPr>
        <w:spacing w:line="480" w:lineRule="exact"/>
        <w:ind w:right="113" w:rightChars="0"/>
        <w:rPr>
          <w:rFonts w:hint="default" w:ascii="宋体" w:hAnsi="宋体" w:eastAsia="宋体" w:cs="宋体"/>
          <w:spacing w:val="2"/>
          <w:sz w:val="28"/>
          <w:szCs w:val="28"/>
          <w:lang w:val="en-US" w:eastAsia="zh-CN"/>
        </w:rPr>
      </w:pPr>
      <w:r>
        <w:rPr>
          <w:rFonts w:hint="eastAsia" w:ascii="宋体" w:hAnsi="宋体" w:cs="宋体"/>
          <w:spacing w:val="2"/>
          <w:sz w:val="28"/>
          <w:szCs w:val="28"/>
          <w:lang w:val="en-US" w:eastAsia="zh-CN"/>
        </w:rPr>
        <w:t xml:space="preserve">    </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rFonts w:hint="eastAsia"/>
          <w:sz w:val="28"/>
          <w:szCs w:val="28"/>
          <w:highlight w:val="none"/>
          <w:lang w:val="en-US" w:eastAsia="zh-CN"/>
        </w:rPr>
      </w:pPr>
      <w:r>
        <w:rPr>
          <w:rFonts w:hint="eastAsia"/>
          <w:sz w:val="28"/>
          <w:szCs w:val="28"/>
          <w:highlight w:val="none"/>
          <w:lang w:eastAsia="zh-CN"/>
        </w:rPr>
        <w:t>附件</w:t>
      </w:r>
      <w:r>
        <w:rPr>
          <w:rFonts w:hint="eastAsia"/>
          <w:sz w:val="28"/>
          <w:szCs w:val="28"/>
          <w:highlight w:val="none"/>
          <w:lang w:val="en-US" w:eastAsia="zh-CN"/>
        </w:rPr>
        <w:t>3：</w:t>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5078095" cy="3808730"/>
            <wp:effectExtent l="0" t="0" r="8255" b="1270"/>
            <wp:docPr id="1" name="图片 1" descr="微信图片_202106141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614110331"/>
                    <pic:cNvPicPr>
                      <a:picLocks noChangeAspect="1"/>
                    </pic:cNvPicPr>
                  </pic:nvPicPr>
                  <pic:blipFill>
                    <a:blip r:embed="rId10"/>
                    <a:stretch>
                      <a:fillRect/>
                    </a:stretch>
                  </pic:blipFill>
                  <pic:spPr>
                    <a:xfrm>
                      <a:off x="0" y="0"/>
                      <a:ext cx="5078095" cy="3808730"/>
                    </a:xfrm>
                    <a:prstGeom prst="rect">
                      <a:avLst/>
                    </a:prstGeom>
                  </pic:spPr>
                </pic:pic>
              </a:graphicData>
            </a:graphic>
          </wp:inline>
        </w:drawing>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5078730" cy="3837940"/>
            <wp:effectExtent l="0" t="0" r="7620" b="10160"/>
            <wp:docPr id="2" name="图片 2" descr="微信图片_202106141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614110336"/>
                    <pic:cNvPicPr>
                      <a:picLocks noChangeAspect="1"/>
                    </pic:cNvPicPr>
                  </pic:nvPicPr>
                  <pic:blipFill>
                    <a:blip r:embed="rId11"/>
                    <a:stretch>
                      <a:fillRect/>
                    </a:stretch>
                  </pic:blipFill>
                  <pic:spPr>
                    <a:xfrm>
                      <a:off x="0" y="0"/>
                      <a:ext cx="5078730" cy="3837940"/>
                    </a:xfrm>
                    <a:prstGeom prst="rect">
                      <a:avLst/>
                    </a:prstGeom>
                  </pic:spPr>
                </pic:pic>
              </a:graphicData>
            </a:graphic>
          </wp:inline>
        </w:drawing>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5393055" cy="3968750"/>
            <wp:effectExtent l="0" t="0" r="17145" b="12700"/>
            <wp:docPr id="3" name="图片 3" descr="微信图片_202106141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14110341"/>
                    <pic:cNvPicPr>
                      <a:picLocks noChangeAspect="1"/>
                    </pic:cNvPicPr>
                  </pic:nvPicPr>
                  <pic:blipFill>
                    <a:blip r:embed="rId12"/>
                    <a:stretch>
                      <a:fillRect/>
                    </a:stretch>
                  </pic:blipFill>
                  <pic:spPr>
                    <a:xfrm>
                      <a:off x="0" y="0"/>
                      <a:ext cx="5393055" cy="3968750"/>
                    </a:xfrm>
                    <a:prstGeom prst="rect">
                      <a:avLst/>
                    </a:prstGeom>
                  </pic:spPr>
                </pic:pic>
              </a:graphicData>
            </a:graphic>
          </wp:inline>
        </w:drawing>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5382260" cy="3909060"/>
            <wp:effectExtent l="0" t="0" r="8890" b="15240"/>
            <wp:docPr id="4" name="图片 4" descr="微信图片_202106141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614110346"/>
                    <pic:cNvPicPr>
                      <a:picLocks noChangeAspect="1"/>
                    </pic:cNvPicPr>
                  </pic:nvPicPr>
                  <pic:blipFill>
                    <a:blip r:embed="rId13"/>
                    <a:stretch>
                      <a:fillRect/>
                    </a:stretch>
                  </pic:blipFill>
                  <pic:spPr>
                    <a:xfrm>
                      <a:off x="0" y="0"/>
                      <a:ext cx="5382260" cy="3909060"/>
                    </a:xfrm>
                    <a:prstGeom prst="rect">
                      <a:avLst/>
                    </a:prstGeom>
                  </pic:spPr>
                </pic:pic>
              </a:graphicData>
            </a:graphic>
          </wp:inline>
        </w:drawing>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4639310" cy="5309235"/>
            <wp:effectExtent l="0" t="0" r="5715" b="8890"/>
            <wp:docPr id="5" name="图片 5" descr="微信图片_202106141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614110355"/>
                    <pic:cNvPicPr>
                      <a:picLocks noChangeAspect="1"/>
                    </pic:cNvPicPr>
                  </pic:nvPicPr>
                  <pic:blipFill>
                    <a:blip r:embed="rId14"/>
                    <a:stretch>
                      <a:fillRect/>
                    </a:stretch>
                  </pic:blipFill>
                  <pic:spPr>
                    <a:xfrm rot="5400000">
                      <a:off x="0" y="0"/>
                      <a:ext cx="4639310" cy="5309235"/>
                    </a:xfrm>
                    <a:prstGeom prst="rect">
                      <a:avLst/>
                    </a:prstGeom>
                  </pic:spPr>
                </pic:pic>
              </a:graphicData>
            </a:graphic>
          </wp:inline>
        </w:drawing>
      </w:r>
    </w:p>
    <w:sectPr>
      <w:pgSz w:w="11906" w:h="16838"/>
      <w:pgMar w:top="2098" w:right="1304" w:bottom="1871" w:left="1531" w:header="851" w:footer="992" w:gutter="0"/>
      <w:cols w:space="720" w:num="1"/>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69" o:spid="_x0000_s206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w:r>
    <w: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8" o:spid="_x0000_s205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4F2744"/>
    <w:multiLevelType w:val="singleLevel"/>
    <w:tmpl w:val="EA4F274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documentProtection w:enforcement="0"/>
  <w:defaultTabStop w:val="420"/>
  <w:drawingGridHorizontalSpacing w:val="150"/>
  <w:drawingGridVerticalSpacing w:val="41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11E5F"/>
    <w:rsid w:val="000127ED"/>
    <w:rsid w:val="00023AE0"/>
    <w:rsid w:val="00030F3E"/>
    <w:rsid w:val="00037E06"/>
    <w:rsid w:val="00045441"/>
    <w:rsid w:val="00050492"/>
    <w:rsid w:val="00051A2C"/>
    <w:rsid w:val="00054505"/>
    <w:rsid w:val="00057D87"/>
    <w:rsid w:val="000618D4"/>
    <w:rsid w:val="00072BB7"/>
    <w:rsid w:val="000730AB"/>
    <w:rsid w:val="00085772"/>
    <w:rsid w:val="00086F23"/>
    <w:rsid w:val="00093980"/>
    <w:rsid w:val="000A5380"/>
    <w:rsid w:val="000A5CF7"/>
    <w:rsid w:val="000A650F"/>
    <w:rsid w:val="000B0BAF"/>
    <w:rsid w:val="000B1E3C"/>
    <w:rsid w:val="000B67C0"/>
    <w:rsid w:val="000B771D"/>
    <w:rsid w:val="000C05C1"/>
    <w:rsid w:val="000C090B"/>
    <w:rsid w:val="000C6532"/>
    <w:rsid w:val="000D1760"/>
    <w:rsid w:val="000D1AF4"/>
    <w:rsid w:val="000D2198"/>
    <w:rsid w:val="000D6C36"/>
    <w:rsid w:val="000D7925"/>
    <w:rsid w:val="000E56E4"/>
    <w:rsid w:val="000F65B4"/>
    <w:rsid w:val="00105032"/>
    <w:rsid w:val="00112699"/>
    <w:rsid w:val="001235AB"/>
    <w:rsid w:val="001279E6"/>
    <w:rsid w:val="00140BC0"/>
    <w:rsid w:val="00141A9B"/>
    <w:rsid w:val="001445E3"/>
    <w:rsid w:val="00150395"/>
    <w:rsid w:val="00150D14"/>
    <w:rsid w:val="00164A3D"/>
    <w:rsid w:val="001711E9"/>
    <w:rsid w:val="001725F8"/>
    <w:rsid w:val="00177F9C"/>
    <w:rsid w:val="001809B6"/>
    <w:rsid w:val="00192F21"/>
    <w:rsid w:val="00197CAE"/>
    <w:rsid w:val="001A1659"/>
    <w:rsid w:val="001A1879"/>
    <w:rsid w:val="001A1ECF"/>
    <w:rsid w:val="001A2339"/>
    <w:rsid w:val="001A2955"/>
    <w:rsid w:val="001A6C46"/>
    <w:rsid w:val="001A72D0"/>
    <w:rsid w:val="001C08F9"/>
    <w:rsid w:val="001C681B"/>
    <w:rsid w:val="001D5909"/>
    <w:rsid w:val="001E4011"/>
    <w:rsid w:val="001E57BD"/>
    <w:rsid w:val="001E6218"/>
    <w:rsid w:val="001F2702"/>
    <w:rsid w:val="001F4CE7"/>
    <w:rsid w:val="00202046"/>
    <w:rsid w:val="00206E2F"/>
    <w:rsid w:val="00213BA5"/>
    <w:rsid w:val="00214369"/>
    <w:rsid w:val="002273CC"/>
    <w:rsid w:val="002328AC"/>
    <w:rsid w:val="00241DE4"/>
    <w:rsid w:val="00245501"/>
    <w:rsid w:val="00252E58"/>
    <w:rsid w:val="002542FF"/>
    <w:rsid w:val="00254C5A"/>
    <w:rsid w:val="00256F95"/>
    <w:rsid w:val="00264A01"/>
    <w:rsid w:val="00267882"/>
    <w:rsid w:val="0027589D"/>
    <w:rsid w:val="00283F04"/>
    <w:rsid w:val="002926DB"/>
    <w:rsid w:val="002964F4"/>
    <w:rsid w:val="002A24D8"/>
    <w:rsid w:val="002A4F27"/>
    <w:rsid w:val="002B41E0"/>
    <w:rsid w:val="002B7093"/>
    <w:rsid w:val="002C34AD"/>
    <w:rsid w:val="002D2976"/>
    <w:rsid w:val="002E0FFB"/>
    <w:rsid w:val="002E19C7"/>
    <w:rsid w:val="002E2919"/>
    <w:rsid w:val="002E6A3A"/>
    <w:rsid w:val="00301C47"/>
    <w:rsid w:val="003026F0"/>
    <w:rsid w:val="00303093"/>
    <w:rsid w:val="003055C5"/>
    <w:rsid w:val="003066EE"/>
    <w:rsid w:val="00314841"/>
    <w:rsid w:val="00316D48"/>
    <w:rsid w:val="003218BB"/>
    <w:rsid w:val="003256B2"/>
    <w:rsid w:val="00330DE5"/>
    <w:rsid w:val="00334094"/>
    <w:rsid w:val="00335B26"/>
    <w:rsid w:val="00335C7E"/>
    <w:rsid w:val="00336B28"/>
    <w:rsid w:val="00341E79"/>
    <w:rsid w:val="003525AE"/>
    <w:rsid w:val="00355A11"/>
    <w:rsid w:val="00357442"/>
    <w:rsid w:val="0036255A"/>
    <w:rsid w:val="0037782C"/>
    <w:rsid w:val="00391A2C"/>
    <w:rsid w:val="003921F3"/>
    <w:rsid w:val="0039321E"/>
    <w:rsid w:val="00397AB6"/>
    <w:rsid w:val="003A3CAB"/>
    <w:rsid w:val="003A49F8"/>
    <w:rsid w:val="003A741D"/>
    <w:rsid w:val="003B24FF"/>
    <w:rsid w:val="003B4159"/>
    <w:rsid w:val="003B6864"/>
    <w:rsid w:val="003C5F0C"/>
    <w:rsid w:val="003D0C31"/>
    <w:rsid w:val="003D6C6B"/>
    <w:rsid w:val="003E41CD"/>
    <w:rsid w:val="003E6E2A"/>
    <w:rsid w:val="003F5F6E"/>
    <w:rsid w:val="00401DE5"/>
    <w:rsid w:val="004178BA"/>
    <w:rsid w:val="00427366"/>
    <w:rsid w:val="0043228D"/>
    <w:rsid w:val="004364AF"/>
    <w:rsid w:val="00440FCC"/>
    <w:rsid w:val="0044112E"/>
    <w:rsid w:val="00445B8F"/>
    <w:rsid w:val="00451699"/>
    <w:rsid w:val="004520FE"/>
    <w:rsid w:val="0045396E"/>
    <w:rsid w:val="00456FD8"/>
    <w:rsid w:val="00482F18"/>
    <w:rsid w:val="00487CFE"/>
    <w:rsid w:val="00492DFD"/>
    <w:rsid w:val="004A5BBC"/>
    <w:rsid w:val="004A6A14"/>
    <w:rsid w:val="004B68FB"/>
    <w:rsid w:val="004D50D4"/>
    <w:rsid w:val="004D74FF"/>
    <w:rsid w:val="004D75C3"/>
    <w:rsid w:val="004E0119"/>
    <w:rsid w:val="004E29D1"/>
    <w:rsid w:val="004E5DF4"/>
    <w:rsid w:val="004F3C29"/>
    <w:rsid w:val="004F60F9"/>
    <w:rsid w:val="004F715B"/>
    <w:rsid w:val="004F7EBA"/>
    <w:rsid w:val="005032C0"/>
    <w:rsid w:val="00505D0C"/>
    <w:rsid w:val="0051742B"/>
    <w:rsid w:val="00517C6E"/>
    <w:rsid w:val="00526B25"/>
    <w:rsid w:val="00540956"/>
    <w:rsid w:val="00547A56"/>
    <w:rsid w:val="00551F57"/>
    <w:rsid w:val="00561AE1"/>
    <w:rsid w:val="00584649"/>
    <w:rsid w:val="005A03F2"/>
    <w:rsid w:val="005A1938"/>
    <w:rsid w:val="005A6A16"/>
    <w:rsid w:val="005B41FA"/>
    <w:rsid w:val="005B637F"/>
    <w:rsid w:val="005C2B12"/>
    <w:rsid w:val="005C6BB2"/>
    <w:rsid w:val="005D21C3"/>
    <w:rsid w:val="005D2AFB"/>
    <w:rsid w:val="005E07F3"/>
    <w:rsid w:val="005E404E"/>
    <w:rsid w:val="005E485A"/>
    <w:rsid w:val="005F6EEC"/>
    <w:rsid w:val="006013EF"/>
    <w:rsid w:val="0062172F"/>
    <w:rsid w:val="00625985"/>
    <w:rsid w:val="00643249"/>
    <w:rsid w:val="00645382"/>
    <w:rsid w:val="006479EF"/>
    <w:rsid w:val="00650E8E"/>
    <w:rsid w:val="00661630"/>
    <w:rsid w:val="00661CE1"/>
    <w:rsid w:val="0066276F"/>
    <w:rsid w:val="00663712"/>
    <w:rsid w:val="00676D37"/>
    <w:rsid w:val="00680AF6"/>
    <w:rsid w:val="00682FED"/>
    <w:rsid w:val="00690CA5"/>
    <w:rsid w:val="00697B4F"/>
    <w:rsid w:val="00697DA0"/>
    <w:rsid w:val="006A11F3"/>
    <w:rsid w:val="006A31EE"/>
    <w:rsid w:val="006B3718"/>
    <w:rsid w:val="006D612D"/>
    <w:rsid w:val="006E5F4F"/>
    <w:rsid w:val="006F2AE4"/>
    <w:rsid w:val="00701060"/>
    <w:rsid w:val="00701137"/>
    <w:rsid w:val="0071775A"/>
    <w:rsid w:val="00723B3D"/>
    <w:rsid w:val="00734E8D"/>
    <w:rsid w:val="00747C7E"/>
    <w:rsid w:val="00750ABC"/>
    <w:rsid w:val="007649AB"/>
    <w:rsid w:val="0076516B"/>
    <w:rsid w:val="007659F4"/>
    <w:rsid w:val="00772DC7"/>
    <w:rsid w:val="00774C87"/>
    <w:rsid w:val="007920B9"/>
    <w:rsid w:val="00796888"/>
    <w:rsid w:val="00796EF8"/>
    <w:rsid w:val="007A3F31"/>
    <w:rsid w:val="007A6981"/>
    <w:rsid w:val="007B02ED"/>
    <w:rsid w:val="007B402E"/>
    <w:rsid w:val="007D189D"/>
    <w:rsid w:val="007D5837"/>
    <w:rsid w:val="007E3D9E"/>
    <w:rsid w:val="007E7ECE"/>
    <w:rsid w:val="007F444F"/>
    <w:rsid w:val="007F7B9D"/>
    <w:rsid w:val="00805AB8"/>
    <w:rsid w:val="0080611B"/>
    <w:rsid w:val="008077C3"/>
    <w:rsid w:val="00812818"/>
    <w:rsid w:val="008205BC"/>
    <w:rsid w:val="00822273"/>
    <w:rsid w:val="00823449"/>
    <w:rsid w:val="00826CE1"/>
    <w:rsid w:val="00826F6B"/>
    <w:rsid w:val="0085220E"/>
    <w:rsid w:val="0085233A"/>
    <w:rsid w:val="00853915"/>
    <w:rsid w:val="00855A4E"/>
    <w:rsid w:val="00856A52"/>
    <w:rsid w:val="00866310"/>
    <w:rsid w:val="00873DC7"/>
    <w:rsid w:val="00876FC0"/>
    <w:rsid w:val="00880F66"/>
    <w:rsid w:val="00890C04"/>
    <w:rsid w:val="00895857"/>
    <w:rsid w:val="008A1AFE"/>
    <w:rsid w:val="008A2876"/>
    <w:rsid w:val="008B3F93"/>
    <w:rsid w:val="008B537A"/>
    <w:rsid w:val="008B6FC9"/>
    <w:rsid w:val="008C5A34"/>
    <w:rsid w:val="008D1F65"/>
    <w:rsid w:val="008D5410"/>
    <w:rsid w:val="008F1C8A"/>
    <w:rsid w:val="00901306"/>
    <w:rsid w:val="00904C3C"/>
    <w:rsid w:val="009065B0"/>
    <w:rsid w:val="00911922"/>
    <w:rsid w:val="00911D85"/>
    <w:rsid w:val="00914B09"/>
    <w:rsid w:val="009157D0"/>
    <w:rsid w:val="00926829"/>
    <w:rsid w:val="0092787E"/>
    <w:rsid w:val="009305CA"/>
    <w:rsid w:val="00932363"/>
    <w:rsid w:val="00933D13"/>
    <w:rsid w:val="00937E6D"/>
    <w:rsid w:val="00943709"/>
    <w:rsid w:val="00945E63"/>
    <w:rsid w:val="00953248"/>
    <w:rsid w:val="00956578"/>
    <w:rsid w:val="00957AFE"/>
    <w:rsid w:val="009665F5"/>
    <w:rsid w:val="009734C6"/>
    <w:rsid w:val="00982B1D"/>
    <w:rsid w:val="00990F40"/>
    <w:rsid w:val="00991B91"/>
    <w:rsid w:val="009A1CC2"/>
    <w:rsid w:val="009A223C"/>
    <w:rsid w:val="009C076E"/>
    <w:rsid w:val="009C1C5C"/>
    <w:rsid w:val="009C2FD4"/>
    <w:rsid w:val="009C51A1"/>
    <w:rsid w:val="009C6F85"/>
    <w:rsid w:val="009C7958"/>
    <w:rsid w:val="009C7E9D"/>
    <w:rsid w:val="009D2A0A"/>
    <w:rsid w:val="009E002D"/>
    <w:rsid w:val="009E1D10"/>
    <w:rsid w:val="009F2A98"/>
    <w:rsid w:val="009F4B09"/>
    <w:rsid w:val="009F7AF9"/>
    <w:rsid w:val="00A01F94"/>
    <w:rsid w:val="00A02E08"/>
    <w:rsid w:val="00A07653"/>
    <w:rsid w:val="00A11E5F"/>
    <w:rsid w:val="00A21192"/>
    <w:rsid w:val="00A22862"/>
    <w:rsid w:val="00A23D20"/>
    <w:rsid w:val="00A516A6"/>
    <w:rsid w:val="00A5726D"/>
    <w:rsid w:val="00A72701"/>
    <w:rsid w:val="00A741DC"/>
    <w:rsid w:val="00A83506"/>
    <w:rsid w:val="00A856CF"/>
    <w:rsid w:val="00A91C65"/>
    <w:rsid w:val="00A94837"/>
    <w:rsid w:val="00A96E14"/>
    <w:rsid w:val="00A97344"/>
    <w:rsid w:val="00AA0789"/>
    <w:rsid w:val="00AA08CD"/>
    <w:rsid w:val="00AA0983"/>
    <w:rsid w:val="00AA134E"/>
    <w:rsid w:val="00AA7B8B"/>
    <w:rsid w:val="00AB323A"/>
    <w:rsid w:val="00AB45A6"/>
    <w:rsid w:val="00AC7BEA"/>
    <w:rsid w:val="00AD5A97"/>
    <w:rsid w:val="00AD7475"/>
    <w:rsid w:val="00AD7BAD"/>
    <w:rsid w:val="00AF4A5A"/>
    <w:rsid w:val="00AF57CB"/>
    <w:rsid w:val="00B109CE"/>
    <w:rsid w:val="00B122FF"/>
    <w:rsid w:val="00B1388A"/>
    <w:rsid w:val="00B17FC9"/>
    <w:rsid w:val="00B20191"/>
    <w:rsid w:val="00B25846"/>
    <w:rsid w:val="00B358F5"/>
    <w:rsid w:val="00B60961"/>
    <w:rsid w:val="00B61279"/>
    <w:rsid w:val="00B613B5"/>
    <w:rsid w:val="00B65FA9"/>
    <w:rsid w:val="00B7147C"/>
    <w:rsid w:val="00B77A69"/>
    <w:rsid w:val="00B8077C"/>
    <w:rsid w:val="00B84F63"/>
    <w:rsid w:val="00B90AF1"/>
    <w:rsid w:val="00B932A7"/>
    <w:rsid w:val="00B95840"/>
    <w:rsid w:val="00BA1026"/>
    <w:rsid w:val="00BA2D7A"/>
    <w:rsid w:val="00BB0EFE"/>
    <w:rsid w:val="00BB3132"/>
    <w:rsid w:val="00BC6CD7"/>
    <w:rsid w:val="00BC7AF8"/>
    <w:rsid w:val="00BD3632"/>
    <w:rsid w:val="00BD633B"/>
    <w:rsid w:val="00BD7B20"/>
    <w:rsid w:val="00BE3405"/>
    <w:rsid w:val="00BF1AFB"/>
    <w:rsid w:val="00C0331C"/>
    <w:rsid w:val="00C05C90"/>
    <w:rsid w:val="00C10DE7"/>
    <w:rsid w:val="00C16396"/>
    <w:rsid w:val="00C21060"/>
    <w:rsid w:val="00C213E9"/>
    <w:rsid w:val="00C23EC2"/>
    <w:rsid w:val="00C3657B"/>
    <w:rsid w:val="00C405F3"/>
    <w:rsid w:val="00C4195A"/>
    <w:rsid w:val="00C41BB0"/>
    <w:rsid w:val="00C44DD5"/>
    <w:rsid w:val="00C45953"/>
    <w:rsid w:val="00C5330E"/>
    <w:rsid w:val="00C53ACF"/>
    <w:rsid w:val="00C66BF3"/>
    <w:rsid w:val="00C7368A"/>
    <w:rsid w:val="00C77AFB"/>
    <w:rsid w:val="00C815C1"/>
    <w:rsid w:val="00C83715"/>
    <w:rsid w:val="00C86B3B"/>
    <w:rsid w:val="00C87DAF"/>
    <w:rsid w:val="00C90CFE"/>
    <w:rsid w:val="00C91A5B"/>
    <w:rsid w:val="00C96AD7"/>
    <w:rsid w:val="00CA01BA"/>
    <w:rsid w:val="00CA45F3"/>
    <w:rsid w:val="00CB26D0"/>
    <w:rsid w:val="00CC0C47"/>
    <w:rsid w:val="00CC1AA7"/>
    <w:rsid w:val="00CC407F"/>
    <w:rsid w:val="00CC7285"/>
    <w:rsid w:val="00CD1503"/>
    <w:rsid w:val="00CD1BA3"/>
    <w:rsid w:val="00CE3C3A"/>
    <w:rsid w:val="00CE5F10"/>
    <w:rsid w:val="00D015EB"/>
    <w:rsid w:val="00D1287E"/>
    <w:rsid w:val="00D17FBC"/>
    <w:rsid w:val="00D20DAB"/>
    <w:rsid w:val="00D4061F"/>
    <w:rsid w:val="00D436C9"/>
    <w:rsid w:val="00D52E9C"/>
    <w:rsid w:val="00D56BCA"/>
    <w:rsid w:val="00D571AA"/>
    <w:rsid w:val="00D60DE3"/>
    <w:rsid w:val="00D63712"/>
    <w:rsid w:val="00D63821"/>
    <w:rsid w:val="00D63E0D"/>
    <w:rsid w:val="00D73155"/>
    <w:rsid w:val="00D90E33"/>
    <w:rsid w:val="00D92F9F"/>
    <w:rsid w:val="00D96546"/>
    <w:rsid w:val="00DA2069"/>
    <w:rsid w:val="00DB4841"/>
    <w:rsid w:val="00DD00EF"/>
    <w:rsid w:val="00DD5625"/>
    <w:rsid w:val="00DE5F6C"/>
    <w:rsid w:val="00DF1857"/>
    <w:rsid w:val="00E065FA"/>
    <w:rsid w:val="00E16079"/>
    <w:rsid w:val="00E17D09"/>
    <w:rsid w:val="00E273F6"/>
    <w:rsid w:val="00E31267"/>
    <w:rsid w:val="00E33ABA"/>
    <w:rsid w:val="00E33BDF"/>
    <w:rsid w:val="00E46273"/>
    <w:rsid w:val="00E5201A"/>
    <w:rsid w:val="00E61725"/>
    <w:rsid w:val="00E62219"/>
    <w:rsid w:val="00E63547"/>
    <w:rsid w:val="00E8398D"/>
    <w:rsid w:val="00E909AE"/>
    <w:rsid w:val="00E94AA3"/>
    <w:rsid w:val="00E958D2"/>
    <w:rsid w:val="00E965DB"/>
    <w:rsid w:val="00E96937"/>
    <w:rsid w:val="00EA1470"/>
    <w:rsid w:val="00EB03B6"/>
    <w:rsid w:val="00EB429B"/>
    <w:rsid w:val="00EB4BB4"/>
    <w:rsid w:val="00EB6814"/>
    <w:rsid w:val="00EC3FDE"/>
    <w:rsid w:val="00EC5963"/>
    <w:rsid w:val="00ED0048"/>
    <w:rsid w:val="00ED286B"/>
    <w:rsid w:val="00EE59B6"/>
    <w:rsid w:val="00F13A31"/>
    <w:rsid w:val="00F20ADF"/>
    <w:rsid w:val="00F25309"/>
    <w:rsid w:val="00F312C2"/>
    <w:rsid w:val="00F3751C"/>
    <w:rsid w:val="00F41BB1"/>
    <w:rsid w:val="00F429FB"/>
    <w:rsid w:val="00F64FDD"/>
    <w:rsid w:val="00F674B8"/>
    <w:rsid w:val="00F67C39"/>
    <w:rsid w:val="00F67FA0"/>
    <w:rsid w:val="00F67FA1"/>
    <w:rsid w:val="00F7476E"/>
    <w:rsid w:val="00F7760C"/>
    <w:rsid w:val="00F82BC0"/>
    <w:rsid w:val="00F90D52"/>
    <w:rsid w:val="00F9720F"/>
    <w:rsid w:val="00FA07DB"/>
    <w:rsid w:val="00FA49D4"/>
    <w:rsid w:val="00FA4F11"/>
    <w:rsid w:val="00FB4EFC"/>
    <w:rsid w:val="00FC2CD8"/>
    <w:rsid w:val="00FC4120"/>
    <w:rsid w:val="00FD10CC"/>
    <w:rsid w:val="00FD313B"/>
    <w:rsid w:val="00FD6DB2"/>
    <w:rsid w:val="00FF0418"/>
    <w:rsid w:val="01003934"/>
    <w:rsid w:val="0107611F"/>
    <w:rsid w:val="012465FF"/>
    <w:rsid w:val="01276858"/>
    <w:rsid w:val="012B4DA3"/>
    <w:rsid w:val="01414458"/>
    <w:rsid w:val="015B52A2"/>
    <w:rsid w:val="0179089B"/>
    <w:rsid w:val="017A1B51"/>
    <w:rsid w:val="018812E4"/>
    <w:rsid w:val="01942CFB"/>
    <w:rsid w:val="01993134"/>
    <w:rsid w:val="01A27A4B"/>
    <w:rsid w:val="01C86649"/>
    <w:rsid w:val="01F813BE"/>
    <w:rsid w:val="020E53F2"/>
    <w:rsid w:val="023163D0"/>
    <w:rsid w:val="024B1BEA"/>
    <w:rsid w:val="027E2505"/>
    <w:rsid w:val="028C26FB"/>
    <w:rsid w:val="02A76950"/>
    <w:rsid w:val="02BC63CD"/>
    <w:rsid w:val="02C36C4A"/>
    <w:rsid w:val="02C70962"/>
    <w:rsid w:val="03197AA2"/>
    <w:rsid w:val="033019E1"/>
    <w:rsid w:val="03813F19"/>
    <w:rsid w:val="0383575F"/>
    <w:rsid w:val="039E4C4B"/>
    <w:rsid w:val="03AA3EA8"/>
    <w:rsid w:val="03B1202E"/>
    <w:rsid w:val="03CA3C2E"/>
    <w:rsid w:val="040F5726"/>
    <w:rsid w:val="04134127"/>
    <w:rsid w:val="0436204E"/>
    <w:rsid w:val="04540552"/>
    <w:rsid w:val="04722C86"/>
    <w:rsid w:val="04A22776"/>
    <w:rsid w:val="04A448F2"/>
    <w:rsid w:val="04AA0A4D"/>
    <w:rsid w:val="04AB2517"/>
    <w:rsid w:val="04B21EC4"/>
    <w:rsid w:val="04CA18D5"/>
    <w:rsid w:val="04CE619F"/>
    <w:rsid w:val="05246E85"/>
    <w:rsid w:val="052D3BF6"/>
    <w:rsid w:val="052E5ADF"/>
    <w:rsid w:val="054E2BBF"/>
    <w:rsid w:val="057E7F50"/>
    <w:rsid w:val="05800D35"/>
    <w:rsid w:val="058C1FA9"/>
    <w:rsid w:val="05903005"/>
    <w:rsid w:val="060A4E62"/>
    <w:rsid w:val="06117CCC"/>
    <w:rsid w:val="061428C9"/>
    <w:rsid w:val="06480E1B"/>
    <w:rsid w:val="064E48C0"/>
    <w:rsid w:val="066F0ABC"/>
    <w:rsid w:val="0672780F"/>
    <w:rsid w:val="067500CF"/>
    <w:rsid w:val="06880BFB"/>
    <w:rsid w:val="06883A6D"/>
    <w:rsid w:val="07021889"/>
    <w:rsid w:val="07057BE4"/>
    <w:rsid w:val="07444628"/>
    <w:rsid w:val="077C509F"/>
    <w:rsid w:val="07E2787C"/>
    <w:rsid w:val="08201ACB"/>
    <w:rsid w:val="08255414"/>
    <w:rsid w:val="082B6F06"/>
    <w:rsid w:val="082F1B24"/>
    <w:rsid w:val="08451561"/>
    <w:rsid w:val="08506666"/>
    <w:rsid w:val="085C297F"/>
    <w:rsid w:val="08696195"/>
    <w:rsid w:val="086E2F80"/>
    <w:rsid w:val="08AB4974"/>
    <w:rsid w:val="08F57D5E"/>
    <w:rsid w:val="0919631E"/>
    <w:rsid w:val="09387203"/>
    <w:rsid w:val="095C6ACC"/>
    <w:rsid w:val="096C0638"/>
    <w:rsid w:val="09924AC5"/>
    <w:rsid w:val="09A57182"/>
    <w:rsid w:val="09DE3C99"/>
    <w:rsid w:val="09E22D4E"/>
    <w:rsid w:val="0A207FCD"/>
    <w:rsid w:val="0A492416"/>
    <w:rsid w:val="0A502063"/>
    <w:rsid w:val="0A6F7EF5"/>
    <w:rsid w:val="0A717C8E"/>
    <w:rsid w:val="0A856F47"/>
    <w:rsid w:val="0AAD366A"/>
    <w:rsid w:val="0AAF5DD0"/>
    <w:rsid w:val="0AB5345C"/>
    <w:rsid w:val="0AC43792"/>
    <w:rsid w:val="0AE45AA0"/>
    <w:rsid w:val="0AF62F61"/>
    <w:rsid w:val="0B046A35"/>
    <w:rsid w:val="0B2016C8"/>
    <w:rsid w:val="0B301837"/>
    <w:rsid w:val="0B37390F"/>
    <w:rsid w:val="0B905564"/>
    <w:rsid w:val="0BCE2FBD"/>
    <w:rsid w:val="0C05619E"/>
    <w:rsid w:val="0C363C8F"/>
    <w:rsid w:val="0C500A06"/>
    <w:rsid w:val="0C550432"/>
    <w:rsid w:val="0C6E3C5C"/>
    <w:rsid w:val="0C9D585B"/>
    <w:rsid w:val="0CA9622A"/>
    <w:rsid w:val="0CCA7238"/>
    <w:rsid w:val="0CE61773"/>
    <w:rsid w:val="0D1603AF"/>
    <w:rsid w:val="0D3B1690"/>
    <w:rsid w:val="0D5A77FC"/>
    <w:rsid w:val="0D5C3DFC"/>
    <w:rsid w:val="0D634543"/>
    <w:rsid w:val="0D6F1511"/>
    <w:rsid w:val="0D916195"/>
    <w:rsid w:val="0DDD206B"/>
    <w:rsid w:val="0DE22485"/>
    <w:rsid w:val="0DF22E63"/>
    <w:rsid w:val="0DF4047D"/>
    <w:rsid w:val="0E0B7EEA"/>
    <w:rsid w:val="0E2F5E8B"/>
    <w:rsid w:val="0E327D44"/>
    <w:rsid w:val="0E4612B5"/>
    <w:rsid w:val="0E49358D"/>
    <w:rsid w:val="0EA8553C"/>
    <w:rsid w:val="0EA95FE6"/>
    <w:rsid w:val="0EBA7CA9"/>
    <w:rsid w:val="0EBB72E1"/>
    <w:rsid w:val="0EE949DC"/>
    <w:rsid w:val="0F036662"/>
    <w:rsid w:val="0F1B4176"/>
    <w:rsid w:val="0F2A185A"/>
    <w:rsid w:val="0F3F24A8"/>
    <w:rsid w:val="0F4D79AC"/>
    <w:rsid w:val="0F8E2324"/>
    <w:rsid w:val="0FE92610"/>
    <w:rsid w:val="10054C01"/>
    <w:rsid w:val="100E43B2"/>
    <w:rsid w:val="104C561C"/>
    <w:rsid w:val="104D2B35"/>
    <w:rsid w:val="105E4E97"/>
    <w:rsid w:val="10637EBA"/>
    <w:rsid w:val="106C79B8"/>
    <w:rsid w:val="107058B3"/>
    <w:rsid w:val="107C6102"/>
    <w:rsid w:val="109C42EE"/>
    <w:rsid w:val="109F56E0"/>
    <w:rsid w:val="10B03E25"/>
    <w:rsid w:val="10B17D1B"/>
    <w:rsid w:val="10D04765"/>
    <w:rsid w:val="10F4597F"/>
    <w:rsid w:val="111E4B7A"/>
    <w:rsid w:val="11246F65"/>
    <w:rsid w:val="113D199D"/>
    <w:rsid w:val="115370EA"/>
    <w:rsid w:val="115B2A46"/>
    <w:rsid w:val="117C2F02"/>
    <w:rsid w:val="117D6F38"/>
    <w:rsid w:val="11975A27"/>
    <w:rsid w:val="11A7598A"/>
    <w:rsid w:val="11D62C11"/>
    <w:rsid w:val="11DE469C"/>
    <w:rsid w:val="11E16AE8"/>
    <w:rsid w:val="11F276E8"/>
    <w:rsid w:val="11F97256"/>
    <w:rsid w:val="11FF0FAA"/>
    <w:rsid w:val="120B52D9"/>
    <w:rsid w:val="12826153"/>
    <w:rsid w:val="129B1203"/>
    <w:rsid w:val="13087FF1"/>
    <w:rsid w:val="132656CD"/>
    <w:rsid w:val="136A68BC"/>
    <w:rsid w:val="136E5DEA"/>
    <w:rsid w:val="137421F0"/>
    <w:rsid w:val="138D21F6"/>
    <w:rsid w:val="13C02521"/>
    <w:rsid w:val="13E03955"/>
    <w:rsid w:val="13F13629"/>
    <w:rsid w:val="14365636"/>
    <w:rsid w:val="143A1C19"/>
    <w:rsid w:val="14581F33"/>
    <w:rsid w:val="14666B80"/>
    <w:rsid w:val="14952A28"/>
    <w:rsid w:val="14E074A9"/>
    <w:rsid w:val="14E23413"/>
    <w:rsid w:val="14E9314E"/>
    <w:rsid w:val="14EC363E"/>
    <w:rsid w:val="15025977"/>
    <w:rsid w:val="15751943"/>
    <w:rsid w:val="157B009D"/>
    <w:rsid w:val="15A25D1A"/>
    <w:rsid w:val="15F81B24"/>
    <w:rsid w:val="15FC71CB"/>
    <w:rsid w:val="16281F9C"/>
    <w:rsid w:val="1681345B"/>
    <w:rsid w:val="169518FE"/>
    <w:rsid w:val="16C8364A"/>
    <w:rsid w:val="17037C0B"/>
    <w:rsid w:val="17213F34"/>
    <w:rsid w:val="172476FF"/>
    <w:rsid w:val="174A0786"/>
    <w:rsid w:val="174D0964"/>
    <w:rsid w:val="175D7DAD"/>
    <w:rsid w:val="176540A6"/>
    <w:rsid w:val="17783E9C"/>
    <w:rsid w:val="17AF4029"/>
    <w:rsid w:val="17E262B5"/>
    <w:rsid w:val="17FF5BE3"/>
    <w:rsid w:val="182E7ED4"/>
    <w:rsid w:val="183045B6"/>
    <w:rsid w:val="18435BE7"/>
    <w:rsid w:val="18470098"/>
    <w:rsid w:val="18A35F81"/>
    <w:rsid w:val="18C85562"/>
    <w:rsid w:val="18D82D51"/>
    <w:rsid w:val="18FF35D4"/>
    <w:rsid w:val="190E32F4"/>
    <w:rsid w:val="192008FE"/>
    <w:rsid w:val="192F112F"/>
    <w:rsid w:val="193052F6"/>
    <w:rsid w:val="19546F6A"/>
    <w:rsid w:val="19B95C06"/>
    <w:rsid w:val="19EC3B68"/>
    <w:rsid w:val="19F07385"/>
    <w:rsid w:val="19FC786B"/>
    <w:rsid w:val="1A1A1F24"/>
    <w:rsid w:val="1A5904DE"/>
    <w:rsid w:val="1A68702D"/>
    <w:rsid w:val="1AC2537B"/>
    <w:rsid w:val="1AF4294F"/>
    <w:rsid w:val="1B0141E2"/>
    <w:rsid w:val="1B0249BB"/>
    <w:rsid w:val="1B1C15C9"/>
    <w:rsid w:val="1B570D69"/>
    <w:rsid w:val="1B7278A4"/>
    <w:rsid w:val="1B815B33"/>
    <w:rsid w:val="1B843248"/>
    <w:rsid w:val="1BA76D7C"/>
    <w:rsid w:val="1BA91A6B"/>
    <w:rsid w:val="1BB13F52"/>
    <w:rsid w:val="1BB83978"/>
    <w:rsid w:val="1BC220FC"/>
    <w:rsid w:val="1BCE14E5"/>
    <w:rsid w:val="1C006AC4"/>
    <w:rsid w:val="1C3C5377"/>
    <w:rsid w:val="1C5235BC"/>
    <w:rsid w:val="1C5D68BE"/>
    <w:rsid w:val="1C60780B"/>
    <w:rsid w:val="1C7031D7"/>
    <w:rsid w:val="1C897325"/>
    <w:rsid w:val="1CAA608D"/>
    <w:rsid w:val="1CB06DA3"/>
    <w:rsid w:val="1CBC1B96"/>
    <w:rsid w:val="1CDC61B0"/>
    <w:rsid w:val="1CDD7656"/>
    <w:rsid w:val="1D17670A"/>
    <w:rsid w:val="1D34744D"/>
    <w:rsid w:val="1D3A7352"/>
    <w:rsid w:val="1D71197F"/>
    <w:rsid w:val="1D712FCE"/>
    <w:rsid w:val="1D8B6E7D"/>
    <w:rsid w:val="1D9B1894"/>
    <w:rsid w:val="1DA7228F"/>
    <w:rsid w:val="1DBD1DF1"/>
    <w:rsid w:val="1DF3195E"/>
    <w:rsid w:val="1E0C58F3"/>
    <w:rsid w:val="1E1A474A"/>
    <w:rsid w:val="1E3D2300"/>
    <w:rsid w:val="1E3F7AE3"/>
    <w:rsid w:val="1E4E5730"/>
    <w:rsid w:val="1E5A7FFF"/>
    <w:rsid w:val="1EBD2A25"/>
    <w:rsid w:val="1EDA04D4"/>
    <w:rsid w:val="1EDB452E"/>
    <w:rsid w:val="1EFD24E3"/>
    <w:rsid w:val="1EFD6B5F"/>
    <w:rsid w:val="1F1218F7"/>
    <w:rsid w:val="1F525DBA"/>
    <w:rsid w:val="1F713F95"/>
    <w:rsid w:val="1F9D2C8A"/>
    <w:rsid w:val="1FB07195"/>
    <w:rsid w:val="1FB1560A"/>
    <w:rsid w:val="1FEF2C9E"/>
    <w:rsid w:val="1FFF7CDC"/>
    <w:rsid w:val="201E4E32"/>
    <w:rsid w:val="20330FC6"/>
    <w:rsid w:val="20354BF1"/>
    <w:rsid w:val="204C35DD"/>
    <w:rsid w:val="20903D68"/>
    <w:rsid w:val="20A3502A"/>
    <w:rsid w:val="20B07B54"/>
    <w:rsid w:val="20B26E07"/>
    <w:rsid w:val="20C83398"/>
    <w:rsid w:val="20DD557F"/>
    <w:rsid w:val="211377F6"/>
    <w:rsid w:val="21240C7A"/>
    <w:rsid w:val="21360382"/>
    <w:rsid w:val="21434A03"/>
    <w:rsid w:val="218B6B8E"/>
    <w:rsid w:val="21A36C00"/>
    <w:rsid w:val="21B302C0"/>
    <w:rsid w:val="21E15DF6"/>
    <w:rsid w:val="21E76615"/>
    <w:rsid w:val="21ED1AF3"/>
    <w:rsid w:val="21F33B7C"/>
    <w:rsid w:val="22033E8E"/>
    <w:rsid w:val="220F6A27"/>
    <w:rsid w:val="222332E4"/>
    <w:rsid w:val="22435EA1"/>
    <w:rsid w:val="225E1725"/>
    <w:rsid w:val="22772BDA"/>
    <w:rsid w:val="22802D63"/>
    <w:rsid w:val="22845AB4"/>
    <w:rsid w:val="22B401AB"/>
    <w:rsid w:val="22F607FE"/>
    <w:rsid w:val="22F97D2F"/>
    <w:rsid w:val="23155822"/>
    <w:rsid w:val="231B1A50"/>
    <w:rsid w:val="231D3046"/>
    <w:rsid w:val="235D3D13"/>
    <w:rsid w:val="23AA5980"/>
    <w:rsid w:val="23BB183A"/>
    <w:rsid w:val="23CA4E5B"/>
    <w:rsid w:val="23D05407"/>
    <w:rsid w:val="23FB78A1"/>
    <w:rsid w:val="244021C5"/>
    <w:rsid w:val="24405EA1"/>
    <w:rsid w:val="24554D88"/>
    <w:rsid w:val="245C52DB"/>
    <w:rsid w:val="24772937"/>
    <w:rsid w:val="249C19AD"/>
    <w:rsid w:val="24AE4623"/>
    <w:rsid w:val="24B43AF1"/>
    <w:rsid w:val="24F5628A"/>
    <w:rsid w:val="24F63058"/>
    <w:rsid w:val="25115BD4"/>
    <w:rsid w:val="25237103"/>
    <w:rsid w:val="25A721B0"/>
    <w:rsid w:val="25B26FE4"/>
    <w:rsid w:val="25DF678F"/>
    <w:rsid w:val="25ED2094"/>
    <w:rsid w:val="262977D0"/>
    <w:rsid w:val="26315965"/>
    <w:rsid w:val="26317123"/>
    <w:rsid w:val="263A73F2"/>
    <w:rsid w:val="263C48CB"/>
    <w:rsid w:val="263C5E72"/>
    <w:rsid w:val="26500849"/>
    <w:rsid w:val="26780617"/>
    <w:rsid w:val="26847176"/>
    <w:rsid w:val="26886F86"/>
    <w:rsid w:val="26925C46"/>
    <w:rsid w:val="269D5952"/>
    <w:rsid w:val="26B20DF2"/>
    <w:rsid w:val="26F41FB8"/>
    <w:rsid w:val="27043058"/>
    <w:rsid w:val="27364429"/>
    <w:rsid w:val="273F29CB"/>
    <w:rsid w:val="274D3FB6"/>
    <w:rsid w:val="27545406"/>
    <w:rsid w:val="27833F3C"/>
    <w:rsid w:val="2795735E"/>
    <w:rsid w:val="27EF2880"/>
    <w:rsid w:val="27F13A21"/>
    <w:rsid w:val="27F819EB"/>
    <w:rsid w:val="28062900"/>
    <w:rsid w:val="2836530C"/>
    <w:rsid w:val="284D4FE7"/>
    <w:rsid w:val="285F1382"/>
    <w:rsid w:val="28C260FB"/>
    <w:rsid w:val="29224CD0"/>
    <w:rsid w:val="294703CA"/>
    <w:rsid w:val="297135F9"/>
    <w:rsid w:val="29997DF3"/>
    <w:rsid w:val="29F00158"/>
    <w:rsid w:val="29F238EB"/>
    <w:rsid w:val="2A171CC4"/>
    <w:rsid w:val="2A18258C"/>
    <w:rsid w:val="2A350B0F"/>
    <w:rsid w:val="2A4B3C3F"/>
    <w:rsid w:val="2A6E6A52"/>
    <w:rsid w:val="2ABE1B6E"/>
    <w:rsid w:val="2AC248FA"/>
    <w:rsid w:val="2AC64B53"/>
    <w:rsid w:val="2ACE792E"/>
    <w:rsid w:val="2AEF7803"/>
    <w:rsid w:val="2AF97CB4"/>
    <w:rsid w:val="2AFE04AC"/>
    <w:rsid w:val="2B0D7EF0"/>
    <w:rsid w:val="2B227098"/>
    <w:rsid w:val="2B791410"/>
    <w:rsid w:val="2BB328FF"/>
    <w:rsid w:val="2BE06ECE"/>
    <w:rsid w:val="2BE50675"/>
    <w:rsid w:val="2BFC3B27"/>
    <w:rsid w:val="2C505A98"/>
    <w:rsid w:val="2C9F5868"/>
    <w:rsid w:val="2CA854FF"/>
    <w:rsid w:val="2CB83603"/>
    <w:rsid w:val="2D0778E2"/>
    <w:rsid w:val="2D1C0AEB"/>
    <w:rsid w:val="2D526B7C"/>
    <w:rsid w:val="2D5E1480"/>
    <w:rsid w:val="2D6447D2"/>
    <w:rsid w:val="2D6D0593"/>
    <w:rsid w:val="2D6E7A11"/>
    <w:rsid w:val="2D935A20"/>
    <w:rsid w:val="2DB01CA8"/>
    <w:rsid w:val="2DBC63E3"/>
    <w:rsid w:val="2DCE75BE"/>
    <w:rsid w:val="2DD30D39"/>
    <w:rsid w:val="2E0003B0"/>
    <w:rsid w:val="2E457BCB"/>
    <w:rsid w:val="2E5200E9"/>
    <w:rsid w:val="2E9F0240"/>
    <w:rsid w:val="2EAE262C"/>
    <w:rsid w:val="2EAE6A2E"/>
    <w:rsid w:val="2ECB0AE2"/>
    <w:rsid w:val="2F2B0F7C"/>
    <w:rsid w:val="2F416AD8"/>
    <w:rsid w:val="2F55491D"/>
    <w:rsid w:val="2F8337D6"/>
    <w:rsid w:val="2FAF4D85"/>
    <w:rsid w:val="2FBE1939"/>
    <w:rsid w:val="2FD8197F"/>
    <w:rsid w:val="2FF33EC8"/>
    <w:rsid w:val="300131F1"/>
    <w:rsid w:val="300A507B"/>
    <w:rsid w:val="30127F4A"/>
    <w:rsid w:val="30195AFF"/>
    <w:rsid w:val="301A7B0D"/>
    <w:rsid w:val="301A7BEA"/>
    <w:rsid w:val="30247EA4"/>
    <w:rsid w:val="30370C40"/>
    <w:rsid w:val="304E0FE9"/>
    <w:rsid w:val="30600CEC"/>
    <w:rsid w:val="306C79C8"/>
    <w:rsid w:val="30916FFE"/>
    <w:rsid w:val="30CA57E9"/>
    <w:rsid w:val="310A28E9"/>
    <w:rsid w:val="31330D55"/>
    <w:rsid w:val="315040C3"/>
    <w:rsid w:val="31570277"/>
    <w:rsid w:val="316E379B"/>
    <w:rsid w:val="317E7511"/>
    <w:rsid w:val="318459E2"/>
    <w:rsid w:val="318B08AD"/>
    <w:rsid w:val="31A13782"/>
    <w:rsid w:val="31CF127B"/>
    <w:rsid w:val="31D033ED"/>
    <w:rsid w:val="32023CC6"/>
    <w:rsid w:val="321D60A8"/>
    <w:rsid w:val="322066AC"/>
    <w:rsid w:val="326D09E6"/>
    <w:rsid w:val="32B86CCC"/>
    <w:rsid w:val="32CF0240"/>
    <w:rsid w:val="32F02A08"/>
    <w:rsid w:val="32F621B4"/>
    <w:rsid w:val="32FE2EA5"/>
    <w:rsid w:val="3305003D"/>
    <w:rsid w:val="33146B30"/>
    <w:rsid w:val="331816D1"/>
    <w:rsid w:val="332E1986"/>
    <w:rsid w:val="33316F40"/>
    <w:rsid w:val="338826B1"/>
    <w:rsid w:val="338D097D"/>
    <w:rsid w:val="33AA0927"/>
    <w:rsid w:val="33BD4D5E"/>
    <w:rsid w:val="33E41D02"/>
    <w:rsid w:val="33FA6CB4"/>
    <w:rsid w:val="3463015F"/>
    <w:rsid w:val="34766EC0"/>
    <w:rsid w:val="34DD3DC8"/>
    <w:rsid w:val="350739D4"/>
    <w:rsid w:val="35260066"/>
    <w:rsid w:val="35776F37"/>
    <w:rsid w:val="35A20810"/>
    <w:rsid w:val="35A41DCF"/>
    <w:rsid w:val="35A6123F"/>
    <w:rsid w:val="35B359C0"/>
    <w:rsid w:val="35D157B9"/>
    <w:rsid w:val="35D864DD"/>
    <w:rsid w:val="35E86AEA"/>
    <w:rsid w:val="36074077"/>
    <w:rsid w:val="361A3116"/>
    <w:rsid w:val="365A7882"/>
    <w:rsid w:val="367D294C"/>
    <w:rsid w:val="369D5C1D"/>
    <w:rsid w:val="36AE13E1"/>
    <w:rsid w:val="36D7419E"/>
    <w:rsid w:val="36FF6099"/>
    <w:rsid w:val="371426FE"/>
    <w:rsid w:val="371C16B7"/>
    <w:rsid w:val="37337C1E"/>
    <w:rsid w:val="37461810"/>
    <w:rsid w:val="37706451"/>
    <w:rsid w:val="378050B1"/>
    <w:rsid w:val="37A7049B"/>
    <w:rsid w:val="37AF2E55"/>
    <w:rsid w:val="37B041B8"/>
    <w:rsid w:val="37BA6E6F"/>
    <w:rsid w:val="37BB62E3"/>
    <w:rsid w:val="37C275FC"/>
    <w:rsid w:val="37CB25D7"/>
    <w:rsid w:val="37DC7031"/>
    <w:rsid w:val="37DE2980"/>
    <w:rsid w:val="37E46B52"/>
    <w:rsid w:val="37F47D27"/>
    <w:rsid w:val="380D4216"/>
    <w:rsid w:val="381D591D"/>
    <w:rsid w:val="3820434D"/>
    <w:rsid w:val="383332DD"/>
    <w:rsid w:val="38517D59"/>
    <w:rsid w:val="3888139E"/>
    <w:rsid w:val="38965112"/>
    <w:rsid w:val="38A63548"/>
    <w:rsid w:val="38D83427"/>
    <w:rsid w:val="38FB6018"/>
    <w:rsid w:val="39004EE4"/>
    <w:rsid w:val="390A0237"/>
    <w:rsid w:val="395F26C1"/>
    <w:rsid w:val="396C132B"/>
    <w:rsid w:val="399A32F8"/>
    <w:rsid w:val="39B703CE"/>
    <w:rsid w:val="39C802B0"/>
    <w:rsid w:val="39F57874"/>
    <w:rsid w:val="3A060356"/>
    <w:rsid w:val="3A0C64BF"/>
    <w:rsid w:val="3A143CD2"/>
    <w:rsid w:val="3A1B7356"/>
    <w:rsid w:val="3A3C7203"/>
    <w:rsid w:val="3A3F32B7"/>
    <w:rsid w:val="3A4534B3"/>
    <w:rsid w:val="3A5F0651"/>
    <w:rsid w:val="3A9061E2"/>
    <w:rsid w:val="3A9164BE"/>
    <w:rsid w:val="3AC30568"/>
    <w:rsid w:val="3ACA1E51"/>
    <w:rsid w:val="3B2106FF"/>
    <w:rsid w:val="3B64464E"/>
    <w:rsid w:val="3B764887"/>
    <w:rsid w:val="3B782206"/>
    <w:rsid w:val="3B92414C"/>
    <w:rsid w:val="3BC3791A"/>
    <w:rsid w:val="3BFB74FF"/>
    <w:rsid w:val="3C3D6AD5"/>
    <w:rsid w:val="3C4B0DD6"/>
    <w:rsid w:val="3C522BAD"/>
    <w:rsid w:val="3C937372"/>
    <w:rsid w:val="3CC86630"/>
    <w:rsid w:val="3CCA0A95"/>
    <w:rsid w:val="3CEA3E7B"/>
    <w:rsid w:val="3D1D0F97"/>
    <w:rsid w:val="3D4641B6"/>
    <w:rsid w:val="3D4E0FEB"/>
    <w:rsid w:val="3D570AB7"/>
    <w:rsid w:val="3D61067E"/>
    <w:rsid w:val="3D775545"/>
    <w:rsid w:val="3DA84569"/>
    <w:rsid w:val="3DE346C0"/>
    <w:rsid w:val="3DEC4C1A"/>
    <w:rsid w:val="3E14510F"/>
    <w:rsid w:val="3E166A58"/>
    <w:rsid w:val="3E181D31"/>
    <w:rsid w:val="3E456E5B"/>
    <w:rsid w:val="3E617B8D"/>
    <w:rsid w:val="3E631761"/>
    <w:rsid w:val="3EA56EE3"/>
    <w:rsid w:val="3EBC018B"/>
    <w:rsid w:val="3ECE2F5C"/>
    <w:rsid w:val="3F16432E"/>
    <w:rsid w:val="3F475757"/>
    <w:rsid w:val="3F505163"/>
    <w:rsid w:val="3F545FC8"/>
    <w:rsid w:val="3F6C41F2"/>
    <w:rsid w:val="3F972BB5"/>
    <w:rsid w:val="3F9E622E"/>
    <w:rsid w:val="3FC15DAC"/>
    <w:rsid w:val="3FC719F4"/>
    <w:rsid w:val="404560DF"/>
    <w:rsid w:val="40702400"/>
    <w:rsid w:val="408D08E9"/>
    <w:rsid w:val="40F83192"/>
    <w:rsid w:val="411B4498"/>
    <w:rsid w:val="413D70DD"/>
    <w:rsid w:val="417B3290"/>
    <w:rsid w:val="417B38C0"/>
    <w:rsid w:val="418439C9"/>
    <w:rsid w:val="41D43820"/>
    <w:rsid w:val="423425BE"/>
    <w:rsid w:val="429E129C"/>
    <w:rsid w:val="42A37C06"/>
    <w:rsid w:val="42B4371C"/>
    <w:rsid w:val="42C50376"/>
    <w:rsid w:val="42CE2D3E"/>
    <w:rsid w:val="42ED2CCD"/>
    <w:rsid w:val="432C0C67"/>
    <w:rsid w:val="43335690"/>
    <w:rsid w:val="434E0F27"/>
    <w:rsid w:val="43800918"/>
    <w:rsid w:val="43946227"/>
    <w:rsid w:val="43AE782F"/>
    <w:rsid w:val="43B8756C"/>
    <w:rsid w:val="43BB7D58"/>
    <w:rsid w:val="43C6133A"/>
    <w:rsid w:val="43E27DAC"/>
    <w:rsid w:val="43F506E9"/>
    <w:rsid w:val="442278F0"/>
    <w:rsid w:val="4428373B"/>
    <w:rsid w:val="44433E40"/>
    <w:rsid w:val="44484A7F"/>
    <w:rsid w:val="445837A4"/>
    <w:rsid w:val="446C162F"/>
    <w:rsid w:val="447B6AA6"/>
    <w:rsid w:val="448C66F6"/>
    <w:rsid w:val="44FE0566"/>
    <w:rsid w:val="4514471C"/>
    <w:rsid w:val="4518769A"/>
    <w:rsid w:val="453B1A49"/>
    <w:rsid w:val="453F1545"/>
    <w:rsid w:val="457F7F52"/>
    <w:rsid w:val="45937DC0"/>
    <w:rsid w:val="45A879FD"/>
    <w:rsid w:val="45DB57E0"/>
    <w:rsid w:val="45EE3DEF"/>
    <w:rsid w:val="460C2C10"/>
    <w:rsid w:val="466B5C0E"/>
    <w:rsid w:val="4693346B"/>
    <w:rsid w:val="46B21E86"/>
    <w:rsid w:val="46D7084C"/>
    <w:rsid w:val="46E7553D"/>
    <w:rsid w:val="46E84AD0"/>
    <w:rsid w:val="46F404DA"/>
    <w:rsid w:val="47022DDB"/>
    <w:rsid w:val="472C4A39"/>
    <w:rsid w:val="473C3D61"/>
    <w:rsid w:val="47481B22"/>
    <w:rsid w:val="474D6866"/>
    <w:rsid w:val="475C42E4"/>
    <w:rsid w:val="47D94CF2"/>
    <w:rsid w:val="47E950BE"/>
    <w:rsid w:val="47FC03C7"/>
    <w:rsid w:val="480A1795"/>
    <w:rsid w:val="481E491E"/>
    <w:rsid w:val="482B2FFA"/>
    <w:rsid w:val="4838441B"/>
    <w:rsid w:val="48485489"/>
    <w:rsid w:val="48644107"/>
    <w:rsid w:val="487E7CF0"/>
    <w:rsid w:val="48C84BB3"/>
    <w:rsid w:val="490049DC"/>
    <w:rsid w:val="49393BE4"/>
    <w:rsid w:val="49444963"/>
    <w:rsid w:val="495C1AEA"/>
    <w:rsid w:val="4968237E"/>
    <w:rsid w:val="497B013A"/>
    <w:rsid w:val="498A5CE0"/>
    <w:rsid w:val="49AA5DDB"/>
    <w:rsid w:val="49C33235"/>
    <w:rsid w:val="49D07F96"/>
    <w:rsid w:val="49F03D7D"/>
    <w:rsid w:val="49FE11CD"/>
    <w:rsid w:val="4A132ACD"/>
    <w:rsid w:val="4A1B2AE0"/>
    <w:rsid w:val="4A5974AE"/>
    <w:rsid w:val="4A5F41D2"/>
    <w:rsid w:val="4A9B304D"/>
    <w:rsid w:val="4AB76927"/>
    <w:rsid w:val="4ACC120F"/>
    <w:rsid w:val="4AD055A4"/>
    <w:rsid w:val="4AE65A81"/>
    <w:rsid w:val="4B1941E5"/>
    <w:rsid w:val="4B2F74D4"/>
    <w:rsid w:val="4B352710"/>
    <w:rsid w:val="4B354939"/>
    <w:rsid w:val="4BA124B8"/>
    <w:rsid w:val="4BB614EB"/>
    <w:rsid w:val="4BBF538E"/>
    <w:rsid w:val="4BC72B1F"/>
    <w:rsid w:val="4BE91114"/>
    <w:rsid w:val="4C05627F"/>
    <w:rsid w:val="4C2A35FC"/>
    <w:rsid w:val="4C604C3A"/>
    <w:rsid w:val="4C7E20E0"/>
    <w:rsid w:val="4C8837C5"/>
    <w:rsid w:val="4C9A2924"/>
    <w:rsid w:val="4CDA68EB"/>
    <w:rsid w:val="4CF66CAC"/>
    <w:rsid w:val="4CFC49EF"/>
    <w:rsid w:val="4D1E2DC9"/>
    <w:rsid w:val="4D2B44ED"/>
    <w:rsid w:val="4D4945EF"/>
    <w:rsid w:val="4D5C2B2D"/>
    <w:rsid w:val="4D854B2C"/>
    <w:rsid w:val="4D8F4A7A"/>
    <w:rsid w:val="4DBB5D86"/>
    <w:rsid w:val="4E0527CE"/>
    <w:rsid w:val="4E1B15CD"/>
    <w:rsid w:val="4E411497"/>
    <w:rsid w:val="4E417DC3"/>
    <w:rsid w:val="4E770E53"/>
    <w:rsid w:val="4E7B7B48"/>
    <w:rsid w:val="4E8303B9"/>
    <w:rsid w:val="4E850B96"/>
    <w:rsid w:val="4E894356"/>
    <w:rsid w:val="4E9A409C"/>
    <w:rsid w:val="4EA57DC5"/>
    <w:rsid w:val="4ECE241F"/>
    <w:rsid w:val="4EFE5887"/>
    <w:rsid w:val="4F026156"/>
    <w:rsid w:val="4F0B7589"/>
    <w:rsid w:val="4F2A2679"/>
    <w:rsid w:val="4F3A5219"/>
    <w:rsid w:val="4F4C5928"/>
    <w:rsid w:val="4F5F59CE"/>
    <w:rsid w:val="4F7D6285"/>
    <w:rsid w:val="4F94592C"/>
    <w:rsid w:val="4FC44855"/>
    <w:rsid w:val="501D5D39"/>
    <w:rsid w:val="502B6704"/>
    <w:rsid w:val="506C5901"/>
    <w:rsid w:val="50805941"/>
    <w:rsid w:val="509718D4"/>
    <w:rsid w:val="50A236F3"/>
    <w:rsid w:val="50BC0F98"/>
    <w:rsid w:val="50BF20E2"/>
    <w:rsid w:val="50C14B62"/>
    <w:rsid w:val="50D3695C"/>
    <w:rsid w:val="50D6651B"/>
    <w:rsid w:val="510F1E0A"/>
    <w:rsid w:val="511122C0"/>
    <w:rsid w:val="511F19CD"/>
    <w:rsid w:val="51632FF8"/>
    <w:rsid w:val="51670C05"/>
    <w:rsid w:val="51844645"/>
    <w:rsid w:val="519954EF"/>
    <w:rsid w:val="51BA5FCE"/>
    <w:rsid w:val="52003C83"/>
    <w:rsid w:val="520A5C81"/>
    <w:rsid w:val="524833B7"/>
    <w:rsid w:val="5254008F"/>
    <w:rsid w:val="527C4A77"/>
    <w:rsid w:val="527F421B"/>
    <w:rsid w:val="528C3E64"/>
    <w:rsid w:val="52B90268"/>
    <w:rsid w:val="52F72AA8"/>
    <w:rsid w:val="532067C9"/>
    <w:rsid w:val="53251CDC"/>
    <w:rsid w:val="53343624"/>
    <w:rsid w:val="533E3FEB"/>
    <w:rsid w:val="53635670"/>
    <w:rsid w:val="536C5A07"/>
    <w:rsid w:val="537F6D72"/>
    <w:rsid w:val="539B4555"/>
    <w:rsid w:val="539E16DA"/>
    <w:rsid w:val="53A32513"/>
    <w:rsid w:val="53B61053"/>
    <w:rsid w:val="53CF2225"/>
    <w:rsid w:val="53FE592D"/>
    <w:rsid w:val="54042746"/>
    <w:rsid w:val="54126C5B"/>
    <w:rsid w:val="544F4F75"/>
    <w:rsid w:val="545144FD"/>
    <w:rsid w:val="546C70EA"/>
    <w:rsid w:val="551F6956"/>
    <w:rsid w:val="55627EA8"/>
    <w:rsid w:val="557137A4"/>
    <w:rsid w:val="557C2064"/>
    <w:rsid w:val="559A66C2"/>
    <w:rsid w:val="55C374A8"/>
    <w:rsid w:val="55D6253B"/>
    <w:rsid w:val="55EB6F64"/>
    <w:rsid w:val="55EC1152"/>
    <w:rsid w:val="55FB4216"/>
    <w:rsid w:val="56203E5A"/>
    <w:rsid w:val="563E7D25"/>
    <w:rsid w:val="56580428"/>
    <w:rsid w:val="56684980"/>
    <w:rsid w:val="56792962"/>
    <w:rsid w:val="56AD1477"/>
    <w:rsid w:val="56B42AB9"/>
    <w:rsid w:val="56EB337E"/>
    <w:rsid w:val="57247F65"/>
    <w:rsid w:val="573B3F98"/>
    <w:rsid w:val="57492FAC"/>
    <w:rsid w:val="578F6F2C"/>
    <w:rsid w:val="58225E02"/>
    <w:rsid w:val="58520694"/>
    <w:rsid w:val="585E5BA8"/>
    <w:rsid w:val="587122DA"/>
    <w:rsid w:val="588E13BF"/>
    <w:rsid w:val="5891699E"/>
    <w:rsid w:val="58AC609E"/>
    <w:rsid w:val="58CA0850"/>
    <w:rsid w:val="58EA34F4"/>
    <w:rsid w:val="58F6102A"/>
    <w:rsid w:val="59031A39"/>
    <w:rsid w:val="59194AD7"/>
    <w:rsid w:val="597F3785"/>
    <w:rsid w:val="59BA2941"/>
    <w:rsid w:val="59C95467"/>
    <w:rsid w:val="59E319A6"/>
    <w:rsid w:val="59E96494"/>
    <w:rsid w:val="5A3676DD"/>
    <w:rsid w:val="5A3C594E"/>
    <w:rsid w:val="5A4009BF"/>
    <w:rsid w:val="5A6D7EBD"/>
    <w:rsid w:val="5A6F0593"/>
    <w:rsid w:val="5A707949"/>
    <w:rsid w:val="5AAE2683"/>
    <w:rsid w:val="5ACA252E"/>
    <w:rsid w:val="5ACD38F5"/>
    <w:rsid w:val="5ADE4867"/>
    <w:rsid w:val="5AEF1271"/>
    <w:rsid w:val="5AF04581"/>
    <w:rsid w:val="5AF721F4"/>
    <w:rsid w:val="5B10362C"/>
    <w:rsid w:val="5B291B21"/>
    <w:rsid w:val="5B2B0042"/>
    <w:rsid w:val="5B395C6D"/>
    <w:rsid w:val="5BAD4AB0"/>
    <w:rsid w:val="5BC3189A"/>
    <w:rsid w:val="5BF41C67"/>
    <w:rsid w:val="5C240674"/>
    <w:rsid w:val="5C24195F"/>
    <w:rsid w:val="5C3021B3"/>
    <w:rsid w:val="5C553C10"/>
    <w:rsid w:val="5C594EF0"/>
    <w:rsid w:val="5C62465A"/>
    <w:rsid w:val="5C965AD7"/>
    <w:rsid w:val="5C9C1AB7"/>
    <w:rsid w:val="5CF94E7D"/>
    <w:rsid w:val="5D312DA5"/>
    <w:rsid w:val="5D586B67"/>
    <w:rsid w:val="5D5B6193"/>
    <w:rsid w:val="5D611CF6"/>
    <w:rsid w:val="5D7B238B"/>
    <w:rsid w:val="5D953B1C"/>
    <w:rsid w:val="5D983C26"/>
    <w:rsid w:val="5D996EBC"/>
    <w:rsid w:val="5DBA54DC"/>
    <w:rsid w:val="5DE86BA0"/>
    <w:rsid w:val="5DEB0993"/>
    <w:rsid w:val="5E042870"/>
    <w:rsid w:val="5E7D30ED"/>
    <w:rsid w:val="5EAD6C9C"/>
    <w:rsid w:val="5EAE2515"/>
    <w:rsid w:val="5ED52824"/>
    <w:rsid w:val="5EF0582B"/>
    <w:rsid w:val="5F435985"/>
    <w:rsid w:val="5F4D79D3"/>
    <w:rsid w:val="5FB62151"/>
    <w:rsid w:val="5FCF6E40"/>
    <w:rsid w:val="5FDF3616"/>
    <w:rsid w:val="5FED676F"/>
    <w:rsid w:val="601A4B11"/>
    <w:rsid w:val="607209CF"/>
    <w:rsid w:val="60873C43"/>
    <w:rsid w:val="608C742D"/>
    <w:rsid w:val="6091482D"/>
    <w:rsid w:val="609B7E78"/>
    <w:rsid w:val="60AA7836"/>
    <w:rsid w:val="60AB765E"/>
    <w:rsid w:val="60DD1149"/>
    <w:rsid w:val="60E85A88"/>
    <w:rsid w:val="610004E5"/>
    <w:rsid w:val="61051D03"/>
    <w:rsid w:val="610D34E3"/>
    <w:rsid w:val="612D657A"/>
    <w:rsid w:val="6153188F"/>
    <w:rsid w:val="618E3FB1"/>
    <w:rsid w:val="61F13505"/>
    <w:rsid w:val="61F70891"/>
    <w:rsid w:val="62081E98"/>
    <w:rsid w:val="620B661D"/>
    <w:rsid w:val="620F2A52"/>
    <w:rsid w:val="624812F3"/>
    <w:rsid w:val="6264571E"/>
    <w:rsid w:val="62AC3EE8"/>
    <w:rsid w:val="62AE5028"/>
    <w:rsid w:val="62BE7E2A"/>
    <w:rsid w:val="62C53D5B"/>
    <w:rsid w:val="62DB04CF"/>
    <w:rsid w:val="62F95F84"/>
    <w:rsid w:val="63027C9D"/>
    <w:rsid w:val="633B4BA0"/>
    <w:rsid w:val="636E0FFC"/>
    <w:rsid w:val="63AB2595"/>
    <w:rsid w:val="63AC68ED"/>
    <w:rsid w:val="640A64F7"/>
    <w:rsid w:val="64340F42"/>
    <w:rsid w:val="64676CB4"/>
    <w:rsid w:val="64A642B7"/>
    <w:rsid w:val="64EF561D"/>
    <w:rsid w:val="65075DE6"/>
    <w:rsid w:val="65231E3A"/>
    <w:rsid w:val="65482DDF"/>
    <w:rsid w:val="654A5867"/>
    <w:rsid w:val="655318C6"/>
    <w:rsid w:val="6560259F"/>
    <w:rsid w:val="65931EDD"/>
    <w:rsid w:val="65B23AC1"/>
    <w:rsid w:val="65DE28A6"/>
    <w:rsid w:val="65E60B6F"/>
    <w:rsid w:val="66041C0C"/>
    <w:rsid w:val="66613728"/>
    <w:rsid w:val="666910D5"/>
    <w:rsid w:val="667A0BE3"/>
    <w:rsid w:val="66A837D1"/>
    <w:rsid w:val="66B43920"/>
    <w:rsid w:val="66D22602"/>
    <w:rsid w:val="66FE32A8"/>
    <w:rsid w:val="67540551"/>
    <w:rsid w:val="679C7331"/>
    <w:rsid w:val="67AF6427"/>
    <w:rsid w:val="67B4480B"/>
    <w:rsid w:val="67CA21D2"/>
    <w:rsid w:val="67CD2E0A"/>
    <w:rsid w:val="67E95CE9"/>
    <w:rsid w:val="67FE7603"/>
    <w:rsid w:val="680D034C"/>
    <w:rsid w:val="6815685E"/>
    <w:rsid w:val="684A29D3"/>
    <w:rsid w:val="688B3E6F"/>
    <w:rsid w:val="68975BA0"/>
    <w:rsid w:val="68AE4C8E"/>
    <w:rsid w:val="68C72BC1"/>
    <w:rsid w:val="68F17A34"/>
    <w:rsid w:val="68FF13A4"/>
    <w:rsid w:val="690178B8"/>
    <w:rsid w:val="69497B31"/>
    <w:rsid w:val="694C14FE"/>
    <w:rsid w:val="695318FB"/>
    <w:rsid w:val="6958523A"/>
    <w:rsid w:val="69854E5E"/>
    <w:rsid w:val="699E4E29"/>
    <w:rsid w:val="699F0071"/>
    <w:rsid w:val="699F31A7"/>
    <w:rsid w:val="69A426B3"/>
    <w:rsid w:val="6A4A278F"/>
    <w:rsid w:val="6A4B7F7C"/>
    <w:rsid w:val="6A5F1E0E"/>
    <w:rsid w:val="6A736CBD"/>
    <w:rsid w:val="6A845C6A"/>
    <w:rsid w:val="6A9B1068"/>
    <w:rsid w:val="6A9E6904"/>
    <w:rsid w:val="6ABD48B3"/>
    <w:rsid w:val="6AC36461"/>
    <w:rsid w:val="6AFF3C12"/>
    <w:rsid w:val="6B1F5808"/>
    <w:rsid w:val="6B25333A"/>
    <w:rsid w:val="6B4B3FBF"/>
    <w:rsid w:val="6B5D1494"/>
    <w:rsid w:val="6B795DAA"/>
    <w:rsid w:val="6B8F7EE2"/>
    <w:rsid w:val="6BC74DB9"/>
    <w:rsid w:val="6BCD3C6B"/>
    <w:rsid w:val="6BF8707F"/>
    <w:rsid w:val="6C2B5BB8"/>
    <w:rsid w:val="6C593B8F"/>
    <w:rsid w:val="6C8267EF"/>
    <w:rsid w:val="6CA25293"/>
    <w:rsid w:val="6CC61278"/>
    <w:rsid w:val="6CCC120C"/>
    <w:rsid w:val="6CD96D2B"/>
    <w:rsid w:val="6CE02A99"/>
    <w:rsid w:val="6CE420E2"/>
    <w:rsid w:val="6CFB0AEE"/>
    <w:rsid w:val="6D04283D"/>
    <w:rsid w:val="6D1A649B"/>
    <w:rsid w:val="6D294295"/>
    <w:rsid w:val="6D2E186C"/>
    <w:rsid w:val="6DBF3308"/>
    <w:rsid w:val="6E0428BC"/>
    <w:rsid w:val="6E0A5F6B"/>
    <w:rsid w:val="6E0B6F9C"/>
    <w:rsid w:val="6E320196"/>
    <w:rsid w:val="6E39241B"/>
    <w:rsid w:val="6ECE7846"/>
    <w:rsid w:val="6EE03BED"/>
    <w:rsid w:val="6F1878CF"/>
    <w:rsid w:val="6F18799F"/>
    <w:rsid w:val="6F5020EA"/>
    <w:rsid w:val="6F5A5949"/>
    <w:rsid w:val="6FAF644F"/>
    <w:rsid w:val="6FB1408D"/>
    <w:rsid w:val="6FDE5227"/>
    <w:rsid w:val="70462B36"/>
    <w:rsid w:val="70553C42"/>
    <w:rsid w:val="70901464"/>
    <w:rsid w:val="70940BF4"/>
    <w:rsid w:val="70A0261E"/>
    <w:rsid w:val="70A96FE6"/>
    <w:rsid w:val="70B4602B"/>
    <w:rsid w:val="71072DD9"/>
    <w:rsid w:val="716B1A32"/>
    <w:rsid w:val="71732D58"/>
    <w:rsid w:val="718C3E37"/>
    <w:rsid w:val="71915716"/>
    <w:rsid w:val="71955EFB"/>
    <w:rsid w:val="720E7483"/>
    <w:rsid w:val="7211401C"/>
    <w:rsid w:val="721627CD"/>
    <w:rsid w:val="72576952"/>
    <w:rsid w:val="72661D6D"/>
    <w:rsid w:val="72721C75"/>
    <w:rsid w:val="72951A37"/>
    <w:rsid w:val="72A37546"/>
    <w:rsid w:val="72BB5428"/>
    <w:rsid w:val="72DE2250"/>
    <w:rsid w:val="72E12135"/>
    <w:rsid w:val="72E2594D"/>
    <w:rsid w:val="72F20A73"/>
    <w:rsid w:val="73054401"/>
    <w:rsid w:val="730D36FB"/>
    <w:rsid w:val="73150A3D"/>
    <w:rsid w:val="73716B6C"/>
    <w:rsid w:val="737B0A6B"/>
    <w:rsid w:val="73A814F6"/>
    <w:rsid w:val="73CE085D"/>
    <w:rsid w:val="73E44663"/>
    <w:rsid w:val="74282365"/>
    <w:rsid w:val="74427782"/>
    <w:rsid w:val="74512320"/>
    <w:rsid w:val="745B2E48"/>
    <w:rsid w:val="74B3429D"/>
    <w:rsid w:val="74CC51DA"/>
    <w:rsid w:val="74D32EA5"/>
    <w:rsid w:val="74F304CE"/>
    <w:rsid w:val="75146837"/>
    <w:rsid w:val="751533C0"/>
    <w:rsid w:val="751A33F0"/>
    <w:rsid w:val="75294F97"/>
    <w:rsid w:val="75505E1F"/>
    <w:rsid w:val="75670781"/>
    <w:rsid w:val="75744C29"/>
    <w:rsid w:val="75AD6A92"/>
    <w:rsid w:val="75BE639A"/>
    <w:rsid w:val="75C13364"/>
    <w:rsid w:val="75D931E7"/>
    <w:rsid w:val="75E67078"/>
    <w:rsid w:val="76123904"/>
    <w:rsid w:val="762D2664"/>
    <w:rsid w:val="76443A1D"/>
    <w:rsid w:val="767E1270"/>
    <w:rsid w:val="768123B7"/>
    <w:rsid w:val="76902DFA"/>
    <w:rsid w:val="76912CC2"/>
    <w:rsid w:val="76AB6B0A"/>
    <w:rsid w:val="76B628BC"/>
    <w:rsid w:val="76D2656C"/>
    <w:rsid w:val="76D4149B"/>
    <w:rsid w:val="76E60A8D"/>
    <w:rsid w:val="77280D22"/>
    <w:rsid w:val="77526882"/>
    <w:rsid w:val="77836411"/>
    <w:rsid w:val="778C35D8"/>
    <w:rsid w:val="780E027F"/>
    <w:rsid w:val="782034A7"/>
    <w:rsid w:val="78306DEB"/>
    <w:rsid w:val="78620678"/>
    <w:rsid w:val="7866636C"/>
    <w:rsid w:val="78734977"/>
    <w:rsid w:val="78A3381B"/>
    <w:rsid w:val="78BE2D03"/>
    <w:rsid w:val="79182CA6"/>
    <w:rsid w:val="792018DB"/>
    <w:rsid w:val="794C5432"/>
    <w:rsid w:val="79622438"/>
    <w:rsid w:val="79754725"/>
    <w:rsid w:val="797F0343"/>
    <w:rsid w:val="79A70769"/>
    <w:rsid w:val="79DE162C"/>
    <w:rsid w:val="79EE0681"/>
    <w:rsid w:val="7A1D101B"/>
    <w:rsid w:val="7A2540B3"/>
    <w:rsid w:val="7A480199"/>
    <w:rsid w:val="7A603F19"/>
    <w:rsid w:val="7A6C7660"/>
    <w:rsid w:val="7AA73E5E"/>
    <w:rsid w:val="7AAD6471"/>
    <w:rsid w:val="7AC23622"/>
    <w:rsid w:val="7B0254DE"/>
    <w:rsid w:val="7B39348F"/>
    <w:rsid w:val="7B6962D7"/>
    <w:rsid w:val="7B6A2CF0"/>
    <w:rsid w:val="7B84298F"/>
    <w:rsid w:val="7B873604"/>
    <w:rsid w:val="7BA919F6"/>
    <w:rsid w:val="7BAA2185"/>
    <w:rsid w:val="7BB0487A"/>
    <w:rsid w:val="7C361FD1"/>
    <w:rsid w:val="7C4E181F"/>
    <w:rsid w:val="7C6F6FAC"/>
    <w:rsid w:val="7C781FB0"/>
    <w:rsid w:val="7C914A01"/>
    <w:rsid w:val="7CA03FCB"/>
    <w:rsid w:val="7CA9403B"/>
    <w:rsid w:val="7CAE2104"/>
    <w:rsid w:val="7CE75968"/>
    <w:rsid w:val="7D644F18"/>
    <w:rsid w:val="7D7527BD"/>
    <w:rsid w:val="7DA94C83"/>
    <w:rsid w:val="7DDA5C28"/>
    <w:rsid w:val="7E0601E9"/>
    <w:rsid w:val="7E293911"/>
    <w:rsid w:val="7E2F51D6"/>
    <w:rsid w:val="7E4D65E6"/>
    <w:rsid w:val="7E79238B"/>
    <w:rsid w:val="7E931354"/>
    <w:rsid w:val="7EB554A1"/>
    <w:rsid w:val="7F054EDA"/>
    <w:rsid w:val="7F153ED5"/>
    <w:rsid w:val="7F2F6C90"/>
    <w:rsid w:val="7F70522E"/>
    <w:rsid w:val="7F776C84"/>
    <w:rsid w:val="7F7E3D1E"/>
    <w:rsid w:val="7F8C6B77"/>
    <w:rsid w:val="7F961060"/>
    <w:rsid w:val="7FC746CE"/>
    <w:rsid w:val="7FCF14D7"/>
    <w:rsid w:val="7FD00373"/>
    <w:rsid w:val="7FE65316"/>
    <w:rsid w:val="7FF528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paragraph" w:styleId="2">
    <w:name w:val="heading 1"/>
    <w:basedOn w:val="1"/>
    <w:next w:val="1"/>
    <w:link w:val="33"/>
    <w:qFormat/>
    <w:uiPriority w:val="99"/>
    <w:pPr>
      <w:keepNext/>
      <w:keepLines/>
      <w:spacing w:before="340" w:after="330" w:line="578" w:lineRule="auto"/>
      <w:outlineLvl w:val="0"/>
    </w:pPr>
    <w:rPr>
      <w:rFonts w:eastAsia="宋体"/>
      <w:b/>
      <w:bCs/>
      <w:kern w:val="44"/>
      <w:sz w:val="44"/>
      <w:szCs w:val="44"/>
    </w:rPr>
  </w:style>
  <w:style w:type="paragraph" w:styleId="3">
    <w:name w:val="heading 2"/>
    <w:basedOn w:val="1"/>
    <w:next w:val="1"/>
    <w:link w:val="32"/>
    <w:qFormat/>
    <w:uiPriority w:val="0"/>
    <w:pPr>
      <w:keepNext/>
      <w:keepLines/>
      <w:spacing w:before="260" w:after="260" w:line="416" w:lineRule="auto"/>
      <w:outlineLvl w:val="1"/>
    </w:pPr>
    <w:rPr>
      <w:rFonts w:ascii="Cambria" w:hAnsi="Cambria"/>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800"/>
      <w:jc w:val="left"/>
    </w:pPr>
    <w:rPr>
      <w:rFonts w:asciiTheme="minorHAnsi" w:hAnsiTheme="minorHAnsi"/>
      <w:sz w:val="18"/>
      <w:szCs w:val="18"/>
    </w:rPr>
  </w:style>
  <w:style w:type="paragraph" w:styleId="5">
    <w:name w:val="Body Text Indent"/>
    <w:basedOn w:val="1"/>
    <w:link w:val="28"/>
    <w:qFormat/>
    <w:uiPriority w:val="0"/>
    <w:pPr>
      <w:autoSpaceDE w:val="0"/>
      <w:autoSpaceDN w:val="0"/>
      <w:adjustRightInd w:val="0"/>
      <w:snapToGrid w:val="0"/>
      <w:spacing w:line="588" w:lineRule="atLeast"/>
      <w:ind w:left="1596" w:hanging="969"/>
    </w:pPr>
    <w:rPr>
      <w:rFonts w:ascii="宋体" w:hAnsi="宋体"/>
      <w:spacing w:val="6"/>
    </w:rPr>
  </w:style>
  <w:style w:type="paragraph" w:styleId="6">
    <w:name w:val="toc 5"/>
    <w:basedOn w:val="1"/>
    <w:next w:val="1"/>
    <w:qFormat/>
    <w:uiPriority w:val="0"/>
    <w:pPr>
      <w:ind w:left="1200"/>
      <w:jc w:val="left"/>
    </w:pPr>
    <w:rPr>
      <w:rFonts w:asciiTheme="minorHAnsi" w:hAnsiTheme="minorHAnsi"/>
      <w:sz w:val="18"/>
      <w:szCs w:val="18"/>
    </w:rPr>
  </w:style>
  <w:style w:type="paragraph" w:styleId="7">
    <w:name w:val="toc 3"/>
    <w:basedOn w:val="1"/>
    <w:next w:val="1"/>
    <w:qFormat/>
    <w:uiPriority w:val="0"/>
    <w:pPr>
      <w:ind w:left="600"/>
      <w:jc w:val="left"/>
    </w:pPr>
    <w:rPr>
      <w:rFonts w:asciiTheme="minorHAnsi" w:hAnsiTheme="minorHAnsi"/>
      <w:i/>
      <w:iCs/>
      <w:sz w:val="20"/>
      <w:szCs w:val="20"/>
    </w:rPr>
  </w:style>
  <w:style w:type="paragraph" w:styleId="8">
    <w:name w:val="Plain Text"/>
    <w:basedOn w:val="1"/>
    <w:qFormat/>
    <w:uiPriority w:val="0"/>
    <w:rPr>
      <w:rFonts w:ascii="宋体" w:hAnsi="Courier New" w:cs="Courier New"/>
      <w:szCs w:val="21"/>
    </w:rPr>
  </w:style>
  <w:style w:type="paragraph" w:styleId="9">
    <w:name w:val="toc 8"/>
    <w:basedOn w:val="1"/>
    <w:next w:val="1"/>
    <w:qFormat/>
    <w:uiPriority w:val="0"/>
    <w:pPr>
      <w:ind w:left="2100"/>
      <w:jc w:val="left"/>
    </w:pPr>
    <w:rPr>
      <w:rFonts w:asciiTheme="minorHAnsi" w:hAnsiTheme="minorHAnsi"/>
      <w:sz w:val="18"/>
      <w:szCs w:val="18"/>
    </w:rPr>
  </w:style>
  <w:style w:type="paragraph" w:styleId="10">
    <w:name w:val="Balloon Text"/>
    <w:basedOn w:val="1"/>
    <w:link w:val="4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pPr>
      <w:spacing w:before="120" w:after="120"/>
      <w:jc w:val="left"/>
    </w:pPr>
    <w:rPr>
      <w:rFonts w:asciiTheme="minorHAnsi" w:hAnsiTheme="minorHAnsi"/>
      <w:b/>
      <w:bCs/>
      <w:caps/>
      <w:sz w:val="20"/>
      <w:szCs w:val="20"/>
    </w:rPr>
  </w:style>
  <w:style w:type="paragraph" w:styleId="14">
    <w:name w:val="toc 4"/>
    <w:basedOn w:val="1"/>
    <w:next w:val="1"/>
    <w:qFormat/>
    <w:uiPriority w:val="0"/>
    <w:pPr>
      <w:ind w:left="900"/>
      <w:jc w:val="left"/>
    </w:pPr>
    <w:rPr>
      <w:rFonts w:asciiTheme="minorHAnsi" w:hAnsiTheme="minorHAnsi"/>
      <w:sz w:val="18"/>
      <w:szCs w:val="18"/>
    </w:rPr>
  </w:style>
  <w:style w:type="paragraph" w:styleId="15">
    <w:name w:val="toc 6"/>
    <w:basedOn w:val="1"/>
    <w:next w:val="1"/>
    <w:qFormat/>
    <w:uiPriority w:val="0"/>
    <w:pPr>
      <w:ind w:left="1500"/>
      <w:jc w:val="left"/>
    </w:pPr>
    <w:rPr>
      <w:rFonts w:asciiTheme="minorHAnsi" w:hAnsiTheme="minorHAnsi"/>
      <w:sz w:val="18"/>
      <w:szCs w:val="18"/>
    </w:rPr>
  </w:style>
  <w:style w:type="paragraph" w:styleId="16">
    <w:name w:val="toc 2"/>
    <w:basedOn w:val="1"/>
    <w:next w:val="1"/>
    <w:unhideWhenUsed/>
    <w:qFormat/>
    <w:uiPriority w:val="39"/>
    <w:pPr>
      <w:ind w:left="300"/>
      <w:jc w:val="left"/>
    </w:pPr>
    <w:rPr>
      <w:rFonts w:asciiTheme="minorHAnsi" w:hAnsiTheme="minorHAnsi"/>
      <w:smallCaps/>
      <w:sz w:val="20"/>
      <w:szCs w:val="20"/>
    </w:rPr>
  </w:style>
  <w:style w:type="paragraph" w:styleId="17">
    <w:name w:val="toc 9"/>
    <w:basedOn w:val="1"/>
    <w:next w:val="1"/>
    <w:qFormat/>
    <w:uiPriority w:val="0"/>
    <w:pPr>
      <w:ind w:left="2400"/>
      <w:jc w:val="left"/>
    </w:pPr>
    <w:rPr>
      <w:rFonts w:asciiTheme="minorHAnsi" w:hAnsiTheme="minorHAnsi"/>
      <w:sz w:val="18"/>
      <w:szCs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qFormat/>
    <w:uiPriority w:val="0"/>
    <w:pPr>
      <w:spacing w:before="240" w:after="60"/>
      <w:jc w:val="center"/>
      <w:outlineLvl w:val="0"/>
    </w:pPr>
    <w:rPr>
      <w:rFonts w:ascii="Cambria" w:hAnsi="Cambria" w:eastAsia="宋体"/>
      <w:b/>
      <w:bCs/>
      <w:kern w:val="0"/>
      <w:sz w:val="32"/>
      <w:szCs w:val="32"/>
    </w:rPr>
  </w:style>
  <w:style w:type="table" w:styleId="21">
    <w:name w:val="Table Grid"/>
    <w:basedOn w:val="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rPr>
  </w:style>
  <w:style w:type="character" w:styleId="24">
    <w:name w:val="FollowedHyperlink"/>
    <w:qFormat/>
    <w:uiPriority w:val="0"/>
    <w:rPr>
      <w:color w:val="000000"/>
      <w:sz w:val="18"/>
      <w:szCs w:val="18"/>
      <w:u w:val="none"/>
    </w:rPr>
  </w:style>
  <w:style w:type="character" w:styleId="25">
    <w:name w:val="Hyperlink"/>
    <w:unhideWhenUsed/>
    <w:qFormat/>
    <w:uiPriority w:val="99"/>
    <w:rPr>
      <w:color w:val="0563C1"/>
      <w:u w:val="single"/>
    </w:rPr>
  </w:style>
  <w:style w:type="character" w:customStyle="1" w:styleId="26">
    <w:name w:val="font51"/>
    <w:qFormat/>
    <w:uiPriority w:val="0"/>
    <w:rPr>
      <w:rFonts w:hint="eastAsia" w:ascii="宋体" w:hAnsi="宋体" w:eastAsia="宋体" w:cs="宋体"/>
      <w:color w:val="000000"/>
      <w:sz w:val="20"/>
      <w:szCs w:val="20"/>
      <w:u w:val="none"/>
    </w:rPr>
  </w:style>
  <w:style w:type="character" w:customStyle="1" w:styleId="27">
    <w:name w:val="font21"/>
    <w:qFormat/>
    <w:uiPriority w:val="0"/>
    <w:rPr>
      <w:rFonts w:hint="eastAsia" w:ascii="宋体" w:hAnsi="宋体" w:eastAsia="宋体" w:cs="宋体"/>
      <w:color w:val="000000"/>
      <w:sz w:val="20"/>
      <w:szCs w:val="20"/>
      <w:u w:val="none"/>
    </w:rPr>
  </w:style>
  <w:style w:type="character" w:customStyle="1" w:styleId="28">
    <w:name w:val="正文文本缩进 Char"/>
    <w:link w:val="5"/>
    <w:qFormat/>
    <w:uiPriority w:val="0"/>
    <w:rPr>
      <w:rFonts w:ascii="宋体" w:hAnsi="宋体" w:eastAsia="仿宋_GB2312"/>
      <w:spacing w:val="6"/>
      <w:kern w:val="2"/>
      <w:sz w:val="30"/>
      <w:szCs w:val="24"/>
    </w:rPr>
  </w:style>
  <w:style w:type="character" w:customStyle="1" w:styleId="29">
    <w:name w:val="font61"/>
    <w:qFormat/>
    <w:uiPriority w:val="0"/>
    <w:rPr>
      <w:rFonts w:hint="eastAsia" w:ascii="宋体" w:hAnsi="宋体" w:eastAsia="宋体" w:cs="宋体"/>
      <w:color w:val="000000"/>
      <w:sz w:val="20"/>
      <w:szCs w:val="20"/>
      <w:u w:val="none"/>
    </w:rPr>
  </w:style>
  <w:style w:type="character" w:customStyle="1" w:styleId="30">
    <w:name w:val="font01"/>
    <w:qFormat/>
    <w:uiPriority w:val="0"/>
    <w:rPr>
      <w:rFonts w:hint="eastAsia" w:ascii="宋体" w:hAnsi="宋体" w:eastAsia="宋体" w:cs="宋体"/>
      <w:color w:val="000000"/>
      <w:sz w:val="20"/>
      <w:szCs w:val="20"/>
      <w:u w:val="none"/>
    </w:rPr>
  </w:style>
  <w:style w:type="character" w:customStyle="1" w:styleId="31">
    <w:name w:val="font41"/>
    <w:qFormat/>
    <w:uiPriority w:val="0"/>
    <w:rPr>
      <w:rFonts w:hint="default" w:ascii="Times New Roman" w:hAnsi="Times New Roman" w:cs="Times New Roman"/>
      <w:color w:val="000000"/>
      <w:sz w:val="20"/>
      <w:szCs w:val="20"/>
      <w:u w:val="none"/>
    </w:rPr>
  </w:style>
  <w:style w:type="character" w:customStyle="1" w:styleId="32">
    <w:name w:val="标题 2 Char"/>
    <w:link w:val="3"/>
    <w:qFormat/>
    <w:uiPriority w:val="0"/>
    <w:rPr>
      <w:rFonts w:ascii="Cambria" w:hAnsi="Cambria" w:eastAsia="仿宋_GB2312"/>
      <w:b/>
      <w:bCs/>
      <w:kern w:val="2"/>
      <w:sz w:val="32"/>
      <w:szCs w:val="32"/>
    </w:rPr>
  </w:style>
  <w:style w:type="character" w:customStyle="1" w:styleId="33">
    <w:name w:val="标题 1 Char"/>
    <w:link w:val="2"/>
    <w:qFormat/>
    <w:uiPriority w:val="99"/>
    <w:rPr>
      <w:b/>
      <w:bCs/>
      <w:kern w:val="44"/>
      <w:sz w:val="44"/>
      <w:szCs w:val="44"/>
    </w:rPr>
  </w:style>
  <w:style w:type="character" w:customStyle="1" w:styleId="34">
    <w:name w:val="font11"/>
    <w:qFormat/>
    <w:uiPriority w:val="0"/>
    <w:rPr>
      <w:rFonts w:hint="eastAsia" w:ascii="宋体" w:hAnsi="宋体" w:eastAsia="宋体" w:cs="宋体"/>
      <w:color w:val="000000"/>
      <w:sz w:val="20"/>
      <w:szCs w:val="20"/>
      <w:u w:val="none"/>
    </w:rPr>
  </w:style>
  <w:style w:type="character" w:customStyle="1" w:styleId="35">
    <w:name w:val="font71"/>
    <w:qFormat/>
    <w:uiPriority w:val="0"/>
    <w:rPr>
      <w:rFonts w:hint="eastAsia" w:ascii="宋体" w:hAnsi="宋体" w:eastAsia="宋体" w:cs="宋体"/>
      <w:color w:val="000000"/>
      <w:sz w:val="16"/>
      <w:szCs w:val="16"/>
      <w:u w:val="none"/>
    </w:rPr>
  </w:style>
  <w:style w:type="paragraph" w:customStyle="1" w:styleId="36">
    <w:name w:val="标题 11"/>
    <w:basedOn w:val="1"/>
    <w:qFormat/>
    <w:uiPriority w:val="1"/>
    <w:pPr>
      <w:ind w:left="226"/>
      <w:outlineLvl w:val="1"/>
    </w:pPr>
    <w:rPr>
      <w:rFonts w:ascii="仿宋_GB2312" w:hAnsi="仿宋_GB2312"/>
      <w:sz w:val="32"/>
      <w:szCs w:val="32"/>
    </w:rPr>
  </w:style>
  <w:style w:type="paragraph" w:customStyle="1" w:styleId="37">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3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1">
    <w:name w:val="批注框文本 Char"/>
    <w:basedOn w:val="22"/>
    <w:link w:val="10"/>
    <w:qFormat/>
    <w:uiPriority w:val="0"/>
    <w:rPr>
      <w:rFonts w:eastAsia="仿宋_GB2312"/>
      <w:kern w:val="2"/>
      <w:sz w:val="18"/>
      <w:szCs w:val="18"/>
    </w:rPr>
  </w:style>
  <w:style w:type="character" w:customStyle="1" w:styleId="42">
    <w:name w:val="font31"/>
    <w:basedOn w:val="22"/>
    <w:qFormat/>
    <w:uiPriority w:val="0"/>
    <w:rPr>
      <w:rFonts w:hint="eastAsia" w:ascii="宋体" w:hAnsi="宋体" w:eastAsia="宋体" w:cs="宋体"/>
      <w:color w:val="000000"/>
      <w:sz w:val="20"/>
      <w:szCs w:val="20"/>
      <w:u w:val="none"/>
    </w:rPr>
  </w:style>
  <w:style w:type="character" w:customStyle="1" w:styleId="43">
    <w:name w:val="font91"/>
    <w:basedOn w:val="22"/>
    <w:qFormat/>
    <w:uiPriority w:val="0"/>
    <w:rPr>
      <w:rFonts w:hint="default" w:ascii="Times New Roman" w:hAnsi="Times New Roman" w:cs="Times New Roman"/>
      <w:color w:val="000000"/>
      <w:sz w:val="20"/>
      <w:szCs w:val="20"/>
      <w:u w:val="none"/>
    </w:rPr>
  </w:style>
  <w:style w:type="character" w:customStyle="1" w:styleId="44">
    <w:name w:val="font101"/>
    <w:basedOn w:val="22"/>
    <w:qFormat/>
    <w:uiPriority w:val="0"/>
    <w:rPr>
      <w:rFonts w:hint="default" w:ascii="Times New Roman" w:hAnsi="Times New Roman" w:cs="Times New Roman"/>
      <w:color w:val="000000"/>
      <w:sz w:val="20"/>
      <w:szCs w:val="20"/>
      <w:u w:val="none"/>
    </w:rPr>
  </w:style>
  <w:style w:type="paragraph" w:customStyle="1" w:styleId="45">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5"/>
    <customShpInfo spid="_x0000_s2069"/>
    <customShpInfo spid="_x0000_s2060"/>
    <customShpInfo spid="_x0000_s2058"/>
    <customShpInfo spid="_x0000_s105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D017C-430E-4C68-BA73-F8FD2BDC7018}">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26</Pages>
  <Words>2174</Words>
  <Characters>12393</Characters>
  <Lines>103</Lines>
  <Paragraphs>29</Paragraphs>
  <TotalTime>72</TotalTime>
  <ScaleCrop>false</ScaleCrop>
  <LinksUpToDate>false</LinksUpToDate>
  <CharactersWithSpaces>14538</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2020-05-23T06:47:00Z</dcterms:created>
  <dc:creator>89532</dc:creator>
  <cp:lastModifiedBy>user</cp:lastModifiedBy>
  <cp:lastPrinted>2018-06-28T08:27:00Z</cp:lastPrinted>
  <dcterms:modified xsi:type="dcterms:W3CDTF">2025-05-14T05:44:30Z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309564E1A6FA49448C825DFBD879352D</vt:lpwstr>
  </property>
</Properties>
</file>