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43936">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14:paraId="7F41CEEA">
      <w:pPr>
        <w:spacing w:line="360" w:lineRule="auto"/>
        <w:jc w:val="center"/>
        <w:rPr>
          <w:rFonts w:hint="eastAsia" w:ascii="宋体" w:hAnsi="宋体" w:eastAsia="宋体"/>
          <w:b/>
          <w:sz w:val="44"/>
          <w:szCs w:val="44"/>
          <w:lang w:val="en-US" w:eastAsia="zh-CN"/>
        </w:rPr>
      </w:pPr>
      <w:r>
        <w:rPr>
          <w:rFonts w:hint="eastAsia" w:ascii="宋体" w:hAnsi="宋体" w:eastAsia="宋体"/>
          <w:b/>
          <w:sz w:val="44"/>
          <w:szCs w:val="44"/>
          <w:lang w:val="en-US" w:eastAsia="zh-CN"/>
        </w:rPr>
        <w:t>保定市徐水区机关服务中心</w:t>
      </w:r>
    </w:p>
    <w:p w14:paraId="499BBF9B">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lang w:eastAsia="zh-CN"/>
        </w:rPr>
        <w:t>单位</w:t>
      </w:r>
      <w:r>
        <w:rPr>
          <w:rFonts w:ascii="宋体" w:hAnsi="宋体" w:eastAsia="宋体"/>
          <w:b/>
          <w:sz w:val="44"/>
          <w:szCs w:val="44"/>
        </w:rPr>
        <w:t>预算公开说明</w:t>
      </w:r>
    </w:p>
    <w:p w14:paraId="087D6BE6">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5F0A1F59">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14:paraId="4456B5AF">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rPr>
        <w:t>单位</w:t>
      </w:r>
      <w:r>
        <w:rPr>
          <w:rFonts w:ascii="方正小标宋_GBK" w:eastAsia="方正小标宋_GBK"/>
          <w:sz w:val="44"/>
        </w:rPr>
        <w:t>职责及机构设置情况</w:t>
      </w:r>
    </w:p>
    <w:p w14:paraId="3460AFE7">
      <w:pPr>
        <w:jc w:val="center"/>
        <w:outlineLvl w:val="0"/>
        <w:rPr>
          <w:rFonts w:ascii="方正小标宋_GBK" w:eastAsia="方正小标宋_GBK"/>
          <w:sz w:val="44"/>
        </w:rPr>
      </w:pPr>
    </w:p>
    <w:p w14:paraId="516005B7">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14:paraId="6FEF4805">
      <w:pPr>
        <w:widowControl/>
        <w:autoSpaceDE w:val="0"/>
        <w:autoSpaceDN w:val="0"/>
        <w:adjustRightInd w:val="0"/>
        <w:spacing w:line="52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根据中共徐水区委、徐水区人民政府《关于县直机关机构改革实施方案》（徐发[2002]26号），现将保定市徐水区机关服务中心概况说明如下：</w:t>
      </w:r>
    </w:p>
    <w:p w14:paraId="1E2E7A10">
      <w:pPr>
        <w:widowControl/>
        <w:autoSpaceDE w:val="0"/>
        <w:autoSpaceDN w:val="0"/>
        <w:adjustRightIn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（一）负责区委、区政府、人大、政协等机关和归属政府所有权的房产及设施的登记、分配、维修、改造和建设任务。</w:t>
      </w:r>
    </w:p>
    <w:p w14:paraId="7EB9E942">
      <w:pPr>
        <w:widowControl/>
        <w:autoSpaceDE w:val="0"/>
        <w:autoSpaceDN w:val="0"/>
        <w:adjustRightIn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（二）负责区委、区政府、人大、政协等机关大院和科委、科协、信访局等</w:t>
      </w:r>
      <w:r>
        <w:rPr>
          <w:rFonts w:hint="eastAsia" w:ascii="仿宋" w:hAnsi="仿宋" w:eastAsia="仿宋" w:cs="仿宋_GB2312"/>
          <w:kern w:val="0"/>
          <w:sz w:val="32"/>
          <w:szCs w:val="32"/>
          <w:lang w:eastAsia="zh-CN"/>
        </w:rPr>
        <w:t>部门</w:t>
      </w:r>
      <w:r>
        <w:rPr>
          <w:rFonts w:hint="eastAsia" w:ascii="仿宋" w:hAnsi="仿宋" w:eastAsia="仿宋" w:cs="仿宋_GB2312"/>
          <w:kern w:val="0"/>
          <w:sz w:val="32"/>
          <w:szCs w:val="32"/>
        </w:rPr>
        <w:t>的冬季取暖及所属锅炉和设备的保养、维修和使用。</w:t>
      </w:r>
    </w:p>
    <w:p w14:paraId="545DE303">
      <w:pPr>
        <w:widowControl/>
        <w:autoSpaceDE w:val="0"/>
        <w:autoSpaceDN w:val="0"/>
        <w:adjustRightIn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（三）负责区委、区政府、人大、</w:t>
      </w:r>
      <w:r>
        <w:rPr>
          <w:rFonts w:hint="eastAsia" w:ascii="仿宋" w:hAnsi="仿宋" w:eastAsia="仿宋" w:cs="Times New Roman"/>
          <w:sz w:val="32"/>
          <w:szCs w:val="32"/>
        </w:rPr>
        <w:t>政协机关大院的干部、职工就餐和开水供应。</w:t>
      </w:r>
    </w:p>
    <w:p w14:paraId="3A72F762">
      <w:pPr>
        <w:spacing w:line="360" w:lineRule="auto"/>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（四）负责区委、区政府、人大、政协等机关的安全保卫、环境卫生、绿化、美化和形象建设。</w:t>
      </w:r>
    </w:p>
    <w:p w14:paraId="25CB0AE3">
      <w:pPr>
        <w:spacing w:line="360" w:lineRule="auto"/>
        <w:ind w:firstLine="640" w:firstLineChars="200"/>
        <w:rPr>
          <w:rFonts w:hint="eastAsia" w:ascii="仿宋" w:hAnsi="仿宋" w:eastAsia="仿宋" w:cs="仿宋_GB2312"/>
          <w:kern w:val="0"/>
          <w:sz w:val="32"/>
          <w:szCs w:val="32"/>
        </w:rPr>
      </w:pPr>
    </w:p>
    <w:p w14:paraId="0601BB00">
      <w:pPr>
        <w:spacing w:line="360" w:lineRule="auto"/>
        <w:ind w:firstLine="640" w:firstLineChars="200"/>
        <w:rPr>
          <w:rFonts w:hint="eastAsia" w:ascii="仿宋" w:hAnsi="仿宋" w:eastAsia="仿宋" w:cs="仿宋_GB2312"/>
          <w:kern w:val="0"/>
          <w:sz w:val="32"/>
          <w:szCs w:val="32"/>
          <w:lang w:eastAsia="uk-UA"/>
        </w:rPr>
      </w:pPr>
    </w:p>
    <w:p w14:paraId="5FC1175E">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70F7A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6158F9D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B5A9B5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名称</w:t>
            </w:r>
          </w:p>
        </w:tc>
        <w:tc>
          <w:tcPr>
            <w:tcW w:w="1701" w:type="dxa"/>
            <w:tcBorders>
              <w:bottom w:val="single" w:color="000000" w:sz="6" w:space="0"/>
            </w:tcBorders>
            <w:vAlign w:val="center"/>
          </w:tcPr>
          <w:p w14:paraId="6E49DC8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性质</w:t>
            </w:r>
          </w:p>
        </w:tc>
        <w:tc>
          <w:tcPr>
            <w:tcW w:w="1418" w:type="dxa"/>
            <w:tcBorders>
              <w:bottom w:val="single" w:color="000000" w:sz="6" w:space="0"/>
            </w:tcBorders>
            <w:vAlign w:val="center"/>
          </w:tcPr>
          <w:p w14:paraId="3EF9CB1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规格</w:t>
            </w:r>
          </w:p>
        </w:tc>
        <w:tc>
          <w:tcPr>
            <w:tcW w:w="3260" w:type="dxa"/>
            <w:tcBorders>
              <w:bottom w:val="single" w:color="000000" w:sz="6" w:space="0"/>
            </w:tcBorders>
            <w:vAlign w:val="center"/>
          </w:tcPr>
          <w:p w14:paraId="0CB7370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42DBE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8659EAD">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top w:val="single" w:color="auto" w:sz="4" w:space="0"/>
              <w:bottom w:val="single" w:color="auto" w:sz="4" w:space="0"/>
            </w:tcBorders>
            <w:vAlign w:val="center"/>
          </w:tcPr>
          <w:p w14:paraId="36FB2CFE">
            <w:pPr>
              <w:jc w:val="center"/>
              <w:rPr>
                <w:rFonts w:ascii="仿宋_GB2312" w:hAnsi="仿宋" w:eastAsia="仿宋_GB2312"/>
                <w:bCs/>
                <w:sz w:val="24"/>
                <w:szCs w:val="24"/>
              </w:rPr>
            </w:pPr>
            <w:r>
              <w:rPr>
                <w:rFonts w:hint="eastAsia" w:ascii="仿宋_GB2312" w:hAnsi="仿宋" w:eastAsia="仿宋_GB2312"/>
                <w:bCs/>
                <w:sz w:val="24"/>
                <w:szCs w:val="24"/>
              </w:rPr>
              <w:t>保定市徐水区机关服务中心</w:t>
            </w:r>
          </w:p>
        </w:tc>
        <w:tc>
          <w:tcPr>
            <w:tcW w:w="1701" w:type="dxa"/>
            <w:vAlign w:val="center"/>
          </w:tcPr>
          <w:p w14:paraId="3EA6EBE5">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2480CE09">
            <w:pPr>
              <w:jc w:val="center"/>
              <w:rPr>
                <w:rFonts w:ascii="仿宋_GB2312" w:hAnsi="仿宋" w:eastAsia="仿宋_GB2312"/>
                <w:bCs/>
                <w:sz w:val="24"/>
                <w:szCs w:val="24"/>
              </w:rPr>
            </w:pPr>
          </w:p>
        </w:tc>
        <w:tc>
          <w:tcPr>
            <w:tcW w:w="3260" w:type="dxa"/>
            <w:vAlign w:val="center"/>
          </w:tcPr>
          <w:p w14:paraId="19FFAEAE">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14:paraId="654495CC">
      <w:pPr>
        <w:spacing w:line="360" w:lineRule="auto"/>
        <w:rPr>
          <w:rFonts w:ascii="仿宋" w:hAnsi="仿宋" w:eastAsia="仿宋"/>
          <w:b/>
          <w:sz w:val="32"/>
          <w:szCs w:val="32"/>
        </w:rPr>
      </w:pPr>
    </w:p>
    <w:p w14:paraId="2D288F8C">
      <w:pPr>
        <w:spacing w:line="360" w:lineRule="auto"/>
        <w:rPr>
          <w:rFonts w:ascii="仿宋" w:hAnsi="仿宋" w:eastAsia="仿宋"/>
          <w:b/>
          <w:sz w:val="32"/>
          <w:szCs w:val="32"/>
        </w:rPr>
      </w:pPr>
    </w:p>
    <w:p w14:paraId="392917B1">
      <w:pPr>
        <w:spacing w:line="360" w:lineRule="auto"/>
        <w:rPr>
          <w:rFonts w:ascii="仿宋" w:hAnsi="仿宋" w:eastAsia="仿宋"/>
          <w:b/>
          <w:sz w:val="32"/>
          <w:szCs w:val="32"/>
        </w:rPr>
      </w:pPr>
    </w:p>
    <w:p w14:paraId="2770C95D">
      <w:pPr>
        <w:jc w:val="center"/>
        <w:outlineLvl w:val="0"/>
        <w:rPr>
          <w:rFonts w:hint="eastAsia" w:ascii="方正小标宋_GBK" w:eastAsia="方正小标宋_GBK"/>
          <w:sz w:val="44"/>
        </w:rPr>
      </w:pPr>
      <w:r>
        <w:rPr>
          <w:rFonts w:hint="eastAsia" w:ascii="方正小标宋_GBK" w:eastAsia="方正小标宋_GBK"/>
          <w:sz w:val="44"/>
        </w:rPr>
        <w:t>第二部分：单位预算安排的总体情况</w:t>
      </w:r>
    </w:p>
    <w:p w14:paraId="4A4ADC0F">
      <w:pPr>
        <w:jc w:val="center"/>
        <w:outlineLvl w:val="0"/>
        <w:rPr>
          <w:rFonts w:hint="eastAsia" w:ascii="方正小标宋_GBK" w:eastAsia="方正小标宋_GBK"/>
          <w:sz w:val="44"/>
        </w:rPr>
      </w:pPr>
    </w:p>
    <w:p w14:paraId="6B9A5319">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14:paraId="44720698">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602DDA0C">
      <w:pPr>
        <w:spacing w:line="360" w:lineRule="auto"/>
        <w:ind w:firstLine="640" w:firstLineChars="200"/>
        <w:rPr>
          <w:rFonts w:ascii="仿宋" w:hAnsi="仿宋" w:eastAsia="仿宋"/>
          <w:sz w:val="32"/>
          <w:szCs w:val="32"/>
        </w:rPr>
      </w:pPr>
      <w:r>
        <w:rPr>
          <w:rFonts w:ascii="仿宋" w:hAnsi="仿宋" w:eastAsia="仿宋"/>
          <w:sz w:val="32"/>
          <w:szCs w:val="32"/>
        </w:rPr>
        <w:t>2022年预算收入为726.17万元,其中：一般公共预算收入726.17万元，基金预算收入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17167E83">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402A37F2">
      <w:pPr>
        <w:spacing w:line="360" w:lineRule="auto"/>
        <w:ind w:firstLine="640" w:firstLineChars="200"/>
        <w:rPr>
          <w:rFonts w:ascii="仿宋" w:hAnsi="仿宋" w:eastAsia="仿宋"/>
          <w:sz w:val="32"/>
          <w:szCs w:val="32"/>
        </w:rPr>
      </w:pPr>
      <w:r>
        <w:rPr>
          <w:rFonts w:ascii="仿宋" w:hAnsi="仿宋" w:eastAsia="仿宋"/>
          <w:sz w:val="32"/>
          <w:szCs w:val="32"/>
        </w:rPr>
        <w:t>2022年</w:t>
      </w:r>
      <w:r>
        <w:rPr>
          <w:rFonts w:hint="eastAsia" w:ascii="仿宋" w:hAnsi="仿宋" w:eastAsia="仿宋"/>
          <w:sz w:val="32"/>
          <w:szCs w:val="32"/>
          <w:lang w:eastAsia="zh-CN"/>
        </w:rPr>
        <w:t>单位</w:t>
      </w:r>
      <w:r>
        <w:rPr>
          <w:rFonts w:ascii="仿宋" w:hAnsi="仿宋" w:eastAsia="仿宋"/>
          <w:sz w:val="32"/>
          <w:szCs w:val="32"/>
        </w:rPr>
        <w:t>支出预算：726.17万元</w:t>
      </w:r>
    </w:p>
    <w:p w14:paraId="520320C9">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基本支出523.83万元</w:t>
      </w:r>
    </w:p>
    <w:p w14:paraId="178931C3">
      <w:pPr>
        <w:spacing w:line="360" w:lineRule="auto"/>
        <w:ind w:firstLine="640" w:firstLineChars="200"/>
        <w:rPr>
          <w:rFonts w:ascii="仿宋" w:hAnsi="仿宋" w:eastAsia="仿宋"/>
          <w:sz w:val="32"/>
          <w:szCs w:val="32"/>
        </w:rPr>
      </w:pPr>
      <w:r>
        <w:rPr>
          <w:rFonts w:ascii="仿宋" w:hAnsi="仿宋" w:eastAsia="仿宋"/>
          <w:sz w:val="32"/>
          <w:szCs w:val="32"/>
        </w:rPr>
        <w:t>其中：人员经费</w:t>
      </w:r>
      <w:r>
        <w:rPr>
          <w:rFonts w:hint="eastAsia" w:ascii="仿宋" w:hAnsi="仿宋" w:eastAsia="仿宋"/>
          <w:sz w:val="32"/>
          <w:szCs w:val="32"/>
        </w:rPr>
        <w:t>114.37</w:t>
      </w:r>
      <w:r>
        <w:rPr>
          <w:rFonts w:ascii="仿宋" w:hAnsi="仿宋" w:eastAsia="仿宋"/>
          <w:sz w:val="32"/>
          <w:szCs w:val="32"/>
        </w:rPr>
        <w:t>万元</w:t>
      </w:r>
    </w:p>
    <w:p w14:paraId="303BAF16">
      <w:pPr>
        <w:spacing w:line="360" w:lineRule="auto"/>
        <w:ind w:firstLine="640" w:firstLineChars="200"/>
        <w:rPr>
          <w:rFonts w:ascii="仿宋" w:hAnsi="仿宋" w:eastAsia="仿宋"/>
          <w:sz w:val="32"/>
          <w:szCs w:val="32"/>
        </w:rPr>
      </w:pPr>
      <w:r>
        <w:rPr>
          <w:rFonts w:ascii="仿宋" w:hAnsi="仿宋" w:eastAsia="仿宋"/>
          <w:sz w:val="32"/>
          <w:szCs w:val="32"/>
        </w:rPr>
        <w:t>日常公用经费</w:t>
      </w:r>
      <w:r>
        <w:rPr>
          <w:rFonts w:hint="eastAsia" w:ascii="仿宋" w:hAnsi="仿宋" w:eastAsia="仿宋"/>
          <w:sz w:val="32"/>
          <w:szCs w:val="32"/>
        </w:rPr>
        <w:t>409.46</w:t>
      </w:r>
      <w:r>
        <w:rPr>
          <w:rFonts w:ascii="仿宋" w:hAnsi="仿宋" w:eastAsia="仿宋"/>
          <w:sz w:val="32"/>
          <w:szCs w:val="32"/>
        </w:rPr>
        <w:t>万元</w:t>
      </w:r>
    </w:p>
    <w:p w14:paraId="76484324">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项目支出202.34</w:t>
      </w:r>
      <w:r>
        <w:rPr>
          <w:rFonts w:ascii="仿宋" w:hAnsi="仿宋" w:eastAsia="仿宋"/>
          <w:sz w:val="32"/>
          <w:szCs w:val="32"/>
        </w:rPr>
        <w:t>万元</w:t>
      </w:r>
    </w:p>
    <w:p w14:paraId="11812E29">
      <w:pPr>
        <w:spacing w:line="360" w:lineRule="auto"/>
        <w:ind w:firstLine="640" w:firstLineChars="200"/>
        <w:rPr>
          <w:rFonts w:ascii="仿宋" w:hAnsi="仿宋" w:eastAsia="仿宋"/>
          <w:sz w:val="32"/>
          <w:szCs w:val="32"/>
        </w:rPr>
      </w:pPr>
      <w:r>
        <w:rPr>
          <w:rFonts w:ascii="仿宋" w:hAnsi="仿宋" w:eastAsia="仿宋"/>
          <w:sz w:val="32"/>
          <w:szCs w:val="32"/>
        </w:rPr>
        <w:t>其中：本级支出</w:t>
      </w:r>
      <w:r>
        <w:rPr>
          <w:rFonts w:hint="eastAsia" w:ascii="仿宋" w:hAnsi="仿宋" w:eastAsia="仿宋"/>
          <w:sz w:val="32"/>
          <w:szCs w:val="32"/>
        </w:rPr>
        <w:t>202.3</w:t>
      </w:r>
      <w:r>
        <w:rPr>
          <w:rFonts w:ascii="仿宋" w:hAnsi="仿宋" w:eastAsia="仿宋"/>
          <w:sz w:val="32"/>
          <w:szCs w:val="32"/>
        </w:rPr>
        <w:t>万元</w:t>
      </w:r>
    </w:p>
    <w:p w14:paraId="5049AA14">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4B7EE83C">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726.17</w:t>
      </w:r>
      <w:r>
        <w:rPr>
          <w:rFonts w:hint="eastAsia" w:ascii="仿宋" w:hAnsi="仿宋" w:eastAsia="仿宋"/>
          <w:sz w:val="32"/>
          <w:szCs w:val="32"/>
        </w:rPr>
        <w:t>万元，较上年增加</w:t>
      </w:r>
      <w:r>
        <w:rPr>
          <w:rFonts w:hint="eastAsia" w:ascii="仿宋" w:hAnsi="仿宋" w:eastAsia="仿宋"/>
          <w:sz w:val="32"/>
          <w:szCs w:val="32"/>
          <w:lang w:val="en-US" w:eastAsia="zh-CN"/>
        </w:rPr>
        <w:t>265.87</w:t>
      </w:r>
      <w:r>
        <w:rPr>
          <w:rFonts w:ascii="仿宋" w:hAnsi="仿宋" w:eastAsia="仿宋"/>
          <w:sz w:val="32"/>
          <w:szCs w:val="32"/>
        </w:rPr>
        <w:t>万元。其中:基本支出</w:t>
      </w:r>
      <w:r>
        <w:rPr>
          <w:rFonts w:hint="eastAsia" w:ascii="仿宋" w:hAnsi="仿宋" w:eastAsia="仿宋"/>
          <w:sz w:val="32"/>
          <w:szCs w:val="32"/>
          <w:lang w:eastAsia="zh-CN"/>
        </w:rPr>
        <w:t>增加</w:t>
      </w:r>
      <w:r>
        <w:rPr>
          <w:rFonts w:hint="eastAsia" w:ascii="仿宋" w:hAnsi="仿宋" w:eastAsia="仿宋"/>
          <w:sz w:val="32"/>
          <w:szCs w:val="32"/>
          <w:lang w:val="en-US" w:eastAsia="zh-CN"/>
        </w:rPr>
        <w:t>392.03</w:t>
      </w:r>
      <w:r>
        <w:rPr>
          <w:rFonts w:ascii="仿宋" w:hAnsi="仿宋" w:eastAsia="仿宋"/>
          <w:sz w:val="32"/>
          <w:szCs w:val="32"/>
        </w:rPr>
        <w:t>万元，主要原因是</w:t>
      </w:r>
      <w:r>
        <w:rPr>
          <w:rFonts w:hint="eastAsia" w:ascii="仿宋" w:hAnsi="仿宋" w:eastAsia="仿宋"/>
          <w:sz w:val="32"/>
          <w:szCs w:val="32"/>
        </w:rPr>
        <w:t>日常公用支出增加</w:t>
      </w:r>
      <w:r>
        <w:rPr>
          <w:rFonts w:ascii="仿宋" w:hAnsi="仿宋" w:eastAsia="仿宋"/>
          <w:sz w:val="32"/>
          <w:szCs w:val="32"/>
        </w:rPr>
        <w:t>；项目支出减少</w:t>
      </w:r>
      <w:r>
        <w:rPr>
          <w:rFonts w:hint="eastAsia" w:ascii="仿宋" w:hAnsi="仿宋" w:eastAsia="仿宋"/>
          <w:sz w:val="32"/>
          <w:szCs w:val="32"/>
          <w:lang w:val="en-US" w:eastAsia="zh-CN"/>
        </w:rPr>
        <w:t>126.16</w:t>
      </w:r>
      <w:r>
        <w:rPr>
          <w:rFonts w:ascii="仿宋" w:hAnsi="仿宋" w:eastAsia="仿宋"/>
          <w:sz w:val="32"/>
          <w:szCs w:val="32"/>
        </w:rPr>
        <w:t>万元，主要原因是</w:t>
      </w:r>
      <w:r>
        <w:rPr>
          <w:rFonts w:hint="eastAsia" w:ascii="仿宋" w:hAnsi="仿宋" w:eastAsia="仿宋"/>
          <w:sz w:val="32"/>
          <w:szCs w:val="32"/>
        </w:rPr>
        <w:t>本年</w:t>
      </w:r>
      <w:r>
        <w:rPr>
          <w:rFonts w:hint="eastAsia" w:ascii="仿宋" w:hAnsi="仿宋" w:eastAsia="仿宋"/>
          <w:sz w:val="32"/>
          <w:szCs w:val="32"/>
          <w:lang w:val="en-US" w:eastAsia="zh-CN"/>
        </w:rPr>
        <w:t>项目减少</w:t>
      </w:r>
      <w:r>
        <w:rPr>
          <w:rFonts w:ascii="仿宋" w:hAnsi="仿宋" w:eastAsia="仿宋"/>
          <w:sz w:val="32"/>
          <w:szCs w:val="32"/>
        </w:rPr>
        <w:t>。</w:t>
      </w:r>
    </w:p>
    <w:p w14:paraId="4E324F2D">
      <w:pPr>
        <w:spacing w:line="360" w:lineRule="auto"/>
        <w:ind w:firstLine="640" w:firstLineChars="200"/>
        <w:rPr>
          <w:rFonts w:ascii="仿宋" w:hAnsi="仿宋" w:eastAsia="仿宋"/>
          <w:sz w:val="32"/>
          <w:szCs w:val="32"/>
        </w:rPr>
      </w:pPr>
    </w:p>
    <w:p w14:paraId="41B4CDE5">
      <w:pPr>
        <w:jc w:val="center"/>
        <w:outlineLvl w:val="0"/>
        <w:rPr>
          <w:rFonts w:hint="eastAsia" w:ascii="方正小标宋_GBK" w:eastAsia="方正小标宋_GBK"/>
          <w:sz w:val="44"/>
        </w:rPr>
      </w:pPr>
      <w:r>
        <w:rPr>
          <w:rFonts w:hint="eastAsia" w:ascii="方正小标宋_GBK" w:eastAsia="方正小标宋_GBK"/>
          <w:sz w:val="44"/>
        </w:rPr>
        <w:t>第三部分：机关运行经费安排情况</w:t>
      </w:r>
    </w:p>
    <w:p w14:paraId="4D9A4B57">
      <w:pPr>
        <w:jc w:val="center"/>
        <w:outlineLvl w:val="0"/>
        <w:rPr>
          <w:rFonts w:hint="eastAsia" w:ascii="方正小标宋_GBK" w:eastAsia="方正小标宋_GBK"/>
          <w:sz w:val="44"/>
        </w:rPr>
      </w:pPr>
    </w:p>
    <w:p w14:paraId="6652B0FE">
      <w:pPr>
        <w:spacing w:line="360" w:lineRule="auto"/>
        <w:ind w:firstLine="640" w:firstLineChars="200"/>
        <w:rPr>
          <w:rFonts w:ascii="仿宋" w:hAnsi="仿宋" w:eastAsia="仿宋"/>
          <w:b/>
          <w:sz w:val="32"/>
          <w:szCs w:val="32"/>
        </w:rPr>
      </w:pPr>
      <w:r>
        <w:rPr>
          <w:rFonts w:ascii="仿宋" w:hAnsi="仿宋" w:eastAsia="仿宋"/>
          <w:sz w:val="32"/>
          <w:szCs w:val="32"/>
        </w:rPr>
        <w:t>2022年我</w:t>
      </w:r>
      <w:r>
        <w:rPr>
          <w:rFonts w:hint="eastAsia" w:ascii="仿宋" w:hAnsi="仿宋" w:eastAsia="仿宋"/>
          <w:sz w:val="32"/>
          <w:szCs w:val="32"/>
          <w:lang w:eastAsia="zh-CN"/>
        </w:rPr>
        <w:t>单位</w:t>
      </w:r>
      <w:r>
        <w:rPr>
          <w:rFonts w:ascii="仿宋" w:hAnsi="仿宋" w:eastAsia="仿宋"/>
          <w:sz w:val="32"/>
          <w:szCs w:val="32"/>
        </w:rPr>
        <w:t>机关运行经费安排</w:t>
      </w:r>
      <w:r>
        <w:rPr>
          <w:rFonts w:hint="eastAsia" w:ascii="仿宋" w:hAnsi="仿宋" w:eastAsia="仿宋"/>
          <w:sz w:val="32"/>
          <w:szCs w:val="32"/>
          <w:lang w:val="en-US" w:eastAsia="zh-CN"/>
        </w:rPr>
        <w:t>409.46</w:t>
      </w:r>
      <w:r>
        <w:rPr>
          <w:rFonts w:ascii="仿宋" w:hAnsi="仿宋" w:eastAsia="仿宋"/>
          <w:sz w:val="32"/>
          <w:szCs w:val="32"/>
        </w:rPr>
        <w:t>万元，其中办公费</w:t>
      </w:r>
      <w:r>
        <w:rPr>
          <w:rFonts w:hint="eastAsia" w:ascii="仿宋" w:hAnsi="仿宋" w:eastAsia="仿宋"/>
          <w:sz w:val="32"/>
          <w:szCs w:val="32"/>
          <w:lang w:val="en-US" w:eastAsia="zh-CN"/>
        </w:rPr>
        <w:t>0</w:t>
      </w:r>
      <w:r>
        <w:rPr>
          <w:rFonts w:ascii="仿宋" w:hAnsi="仿宋" w:eastAsia="仿宋"/>
          <w:sz w:val="32"/>
          <w:szCs w:val="32"/>
        </w:rPr>
        <w:t>万元，邮电费</w:t>
      </w:r>
      <w:r>
        <w:rPr>
          <w:rFonts w:hint="eastAsia" w:ascii="仿宋" w:hAnsi="仿宋" w:eastAsia="仿宋"/>
          <w:sz w:val="32"/>
          <w:szCs w:val="32"/>
          <w:lang w:val="en-US" w:eastAsia="zh-CN"/>
        </w:rPr>
        <w:t>0</w:t>
      </w:r>
      <w:r>
        <w:rPr>
          <w:rFonts w:ascii="仿宋" w:hAnsi="仿宋" w:eastAsia="仿宋"/>
          <w:sz w:val="32"/>
          <w:szCs w:val="32"/>
        </w:rPr>
        <w:t>万元，办公取暖费</w:t>
      </w:r>
      <w:r>
        <w:rPr>
          <w:rFonts w:hint="eastAsia" w:ascii="仿宋" w:hAnsi="仿宋" w:eastAsia="仿宋"/>
          <w:sz w:val="32"/>
          <w:szCs w:val="32"/>
          <w:lang w:val="en-US" w:eastAsia="zh-CN"/>
        </w:rPr>
        <w:t>63.46万元，</w:t>
      </w:r>
      <w:r>
        <w:rPr>
          <w:rFonts w:ascii="仿宋" w:hAnsi="仿宋" w:eastAsia="仿宋"/>
          <w:sz w:val="32"/>
          <w:szCs w:val="32"/>
        </w:rPr>
        <w:t>工会经费、福利费</w:t>
      </w:r>
      <w:r>
        <w:rPr>
          <w:rFonts w:hint="eastAsia" w:ascii="仿宋" w:hAnsi="仿宋" w:eastAsia="仿宋"/>
          <w:sz w:val="32"/>
          <w:szCs w:val="32"/>
          <w:lang w:val="en-US" w:eastAsia="zh-CN"/>
        </w:rPr>
        <w:t>0</w:t>
      </w:r>
      <w:r>
        <w:rPr>
          <w:rFonts w:ascii="仿宋" w:hAnsi="仿宋" w:eastAsia="仿宋"/>
          <w:sz w:val="32"/>
          <w:szCs w:val="32"/>
        </w:rPr>
        <w:t>万元，公务用车运行维护费2.43万元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lang w:val="en-US" w:eastAsia="zh-CN"/>
        </w:rPr>
        <w:t>343.57</w:t>
      </w:r>
      <w:r>
        <w:rPr>
          <w:rFonts w:ascii="仿宋" w:hAnsi="仿宋" w:eastAsia="仿宋"/>
          <w:sz w:val="32"/>
          <w:szCs w:val="32"/>
        </w:rPr>
        <w:t>万元。</w:t>
      </w:r>
    </w:p>
    <w:p w14:paraId="7E4C1CBB">
      <w:pPr>
        <w:jc w:val="both"/>
        <w:outlineLvl w:val="0"/>
        <w:rPr>
          <w:rFonts w:ascii="方正小标宋_GBK" w:eastAsia="方正小标宋_GBK"/>
          <w:sz w:val="44"/>
        </w:rPr>
      </w:pPr>
    </w:p>
    <w:p w14:paraId="230C6519">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14:paraId="02B3C21D">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294D7F85">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6A5BFD9C">
                  <w:pPr>
                    <w:spacing w:line="360" w:lineRule="auto"/>
                    <w:rPr>
                      <w:rFonts w:ascii="黑体" w:hAnsi="黑体" w:eastAsia="黑体" w:cs="宋体"/>
                      <w:kern w:val="0"/>
                      <w:sz w:val="32"/>
                      <w:szCs w:val="32"/>
                    </w:rPr>
                  </w:pPr>
                </w:p>
              </w:tc>
            </w:tr>
            <w:tr w14:paraId="3B28C17B">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08185952">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59244607">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A96E963">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03111FB1">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957F5C7">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20E1A57C">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1631C7BE">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5143F67C">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53F12891">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6012932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51F07DE5">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695187BB">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83CD9C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0C11D701">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1418" w:type="dxa"/>
                  <w:tcBorders>
                    <w:top w:val="nil"/>
                    <w:left w:val="nil"/>
                    <w:bottom w:val="single" w:color="auto" w:sz="4" w:space="0"/>
                    <w:right w:val="single" w:color="auto" w:sz="4" w:space="0"/>
                  </w:tcBorders>
                  <w:vAlign w:val="center"/>
                </w:tcPr>
                <w:p w14:paraId="7CD1816B">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836" w:type="dxa"/>
                  <w:tcBorders>
                    <w:top w:val="nil"/>
                    <w:left w:val="nil"/>
                    <w:bottom w:val="single" w:color="auto" w:sz="4" w:space="0"/>
                    <w:right w:val="single" w:color="auto" w:sz="4" w:space="0"/>
                  </w:tcBorders>
                  <w:vAlign w:val="center"/>
                </w:tcPr>
                <w:p w14:paraId="0C719C1C">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2397" w:type="dxa"/>
                  <w:tcBorders>
                    <w:top w:val="nil"/>
                    <w:left w:val="nil"/>
                    <w:bottom w:val="single" w:color="auto" w:sz="4" w:space="0"/>
                    <w:right w:val="single" w:color="auto" w:sz="4" w:space="0"/>
                  </w:tcBorders>
                  <w:vAlign w:val="center"/>
                </w:tcPr>
                <w:p w14:paraId="0D74859F">
                  <w:pPr>
                    <w:widowControl/>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无增减变化</w:t>
                  </w:r>
                </w:p>
              </w:tc>
            </w:tr>
            <w:tr w14:paraId="09C15C7D">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29BDFC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6EF39FE8">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1418" w:type="dxa"/>
                  <w:tcBorders>
                    <w:top w:val="nil"/>
                    <w:left w:val="nil"/>
                    <w:bottom w:val="single" w:color="auto" w:sz="4" w:space="0"/>
                    <w:right w:val="single" w:color="auto" w:sz="4" w:space="0"/>
                  </w:tcBorders>
                  <w:vAlign w:val="center"/>
                </w:tcPr>
                <w:p w14:paraId="64B400FC">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836" w:type="dxa"/>
                  <w:tcBorders>
                    <w:top w:val="nil"/>
                    <w:left w:val="nil"/>
                    <w:bottom w:val="single" w:color="auto" w:sz="4" w:space="0"/>
                    <w:right w:val="single" w:color="auto" w:sz="4" w:space="0"/>
                  </w:tcBorders>
                  <w:vAlign w:val="center"/>
                </w:tcPr>
                <w:p w14:paraId="58FF6469">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2397" w:type="dxa"/>
                  <w:tcBorders>
                    <w:top w:val="nil"/>
                    <w:left w:val="nil"/>
                    <w:bottom w:val="single" w:color="auto" w:sz="4" w:space="0"/>
                    <w:right w:val="single" w:color="auto" w:sz="4" w:space="0"/>
                  </w:tcBorders>
                  <w:vAlign w:val="center"/>
                </w:tcPr>
                <w:p w14:paraId="2B7AC990">
                  <w:pPr>
                    <w:widowControl/>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无增减变化</w:t>
                  </w:r>
                </w:p>
              </w:tc>
            </w:tr>
            <w:tr w14:paraId="1B6219B6">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083F883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18C80D17">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6.5</w:t>
                  </w:r>
                </w:p>
              </w:tc>
              <w:tc>
                <w:tcPr>
                  <w:tcW w:w="1418" w:type="dxa"/>
                  <w:tcBorders>
                    <w:top w:val="nil"/>
                    <w:left w:val="nil"/>
                    <w:bottom w:val="single" w:color="auto" w:sz="4" w:space="0"/>
                    <w:right w:val="single" w:color="auto" w:sz="4" w:space="0"/>
                  </w:tcBorders>
                  <w:vAlign w:val="center"/>
                </w:tcPr>
                <w:p w14:paraId="0456194E">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2.43</w:t>
                  </w:r>
                </w:p>
              </w:tc>
              <w:tc>
                <w:tcPr>
                  <w:tcW w:w="836" w:type="dxa"/>
                  <w:tcBorders>
                    <w:top w:val="nil"/>
                    <w:left w:val="nil"/>
                    <w:bottom w:val="single" w:color="auto" w:sz="4" w:space="0"/>
                    <w:right w:val="single" w:color="auto" w:sz="4" w:space="0"/>
                  </w:tcBorders>
                  <w:vAlign w:val="center"/>
                </w:tcPr>
                <w:p w14:paraId="3E061592">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w:t>
                  </w:r>
                  <w:r>
                    <w:rPr>
                      <w:rFonts w:hint="eastAsia" w:ascii="仿宋_GB2312" w:hAnsi="宋体" w:eastAsia="仿宋_GB2312" w:cs="宋体"/>
                      <w:color w:val="auto"/>
                      <w:kern w:val="0"/>
                      <w:sz w:val="24"/>
                      <w:szCs w:val="24"/>
                    </w:rPr>
                    <w:t>4.07</w:t>
                  </w:r>
                </w:p>
              </w:tc>
              <w:tc>
                <w:tcPr>
                  <w:tcW w:w="2397" w:type="dxa"/>
                  <w:tcBorders>
                    <w:top w:val="nil"/>
                    <w:left w:val="nil"/>
                    <w:bottom w:val="single" w:color="auto" w:sz="4" w:space="0"/>
                    <w:right w:val="single" w:color="auto" w:sz="4" w:space="0"/>
                  </w:tcBorders>
                  <w:vAlign w:val="center"/>
                </w:tcPr>
                <w:p w14:paraId="6358CE83">
                  <w:pPr>
                    <w:widowControl/>
                    <w:jc w:val="left"/>
                    <w:rPr>
                      <w:rFonts w:ascii="仿宋_GB2312" w:hAnsi="宋体" w:eastAsia="仿宋_GB2312" w:cs="宋体"/>
                      <w:color w:val="auto"/>
                      <w:kern w:val="0"/>
                      <w:sz w:val="24"/>
                      <w:szCs w:val="24"/>
                    </w:rPr>
                  </w:pPr>
                  <w:r>
                    <w:rPr>
                      <w:rFonts w:ascii="仿宋_GB2312" w:hAnsi="宋体" w:eastAsia="仿宋_GB2312" w:cs="宋体"/>
                      <w:color w:val="auto"/>
                      <w:kern w:val="0"/>
                      <w:sz w:val="24"/>
                      <w:szCs w:val="24"/>
                    </w:rPr>
                    <w:t>厉行节约</w:t>
                  </w:r>
                  <w:r>
                    <w:rPr>
                      <w:rFonts w:hint="eastAsia" w:ascii="仿宋_GB2312" w:hAnsi="宋体" w:eastAsia="仿宋_GB2312" w:cs="宋体"/>
                      <w:color w:val="auto"/>
                      <w:kern w:val="0"/>
                      <w:sz w:val="24"/>
                      <w:szCs w:val="24"/>
                    </w:rPr>
                    <w:t>，</w:t>
                  </w:r>
                  <w:r>
                    <w:rPr>
                      <w:rFonts w:ascii="仿宋_GB2312" w:hAnsi="宋体" w:eastAsia="仿宋_GB2312" w:cs="宋体"/>
                      <w:color w:val="auto"/>
                      <w:kern w:val="0"/>
                      <w:sz w:val="24"/>
                      <w:szCs w:val="24"/>
                    </w:rPr>
                    <w:t>根据以往年度实际支出编制预算。</w:t>
                  </w:r>
                </w:p>
              </w:tc>
            </w:tr>
            <w:tr w14:paraId="29767F72">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7D4FD67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5100370A">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1.5</w:t>
                  </w:r>
                </w:p>
              </w:tc>
              <w:tc>
                <w:tcPr>
                  <w:tcW w:w="1418" w:type="dxa"/>
                  <w:tcBorders>
                    <w:top w:val="nil"/>
                    <w:left w:val="nil"/>
                    <w:bottom w:val="single" w:color="auto" w:sz="4" w:space="0"/>
                    <w:right w:val="single" w:color="auto" w:sz="4" w:space="0"/>
                  </w:tcBorders>
                  <w:vAlign w:val="center"/>
                </w:tcPr>
                <w:p w14:paraId="69093CEF">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0.06</w:t>
                  </w:r>
                </w:p>
              </w:tc>
              <w:tc>
                <w:tcPr>
                  <w:tcW w:w="836" w:type="dxa"/>
                  <w:tcBorders>
                    <w:top w:val="nil"/>
                    <w:left w:val="nil"/>
                    <w:bottom w:val="single" w:color="auto" w:sz="4" w:space="0"/>
                    <w:right w:val="single" w:color="auto" w:sz="4" w:space="0"/>
                  </w:tcBorders>
                  <w:vAlign w:val="center"/>
                </w:tcPr>
                <w:p w14:paraId="2640F668">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w:t>
                  </w:r>
                  <w:r>
                    <w:rPr>
                      <w:rFonts w:hint="eastAsia" w:ascii="仿宋_GB2312" w:hAnsi="宋体" w:eastAsia="仿宋_GB2312" w:cs="宋体"/>
                      <w:color w:val="auto"/>
                      <w:kern w:val="0"/>
                      <w:sz w:val="24"/>
                      <w:szCs w:val="24"/>
                    </w:rPr>
                    <w:t>1.44</w:t>
                  </w:r>
                </w:p>
              </w:tc>
              <w:tc>
                <w:tcPr>
                  <w:tcW w:w="2397" w:type="dxa"/>
                  <w:tcBorders>
                    <w:top w:val="nil"/>
                    <w:left w:val="nil"/>
                    <w:bottom w:val="single" w:color="auto" w:sz="4" w:space="0"/>
                    <w:right w:val="single" w:color="auto" w:sz="4" w:space="0"/>
                  </w:tcBorders>
                  <w:vAlign w:val="center"/>
                </w:tcPr>
                <w:p w14:paraId="3A77F70A">
                  <w:pPr>
                    <w:widowControl/>
                    <w:jc w:val="left"/>
                    <w:rPr>
                      <w:rFonts w:ascii="仿宋_GB2312" w:hAnsi="宋体" w:eastAsia="仿宋_GB2312" w:cs="宋体"/>
                      <w:color w:val="auto"/>
                      <w:kern w:val="0"/>
                      <w:sz w:val="24"/>
                      <w:szCs w:val="24"/>
                    </w:rPr>
                  </w:pPr>
                  <w:r>
                    <w:rPr>
                      <w:rFonts w:ascii="仿宋_GB2312" w:hAnsi="宋体" w:eastAsia="仿宋_GB2312" w:cs="宋体"/>
                      <w:color w:val="auto"/>
                      <w:kern w:val="0"/>
                      <w:sz w:val="24"/>
                      <w:szCs w:val="24"/>
                    </w:rPr>
                    <w:t>厉行节约</w:t>
                  </w:r>
                  <w:r>
                    <w:rPr>
                      <w:rFonts w:hint="eastAsia" w:ascii="仿宋_GB2312" w:hAnsi="宋体" w:eastAsia="仿宋_GB2312" w:cs="宋体"/>
                      <w:color w:val="auto"/>
                      <w:kern w:val="0"/>
                      <w:sz w:val="24"/>
                      <w:szCs w:val="24"/>
                    </w:rPr>
                    <w:t>，</w:t>
                  </w:r>
                  <w:r>
                    <w:rPr>
                      <w:rFonts w:ascii="仿宋_GB2312" w:hAnsi="宋体" w:eastAsia="仿宋_GB2312" w:cs="宋体"/>
                      <w:color w:val="auto"/>
                      <w:kern w:val="0"/>
                      <w:sz w:val="24"/>
                      <w:szCs w:val="24"/>
                    </w:rPr>
                    <w:t>根据以往年度实际支出编制预算。</w:t>
                  </w:r>
                </w:p>
              </w:tc>
            </w:tr>
            <w:tr w14:paraId="1E6FF609">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11C3D4C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040E29F4">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8</w:t>
                  </w:r>
                </w:p>
              </w:tc>
              <w:tc>
                <w:tcPr>
                  <w:tcW w:w="1418" w:type="dxa"/>
                  <w:tcBorders>
                    <w:top w:val="nil"/>
                    <w:left w:val="nil"/>
                    <w:bottom w:val="single" w:color="auto" w:sz="4" w:space="0"/>
                    <w:right w:val="single" w:color="auto" w:sz="4" w:space="0"/>
                  </w:tcBorders>
                  <w:vAlign w:val="center"/>
                </w:tcPr>
                <w:p w14:paraId="65A09827">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2.49</w:t>
                  </w:r>
                </w:p>
              </w:tc>
              <w:tc>
                <w:tcPr>
                  <w:tcW w:w="836" w:type="dxa"/>
                  <w:tcBorders>
                    <w:top w:val="nil"/>
                    <w:left w:val="nil"/>
                    <w:bottom w:val="single" w:color="auto" w:sz="4" w:space="0"/>
                    <w:right w:val="single" w:color="auto" w:sz="4" w:space="0"/>
                  </w:tcBorders>
                  <w:vAlign w:val="center"/>
                </w:tcPr>
                <w:p w14:paraId="799ACEFF">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w:t>
                  </w:r>
                  <w:r>
                    <w:rPr>
                      <w:rFonts w:hint="eastAsia" w:ascii="仿宋_GB2312" w:hAnsi="宋体" w:eastAsia="仿宋_GB2312" w:cs="宋体"/>
                      <w:color w:val="auto"/>
                      <w:kern w:val="0"/>
                      <w:sz w:val="24"/>
                      <w:szCs w:val="24"/>
                    </w:rPr>
                    <w:t>5.51</w:t>
                  </w:r>
                </w:p>
              </w:tc>
              <w:tc>
                <w:tcPr>
                  <w:tcW w:w="2397" w:type="dxa"/>
                  <w:tcBorders>
                    <w:top w:val="nil"/>
                    <w:left w:val="nil"/>
                    <w:bottom w:val="single" w:color="auto" w:sz="4" w:space="0"/>
                    <w:right w:val="single" w:color="auto" w:sz="4" w:space="0"/>
                  </w:tcBorders>
                  <w:vAlign w:val="center"/>
                </w:tcPr>
                <w:p w14:paraId="38EB70CE">
                  <w:pPr>
                    <w:widowControl/>
                    <w:jc w:val="left"/>
                    <w:rPr>
                      <w:rFonts w:ascii="仿宋_GB2312" w:hAnsi="宋体" w:eastAsia="仿宋_GB2312" w:cs="宋体"/>
                      <w:color w:val="auto"/>
                      <w:kern w:val="0"/>
                      <w:sz w:val="24"/>
                      <w:szCs w:val="24"/>
                    </w:rPr>
                  </w:pPr>
                  <w:r>
                    <w:rPr>
                      <w:rFonts w:ascii="仿宋_GB2312" w:hAnsi="宋体" w:eastAsia="仿宋_GB2312" w:cs="宋体"/>
                      <w:color w:val="auto"/>
                      <w:kern w:val="0"/>
                      <w:sz w:val="24"/>
                      <w:szCs w:val="24"/>
                    </w:rPr>
                    <w:t>厉行节约</w:t>
                  </w:r>
                  <w:r>
                    <w:rPr>
                      <w:rFonts w:hint="eastAsia" w:ascii="仿宋_GB2312" w:hAnsi="宋体" w:eastAsia="仿宋_GB2312" w:cs="宋体"/>
                      <w:color w:val="auto"/>
                      <w:kern w:val="0"/>
                      <w:sz w:val="24"/>
                      <w:szCs w:val="24"/>
                    </w:rPr>
                    <w:t>，</w:t>
                  </w:r>
                  <w:r>
                    <w:rPr>
                      <w:rFonts w:ascii="仿宋_GB2312" w:hAnsi="宋体" w:eastAsia="仿宋_GB2312" w:cs="宋体"/>
                      <w:color w:val="auto"/>
                      <w:kern w:val="0"/>
                      <w:sz w:val="24"/>
                      <w:szCs w:val="24"/>
                    </w:rPr>
                    <w:t>根据以往年度实际支出编制预算。</w:t>
                  </w:r>
                </w:p>
              </w:tc>
            </w:tr>
            <w:tr w14:paraId="268DE36F">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285CA374">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04E30ED1">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49514C8">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DEBAD9F">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B3B3399">
                  <w:pPr>
                    <w:widowControl/>
                    <w:jc w:val="left"/>
                    <w:rPr>
                      <w:rFonts w:ascii="宋体" w:hAnsi="宋体" w:cs="宋体"/>
                      <w:kern w:val="0"/>
                      <w:sz w:val="24"/>
                      <w:szCs w:val="24"/>
                    </w:rPr>
                  </w:pPr>
                </w:p>
              </w:tc>
            </w:tr>
          </w:tbl>
          <w:p w14:paraId="68AE3D8F">
            <w:pPr>
              <w:widowControl/>
              <w:spacing w:line="520" w:lineRule="exact"/>
              <w:ind w:right="480"/>
              <w:rPr>
                <w:rFonts w:ascii="仿宋" w:hAnsi="仿宋" w:eastAsia="仿宋" w:cs="宋体"/>
                <w:kern w:val="0"/>
                <w:sz w:val="24"/>
                <w:szCs w:val="24"/>
              </w:rPr>
            </w:pPr>
          </w:p>
        </w:tc>
      </w:tr>
    </w:tbl>
    <w:p w14:paraId="6BE80F16">
      <w:pPr>
        <w:spacing w:line="360" w:lineRule="auto"/>
        <w:rPr>
          <w:rFonts w:ascii="黑体" w:hAnsi="黑体" w:eastAsia="黑体" w:cs="Times New Roman"/>
          <w:sz w:val="32"/>
          <w:szCs w:val="32"/>
        </w:rPr>
      </w:pPr>
    </w:p>
    <w:p w14:paraId="700F918F">
      <w:pPr>
        <w:spacing w:line="360" w:lineRule="auto"/>
        <w:rPr>
          <w:rFonts w:ascii="黑体" w:hAnsi="黑体" w:eastAsia="黑体" w:cs="Times New Roman"/>
          <w:sz w:val="32"/>
          <w:szCs w:val="32"/>
        </w:rPr>
      </w:pPr>
    </w:p>
    <w:p w14:paraId="4220AB60">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0E12B008">
      <w:pPr>
        <w:spacing w:line="360" w:lineRule="auto"/>
        <w:jc w:val="center"/>
        <w:rPr>
          <w:rFonts w:ascii="黑体" w:hAnsi="黑体" w:eastAsia="黑体" w:cs="Times New Roman"/>
          <w:sz w:val="32"/>
          <w:szCs w:val="32"/>
        </w:rPr>
      </w:pPr>
    </w:p>
    <w:p w14:paraId="43B6A8CF">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14:paraId="685C28C0">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一、总体绩效目标</w:t>
      </w:r>
    </w:p>
    <w:p w14:paraId="25277656">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以习近平新时代中国特色社会主义思想为指导，全面贯彻落实中央和省委、省政府重要决策部署，坚持新发展理念，落实高质量发展要求，以政治建设为统领，以“两创一争”为抓手，以改革创新为动力，着力</w:t>
      </w:r>
      <w:r>
        <w:rPr>
          <w:rFonts w:hint="eastAsia" w:ascii="仿宋" w:hAnsi="仿宋" w:eastAsia="仿宋" w:cs="微软雅黑"/>
          <w:sz w:val="32"/>
          <w:szCs w:val="32"/>
          <w:lang w:eastAsia="zh-CN"/>
        </w:rPr>
        <w:t>推进国家治理体系</w:t>
      </w:r>
      <w:r>
        <w:rPr>
          <w:rFonts w:hint="eastAsia" w:ascii="仿宋" w:hAnsi="仿宋" w:eastAsia="仿宋" w:cs="微软雅黑"/>
          <w:sz w:val="32"/>
          <w:szCs w:val="32"/>
        </w:rPr>
        <w:t>和治理能力现代化建设，不断提升机关事务服务保障管理水平。深入推进公务用车集约管理，完成公务用车编制核定，完善全省公务用车信息管理平台建设；积极推进党政机关办公用房规范使用，强化精细管理，挖掘存量，统筹调剂，保障好省直机</w:t>
      </w:r>
      <w:bookmarkStart w:id="5" w:name="_GoBack"/>
      <w:r>
        <w:rPr>
          <w:rFonts w:hint="eastAsia" w:ascii="仿宋" w:hAnsi="仿宋" w:eastAsia="仿宋" w:cs="微软雅黑"/>
          <w:sz w:val="32"/>
          <w:szCs w:val="32"/>
        </w:rPr>
        <w:t>关办公用房需求；建立健全资产配置、办公用房调配、公务用车保</w:t>
      </w:r>
      <w:bookmarkEnd w:id="5"/>
      <w:r>
        <w:rPr>
          <w:rFonts w:hint="eastAsia" w:ascii="仿宋" w:hAnsi="仿宋" w:eastAsia="仿宋" w:cs="微软雅黑"/>
          <w:sz w:val="32"/>
          <w:szCs w:val="32"/>
        </w:rPr>
        <w:t>障、公共机构能耗统计等相关标准，加快建设机关事务服务管理平台，推进机关事务高质量发展。</w:t>
      </w:r>
    </w:p>
    <w:p w14:paraId="05AE638A">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二、分项绩效目标</w:t>
      </w:r>
    </w:p>
    <w:p w14:paraId="6BA534AA">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1、整体提升区直</w:t>
      </w:r>
      <w:r>
        <w:rPr>
          <w:rFonts w:hint="eastAsia" w:ascii="仿宋" w:hAnsi="仿宋" w:eastAsia="仿宋" w:cs="微软雅黑"/>
          <w:sz w:val="32"/>
          <w:szCs w:val="32"/>
          <w:lang w:eastAsia="zh-CN"/>
        </w:rPr>
        <w:t>部门</w:t>
      </w:r>
      <w:r>
        <w:rPr>
          <w:rFonts w:ascii="仿宋" w:hAnsi="仿宋" w:eastAsia="仿宋" w:cs="微软雅黑"/>
          <w:sz w:val="32"/>
          <w:szCs w:val="32"/>
        </w:rPr>
        <w:t>办公用房服务保障水平</w:t>
      </w:r>
    </w:p>
    <w:p w14:paraId="7445C654">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绩效目标：加强和规范省直机关办公用房管理，推进办公用房合理配置和节约集约使用，保障正常办公，提高办公用房利用率，达到应修尽修，降低行政成本，促进党风廉政建设和节约型机关建设。</w:t>
      </w:r>
    </w:p>
    <w:p w14:paraId="091858AA">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绩效指标：每年完成的省直</w:t>
      </w:r>
      <w:r>
        <w:rPr>
          <w:rFonts w:hint="eastAsia" w:ascii="仿宋" w:hAnsi="仿宋" w:eastAsia="仿宋" w:cs="微软雅黑"/>
          <w:sz w:val="32"/>
          <w:szCs w:val="32"/>
          <w:lang w:eastAsia="zh-CN"/>
        </w:rPr>
        <w:t>部门</w:t>
      </w:r>
      <w:r>
        <w:rPr>
          <w:rFonts w:hint="eastAsia" w:ascii="仿宋" w:hAnsi="仿宋" w:eastAsia="仿宋" w:cs="微软雅黑"/>
          <w:sz w:val="32"/>
          <w:szCs w:val="32"/>
        </w:rPr>
        <w:t>办公用房大中修项目数量不少于</w:t>
      </w:r>
      <w:r>
        <w:rPr>
          <w:rFonts w:ascii="仿宋" w:hAnsi="仿宋" w:eastAsia="仿宋" w:cs="微软雅黑"/>
          <w:sz w:val="32"/>
          <w:szCs w:val="32"/>
        </w:rPr>
        <w:t>10个，通过验收的大中修项目占大中修项目总量的比率达到100%，办公用房及其附属设施、设备维修后使用情况达到良好以上，调查中满意和较满意的区直机关大中修服务项目数占全部区直机关大中修项目总数的比率达到98%以上。</w:t>
      </w:r>
    </w:p>
    <w:p w14:paraId="49C431F5">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2、切实加强和规范区直机关国有资产管理工作</w:t>
      </w:r>
    </w:p>
    <w:p w14:paraId="5449CC6D">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绩效目标：建立健全管理制度，推进制度化建设。</w:t>
      </w:r>
    </w:p>
    <w:p w14:paraId="1CF58EBF">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绩效指标：根据区直机关工作实际，依据国管局、省财政厅相关法规制度，推进区直机关资产信息化管理。</w:t>
      </w:r>
    </w:p>
    <w:p w14:paraId="2D38FCA5">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3、积极做好区级党政机关公务用车管理工作</w:t>
      </w:r>
    </w:p>
    <w:p w14:paraId="3799F8C7">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绩效目标：加强和规范公务用车的采购程序，严格车辆配备标准，保障区直机关正常办公出行，公车平台监督管理和服务保障功能进一步增强。</w:t>
      </w:r>
    </w:p>
    <w:p w14:paraId="62485A52">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绩效指标：区直各</w:t>
      </w:r>
      <w:r>
        <w:rPr>
          <w:rFonts w:hint="eastAsia" w:ascii="仿宋" w:hAnsi="仿宋" w:eastAsia="仿宋" w:cs="微软雅黑"/>
          <w:sz w:val="32"/>
          <w:szCs w:val="32"/>
          <w:lang w:eastAsia="zh-CN"/>
        </w:rPr>
        <w:t>部门</w:t>
      </w:r>
      <w:r>
        <w:rPr>
          <w:rFonts w:hint="eastAsia" w:ascii="仿宋" w:hAnsi="仿宋" w:eastAsia="仿宋" w:cs="微软雅黑"/>
          <w:sz w:val="32"/>
          <w:szCs w:val="32"/>
        </w:rPr>
        <w:t>公务用车编制情况，保障其车辆完好率达到</w:t>
      </w:r>
      <w:r>
        <w:rPr>
          <w:rFonts w:ascii="仿宋" w:hAnsi="仿宋" w:eastAsia="仿宋" w:cs="微软雅黑"/>
          <w:sz w:val="32"/>
          <w:szCs w:val="32"/>
        </w:rPr>
        <w:t>90%以上。</w:t>
      </w:r>
    </w:p>
    <w:p w14:paraId="1B3509AA">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4、进一步推进公共机构节能机制完善工作</w:t>
      </w:r>
    </w:p>
    <w:p w14:paraId="72346642">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绩效目标：全区公共机构人均能耗、</w:t>
      </w:r>
      <w:r>
        <w:rPr>
          <w:rFonts w:hint="eastAsia" w:ascii="仿宋" w:hAnsi="仿宋" w:eastAsia="仿宋" w:cs="微软雅黑"/>
          <w:sz w:val="32"/>
          <w:szCs w:val="32"/>
          <w:lang w:eastAsia="zh-CN"/>
        </w:rPr>
        <w:t>部门</w:t>
      </w:r>
      <w:r>
        <w:rPr>
          <w:rFonts w:hint="eastAsia" w:ascii="仿宋" w:hAnsi="仿宋" w:eastAsia="仿宋" w:cs="微软雅黑"/>
          <w:sz w:val="32"/>
          <w:szCs w:val="32"/>
        </w:rPr>
        <w:t>建筑面积能耗、人均用水量三项指标整体下降。节能管理人员业务能力进一步提升。广泛开展节约型公共机构示范</w:t>
      </w:r>
      <w:r>
        <w:rPr>
          <w:rFonts w:hint="eastAsia" w:ascii="仿宋" w:hAnsi="仿宋" w:eastAsia="仿宋" w:cs="微软雅黑"/>
          <w:sz w:val="32"/>
          <w:szCs w:val="32"/>
          <w:lang w:eastAsia="zh-CN"/>
        </w:rPr>
        <w:t>部门</w:t>
      </w:r>
      <w:r>
        <w:rPr>
          <w:rFonts w:hint="eastAsia" w:ascii="仿宋" w:hAnsi="仿宋" w:eastAsia="仿宋" w:cs="微软雅黑"/>
          <w:sz w:val="32"/>
          <w:szCs w:val="32"/>
        </w:rPr>
        <w:t>创建活动，绿色办公更加深入人心。</w:t>
      </w:r>
    </w:p>
    <w:p w14:paraId="1CD6BC60">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绩效指标：全区公共机构人均能耗下降</w:t>
      </w:r>
      <w:r>
        <w:rPr>
          <w:rFonts w:ascii="仿宋" w:hAnsi="仿宋" w:eastAsia="仿宋" w:cs="微软雅黑"/>
          <w:sz w:val="32"/>
          <w:szCs w:val="32"/>
        </w:rPr>
        <w:t>2.4%，</w:t>
      </w:r>
      <w:r>
        <w:rPr>
          <w:rFonts w:hint="eastAsia" w:ascii="仿宋" w:hAnsi="仿宋" w:eastAsia="仿宋" w:cs="微软雅黑"/>
          <w:sz w:val="32"/>
          <w:szCs w:val="32"/>
          <w:lang w:eastAsia="zh-CN"/>
        </w:rPr>
        <w:t>部门</w:t>
      </w:r>
      <w:r>
        <w:rPr>
          <w:rFonts w:ascii="仿宋" w:hAnsi="仿宋" w:eastAsia="仿宋" w:cs="微软雅黑"/>
          <w:sz w:val="32"/>
          <w:szCs w:val="32"/>
        </w:rPr>
        <w:t>建筑面积能耗下降2.4%，人均用水量下降3.8%。</w:t>
      </w:r>
    </w:p>
    <w:p w14:paraId="377FF8A8">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5、机关事务标准化工作稳步推进</w:t>
      </w:r>
    </w:p>
    <w:p w14:paraId="145C85FD">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绩效目标：机关事务制度体系逐步完善，管理服务保障行为更加规范，工作流程更加优化，机关事务按标准推进质量得到有效提升。</w:t>
      </w:r>
    </w:p>
    <w:p w14:paraId="6D14E2CA">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绩效指标：机关事务制度建设完成率达到</w:t>
      </w:r>
      <w:r>
        <w:rPr>
          <w:rFonts w:ascii="仿宋" w:hAnsi="仿宋" w:eastAsia="仿宋" w:cs="微软雅黑"/>
          <w:sz w:val="32"/>
          <w:szCs w:val="32"/>
        </w:rPr>
        <w:t>90%以上，现有制度规章修订达到95%，工作流程优化率达到95%以上。</w:t>
      </w:r>
    </w:p>
    <w:p w14:paraId="6F20BA9D">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三、工作保障措施</w:t>
      </w:r>
    </w:p>
    <w:p w14:paraId="38976915">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1、加强组织领导，分解职责目标</w:t>
      </w:r>
    </w:p>
    <w:p w14:paraId="3C7254B1">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各预算</w:t>
      </w:r>
      <w:r>
        <w:rPr>
          <w:rFonts w:hint="eastAsia" w:ascii="仿宋" w:hAnsi="仿宋" w:eastAsia="仿宋" w:cs="微软雅黑"/>
          <w:sz w:val="32"/>
          <w:szCs w:val="32"/>
          <w:lang w:eastAsia="zh-CN"/>
        </w:rPr>
        <w:t>部门</w:t>
      </w:r>
      <w:r>
        <w:rPr>
          <w:rFonts w:hint="eastAsia" w:ascii="仿宋" w:hAnsi="仿宋" w:eastAsia="仿宋" w:cs="微软雅黑"/>
          <w:sz w:val="32"/>
          <w:szCs w:val="32"/>
        </w:rPr>
        <w:t>切实履行法人主体责任，项目负责人要负总责、亲自抓，亲自督办，即明确各环节的责任，时间节点，又要统筹各个环节，做到协调有序、相互衔接，形成合力。结合我局“两创一争”的目标要求，统筹谋划预算资金的安排，保重点工作、保重点项目，提高资金使用效率；结合我局重点工作完成的时限，组织会计、采购、施工、结算等各环节承办人共同研究，明确预算编制、采购、合同执行、实施、竣工决算等关键环节责任人、承办人、完成时限等绩效指标，并把预算支付进度责任分解落实到各个环节，通过抓项目早实施推动预算执行进度，在保证资金安全、规范、高效使用的基础上保证预算执行质量。</w:t>
      </w:r>
    </w:p>
    <w:p w14:paraId="4A4A3EDF">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2、加强资金使用监督，确保支付安全</w:t>
      </w:r>
    </w:p>
    <w:p w14:paraId="7DD66EDA">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牢固树立依法理财和厉行节约的理念，坚持预算执行进度和财政资金使用的安全性、规范性和有效性并重的原则，在加快项目实施和资金支付进度的同时，认真做好资金支付的监督管理工作，使监督检查工作常态化。严格执行局印发的《关于进一步完善预算</w:t>
      </w:r>
      <w:r>
        <w:rPr>
          <w:rFonts w:hint="eastAsia" w:ascii="仿宋" w:hAnsi="仿宋" w:eastAsia="仿宋" w:cs="微软雅黑"/>
          <w:sz w:val="32"/>
          <w:szCs w:val="32"/>
          <w:lang w:eastAsia="zh-CN"/>
        </w:rPr>
        <w:t>部门</w:t>
      </w:r>
      <w:r>
        <w:rPr>
          <w:rFonts w:hint="eastAsia" w:ascii="仿宋" w:hAnsi="仿宋" w:eastAsia="仿宋" w:cs="微软雅黑"/>
          <w:sz w:val="32"/>
          <w:szCs w:val="32"/>
        </w:rPr>
        <w:t>经费支出审批权限及流程的规定》等有关文件规定，坚决杜绝为完成支付进度，不履行合同约定的工期、质量、付款等实质性条款，违规预付、超前支付，以及违反规定擅自改变项目支出的范围、标准、对象和期限。进一步规范劳务费、项目管理费的管理，加强发票和现金管理，对国家禁止发放和支用的款项、关联交易等要加大自查力度，严禁违规转移资金、编制虚假合同、提前支付合同款，确保资金安全和项目绩效。</w:t>
      </w:r>
    </w:p>
    <w:p w14:paraId="7FCC9FB4">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 xml:space="preserve"> 3、加强动态督导，落实全过程监管</w:t>
      </w:r>
    </w:p>
    <w:p w14:paraId="472602EB">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进一步完善财务</w:t>
      </w:r>
      <w:r>
        <w:rPr>
          <w:rFonts w:hint="eastAsia" w:ascii="仿宋" w:hAnsi="仿宋" w:eastAsia="仿宋" w:cs="微软雅黑"/>
          <w:sz w:val="32"/>
          <w:szCs w:val="32"/>
          <w:lang w:eastAsia="zh-CN"/>
        </w:rPr>
        <w:t>部门</w:t>
      </w:r>
      <w:r>
        <w:rPr>
          <w:rFonts w:hint="eastAsia" w:ascii="仿宋" w:hAnsi="仿宋" w:eastAsia="仿宋" w:cs="微软雅黑"/>
          <w:sz w:val="32"/>
          <w:szCs w:val="32"/>
        </w:rPr>
        <w:t>总牵头、有关业务</w:t>
      </w:r>
      <w:r>
        <w:rPr>
          <w:rFonts w:hint="eastAsia" w:ascii="仿宋" w:hAnsi="仿宋" w:eastAsia="仿宋" w:cs="微软雅黑"/>
          <w:sz w:val="32"/>
          <w:szCs w:val="32"/>
          <w:lang w:eastAsia="zh-CN"/>
        </w:rPr>
        <w:t>部门</w:t>
      </w:r>
      <w:r>
        <w:rPr>
          <w:rFonts w:hint="eastAsia" w:ascii="仿宋" w:hAnsi="仿宋" w:eastAsia="仿宋" w:cs="微软雅黑"/>
          <w:sz w:val="32"/>
          <w:szCs w:val="32"/>
        </w:rPr>
        <w:t>（</w:t>
      </w:r>
      <w:r>
        <w:rPr>
          <w:rFonts w:hint="eastAsia" w:ascii="仿宋" w:hAnsi="仿宋" w:eastAsia="仿宋" w:cs="微软雅黑"/>
          <w:sz w:val="32"/>
          <w:szCs w:val="32"/>
          <w:lang w:eastAsia="zh-CN"/>
        </w:rPr>
        <w:t>部门</w:t>
      </w:r>
      <w:r>
        <w:rPr>
          <w:rFonts w:hint="eastAsia" w:ascii="仿宋" w:hAnsi="仿宋" w:eastAsia="仿宋" w:cs="微软雅黑"/>
          <w:sz w:val="32"/>
          <w:szCs w:val="32"/>
        </w:rPr>
        <w:t>）齐抓共管的工作机制，及时研究涉及预算编制执行的难点和重点问题，加强业务指导和协调省财政相关</w:t>
      </w:r>
      <w:r>
        <w:rPr>
          <w:rFonts w:hint="eastAsia" w:ascii="仿宋" w:hAnsi="仿宋" w:eastAsia="仿宋" w:cs="微软雅黑"/>
          <w:sz w:val="32"/>
          <w:szCs w:val="32"/>
          <w:lang w:eastAsia="zh-CN"/>
        </w:rPr>
        <w:t>部门</w:t>
      </w:r>
      <w:r>
        <w:rPr>
          <w:rFonts w:hint="eastAsia" w:ascii="仿宋" w:hAnsi="仿宋" w:eastAsia="仿宋" w:cs="微软雅黑"/>
          <w:sz w:val="32"/>
          <w:szCs w:val="32"/>
        </w:rPr>
        <w:t>，全力解决。建立预算编制、执行的全过程进度动态监控及通报制度。确保预算编制的合理性、科学性，资金支付的合规性、时效性，资金使用的规范性、安全性。</w:t>
      </w:r>
    </w:p>
    <w:p w14:paraId="21AEF8F8">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4、及时、合规、有效进行预算绩效运行监控及绩效自评工作</w:t>
      </w:r>
    </w:p>
    <w:p w14:paraId="7F82F155">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遵循目标导向、权责对等、全面覆盖、突出重点、适时适当的原则，对照批复的</w:t>
      </w:r>
      <w:r>
        <w:rPr>
          <w:rFonts w:hint="eastAsia" w:ascii="仿宋" w:hAnsi="仿宋" w:eastAsia="仿宋" w:cs="微软雅黑"/>
          <w:sz w:val="32"/>
          <w:szCs w:val="32"/>
          <w:lang w:eastAsia="zh-CN"/>
        </w:rPr>
        <w:t>部门</w:t>
      </w:r>
      <w:r>
        <w:rPr>
          <w:rFonts w:hint="eastAsia" w:ascii="仿宋" w:hAnsi="仿宋" w:eastAsia="仿宋" w:cs="微软雅黑"/>
          <w:sz w:val="32"/>
          <w:szCs w:val="32"/>
        </w:rPr>
        <w:t>整体绩效目标、专项资金绩效目标、预算项目资金绩效目标，依托财政信息系统一体化平台，通过调查取证、实地核查等方式采集信息，掌握本</w:t>
      </w:r>
      <w:r>
        <w:rPr>
          <w:rFonts w:hint="eastAsia" w:ascii="仿宋" w:hAnsi="仿宋" w:eastAsia="仿宋" w:cs="微软雅黑"/>
          <w:sz w:val="32"/>
          <w:szCs w:val="32"/>
          <w:lang w:eastAsia="zh-CN"/>
        </w:rPr>
        <w:t>部门</w:t>
      </w:r>
      <w:r>
        <w:rPr>
          <w:rFonts w:hint="eastAsia" w:ascii="仿宋" w:hAnsi="仿宋" w:eastAsia="仿宋" w:cs="微软雅黑"/>
          <w:sz w:val="32"/>
          <w:szCs w:val="32"/>
        </w:rPr>
        <w:t>预算绩效目标实现程度和预算资金执行情况。同时，按照省财政厅统一部署，做好年中绩效监控分析，加强监督检查，及时纠正偏差，确保各项工作围绕绩效目标实现路径进行；完善预算绩效管理薄弱环节，提高预算绩效管理工作效率；年度预算执行终了，组织本</w:t>
      </w:r>
      <w:r>
        <w:rPr>
          <w:rFonts w:hint="eastAsia" w:ascii="仿宋" w:hAnsi="仿宋" w:eastAsia="仿宋" w:cs="微软雅黑"/>
          <w:sz w:val="32"/>
          <w:szCs w:val="32"/>
          <w:lang w:eastAsia="zh-CN"/>
        </w:rPr>
        <w:t>部门</w:t>
      </w:r>
      <w:r>
        <w:rPr>
          <w:rFonts w:hint="eastAsia" w:ascii="仿宋" w:hAnsi="仿宋" w:eastAsia="仿宋" w:cs="微软雅黑"/>
          <w:sz w:val="32"/>
          <w:szCs w:val="32"/>
        </w:rPr>
        <w:t>及所属</w:t>
      </w:r>
      <w:r>
        <w:rPr>
          <w:rFonts w:hint="eastAsia" w:ascii="仿宋" w:hAnsi="仿宋" w:eastAsia="仿宋" w:cs="微软雅黑"/>
          <w:sz w:val="32"/>
          <w:szCs w:val="32"/>
          <w:lang w:eastAsia="zh-CN"/>
        </w:rPr>
        <w:t>部门</w:t>
      </w:r>
      <w:r>
        <w:rPr>
          <w:rFonts w:hint="eastAsia" w:ascii="仿宋" w:hAnsi="仿宋" w:eastAsia="仿宋" w:cs="微软雅黑"/>
          <w:sz w:val="32"/>
          <w:szCs w:val="32"/>
        </w:rPr>
        <w:t>成立绩效评价工作组，对预算执行情况开展绩效自评，并对照年初设定的绩效目标，采取现场勘查、调查核实等方式，及时对政策和项目资金支出的经济性、效率性、效益性以及绩效目标的实现程度进行自评，积极探索评价结果与改进管理挂钩机制。提高财政资金使用效益。</w:t>
      </w:r>
    </w:p>
    <w:p w14:paraId="5DAC7FC4">
      <w:pPr>
        <w:spacing w:line="360" w:lineRule="auto"/>
        <w:ind w:firstLine="640" w:firstLineChars="200"/>
        <w:rPr>
          <w:rFonts w:ascii="仿宋" w:hAnsi="仿宋" w:eastAsia="仿宋"/>
          <w:sz w:val="32"/>
          <w:szCs w:val="32"/>
        </w:rPr>
      </w:pPr>
    </w:p>
    <w:p w14:paraId="13141CE8">
      <w:pPr>
        <w:jc w:val="center"/>
        <w:outlineLvl w:val="0"/>
        <w:rPr>
          <w:rFonts w:ascii="方正小标宋_GBK" w:eastAsia="方正小标宋_GBK"/>
          <w:sz w:val="44"/>
        </w:rPr>
      </w:pPr>
    </w:p>
    <w:p w14:paraId="0440E8A0">
      <w:pPr>
        <w:jc w:val="center"/>
        <w:outlineLvl w:val="0"/>
        <w:rPr>
          <w:rFonts w:ascii="方正小标宋_GBK" w:eastAsia="方正小标宋_GBK"/>
          <w:sz w:val="44"/>
        </w:rPr>
      </w:pPr>
    </w:p>
    <w:p w14:paraId="092079C3">
      <w:pPr>
        <w:jc w:val="center"/>
        <w:outlineLvl w:val="0"/>
        <w:rPr>
          <w:rFonts w:ascii="方正小标宋_GBK" w:eastAsia="方正小标宋_GBK"/>
          <w:sz w:val="44"/>
        </w:rPr>
      </w:pPr>
    </w:p>
    <w:p w14:paraId="652FDCB6">
      <w:pPr>
        <w:jc w:val="center"/>
        <w:outlineLvl w:val="0"/>
        <w:rPr>
          <w:rFonts w:ascii="方正小标宋_GBK" w:eastAsia="方正小标宋_GBK"/>
          <w:sz w:val="44"/>
        </w:rPr>
      </w:pPr>
    </w:p>
    <w:p w14:paraId="1D2E929F">
      <w:pPr>
        <w:jc w:val="center"/>
        <w:outlineLvl w:val="0"/>
        <w:rPr>
          <w:rFonts w:ascii="方正书宋_GBK" w:eastAsia="方正书宋_GBK"/>
        </w:rPr>
      </w:pPr>
      <w:r>
        <w:rPr>
          <w:rFonts w:hint="eastAsia" w:ascii="方正小标宋_GBK" w:eastAsia="方正小标宋_GBK"/>
          <w:sz w:val="44"/>
        </w:rPr>
        <w:t>预算项目绩效目标</w:t>
      </w:r>
    </w:p>
    <w:p w14:paraId="594240F6">
      <w:pPr>
        <w:ind w:firstLine="560"/>
        <w:outlineLvl w:val="3"/>
      </w:pPr>
      <w:bookmarkStart w:id="0" w:name="_Toc_4_4_0000000004"/>
      <w:r>
        <w:rPr>
          <w:rFonts w:ascii="方正仿宋_GBK" w:hAnsi="方正仿宋_GBK" w:eastAsia="方正仿宋_GBK" w:cs="方正仿宋_GBK"/>
          <w:color w:val="000000"/>
          <w:sz w:val="28"/>
        </w:rPr>
        <w:t>1.公务用车北斗定位服务费绩效目标表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B92F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9C276FC">
            <w:pPr>
              <w:pStyle w:val="15"/>
            </w:pPr>
            <w:r>
              <w:t>430001保定市徐水区机关服务中心本级</w:t>
            </w:r>
          </w:p>
        </w:tc>
        <w:tc>
          <w:tcPr>
            <w:tcW w:w="1843" w:type="dxa"/>
            <w:tcBorders>
              <w:top w:val="single" w:color="FFFFFF" w:sz="6" w:space="0"/>
              <w:left w:val="single" w:color="FFFFFF" w:sz="6" w:space="0"/>
              <w:right w:val="single" w:color="FFFFFF" w:sz="6" w:space="0"/>
            </w:tcBorders>
            <w:vAlign w:val="center"/>
          </w:tcPr>
          <w:p w14:paraId="6C2317C9">
            <w:pPr>
              <w:pStyle w:val="14"/>
            </w:pPr>
            <w:r>
              <w:rPr>
                <w:rFonts w:hint="eastAsia"/>
                <w:lang w:eastAsia="zh-CN"/>
              </w:rPr>
              <w:t>部门</w:t>
            </w:r>
            <w:r>
              <w:t>：万元</w:t>
            </w:r>
          </w:p>
        </w:tc>
      </w:tr>
      <w:tr w14:paraId="4B60A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89CA03">
            <w:pPr>
              <w:pStyle w:val="16"/>
            </w:pPr>
            <w:r>
              <w:t>项目编码</w:t>
            </w:r>
          </w:p>
        </w:tc>
        <w:tc>
          <w:tcPr>
            <w:tcW w:w="2608" w:type="dxa"/>
            <w:gridSpan w:val="2"/>
            <w:vAlign w:val="center"/>
          </w:tcPr>
          <w:p w14:paraId="490B1353">
            <w:pPr>
              <w:pStyle w:val="17"/>
            </w:pPr>
            <w:r>
              <w:t>13062522P00456510086F</w:t>
            </w:r>
          </w:p>
        </w:tc>
        <w:tc>
          <w:tcPr>
            <w:tcW w:w="1587" w:type="dxa"/>
            <w:vAlign w:val="center"/>
          </w:tcPr>
          <w:p w14:paraId="3EC202E4">
            <w:pPr>
              <w:pStyle w:val="16"/>
            </w:pPr>
            <w:r>
              <w:t>项目名称</w:t>
            </w:r>
          </w:p>
        </w:tc>
        <w:tc>
          <w:tcPr>
            <w:tcW w:w="4422" w:type="dxa"/>
            <w:gridSpan w:val="3"/>
            <w:vAlign w:val="center"/>
          </w:tcPr>
          <w:p w14:paraId="0AA558F5">
            <w:pPr>
              <w:pStyle w:val="17"/>
            </w:pPr>
            <w:r>
              <w:t>公务用车北斗定位服务费</w:t>
            </w:r>
          </w:p>
        </w:tc>
      </w:tr>
      <w:tr w14:paraId="7B16E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46B19">
            <w:pPr>
              <w:pStyle w:val="16"/>
            </w:pPr>
            <w:r>
              <w:t>预算规模及资金用途</w:t>
            </w:r>
          </w:p>
        </w:tc>
        <w:tc>
          <w:tcPr>
            <w:tcW w:w="1276" w:type="dxa"/>
            <w:vAlign w:val="center"/>
          </w:tcPr>
          <w:p w14:paraId="0C8D195A">
            <w:pPr>
              <w:pStyle w:val="16"/>
            </w:pPr>
            <w:r>
              <w:t>预算数</w:t>
            </w:r>
          </w:p>
        </w:tc>
        <w:tc>
          <w:tcPr>
            <w:tcW w:w="1332" w:type="dxa"/>
            <w:vAlign w:val="center"/>
          </w:tcPr>
          <w:p w14:paraId="09CB1492">
            <w:pPr>
              <w:pStyle w:val="17"/>
            </w:pPr>
            <w:r>
              <w:t>6.96</w:t>
            </w:r>
          </w:p>
        </w:tc>
        <w:tc>
          <w:tcPr>
            <w:tcW w:w="1587" w:type="dxa"/>
            <w:vAlign w:val="center"/>
          </w:tcPr>
          <w:p w14:paraId="3F57B21B">
            <w:pPr>
              <w:pStyle w:val="16"/>
            </w:pPr>
            <w:r>
              <w:t>其中：财政    资金</w:t>
            </w:r>
          </w:p>
        </w:tc>
        <w:tc>
          <w:tcPr>
            <w:tcW w:w="1304" w:type="dxa"/>
            <w:vAlign w:val="center"/>
          </w:tcPr>
          <w:p w14:paraId="277CE72B">
            <w:pPr>
              <w:pStyle w:val="17"/>
            </w:pPr>
            <w:r>
              <w:t>6.96</w:t>
            </w:r>
          </w:p>
        </w:tc>
        <w:tc>
          <w:tcPr>
            <w:tcW w:w="1276" w:type="dxa"/>
            <w:vAlign w:val="center"/>
          </w:tcPr>
          <w:p w14:paraId="4B1E39D0">
            <w:pPr>
              <w:pStyle w:val="16"/>
            </w:pPr>
            <w:r>
              <w:t>其他资金</w:t>
            </w:r>
          </w:p>
        </w:tc>
        <w:tc>
          <w:tcPr>
            <w:tcW w:w="1843" w:type="dxa"/>
            <w:vAlign w:val="center"/>
          </w:tcPr>
          <w:p w14:paraId="736456F8">
            <w:pPr>
              <w:pStyle w:val="17"/>
            </w:pPr>
            <w:r>
              <w:t xml:space="preserve"> </w:t>
            </w:r>
          </w:p>
        </w:tc>
      </w:tr>
      <w:tr w14:paraId="4051D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58E8D6"/>
        </w:tc>
        <w:tc>
          <w:tcPr>
            <w:tcW w:w="8617" w:type="dxa"/>
            <w:gridSpan w:val="6"/>
            <w:vAlign w:val="center"/>
          </w:tcPr>
          <w:p w14:paraId="02B83921">
            <w:pPr>
              <w:pStyle w:val="17"/>
            </w:pPr>
            <w:r>
              <w:t>为完成本</w:t>
            </w:r>
            <w:r>
              <w:rPr>
                <w:rFonts w:hint="eastAsia"/>
                <w:lang w:eastAsia="zh-CN"/>
              </w:rPr>
              <w:t>部门</w:t>
            </w:r>
            <w:r>
              <w:t>日常行政管理方面的费用开支，以及用于设备设施等维持性费用支出，和直接用于公务活动支出。</w:t>
            </w:r>
          </w:p>
        </w:tc>
      </w:tr>
      <w:tr w14:paraId="666ED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F256C">
            <w:pPr>
              <w:pStyle w:val="16"/>
            </w:pPr>
            <w:r>
              <w:t>资金支出计划（%）</w:t>
            </w:r>
          </w:p>
        </w:tc>
        <w:tc>
          <w:tcPr>
            <w:tcW w:w="2608" w:type="dxa"/>
            <w:gridSpan w:val="2"/>
            <w:vAlign w:val="center"/>
          </w:tcPr>
          <w:p w14:paraId="5426D7C5">
            <w:pPr>
              <w:pStyle w:val="16"/>
            </w:pPr>
            <w:r>
              <w:t>3月底</w:t>
            </w:r>
          </w:p>
        </w:tc>
        <w:tc>
          <w:tcPr>
            <w:tcW w:w="1587" w:type="dxa"/>
            <w:vAlign w:val="center"/>
          </w:tcPr>
          <w:p w14:paraId="09FE789B">
            <w:pPr>
              <w:pStyle w:val="16"/>
            </w:pPr>
            <w:r>
              <w:t>6月底</w:t>
            </w:r>
          </w:p>
        </w:tc>
        <w:tc>
          <w:tcPr>
            <w:tcW w:w="1304" w:type="dxa"/>
            <w:vAlign w:val="center"/>
          </w:tcPr>
          <w:p w14:paraId="6B7C9889">
            <w:pPr>
              <w:pStyle w:val="16"/>
            </w:pPr>
            <w:r>
              <w:t>10月底</w:t>
            </w:r>
          </w:p>
        </w:tc>
        <w:tc>
          <w:tcPr>
            <w:tcW w:w="3118" w:type="dxa"/>
            <w:gridSpan w:val="2"/>
            <w:vAlign w:val="center"/>
          </w:tcPr>
          <w:p w14:paraId="15DED1E3">
            <w:pPr>
              <w:pStyle w:val="16"/>
            </w:pPr>
            <w:r>
              <w:t>12月底</w:t>
            </w:r>
          </w:p>
        </w:tc>
      </w:tr>
      <w:tr w14:paraId="7DA9B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96FD69"/>
        </w:tc>
        <w:tc>
          <w:tcPr>
            <w:tcW w:w="2608" w:type="dxa"/>
            <w:gridSpan w:val="2"/>
            <w:vAlign w:val="center"/>
          </w:tcPr>
          <w:p w14:paraId="2E1F385B">
            <w:pPr>
              <w:pStyle w:val="18"/>
            </w:pPr>
            <w:r>
              <w:t xml:space="preserve"> </w:t>
            </w:r>
          </w:p>
        </w:tc>
        <w:tc>
          <w:tcPr>
            <w:tcW w:w="1587" w:type="dxa"/>
            <w:vAlign w:val="center"/>
          </w:tcPr>
          <w:p w14:paraId="6E72714D">
            <w:pPr>
              <w:pStyle w:val="18"/>
            </w:pPr>
            <w:r>
              <w:t xml:space="preserve"> </w:t>
            </w:r>
          </w:p>
        </w:tc>
        <w:tc>
          <w:tcPr>
            <w:tcW w:w="1304" w:type="dxa"/>
            <w:vAlign w:val="center"/>
          </w:tcPr>
          <w:p w14:paraId="0DD515B9">
            <w:pPr>
              <w:pStyle w:val="18"/>
            </w:pPr>
            <w:r>
              <w:t xml:space="preserve"> </w:t>
            </w:r>
          </w:p>
        </w:tc>
        <w:tc>
          <w:tcPr>
            <w:tcW w:w="3118" w:type="dxa"/>
            <w:gridSpan w:val="2"/>
            <w:vAlign w:val="center"/>
          </w:tcPr>
          <w:p w14:paraId="0D6DDC3F">
            <w:pPr>
              <w:pStyle w:val="18"/>
            </w:pPr>
            <w:r>
              <w:t xml:space="preserve"> </w:t>
            </w:r>
          </w:p>
        </w:tc>
      </w:tr>
      <w:tr w14:paraId="68028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22FACA">
            <w:pPr>
              <w:pStyle w:val="16"/>
            </w:pPr>
            <w:r>
              <w:t>绩效目标</w:t>
            </w:r>
          </w:p>
        </w:tc>
        <w:tc>
          <w:tcPr>
            <w:tcW w:w="8617" w:type="dxa"/>
            <w:gridSpan w:val="6"/>
            <w:vAlign w:val="center"/>
          </w:tcPr>
          <w:p w14:paraId="1E18D8D9">
            <w:pPr>
              <w:pStyle w:val="17"/>
            </w:pPr>
            <w:r>
              <w:t>1.确保我</w:t>
            </w:r>
            <w:r>
              <w:rPr>
                <w:rFonts w:hint="eastAsia"/>
                <w:lang w:eastAsia="zh-CN"/>
              </w:rPr>
              <w:t>部门</w:t>
            </w:r>
            <w:r>
              <w:t>日常行政管理方面工作的运行</w:t>
            </w:r>
          </w:p>
          <w:p w14:paraId="1BCF6114">
            <w:pPr>
              <w:pStyle w:val="17"/>
            </w:pPr>
            <w:r>
              <w:t>2.保障我</w:t>
            </w:r>
            <w:r>
              <w:rPr>
                <w:rFonts w:hint="eastAsia"/>
                <w:lang w:eastAsia="zh-CN"/>
              </w:rPr>
              <w:t>部门</w:t>
            </w:r>
            <w:r>
              <w:t>设备设施的正常运转</w:t>
            </w:r>
          </w:p>
          <w:p w14:paraId="0B91E405">
            <w:pPr>
              <w:pStyle w:val="17"/>
            </w:pPr>
            <w:r>
              <w:t>3.确保我</w:t>
            </w:r>
            <w:r>
              <w:rPr>
                <w:rFonts w:hint="eastAsia"/>
                <w:lang w:eastAsia="zh-CN"/>
              </w:rPr>
              <w:t>部门</w:t>
            </w:r>
            <w:r>
              <w:t>公务活动的正常开展</w:t>
            </w:r>
          </w:p>
        </w:tc>
      </w:tr>
    </w:tbl>
    <w:p w14:paraId="7D689B9B">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0CA1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595B0">
            <w:pPr>
              <w:pStyle w:val="16"/>
            </w:pPr>
            <w:r>
              <w:t>一级指标</w:t>
            </w:r>
          </w:p>
        </w:tc>
        <w:tc>
          <w:tcPr>
            <w:tcW w:w="1276" w:type="dxa"/>
            <w:vAlign w:val="center"/>
          </w:tcPr>
          <w:p w14:paraId="5D35E9DF">
            <w:pPr>
              <w:pStyle w:val="16"/>
            </w:pPr>
            <w:r>
              <w:t>二级指标</w:t>
            </w:r>
          </w:p>
        </w:tc>
        <w:tc>
          <w:tcPr>
            <w:tcW w:w="1332" w:type="dxa"/>
            <w:vAlign w:val="center"/>
          </w:tcPr>
          <w:p w14:paraId="1096DD1F">
            <w:pPr>
              <w:pStyle w:val="16"/>
            </w:pPr>
            <w:r>
              <w:t>三级指标</w:t>
            </w:r>
          </w:p>
        </w:tc>
        <w:tc>
          <w:tcPr>
            <w:tcW w:w="2891" w:type="dxa"/>
            <w:vAlign w:val="center"/>
          </w:tcPr>
          <w:p w14:paraId="4B654BC2">
            <w:pPr>
              <w:pStyle w:val="16"/>
            </w:pPr>
            <w:r>
              <w:t>绩效指标描述</w:t>
            </w:r>
          </w:p>
        </w:tc>
        <w:tc>
          <w:tcPr>
            <w:tcW w:w="1276" w:type="dxa"/>
            <w:vAlign w:val="center"/>
          </w:tcPr>
          <w:p w14:paraId="7B4A42A0">
            <w:pPr>
              <w:pStyle w:val="16"/>
            </w:pPr>
            <w:r>
              <w:t>指标值</w:t>
            </w:r>
          </w:p>
        </w:tc>
        <w:tc>
          <w:tcPr>
            <w:tcW w:w="1843" w:type="dxa"/>
            <w:vAlign w:val="center"/>
          </w:tcPr>
          <w:p w14:paraId="59C50A33">
            <w:pPr>
              <w:pStyle w:val="16"/>
            </w:pPr>
            <w:r>
              <w:t>指标值确定依据</w:t>
            </w:r>
          </w:p>
        </w:tc>
      </w:tr>
      <w:tr w14:paraId="48E63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27C06">
            <w:pPr>
              <w:pStyle w:val="18"/>
            </w:pPr>
            <w:r>
              <w:t>产出指标</w:t>
            </w:r>
          </w:p>
        </w:tc>
        <w:tc>
          <w:tcPr>
            <w:tcW w:w="1276" w:type="dxa"/>
            <w:vAlign w:val="center"/>
          </w:tcPr>
          <w:p w14:paraId="5E2CD524">
            <w:pPr>
              <w:pStyle w:val="17"/>
            </w:pPr>
            <w:r>
              <w:t>数量指标</w:t>
            </w:r>
          </w:p>
        </w:tc>
        <w:tc>
          <w:tcPr>
            <w:tcW w:w="1332" w:type="dxa"/>
            <w:vAlign w:val="center"/>
          </w:tcPr>
          <w:p w14:paraId="1396E754">
            <w:pPr>
              <w:pStyle w:val="17"/>
            </w:pPr>
            <w:r>
              <w:t>安装北斗定位车辆数</w:t>
            </w:r>
          </w:p>
        </w:tc>
        <w:tc>
          <w:tcPr>
            <w:tcW w:w="2891" w:type="dxa"/>
            <w:vAlign w:val="center"/>
          </w:tcPr>
          <w:p w14:paraId="684FD7D8">
            <w:pPr>
              <w:pStyle w:val="17"/>
            </w:pPr>
            <w:r>
              <w:t>安装北斗定位车辆数</w:t>
            </w:r>
          </w:p>
        </w:tc>
        <w:tc>
          <w:tcPr>
            <w:tcW w:w="1276" w:type="dxa"/>
            <w:vAlign w:val="center"/>
          </w:tcPr>
          <w:p w14:paraId="19CB8184">
            <w:pPr>
              <w:pStyle w:val="17"/>
            </w:pPr>
            <w:r>
              <w:t>290辆</w:t>
            </w:r>
          </w:p>
        </w:tc>
        <w:tc>
          <w:tcPr>
            <w:tcW w:w="1843" w:type="dxa"/>
            <w:vAlign w:val="center"/>
          </w:tcPr>
          <w:p w14:paraId="3783CDCD">
            <w:pPr>
              <w:pStyle w:val="17"/>
            </w:pPr>
            <w:r>
              <w:t>依据工作方案</w:t>
            </w:r>
          </w:p>
        </w:tc>
      </w:tr>
      <w:tr w14:paraId="7AE19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2A9967"/>
        </w:tc>
        <w:tc>
          <w:tcPr>
            <w:tcW w:w="1276" w:type="dxa"/>
            <w:vAlign w:val="center"/>
          </w:tcPr>
          <w:p w14:paraId="5C1A7DD3">
            <w:pPr>
              <w:pStyle w:val="17"/>
            </w:pPr>
            <w:r>
              <w:t>质量指标</w:t>
            </w:r>
          </w:p>
        </w:tc>
        <w:tc>
          <w:tcPr>
            <w:tcW w:w="1332" w:type="dxa"/>
            <w:vAlign w:val="center"/>
          </w:tcPr>
          <w:p w14:paraId="2CE1D5A8">
            <w:pPr>
              <w:pStyle w:val="17"/>
            </w:pPr>
            <w:r>
              <w:t>车辆安装率</w:t>
            </w:r>
          </w:p>
        </w:tc>
        <w:tc>
          <w:tcPr>
            <w:tcW w:w="2891" w:type="dxa"/>
            <w:vAlign w:val="center"/>
          </w:tcPr>
          <w:p w14:paraId="4E6890D9">
            <w:pPr>
              <w:pStyle w:val="17"/>
            </w:pPr>
            <w:r>
              <w:t>车辆安装率</w:t>
            </w:r>
          </w:p>
        </w:tc>
        <w:tc>
          <w:tcPr>
            <w:tcW w:w="1276" w:type="dxa"/>
            <w:vAlign w:val="center"/>
          </w:tcPr>
          <w:p w14:paraId="5B38EF9B">
            <w:pPr>
              <w:pStyle w:val="17"/>
            </w:pPr>
            <w:r>
              <w:t>≥90%</w:t>
            </w:r>
          </w:p>
        </w:tc>
        <w:tc>
          <w:tcPr>
            <w:tcW w:w="1843" w:type="dxa"/>
            <w:vAlign w:val="center"/>
          </w:tcPr>
          <w:p w14:paraId="792D4ECC">
            <w:pPr>
              <w:pStyle w:val="17"/>
            </w:pPr>
            <w:r>
              <w:t>依据工作方案</w:t>
            </w:r>
          </w:p>
        </w:tc>
      </w:tr>
      <w:tr w14:paraId="5E19D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DFDFB0"/>
        </w:tc>
        <w:tc>
          <w:tcPr>
            <w:tcW w:w="1276" w:type="dxa"/>
            <w:vAlign w:val="center"/>
          </w:tcPr>
          <w:p w14:paraId="3D0F76AC">
            <w:pPr>
              <w:pStyle w:val="17"/>
            </w:pPr>
            <w:r>
              <w:t>时效指标</w:t>
            </w:r>
          </w:p>
        </w:tc>
        <w:tc>
          <w:tcPr>
            <w:tcW w:w="1332" w:type="dxa"/>
            <w:vAlign w:val="center"/>
          </w:tcPr>
          <w:p w14:paraId="61DAF5EC">
            <w:pPr>
              <w:pStyle w:val="17"/>
            </w:pPr>
            <w:r>
              <w:t>安装及时率</w:t>
            </w:r>
          </w:p>
        </w:tc>
        <w:tc>
          <w:tcPr>
            <w:tcW w:w="2891" w:type="dxa"/>
            <w:vAlign w:val="center"/>
          </w:tcPr>
          <w:p w14:paraId="4F3693EB">
            <w:pPr>
              <w:pStyle w:val="17"/>
            </w:pPr>
            <w:r>
              <w:t>北斗安装及时情况</w:t>
            </w:r>
          </w:p>
        </w:tc>
        <w:tc>
          <w:tcPr>
            <w:tcW w:w="1276" w:type="dxa"/>
            <w:vAlign w:val="center"/>
          </w:tcPr>
          <w:p w14:paraId="72C265F4">
            <w:pPr>
              <w:pStyle w:val="17"/>
            </w:pPr>
            <w:r>
              <w:t>100%</w:t>
            </w:r>
          </w:p>
        </w:tc>
        <w:tc>
          <w:tcPr>
            <w:tcW w:w="1843" w:type="dxa"/>
            <w:vAlign w:val="center"/>
          </w:tcPr>
          <w:p w14:paraId="2FBDCBE6">
            <w:pPr>
              <w:pStyle w:val="17"/>
            </w:pPr>
            <w:r>
              <w:t>依据工作方案</w:t>
            </w:r>
          </w:p>
        </w:tc>
      </w:tr>
      <w:tr w14:paraId="6D3DC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BCEBA2"/>
        </w:tc>
        <w:tc>
          <w:tcPr>
            <w:tcW w:w="1276" w:type="dxa"/>
            <w:vAlign w:val="center"/>
          </w:tcPr>
          <w:p w14:paraId="358EE609">
            <w:pPr>
              <w:pStyle w:val="17"/>
            </w:pPr>
            <w:r>
              <w:t>成本指标</w:t>
            </w:r>
          </w:p>
        </w:tc>
        <w:tc>
          <w:tcPr>
            <w:tcW w:w="1332" w:type="dxa"/>
            <w:vAlign w:val="center"/>
          </w:tcPr>
          <w:p w14:paraId="24564C4D">
            <w:pPr>
              <w:pStyle w:val="17"/>
            </w:pPr>
            <w:r>
              <w:t>公务用车北斗定位支出</w:t>
            </w:r>
          </w:p>
        </w:tc>
        <w:tc>
          <w:tcPr>
            <w:tcW w:w="2891" w:type="dxa"/>
            <w:vAlign w:val="center"/>
          </w:tcPr>
          <w:p w14:paraId="3235A2E0">
            <w:pPr>
              <w:pStyle w:val="17"/>
            </w:pPr>
            <w:r>
              <w:t>预算范围内支出</w:t>
            </w:r>
          </w:p>
        </w:tc>
        <w:tc>
          <w:tcPr>
            <w:tcW w:w="1276" w:type="dxa"/>
            <w:vAlign w:val="center"/>
          </w:tcPr>
          <w:p w14:paraId="6F390FBE">
            <w:pPr>
              <w:pStyle w:val="17"/>
            </w:pPr>
            <w:r>
              <w:t>≤6.96万元</w:t>
            </w:r>
          </w:p>
        </w:tc>
        <w:tc>
          <w:tcPr>
            <w:tcW w:w="1843" w:type="dxa"/>
            <w:vAlign w:val="center"/>
          </w:tcPr>
          <w:p w14:paraId="3EFD188D">
            <w:pPr>
              <w:pStyle w:val="17"/>
            </w:pPr>
            <w:r>
              <w:t>依据工作方案</w:t>
            </w:r>
          </w:p>
        </w:tc>
      </w:tr>
    </w:tbl>
    <w:p w14:paraId="422DBEDA">
      <w:pPr>
        <w:sectPr>
          <w:pgSz w:w="11900" w:h="16840"/>
          <w:pgMar w:top="1984" w:right="1304" w:bottom="1134" w:left="1304" w:header="720" w:footer="720" w:gutter="0"/>
          <w:cols w:space="720" w:num="1"/>
        </w:sectPr>
      </w:pPr>
    </w:p>
    <w:p w14:paraId="7F5C3809">
      <w:pPr>
        <w:jc w:val="center"/>
      </w:pPr>
      <w:r>
        <w:rPr>
          <w:rFonts w:ascii="方正仿宋_GBK" w:hAnsi="方正仿宋_GBK" w:eastAsia="方正仿宋_GBK" w:cs="方正仿宋_GBK"/>
          <w:color w:val="000000"/>
          <w:sz w:val="28"/>
        </w:rPr>
        <w:t xml:space="preserve"> </w:t>
      </w:r>
    </w:p>
    <w:p w14:paraId="3094F396">
      <w:pPr>
        <w:ind w:firstLine="560"/>
        <w:outlineLvl w:val="3"/>
      </w:pPr>
      <w:bookmarkStart w:id="1" w:name="_Toc_4_4_0000000005"/>
      <w:r>
        <w:rPr>
          <w:rFonts w:ascii="方正仿宋_GBK" w:hAnsi="方正仿宋_GBK" w:eastAsia="方正仿宋_GBK" w:cs="方正仿宋_GBK"/>
          <w:color w:val="000000"/>
          <w:sz w:val="28"/>
        </w:rPr>
        <w:t>2.后勤保障服务经费绩效目标表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C15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7B151F9">
            <w:pPr>
              <w:pStyle w:val="15"/>
            </w:pPr>
            <w:r>
              <w:t>430001保定市徐水区机关服务中心本级</w:t>
            </w:r>
          </w:p>
        </w:tc>
        <w:tc>
          <w:tcPr>
            <w:tcW w:w="1843" w:type="dxa"/>
            <w:tcBorders>
              <w:top w:val="single" w:color="FFFFFF" w:sz="6" w:space="0"/>
              <w:left w:val="single" w:color="FFFFFF" w:sz="6" w:space="0"/>
              <w:right w:val="single" w:color="FFFFFF" w:sz="6" w:space="0"/>
            </w:tcBorders>
            <w:vAlign w:val="center"/>
          </w:tcPr>
          <w:p w14:paraId="54AAC9A9">
            <w:pPr>
              <w:pStyle w:val="14"/>
            </w:pPr>
            <w:r>
              <w:rPr>
                <w:rFonts w:hint="eastAsia"/>
                <w:lang w:eastAsia="zh-CN"/>
              </w:rPr>
              <w:t>部门</w:t>
            </w:r>
            <w:r>
              <w:t>：万元</w:t>
            </w:r>
          </w:p>
        </w:tc>
      </w:tr>
      <w:tr w14:paraId="7194F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4E6FA2">
            <w:pPr>
              <w:pStyle w:val="16"/>
            </w:pPr>
            <w:r>
              <w:t>项目编码</w:t>
            </w:r>
          </w:p>
        </w:tc>
        <w:tc>
          <w:tcPr>
            <w:tcW w:w="2608" w:type="dxa"/>
            <w:gridSpan w:val="2"/>
            <w:vAlign w:val="center"/>
          </w:tcPr>
          <w:p w14:paraId="7F162B06">
            <w:pPr>
              <w:pStyle w:val="17"/>
            </w:pPr>
            <w:r>
              <w:t>13062522P00456510098J</w:t>
            </w:r>
          </w:p>
        </w:tc>
        <w:tc>
          <w:tcPr>
            <w:tcW w:w="1587" w:type="dxa"/>
            <w:vAlign w:val="center"/>
          </w:tcPr>
          <w:p w14:paraId="4B3EEB1B">
            <w:pPr>
              <w:pStyle w:val="16"/>
            </w:pPr>
            <w:r>
              <w:t>项目名称</w:t>
            </w:r>
          </w:p>
        </w:tc>
        <w:tc>
          <w:tcPr>
            <w:tcW w:w="4422" w:type="dxa"/>
            <w:gridSpan w:val="3"/>
            <w:vAlign w:val="center"/>
          </w:tcPr>
          <w:p w14:paraId="32CF3DF4">
            <w:pPr>
              <w:pStyle w:val="17"/>
            </w:pPr>
            <w:r>
              <w:t>后勤保障服务经费</w:t>
            </w:r>
          </w:p>
        </w:tc>
      </w:tr>
      <w:tr w14:paraId="20F71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7511C">
            <w:pPr>
              <w:pStyle w:val="16"/>
            </w:pPr>
            <w:r>
              <w:t>预算规模及资金用途</w:t>
            </w:r>
          </w:p>
        </w:tc>
        <w:tc>
          <w:tcPr>
            <w:tcW w:w="1276" w:type="dxa"/>
            <w:vAlign w:val="center"/>
          </w:tcPr>
          <w:p w14:paraId="31719250">
            <w:pPr>
              <w:pStyle w:val="16"/>
            </w:pPr>
            <w:r>
              <w:t>预算数</w:t>
            </w:r>
          </w:p>
        </w:tc>
        <w:tc>
          <w:tcPr>
            <w:tcW w:w="1332" w:type="dxa"/>
            <w:vAlign w:val="center"/>
          </w:tcPr>
          <w:p w14:paraId="77B511C1">
            <w:pPr>
              <w:pStyle w:val="17"/>
            </w:pPr>
            <w:r>
              <w:t>117.29</w:t>
            </w:r>
          </w:p>
        </w:tc>
        <w:tc>
          <w:tcPr>
            <w:tcW w:w="1587" w:type="dxa"/>
            <w:vAlign w:val="center"/>
          </w:tcPr>
          <w:p w14:paraId="56F45B13">
            <w:pPr>
              <w:pStyle w:val="16"/>
            </w:pPr>
            <w:r>
              <w:t>其中：财政    资金</w:t>
            </w:r>
          </w:p>
        </w:tc>
        <w:tc>
          <w:tcPr>
            <w:tcW w:w="1304" w:type="dxa"/>
            <w:vAlign w:val="center"/>
          </w:tcPr>
          <w:p w14:paraId="1C05C6B5">
            <w:pPr>
              <w:pStyle w:val="17"/>
            </w:pPr>
            <w:r>
              <w:t>117.29</w:t>
            </w:r>
          </w:p>
        </w:tc>
        <w:tc>
          <w:tcPr>
            <w:tcW w:w="1276" w:type="dxa"/>
            <w:vAlign w:val="center"/>
          </w:tcPr>
          <w:p w14:paraId="5DD7FE0A">
            <w:pPr>
              <w:pStyle w:val="16"/>
            </w:pPr>
            <w:r>
              <w:t>其他资金</w:t>
            </w:r>
          </w:p>
        </w:tc>
        <w:tc>
          <w:tcPr>
            <w:tcW w:w="1843" w:type="dxa"/>
            <w:vAlign w:val="center"/>
          </w:tcPr>
          <w:p w14:paraId="458B796D">
            <w:pPr>
              <w:pStyle w:val="17"/>
            </w:pPr>
            <w:r>
              <w:t xml:space="preserve"> </w:t>
            </w:r>
          </w:p>
        </w:tc>
      </w:tr>
      <w:tr w14:paraId="5B7C7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A290EC"/>
        </w:tc>
        <w:tc>
          <w:tcPr>
            <w:tcW w:w="8617" w:type="dxa"/>
            <w:gridSpan w:val="6"/>
            <w:vAlign w:val="center"/>
          </w:tcPr>
          <w:p w14:paraId="68B8668D">
            <w:pPr>
              <w:pStyle w:val="17"/>
            </w:pPr>
            <w:r>
              <w:t>为完成本</w:t>
            </w:r>
            <w:r>
              <w:rPr>
                <w:rFonts w:hint="eastAsia"/>
                <w:lang w:eastAsia="zh-CN"/>
              </w:rPr>
              <w:t>部门</w:t>
            </w:r>
            <w:r>
              <w:t>日常行政管理方面的费用开支，以及用于设备设施等维持性费用支出，和直接用于公务活动支出。</w:t>
            </w:r>
          </w:p>
        </w:tc>
      </w:tr>
      <w:tr w14:paraId="29E1B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ADB97">
            <w:pPr>
              <w:pStyle w:val="16"/>
            </w:pPr>
            <w:r>
              <w:t>资金支出计划（%）</w:t>
            </w:r>
          </w:p>
        </w:tc>
        <w:tc>
          <w:tcPr>
            <w:tcW w:w="2608" w:type="dxa"/>
            <w:gridSpan w:val="2"/>
            <w:vAlign w:val="center"/>
          </w:tcPr>
          <w:p w14:paraId="29DA3CA9">
            <w:pPr>
              <w:pStyle w:val="16"/>
            </w:pPr>
            <w:r>
              <w:t>3月底</w:t>
            </w:r>
          </w:p>
        </w:tc>
        <w:tc>
          <w:tcPr>
            <w:tcW w:w="1587" w:type="dxa"/>
            <w:vAlign w:val="center"/>
          </w:tcPr>
          <w:p w14:paraId="608CF196">
            <w:pPr>
              <w:pStyle w:val="16"/>
            </w:pPr>
            <w:r>
              <w:t>6月底</w:t>
            </w:r>
          </w:p>
        </w:tc>
        <w:tc>
          <w:tcPr>
            <w:tcW w:w="1304" w:type="dxa"/>
            <w:vAlign w:val="center"/>
          </w:tcPr>
          <w:p w14:paraId="2DFEB02F">
            <w:pPr>
              <w:pStyle w:val="16"/>
            </w:pPr>
            <w:r>
              <w:t>10月底</w:t>
            </w:r>
          </w:p>
        </w:tc>
        <w:tc>
          <w:tcPr>
            <w:tcW w:w="3118" w:type="dxa"/>
            <w:gridSpan w:val="2"/>
            <w:vAlign w:val="center"/>
          </w:tcPr>
          <w:p w14:paraId="1A680F22">
            <w:pPr>
              <w:pStyle w:val="16"/>
            </w:pPr>
            <w:r>
              <w:t>12月底</w:t>
            </w:r>
          </w:p>
        </w:tc>
      </w:tr>
      <w:tr w14:paraId="21A8E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20CC15"/>
        </w:tc>
        <w:tc>
          <w:tcPr>
            <w:tcW w:w="2608" w:type="dxa"/>
            <w:gridSpan w:val="2"/>
            <w:vAlign w:val="center"/>
          </w:tcPr>
          <w:p w14:paraId="01BE917F">
            <w:pPr>
              <w:pStyle w:val="18"/>
            </w:pPr>
            <w:r>
              <w:t>25%</w:t>
            </w:r>
          </w:p>
        </w:tc>
        <w:tc>
          <w:tcPr>
            <w:tcW w:w="1587" w:type="dxa"/>
            <w:vAlign w:val="center"/>
          </w:tcPr>
          <w:p w14:paraId="090CC776">
            <w:pPr>
              <w:pStyle w:val="18"/>
            </w:pPr>
            <w:r>
              <w:t>50%</w:t>
            </w:r>
          </w:p>
        </w:tc>
        <w:tc>
          <w:tcPr>
            <w:tcW w:w="1304" w:type="dxa"/>
            <w:vAlign w:val="center"/>
          </w:tcPr>
          <w:p w14:paraId="4863F757">
            <w:pPr>
              <w:pStyle w:val="18"/>
            </w:pPr>
            <w:r>
              <w:t>75%</w:t>
            </w:r>
          </w:p>
        </w:tc>
        <w:tc>
          <w:tcPr>
            <w:tcW w:w="3118" w:type="dxa"/>
            <w:gridSpan w:val="2"/>
            <w:vAlign w:val="center"/>
          </w:tcPr>
          <w:p w14:paraId="2D94193F">
            <w:pPr>
              <w:pStyle w:val="18"/>
            </w:pPr>
            <w:r>
              <w:t>100%</w:t>
            </w:r>
          </w:p>
        </w:tc>
      </w:tr>
      <w:tr w14:paraId="75716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233027">
            <w:pPr>
              <w:pStyle w:val="16"/>
            </w:pPr>
            <w:r>
              <w:t>绩效目标</w:t>
            </w:r>
          </w:p>
        </w:tc>
        <w:tc>
          <w:tcPr>
            <w:tcW w:w="8617" w:type="dxa"/>
            <w:gridSpan w:val="6"/>
            <w:vAlign w:val="center"/>
          </w:tcPr>
          <w:p w14:paraId="01C8D768">
            <w:pPr>
              <w:pStyle w:val="17"/>
            </w:pPr>
            <w:r>
              <w:t>1.确保我</w:t>
            </w:r>
            <w:r>
              <w:rPr>
                <w:rFonts w:hint="eastAsia"/>
                <w:lang w:eastAsia="zh-CN"/>
              </w:rPr>
              <w:t>部门</w:t>
            </w:r>
            <w:r>
              <w:t>日常行政管理方面工作的运行</w:t>
            </w:r>
          </w:p>
          <w:p w14:paraId="270983B4">
            <w:pPr>
              <w:pStyle w:val="17"/>
            </w:pPr>
            <w:r>
              <w:t>2.保障我</w:t>
            </w:r>
            <w:r>
              <w:rPr>
                <w:rFonts w:hint="eastAsia"/>
                <w:lang w:eastAsia="zh-CN"/>
              </w:rPr>
              <w:t>部门</w:t>
            </w:r>
            <w:r>
              <w:t>设备设施的正常运转</w:t>
            </w:r>
          </w:p>
          <w:p w14:paraId="67610B3A">
            <w:pPr>
              <w:pStyle w:val="17"/>
            </w:pPr>
            <w:r>
              <w:t>3.搞好服务保障，为广大干部职工提供安全、快捷、细致、周到的工作环境；加强财务管理，确保资金安全，提高财政资金使用效益。</w:t>
            </w:r>
          </w:p>
        </w:tc>
      </w:tr>
    </w:tbl>
    <w:p w14:paraId="43E9E8A4">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A5E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2AB717">
            <w:pPr>
              <w:pStyle w:val="16"/>
            </w:pPr>
            <w:r>
              <w:t>一级指标</w:t>
            </w:r>
          </w:p>
        </w:tc>
        <w:tc>
          <w:tcPr>
            <w:tcW w:w="1276" w:type="dxa"/>
            <w:vAlign w:val="center"/>
          </w:tcPr>
          <w:p w14:paraId="0A0EC553">
            <w:pPr>
              <w:pStyle w:val="16"/>
            </w:pPr>
            <w:r>
              <w:t>二级指标</w:t>
            </w:r>
          </w:p>
        </w:tc>
        <w:tc>
          <w:tcPr>
            <w:tcW w:w="1332" w:type="dxa"/>
            <w:vAlign w:val="center"/>
          </w:tcPr>
          <w:p w14:paraId="06B5F5B7">
            <w:pPr>
              <w:pStyle w:val="16"/>
            </w:pPr>
            <w:r>
              <w:t>三级指标</w:t>
            </w:r>
          </w:p>
        </w:tc>
        <w:tc>
          <w:tcPr>
            <w:tcW w:w="2891" w:type="dxa"/>
            <w:vAlign w:val="center"/>
          </w:tcPr>
          <w:p w14:paraId="1E5E05E6">
            <w:pPr>
              <w:pStyle w:val="16"/>
            </w:pPr>
            <w:r>
              <w:t>绩效指标描述</w:t>
            </w:r>
          </w:p>
        </w:tc>
        <w:tc>
          <w:tcPr>
            <w:tcW w:w="1276" w:type="dxa"/>
            <w:vAlign w:val="center"/>
          </w:tcPr>
          <w:p w14:paraId="03FDAE8B">
            <w:pPr>
              <w:pStyle w:val="16"/>
            </w:pPr>
            <w:r>
              <w:t>指标值</w:t>
            </w:r>
          </w:p>
        </w:tc>
        <w:tc>
          <w:tcPr>
            <w:tcW w:w="1843" w:type="dxa"/>
            <w:vAlign w:val="center"/>
          </w:tcPr>
          <w:p w14:paraId="254CB454">
            <w:pPr>
              <w:pStyle w:val="16"/>
            </w:pPr>
            <w:r>
              <w:t>指标值确定依据</w:t>
            </w:r>
          </w:p>
        </w:tc>
      </w:tr>
      <w:tr w14:paraId="7F5F0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E6150">
            <w:pPr>
              <w:pStyle w:val="18"/>
            </w:pPr>
            <w:r>
              <w:t>产出指标</w:t>
            </w:r>
          </w:p>
        </w:tc>
        <w:tc>
          <w:tcPr>
            <w:tcW w:w="1276" w:type="dxa"/>
            <w:vAlign w:val="center"/>
          </w:tcPr>
          <w:p w14:paraId="089E7395">
            <w:pPr>
              <w:pStyle w:val="17"/>
            </w:pPr>
            <w:r>
              <w:t>数量指标</w:t>
            </w:r>
          </w:p>
        </w:tc>
        <w:tc>
          <w:tcPr>
            <w:tcW w:w="1332" w:type="dxa"/>
            <w:vAlign w:val="center"/>
          </w:tcPr>
          <w:p w14:paraId="20C3E695">
            <w:pPr>
              <w:pStyle w:val="17"/>
            </w:pPr>
            <w:r>
              <w:t>服务对象人数</w:t>
            </w:r>
          </w:p>
        </w:tc>
        <w:tc>
          <w:tcPr>
            <w:tcW w:w="2891" w:type="dxa"/>
            <w:vAlign w:val="center"/>
          </w:tcPr>
          <w:p w14:paraId="5BAB0DBE">
            <w:pPr>
              <w:pStyle w:val="17"/>
            </w:pPr>
            <w:r>
              <w:t>服务对象人数</w:t>
            </w:r>
          </w:p>
        </w:tc>
        <w:tc>
          <w:tcPr>
            <w:tcW w:w="1276" w:type="dxa"/>
            <w:vAlign w:val="center"/>
          </w:tcPr>
          <w:p w14:paraId="4E4A2865">
            <w:pPr>
              <w:pStyle w:val="17"/>
            </w:pPr>
            <w:r>
              <w:t>≥450人</w:t>
            </w:r>
          </w:p>
        </w:tc>
        <w:tc>
          <w:tcPr>
            <w:tcW w:w="1843" w:type="dxa"/>
            <w:vAlign w:val="center"/>
          </w:tcPr>
          <w:p w14:paraId="1179C500">
            <w:pPr>
              <w:pStyle w:val="17"/>
            </w:pPr>
            <w:r>
              <w:t>依据工作方案</w:t>
            </w:r>
          </w:p>
        </w:tc>
      </w:tr>
      <w:tr w14:paraId="1F79D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F908A8"/>
        </w:tc>
        <w:tc>
          <w:tcPr>
            <w:tcW w:w="1276" w:type="dxa"/>
            <w:vAlign w:val="center"/>
          </w:tcPr>
          <w:p w14:paraId="46524168">
            <w:pPr>
              <w:pStyle w:val="17"/>
            </w:pPr>
            <w:r>
              <w:t>质量指标</w:t>
            </w:r>
          </w:p>
        </w:tc>
        <w:tc>
          <w:tcPr>
            <w:tcW w:w="1332" w:type="dxa"/>
            <w:vAlign w:val="center"/>
          </w:tcPr>
          <w:p w14:paraId="75565172">
            <w:pPr>
              <w:pStyle w:val="17"/>
            </w:pPr>
            <w:r>
              <w:t>服务覆盖率</w:t>
            </w:r>
          </w:p>
        </w:tc>
        <w:tc>
          <w:tcPr>
            <w:tcW w:w="2891" w:type="dxa"/>
            <w:vAlign w:val="center"/>
          </w:tcPr>
          <w:p w14:paraId="2EF02A38">
            <w:pPr>
              <w:pStyle w:val="17"/>
            </w:pPr>
            <w:r>
              <w:t>服务覆盖率</w:t>
            </w:r>
          </w:p>
        </w:tc>
        <w:tc>
          <w:tcPr>
            <w:tcW w:w="1276" w:type="dxa"/>
            <w:vAlign w:val="center"/>
          </w:tcPr>
          <w:p w14:paraId="09A5DDC1">
            <w:pPr>
              <w:pStyle w:val="17"/>
            </w:pPr>
            <w:r>
              <w:t>100%</w:t>
            </w:r>
          </w:p>
        </w:tc>
        <w:tc>
          <w:tcPr>
            <w:tcW w:w="1843" w:type="dxa"/>
            <w:vAlign w:val="center"/>
          </w:tcPr>
          <w:p w14:paraId="60251EC9">
            <w:pPr>
              <w:pStyle w:val="17"/>
            </w:pPr>
            <w:r>
              <w:t>依据工作方案</w:t>
            </w:r>
          </w:p>
        </w:tc>
      </w:tr>
      <w:tr w14:paraId="39DED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6ABA93"/>
        </w:tc>
        <w:tc>
          <w:tcPr>
            <w:tcW w:w="1276" w:type="dxa"/>
            <w:vAlign w:val="center"/>
          </w:tcPr>
          <w:p w14:paraId="39C95E26">
            <w:pPr>
              <w:pStyle w:val="17"/>
            </w:pPr>
            <w:r>
              <w:t>时效指标</w:t>
            </w:r>
          </w:p>
        </w:tc>
        <w:tc>
          <w:tcPr>
            <w:tcW w:w="1332" w:type="dxa"/>
            <w:vAlign w:val="center"/>
          </w:tcPr>
          <w:p w14:paraId="67B1E5C1">
            <w:pPr>
              <w:pStyle w:val="17"/>
            </w:pPr>
            <w:r>
              <w:t>服务及时率</w:t>
            </w:r>
          </w:p>
        </w:tc>
        <w:tc>
          <w:tcPr>
            <w:tcW w:w="2891" w:type="dxa"/>
            <w:vAlign w:val="center"/>
          </w:tcPr>
          <w:p w14:paraId="64F1700D">
            <w:pPr>
              <w:pStyle w:val="17"/>
            </w:pPr>
            <w:r>
              <w:t>政府大院后勤服务及时情况</w:t>
            </w:r>
          </w:p>
        </w:tc>
        <w:tc>
          <w:tcPr>
            <w:tcW w:w="1276" w:type="dxa"/>
            <w:vAlign w:val="center"/>
          </w:tcPr>
          <w:p w14:paraId="6F54E78D">
            <w:pPr>
              <w:pStyle w:val="17"/>
            </w:pPr>
            <w:r>
              <w:t>100%</w:t>
            </w:r>
          </w:p>
        </w:tc>
        <w:tc>
          <w:tcPr>
            <w:tcW w:w="1843" w:type="dxa"/>
            <w:vAlign w:val="center"/>
          </w:tcPr>
          <w:p w14:paraId="59DE3619">
            <w:pPr>
              <w:pStyle w:val="17"/>
            </w:pPr>
            <w:r>
              <w:t>依据工作方案</w:t>
            </w:r>
          </w:p>
        </w:tc>
      </w:tr>
      <w:tr w14:paraId="7809C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0B7010"/>
        </w:tc>
        <w:tc>
          <w:tcPr>
            <w:tcW w:w="1276" w:type="dxa"/>
            <w:vAlign w:val="center"/>
          </w:tcPr>
          <w:p w14:paraId="0C4FBDD2">
            <w:pPr>
              <w:pStyle w:val="17"/>
            </w:pPr>
            <w:r>
              <w:t>成本指标</w:t>
            </w:r>
          </w:p>
        </w:tc>
        <w:tc>
          <w:tcPr>
            <w:tcW w:w="1332" w:type="dxa"/>
            <w:vAlign w:val="center"/>
          </w:tcPr>
          <w:p w14:paraId="19D3E8C3">
            <w:pPr>
              <w:pStyle w:val="17"/>
            </w:pPr>
            <w:r>
              <w:t>后勤保障服务经费支出</w:t>
            </w:r>
          </w:p>
        </w:tc>
        <w:tc>
          <w:tcPr>
            <w:tcW w:w="2891" w:type="dxa"/>
            <w:vAlign w:val="center"/>
          </w:tcPr>
          <w:p w14:paraId="5A6A1099">
            <w:pPr>
              <w:pStyle w:val="17"/>
            </w:pPr>
            <w:r>
              <w:t>经费保正率</w:t>
            </w:r>
          </w:p>
        </w:tc>
        <w:tc>
          <w:tcPr>
            <w:tcW w:w="1276" w:type="dxa"/>
            <w:vAlign w:val="center"/>
          </w:tcPr>
          <w:p w14:paraId="5F562DA5">
            <w:pPr>
              <w:pStyle w:val="17"/>
            </w:pPr>
            <w:r>
              <w:t>≤117.29%</w:t>
            </w:r>
          </w:p>
        </w:tc>
        <w:tc>
          <w:tcPr>
            <w:tcW w:w="1843" w:type="dxa"/>
            <w:vAlign w:val="center"/>
          </w:tcPr>
          <w:p w14:paraId="37AA8DC2">
            <w:pPr>
              <w:pStyle w:val="17"/>
            </w:pPr>
            <w:r>
              <w:t>依据工作方案</w:t>
            </w:r>
          </w:p>
        </w:tc>
      </w:tr>
    </w:tbl>
    <w:p w14:paraId="43D309F7">
      <w:pPr>
        <w:sectPr>
          <w:pgSz w:w="11900" w:h="16840"/>
          <w:pgMar w:top="1984" w:right="1304" w:bottom="1134" w:left="1304" w:header="720" w:footer="720" w:gutter="0"/>
          <w:cols w:space="720" w:num="1"/>
        </w:sectPr>
      </w:pPr>
    </w:p>
    <w:p w14:paraId="5DD71145">
      <w:pPr>
        <w:jc w:val="center"/>
      </w:pPr>
      <w:r>
        <w:rPr>
          <w:rFonts w:ascii="方正仿宋_GBK" w:hAnsi="方正仿宋_GBK" w:eastAsia="方正仿宋_GBK" w:cs="方正仿宋_GBK"/>
          <w:color w:val="000000"/>
          <w:sz w:val="28"/>
        </w:rPr>
        <w:t xml:space="preserve"> </w:t>
      </w:r>
    </w:p>
    <w:p w14:paraId="14D92A59">
      <w:pPr>
        <w:ind w:firstLine="560"/>
        <w:outlineLvl w:val="3"/>
      </w:pPr>
      <w:bookmarkStart w:id="2" w:name="_Toc_4_4_0000000006"/>
      <w:r>
        <w:rPr>
          <w:rFonts w:ascii="方正仿宋_GBK" w:hAnsi="方正仿宋_GBK" w:eastAsia="方正仿宋_GBK" w:cs="方正仿宋_GBK"/>
          <w:color w:val="000000"/>
          <w:sz w:val="28"/>
        </w:rPr>
        <w:t>3.机关管理相关费用绩效目标表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F0E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A42398D">
            <w:pPr>
              <w:pStyle w:val="15"/>
            </w:pPr>
            <w:r>
              <w:t>430001保定市徐水区机关服务中心本级</w:t>
            </w:r>
          </w:p>
        </w:tc>
        <w:tc>
          <w:tcPr>
            <w:tcW w:w="1843" w:type="dxa"/>
            <w:tcBorders>
              <w:top w:val="single" w:color="FFFFFF" w:sz="6" w:space="0"/>
              <w:left w:val="single" w:color="FFFFFF" w:sz="6" w:space="0"/>
              <w:right w:val="single" w:color="FFFFFF" w:sz="6" w:space="0"/>
            </w:tcBorders>
            <w:vAlign w:val="center"/>
          </w:tcPr>
          <w:p w14:paraId="23FD1643">
            <w:pPr>
              <w:pStyle w:val="14"/>
            </w:pPr>
            <w:r>
              <w:rPr>
                <w:rFonts w:hint="eastAsia"/>
                <w:lang w:eastAsia="zh-CN"/>
              </w:rPr>
              <w:t>部门</w:t>
            </w:r>
            <w:r>
              <w:t>：万元</w:t>
            </w:r>
          </w:p>
        </w:tc>
      </w:tr>
      <w:tr w14:paraId="6FE64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07188">
            <w:pPr>
              <w:pStyle w:val="16"/>
            </w:pPr>
            <w:r>
              <w:t>项目编码</w:t>
            </w:r>
          </w:p>
        </w:tc>
        <w:tc>
          <w:tcPr>
            <w:tcW w:w="2608" w:type="dxa"/>
            <w:gridSpan w:val="2"/>
            <w:vAlign w:val="center"/>
          </w:tcPr>
          <w:p w14:paraId="41A32EAF">
            <w:pPr>
              <w:pStyle w:val="17"/>
            </w:pPr>
            <w:r>
              <w:t>13062522P00456510085U</w:t>
            </w:r>
          </w:p>
        </w:tc>
        <w:tc>
          <w:tcPr>
            <w:tcW w:w="1587" w:type="dxa"/>
            <w:vAlign w:val="center"/>
          </w:tcPr>
          <w:p w14:paraId="705AC9C7">
            <w:pPr>
              <w:pStyle w:val="16"/>
            </w:pPr>
            <w:r>
              <w:t>项目名称</w:t>
            </w:r>
          </w:p>
        </w:tc>
        <w:tc>
          <w:tcPr>
            <w:tcW w:w="4422" w:type="dxa"/>
            <w:gridSpan w:val="3"/>
            <w:vAlign w:val="center"/>
          </w:tcPr>
          <w:p w14:paraId="66C48047">
            <w:pPr>
              <w:pStyle w:val="17"/>
            </w:pPr>
            <w:r>
              <w:t>机关管理相关费用</w:t>
            </w:r>
          </w:p>
        </w:tc>
      </w:tr>
      <w:tr w14:paraId="2964D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B0599">
            <w:pPr>
              <w:pStyle w:val="16"/>
            </w:pPr>
            <w:r>
              <w:t>预算规模及资金用途</w:t>
            </w:r>
          </w:p>
        </w:tc>
        <w:tc>
          <w:tcPr>
            <w:tcW w:w="1276" w:type="dxa"/>
            <w:vAlign w:val="center"/>
          </w:tcPr>
          <w:p w14:paraId="74B31D4A">
            <w:pPr>
              <w:pStyle w:val="16"/>
            </w:pPr>
            <w:r>
              <w:t>预算数</w:t>
            </w:r>
          </w:p>
        </w:tc>
        <w:tc>
          <w:tcPr>
            <w:tcW w:w="1332" w:type="dxa"/>
            <w:vAlign w:val="center"/>
          </w:tcPr>
          <w:p w14:paraId="55330FC1">
            <w:pPr>
              <w:pStyle w:val="17"/>
            </w:pPr>
            <w:r>
              <w:t>76.37</w:t>
            </w:r>
          </w:p>
        </w:tc>
        <w:tc>
          <w:tcPr>
            <w:tcW w:w="1587" w:type="dxa"/>
            <w:vAlign w:val="center"/>
          </w:tcPr>
          <w:p w14:paraId="1CFE5988">
            <w:pPr>
              <w:pStyle w:val="16"/>
            </w:pPr>
            <w:r>
              <w:t>其中：财政    资金</w:t>
            </w:r>
          </w:p>
        </w:tc>
        <w:tc>
          <w:tcPr>
            <w:tcW w:w="1304" w:type="dxa"/>
            <w:vAlign w:val="center"/>
          </w:tcPr>
          <w:p w14:paraId="39FCD83D">
            <w:pPr>
              <w:pStyle w:val="17"/>
            </w:pPr>
            <w:r>
              <w:t>76.37</w:t>
            </w:r>
          </w:p>
        </w:tc>
        <w:tc>
          <w:tcPr>
            <w:tcW w:w="1276" w:type="dxa"/>
            <w:vAlign w:val="center"/>
          </w:tcPr>
          <w:p w14:paraId="5654DBF1">
            <w:pPr>
              <w:pStyle w:val="16"/>
            </w:pPr>
            <w:r>
              <w:t>其他资金</w:t>
            </w:r>
          </w:p>
        </w:tc>
        <w:tc>
          <w:tcPr>
            <w:tcW w:w="1843" w:type="dxa"/>
            <w:vAlign w:val="center"/>
          </w:tcPr>
          <w:p w14:paraId="4B366FD2">
            <w:pPr>
              <w:pStyle w:val="17"/>
            </w:pPr>
            <w:r>
              <w:t xml:space="preserve"> </w:t>
            </w:r>
          </w:p>
        </w:tc>
      </w:tr>
      <w:tr w14:paraId="2B749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7836E6"/>
        </w:tc>
        <w:tc>
          <w:tcPr>
            <w:tcW w:w="8617" w:type="dxa"/>
            <w:gridSpan w:val="6"/>
            <w:vAlign w:val="center"/>
          </w:tcPr>
          <w:p w14:paraId="22A9AA40">
            <w:pPr>
              <w:pStyle w:val="17"/>
            </w:pPr>
            <w:r>
              <w:t>为完成本</w:t>
            </w:r>
            <w:r>
              <w:rPr>
                <w:rFonts w:hint="eastAsia"/>
                <w:lang w:eastAsia="zh-CN"/>
              </w:rPr>
              <w:t>部门</w:t>
            </w:r>
            <w:r>
              <w:t>日常行政管理方面的费用开支，以及用于设备设施等维持性费用支出，和直接用于公务活动支出。</w:t>
            </w:r>
          </w:p>
        </w:tc>
      </w:tr>
      <w:tr w14:paraId="603D8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33BA4">
            <w:pPr>
              <w:pStyle w:val="16"/>
            </w:pPr>
            <w:r>
              <w:t>资金支出计划（%）</w:t>
            </w:r>
          </w:p>
        </w:tc>
        <w:tc>
          <w:tcPr>
            <w:tcW w:w="2608" w:type="dxa"/>
            <w:gridSpan w:val="2"/>
            <w:vAlign w:val="center"/>
          </w:tcPr>
          <w:p w14:paraId="703ACC6E">
            <w:pPr>
              <w:pStyle w:val="16"/>
            </w:pPr>
            <w:r>
              <w:t>3月底</w:t>
            </w:r>
          </w:p>
        </w:tc>
        <w:tc>
          <w:tcPr>
            <w:tcW w:w="1587" w:type="dxa"/>
            <w:vAlign w:val="center"/>
          </w:tcPr>
          <w:p w14:paraId="73E66304">
            <w:pPr>
              <w:pStyle w:val="16"/>
            </w:pPr>
            <w:r>
              <w:t>6月底</w:t>
            </w:r>
          </w:p>
        </w:tc>
        <w:tc>
          <w:tcPr>
            <w:tcW w:w="1304" w:type="dxa"/>
            <w:vAlign w:val="center"/>
          </w:tcPr>
          <w:p w14:paraId="1398E7C7">
            <w:pPr>
              <w:pStyle w:val="16"/>
            </w:pPr>
            <w:r>
              <w:t>10月底</w:t>
            </w:r>
          </w:p>
        </w:tc>
        <w:tc>
          <w:tcPr>
            <w:tcW w:w="3118" w:type="dxa"/>
            <w:gridSpan w:val="2"/>
            <w:vAlign w:val="center"/>
          </w:tcPr>
          <w:p w14:paraId="58761EBD">
            <w:pPr>
              <w:pStyle w:val="16"/>
            </w:pPr>
            <w:r>
              <w:t>12月底</w:t>
            </w:r>
          </w:p>
        </w:tc>
      </w:tr>
      <w:tr w14:paraId="19450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4B94FB"/>
        </w:tc>
        <w:tc>
          <w:tcPr>
            <w:tcW w:w="2608" w:type="dxa"/>
            <w:gridSpan w:val="2"/>
            <w:vAlign w:val="center"/>
          </w:tcPr>
          <w:p w14:paraId="6214420C">
            <w:pPr>
              <w:pStyle w:val="18"/>
            </w:pPr>
            <w:r>
              <w:t>25%</w:t>
            </w:r>
          </w:p>
        </w:tc>
        <w:tc>
          <w:tcPr>
            <w:tcW w:w="1587" w:type="dxa"/>
            <w:vAlign w:val="center"/>
          </w:tcPr>
          <w:p w14:paraId="76E099C2">
            <w:pPr>
              <w:pStyle w:val="18"/>
            </w:pPr>
            <w:r>
              <w:t>50%</w:t>
            </w:r>
          </w:p>
        </w:tc>
        <w:tc>
          <w:tcPr>
            <w:tcW w:w="1304" w:type="dxa"/>
            <w:vAlign w:val="center"/>
          </w:tcPr>
          <w:p w14:paraId="775F0844">
            <w:pPr>
              <w:pStyle w:val="18"/>
            </w:pPr>
            <w:r>
              <w:t>75%</w:t>
            </w:r>
          </w:p>
        </w:tc>
        <w:tc>
          <w:tcPr>
            <w:tcW w:w="3118" w:type="dxa"/>
            <w:gridSpan w:val="2"/>
            <w:vAlign w:val="center"/>
          </w:tcPr>
          <w:p w14:paraId="2AC2DA16">
            <w:pPr>
              <w:pStyle w:val="18"/>
            </w:pPr>
            <w:r>
              <w:t>100%</w:t>
            </w:r>
          </w:p>
        </w:tc>
      </w:tr>
      <w:tr w14:paraId="2EB59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80546">
            <w:pPr>
              <w:pStyle w:val="16"/>
            </w:pPr>
            <w:r>
              <w:t>绩效目标</w:t>
            </w:r>
          </w:p>
        </w:tc>
        <w:tc>
          <w:tcPr>
            <w:tcW w:w="8617" w:type="dxa"/>
            <w:gridSpan w:val="6"/>
            <w:vAlign w:val="center"/>
          </w:tcPr>
          <w:p w14:paraId="5C362728">
            <w:pPr>
              <w:pStyle w:val="17"/>
            </w:pPr>
            <w:r>
              <w:t>1.确保我</w:t>
            </w:r>
            <w:r>
              <w:rPr>
                <w:rFonts w:hint="eastAsia"/>
                <w:lang w:eastAsia="zh-CN"/>
              </w:rPr>
              <w:t>部门</w:t>
            </w:r>
            <w:r>
              <w:t>日常行政管理方面工作的运行</w:t>
            </w:r>
          </w:p>
          <w:p w14:paraId="69D96B1F">
            <w:pPr>
              <w:pStyle w:val="17"/>
            </w:pPr>
            <w:r>
              <w:t>2.搞好服务保障，为广大干部职工提供安全、快捷、细致、周到的工作环境；加强财务管理，确保资金安全，提高财政资金使用效益。</w:t>
            </w:r>
          </w:p>
          <w:p w14:paraId="6FBD7CEF">
            <w:pPr>
              <w:pStyle w:val="17"/>
            </w:pPr>
            <w:r>
              <w:t>3.资金按月支付，12月底支完。</w:t>
            </w:r>
          </w:p>
        </w:tc>
      </w:tr>
    </w:tbl>
    <w:p w14:paraId="33164846">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B1D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EFFFA2">
            <w:pPr>
              <w:pStyle w:val="16"/>
            </w:pPr>
            <w:r>
              <w:t>一级指标</w:t>
            </w:r>
          </w:p>
        </w:tc>
        <w:tc>
          <w:tcPr>
            <w:tcW w:w="1276" w:type="dxa"/>
            <w:vAlign w:val="center"/>
          </w:tcPr>
          <w:p w14:paraId="0498A2A9">
            <w:pPr>
              <w:pStyle w:val="16"/>
            </w:pPr>
            <w:r>
              <w:t>二级指标</w:t>
            </w:r>
          </w:p>
        </w:tc>
        <w:tc>
          <w:tcPr>
            <w:tcW w:w="1332" w:type="dxa"/>
            <w:vAlign w:val="center"/>
          </w:tcPr>
          <w:p w14:paraId="10F61712">
            <w:pPr>
              <w:pStyle w:val="16"/>
            </w:pPr>
            <w:r>
              <w:t>三级指标</w:t>
            </w:r>
          </w:p>
        </w:tc>
        <w:tc>
          <w:tcPr>
            <w:tcW w:w="2891" w:type="dxa"/>
            <w:vAlign w:val="center"/>
          </w:tcPr>
          <w:p w14:paraId="7BA4226D">
            <w:pPr>
              <w:pStyle w:val="16"/>
            </w:pPr>
            <w:r>
              <w:t>绩效指标描述</w:t>
            </w:r>
          </w:p>
        </w:tc>
        <w:tc>
          <w:tcPr>
            <w:tcW w:w="1276" w:type="dxa"/>
            <w:vAlign w:val="center"/>
          </w:tcPr>
          <w:p w14:paraId="0B19E157">
            <w:pPr>
              <w:pStyle w:val="16"/>
            </w:pPr>
            <w:r>
              <w:t>指标值</w:t>
            </w:r>
          </w:p>
        </w:tc>
        <w:tc>
          <w:tcPr>
            <w:tcW w:w="1843" w:type="dxa"/>
            <w:vAlign w:val="center"/>
          </w:tcPr>
          <w:p w14:paraId="253C481C">
            <w:pPr>
              <w:pStyle w:val="16"/>
            </w:pPr>
            <w:r>
              <w:t>指标值确定依据</w:t>
            </w:r>
          </w:p>
        </w:tc>
      </w:tr>
      <w:tr w14:paraId="3CCFC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BE00A">
            <w:pPr>
              <w:pStyle w:val="18"/>
            </w:pPr>
            <w:r>
              <w:t>产出指标</w:t>
            </w:r>
          </w:p>
        </w:tc>
        <w:tc>
          <w:tcPr>
            <w:tcW w:w="1276" w:type="dxa"/>
            <w:vAlign w:val="center"/>
          </w:tcPr>
          <w:p w14:paraId="6DA0C111">
            <w:pPr>
              <w:pStyle w:val="17"/>
            </w:pPr>
            <w:r>
              <w:t>数量指标</w:t>
            </w:r>
          </w:p>
        </w:tc>
        <w:tc>
          <w:tcPr>
            <w:tcW w:w="1332" w:type="dxa"/>
            <w:vAlign w:val="center"/>
          </w:tcPr>
          <w:p w14:paraId="3ED7B3ED">
            <w:pPr>
              <w:pStyle w:val="17"/>
            </w:pPr>
            <w:r>
              <w:t>服务对象人数</w:t>
            </w:r>
          </w:p>
        </w:tc>
        <w:tc>
          <w:tcPr>
            <w:tcW w:w="2891" w:type="dxa"/>
            <w:vAlign w:val="center"/>
          </w:tcPr>
          <w:p w14:paraId="324D3031">
            <w:pPr>
              <w:pStyle w:val="17"/>
            </w:pPr>
            <w:r>
              <w:t>服务对象人数</w:t>
            </w:r>
          </w:p>
        </w:tc>
        <w:tc>
          <w:tcPr>
            <w:tcW w:w="1276" w:type="dxa"/>
            <w:vAlign w:val="center"/>
          </w:tcPr>
          <w:p w14:paraId="11043374">
            <w:pPr>
              <w:pStyle w:val="17"/>
            </w:pPr>
            <w:r>
              <w:t>≥450人</w:t>
            </w:r>
          </w:p>
        </w:tc>
        <w:tc>
          <w:tcPr>
            <w:tcW w:w="1843" w:type="dxa"/>
            <w:vAlign w:val="center"/>
          </w:tcPr>
          <w:p w14:paraId="4C5B07CE">
            <w:pPr>
              <w:pStyle w:val="17"/>
            </w:pPr>
            <w:r>
              <w:t>依据工作方案</w:t>
            </w:r>
          </w:p>
        </w:tc>
      </w:tr>
      <w:tr w14:paraId="7530D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BE241D"/>
        </w:tc>
        <w:tc>
          <w:tcPr>
            <w:tcW w:w="1276" w:type="dxa"/>
            <w:vAlign w:val="center"/>
          </w:tcPr>
          <w:p w14:paraId="722C3FB4">
            <w:pPr>
              <w:pStyle w:val="17"/>
            </w:pPr>
            <w:r>
              <w:t>质量指标</w:t>
            </w:r>
          </w:p>
        </w:tc>
        <w:tc>
          <w:tcPr>
            <w:tcW w:w="1332" w:type="dxa"/>
            <w:vAlign w:val="center"/>
          </w:tcPr>
          <w:p w14:paraId="0EA76A3A">
            <w:pPr>
              <w:pStyle w:val="17"/>
            </w:pPr>
            <w:r>
              <w:t>食堂食品安全保障率</w:t>
            </w:r>
          </w:p>
        </w:tc>
        <w:tc>
          <w:tcPr>
            <w:tcW w:w="2891" w:type="dxa"/>
            <w:vAlign w:val="center"/>
          </w:tcPr>
          <w:p w14:paraId="78C534BB">
            <w:pPr>
              <w:pStyle w:val="17"/>
            </w:pPr>
            <w:r>
              <w:t>保障工作及时完成，顺利开展工作</w:t>
            </w:r>
          </w:p>
        </w:tc>
        <w:tc>
          <w:tcPr>
            <w:tcW w:w="1276" w:type="dxa"/>
            <w:vAlign w:val="center"/>
          </w:tcPr>
          <w:p w14:paraId="37F64BF1">
            <w:pPr>
              <w:pStyle w:val="17"/>
            </w:pPr>
            <w:r>
              <w:t>100%</w:t>
            </w:r>
          </w:p>
        </w:tc>
        <w:tc>
          <w:tcPr>
            <w:tcW w:w="1843" w:type="dxa"/>
            <w:vAlign w:val="center"/>
          </w:tcPr>
          <w:p w14:paraId="1E4C1939">
            <w:pPr>
              <w:pStyle w:val="17"/>
            </w:pPr>
            <w:r>
              <w:t>依据工作方案</w:t>
            </w:r>
          </w:p>
        </w:tc>
      </w:tr>
      <w:tr w14:paraId="4C652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83D53C"/>
        </w:tc>
        <w:tc>
          <w:tcPr>
            <w:tcW w:w="1276" w:type="dxa"/>
            <w:vAlign w:val="center"/>
          </w:tcPr>
          <w:p w14:paraId="72EF7C40">
            <w:pPr>
              <w:pStyle w:val="17"/>
            </w:pPr>
            <w:r>
              <w:t>时效指标</w:t>
            </w:r>
          </w:p>
        </w:tc>
        <w:tc>
          <w:tcPr>
            <w:tcW w:w="1332" w:type="dxa"/>
            <w:vAlign w:val="center"/>
          </w:tcPr>
          <w:p w14:paraId="535214FD">
            <w:pPr>
              <w:pStyle w:val="17"/>
            </w:pPr>
            <w:r>
              <w:t>食堂供餐及时率</w:t>
            </w:r>
          </w:p>
        </w:tc>
        <w:tc>
          <w:tcPr>
            <w:tcW w:w="2891" w:type="dxa"/>
            <w:vAlign w:val="center"/>
          </w:tcPr>
          <w:p w14:paraId="3706B6F2">
            <w:pPr>
              <w:pStyle w:val="17"/>
            </w:pPr>
            <w:r>
              <w:t>食堂供餐及时情况</w:t>
            </w:r>
          </w:p>
        </w:tc>
        <w:tc>
          <w:tcPr>
            <w:tcW w:w="1276" w:type="dxa"/>
            <w:vAlign w:val="center"/>
          </w:tcPr>
          <w:p w14:paraId="40911B91">
            <w:pPr>
              <w:pStyle w:val="17"/>
            </w:pPr>
            <w:r>
              <w:t>100%</w:t>
            </w:r>
          </w:p>
        </w:tc>
        <w:tc>
          <w:tcPr>
            <w:tcW w:w="1843" w:type="dxa"/>
            <w:vAlign w:val="center"/>
          </w:tcPr>
          <w:p w14:paraId="05683EE1">
            <w:pPr>
              <w:pStyle w:val="17"/>
            </w:pPr>
            <w:r>
              <w:t>依据工作方案</w:t>
            </w:r>
          </w:p>
        </w:tc>
      </w:tr>
      <w:tr w14:paraId="480F8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B44BE4"/>
        </w:tc>
        <w:tc>
          <w:tcPr>
            <w:tcW w:w="1276" w:type="dxa"/>
            <w:vAlign w:val="center"/>
          </w:tcPr>
          <w:p w14:paraId="7EC8EBB0">
            <w:pPr>
              <w:pStyle w:val="17"/>
            </w:pPr>
            <w:r>
              <w:t>成本指标</w:t>
            </w:r>
          </w:p>
        </w:tc>
        <w:tc>
          <w:tcPr>
            <w:tcW w:w="1332" w:type="dxa"/>
            <w:vAlign w:val="center"/>
          </w:tcPr>
          <w:p w14:paraId="31A5273D">
            <w:pPr>
              <w:pStyle w:val="17"/>
            </w:pPr>
            <w:r>
              <w:t>机关管理相关费用支出</w:t>
            </w:r>
          </w:p>
        </w:tc>
        <w:tc>
          <w:tcPr>
            <w:tcW w:w="2891" w:type="dxa"/>
            <w:vAlign w:val="center"/>
          </w:tcPr>
          <w:p w14:paraId="05632DB5">
            <w:pPr>
              <w:pStyle w:val="17"/>
            </w:pPr>
            <w:r>
              <w:t>预算范围内支出</w:t>
            </w:r>
          </w:p>
        </w:tc>
        <w:tc>
          <w:tcPr>
            <w:tcW w:w="1276" w:type="dxa"/>
            <w:vAlign w:val="center"/>
          </w:tcPr>
          <w:p w14:paraId="02CF36A2">
            <w:pPr>
              <w:pStyle w:val="17"/>
            </w:pPr>
            <w:r>
              <w:t>≤76.37%</w:t>
            </w:r>
          </w:p>
        </w:tc>
        <w:tc>
          <w:tcPr>
            <w:tcW w:w="1843" w:type="dxa"/>
            <w:vAlign w:val="center"/>
          </w:tcPr>
          <w:p w14:paraId="44C85DE8">
            <w:pPr>
              <w:pStyle w:val="17"/>
            </w:pPr>
            <w:r>
              <w:t>依据工作方案</w:t>
            </w:r>
          </w:p>
        </w:tc>
      </w:tr>
    </w:tbl>
    <w:p w14:paraId="29C5776C">
      <w:pPr>
        <w:sectPr>
          <w:pgSz w:w="11900" w:h="16840"/>
          <w:pgMar w:top="1984" w:right="1304" w:bottom="1134" w:left="1304" w:header="720" w:footer="720" w:gutter="0"/>
          <w:cols w:space="720" w:num="1"/>
        </w:sectPr>
      </w:pPr>
    </w:p>
    <w:p w14:paraId="7AE7DB6C">
      <w:bookmarkStart w:id="3" w:name="_Toc_4_4_0000000007"/>
      <w:r>
        <w:t>4.招待所挂靠人员所需财政负担保险费绩效目标表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F1F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86E716A">
            <w:pPr>
              <w:rPr>
                <w:b/>
              </w:rPr>
            </w:pPr>
            <w:r>
              <w:rPr>
                <w:b/>
              </w:rPr>
              <w:t>430001保定市徐水区机关服务中心本级</w:t>
            </w:r>
          </w:p>
        </w:tc>
        <w:tc>
          <w:tcPr>
            <w:tcW w:w="1843" w:type="dxa"/>
            <w:tcBorders>
              <w:top w:val="single" w:color="FFFFFF" w:sz="6" w:space="0"/>
              <w:left w:val="single" w:color="FFFFFF" w:sz="6" w:space="0"/>
              <w:right w:val="single" w:color="FFFFFF" w:sz="6" w:space="0"/>
            </w:tcBorders>
            <w:vAlign w:val="center"/>
          </w:tcPr>
          <w:p w14:paraId="32A94F6D">
            <w:r>
              <w:rPr>
                <w:rFonts w:hint="eastAsia"/>
                <w:lang w:eastAsia="zh-CN"/>
              </w:rPr>
              <w:t>部门</w:t>
            </w:r>
            <w:r>
              <w:t>：万元</w:t>
            </w:r>
          </w:p>
        </w:tc>
      </w:tr>
      <w:tr w14:paraId="50AB1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65958">
            <w:pPr>
              <w:rPr>
                <w:b/>
              </w:rPr>
            </w:pPr>
            <w:r>
              <w:rPr>
                <w:b/>
              </w:rPr>
              <w:t>项目编码</w:t>
            </w:r>
          </w:p>
        </w:tc>
        <w:tc>
          <w:tcPr>
            <w:tcW w:w="2608" w:type="dxa"/>
            <w:gridSpan w:val="2"/>
            <w:vAlign w:val="center"/>
          </w:tcPr>
          <w:p w14:paraId="5D9231E8">
            <w:r>
              <w:t>13062522P00456610135F</w:t>
            </w:r>
          </w:p>
        </w:tc>
        <w:tc>
          <w:tcPr>
            <w:tcW w:w="1587" w:type="dxa"/>
            <w:vAlign w:val="center"/>
          </w:tcPr>
          <w:p w14:paraId="3A317D05">
            <w:pPr>
              <w:rPr>
                <w:b/>
              </w:rPr>
            </w:pPr>
            <w:r>
              <w:rPr>
                <w:b/>
              </w:rPr>
              <w:t>项目名称</w:t>
            </w:r>
          </w:p>
        </w:tc>
        <w:tc>
          <w:tcPr>
            <w:tcW w:w="4422" w:type="dxa"/>
            <w:gridSpan w:val="3"/>
            <w:vAlign w:val="center"/>
          </w:tcPr>
          <w:p w14:paraId="08080940">
            <w:r>
              <w:t>招待所挂靠人员所需财政负担保险费</w:t>
            </w:r>
          </w:p>
        </w:tc>
      </w:tr>
      <w:tr w14:paraId="3A19A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A4E53">
            <w:pPr>
              <w:rPr>
                <w:b/>
              </w:rPr>
            </w:pPr>
            <w:r>
              <w:rPr>
                <w:b/>
              </w:rPr>
              <w:t>预算规模及资金用途</w:t>
            </w:r>
          </w:p>
        </w:tc>
        <w:tc>
          <w:tcPr>
            <w:tcW w:w="1276" w:type="dxa"/>
            <w:vAlign w:val="center"/>
          </w:tcPr>
          <w:p w14:paraId="7C041581">
            <w:pPr>
              <w:rPr>
                <w:b/>
              </w:rPr>
            </w:pPr>
            <w:r>
              <w:rPr>
                <w:b/>
              </w:rPr>
              <w:t>预算数</w:t>
            </w:r>
          </w:p>
        </w:tc>
        <w:tc>
          <w:tcPr>
            <w:tcW w:w="1332" w:type="dxa"/>
            <w:vAlign w:val="center"/>
          </w:tcPr>
          <w:p w14:paraId="456BC98A">
            <w:r>
              <w:t>1.72</w:t>
            </w:r>
          </w:p>
        </w:tc>
        <w:tc>
          <w:tcPr>
            <w:tcW w:w="1587" w:type="dxa"/>
            <w:vAlign w:val="center"/>
          </w:tcPr>
          <w:p w14:paraId="6581C305">
            <w:pPr>
              <w:rPr>
                <w:b/>
              </w:rPr>
            </w:pPr>
            <w:r>
              <w:rPr>
                <w:b/>
              </w:rPr>
              <w:t>其中：财政    资金</w:t>
            </w:r>
          </w:p>
        </w:tc>
        <w:tc>
          <w:tcPr>
            <w:tcW w:w="1304" w:type="dxa"/>
            <w:vAlign w:val="center"/>
          </w:tcPr>
          <w:p w14:paraId="06F68B43">
            <w:r>
              <w:t>1.72</w:t>
            </w:r>
          </w:p>
        </w:tc>
        <w:tc>
          <w:tcPr>
            <w:tcW w:w="1276" w:type="dxa"/>
            <w:vAlign w:val="center"/>
          </w:tcPr>
          <w:p w14:paraId="3B99AE88">
            <w:pPr>
              <w:rPr>
                <w:b/>
              </w:rPr>
            </w:pPr>
            <w:r>
              <w:rPr>
                <w:b/>
              </w:rPr>
              <w:t>其他资金</w:t>
            </w:r>
          </w:p>
        </w:tc>
        <w:tc>
          <w:tcPr>
            <w:tcW w:w="1843" w:type="dxa"/>
            <w:vAlign w:val="center"/>
          </w:tcPr>
          <w:p w14:paraId="359D9E7F">
            <w:r>
              <w:t xml:space="preserve"> </w:t>
            </w:r>
          </w:p>
        </w:tc>
      </w:tr>
      <w:tr w14:paraId="4515A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552E05"/>
        </w:tc>
        <w:tc>
          <w:tcPr>
            <w:tcW w:w="8617" w:type="dxa"/>
            <w:gridSpan w:val="6"/>
            <w:vAlign w:val="center"/>
          </w:tcPr>
          <w:p w14:paraId="23AA3559">
            <w:r>
              <w:t>为完成本</w:t>
            </w:r>
            <w:r>
              <w:rPr>
                <w:rFonts w:hint="eastAsia"/>
                <w:lang w:eastAsia="zh-CN"/>
              </w:rPr>
              <w:t>部门</w:t>
            </w:r>
            <w:r>
              <w:t>日常行政管理方面的费用开支，以及用于设备设施等维持性费用支出，和直接用于公务活动支出。</w:t>
            </w:r>
          </w:p>
        </w:tc>
      </w:tr>
      <w:tr w14:paraId="056EA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896DB">
            <w:pPr>
              <w:rPr>
                <w:b/>
              </w:rPr>
            </w:pPr>
            <w:r>
              <w:rPr>
                <w:b/>
              </w:rPr>
              <w:t>资金支出计划（%）</w:t>
            </w:r>
          </w:p>
        </w:tc>
        <w:tc>
          <w:tcPr>
            <w:tcW w:w="2608" w:type="dxa"/>
            <w:gridSpan w:val="2"/>
            <w:vAlign w:val="center"/>
          </w:tcPr>
          <w:p w14:paraId="486432F0">
            <w:pPr>
              <w:rPr>
                <w:b/>
              </w:rPr>
            </w:pPr>
            <w:r>
              <w:rPr>
                <w:b/>
              </w:rPr>
              <w:t>3月底</w:t>
            </w:r>
          </w:p>
        </w:tc>
        <w:tc>
          <w:tcPr>
            <w:tcW w:w="1587" w:type="dxa"/>
            <w:vAlign w:val="center"/>
          </w:tcPr>
          <w:p w14:paraId="2C511327">
            <w:pPr>
              <w:rPr>
                <w:b/>
              </w:rPr>
            </w:pPr>
            <w:r>
              <w:rPr>
                <w:b/>
              </w:rPr>
              <w:t>6月底</w:t>
            </w:r>
          </w:p>
        </w:tc>
        <w:tc>
          <w:tcPr>
            <w:tcW w:w="1304" w:type="dxa"/>
            <w:vAlign w:val="center"/>
          </w:tcPr>
          <w:p w14:paraId="5766B69E">
            <w:pPr>
              <w:rPr>
                <w:b/>
              </w:rPr>
            </w:pPr>
            <w:r>
              <w:rPr>
                <w:b/>
              </w:rPr>
              <w:t>10月底</w:t>
            </w:r>
          </w:p>
        </w:tc>
        <w:tc>
          <w:tcPr>
            <w:tcW w:w="3118" w:type="dxa"/>
            <w:gridSpan w:val="2"/>
            <w:vAlign w:val="center"/>
          </w:tcPr>
          <w:p w14:paraId="44B2B4FE">
            <w:pPr>
              <w:rPr>
                <w:b/>
              </w:rPr>
            </w:pPr>
            <w:r>
              <w:rPr>
                <w:b/>
              </w:rPr>
              <w:t>12月底</w:t>
            </w:r>
          </w:p>
        </w:tc>
      </w:tr>
      <w:tr w14:paraId="68CFE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88AB9"/>
        </w:tc>
        <w:tc>
          <w:tcPr>
            <w:tcW w:w="2608" w:type="dxa"/>
            <w:gridSpan w:val="2"/>
            <w:vAlign w:val="center"/>
          </w:tcPr>
          <w:p w14:paraId="5D9401D4">
            <w:r>
              <w:t>25%</w:t>
            </w:r>
          </w:p>
        </w:tc>
        <w:tc>
          <w:tcPr>
            <w:tcW w:w="1587" w:type="dxa"/>
            <w:vAlign w:val="center"/>
          </w:tcPr>
          <w:p w14:paraId="03932B47">
            <w:r>
              <w:t>50%</w:t>
            </w:r>
          </w:p>
        </w:tc>
        <w:tc>
          <w:tcPr>
            <w:tcW w:w="1304" w:type="dxa"/>
            <w:vAlign w:val="center"/>
          </w:tcPr>
          <w:p w14:paraId="26BF91B0">
            <w:r>
              <w:t>75%</w:t>
            </w:r>
          </w:p>
        </w:tc>
        <w:tc>
          <w:tcPr>
            <w:tcW w:w="3118" w:type="dxa"/>
            <w:gridSpan w:val="2"/>
            <w:vAlign w:val="center"/>
          </w:tcPr>
          <w:p w14:paraId="259B218A">
            <w:r>
              <w:t>100%</w:t>
            </w:r>
          </w:p>
        </w:tc>
      </w:tr>
      <w:tr w14:paraId="21FA0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40B11C">
            <w:pPr>
              <w:rPr>
                <w:b/>
              </w:rPr>
            </w:pPr>
            <w:r>
              <w:rPr>
                <w:b/>
              </w:rPr>
              <w:t>绩效目标</w:t>
            </w:r>
          </w:p>
        </w:tc>
        <w:tc>
          <w:tcPr>
            <w:tcW w:w="8617" w:type="dxa"/>
            <w:gridSpan w:val="6"/>
            <w:vAlign w:val="center"/>
          </w:tcPr>
          <w:p w14:paraId="430F1F91">
            <w:r>
              <w:t>1.确保我</w:t>
            </w:r>
            <w:r>
              <w:rPr>
                <w:rFonts w:hint="eastAsia"/>
                <w:lang w:eastAsia="zh-CN"/>
              </w:rPr>
              <w:t>部门</w:t>
            </w:r>
            <w:r>
              <w:t>日常行政管理方面工作的运行</w:t>
            </w:r>
          </w:p>
          <w:p w14:paraId="514D6E01">
            <w:r>
              <w:t>2.确保人员保险及时缴纳</w:t>
            </w:r>
          </w:p>
          <w:p w14:paraId="6FEE313E">
            <w:r>
              <w:t>3.确保我</w:t>
            </w:r>
            <w:r>
              <w:rPr>
                <w:rFonts w:hint="eastAsia"/>
                <w:lang w:eastAsia="zh-CN"/>
              </w:rPr>
              <w:t>部门</w:t>
            </w:r>
            <w:r>
              <w:t>公务活动的正常开展</w:t>
            </w:r>
          </w:p>
        </w:tc>
      </w:tr>
    </w:tbl>
    <w:p w14:paraId="204F7B7D">
      <w: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619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94F840">
            <w:pPr>
              <w:rPr>
                <w:b/>
              </w:rPr>
            </w:pPr>
            <w:r>
              <w:rPr>
                <w:b/>
              </w:rPr>
              <w:t>一级指标</w:t>
            </w:r>
          </w:p>
        </w:tc>
        <w:tc>
          <w:tcPr>
            <w:tcW w:w="1276" w:type="dxa"/>
            <w:vAlign w:val="center"/>
          </w:tcPr>
          <w:p w14:paraId="6F61276F">
            <w:pPr>
              <w:rPr>
                <w:b/>
              </w:rPr>
            </w:pPr>
            <w:r>
              <w:rPr>
                <w:b/>
              </w:rPr>
              <w:t>二级指标</w:t>
            </w:r>
          </w:p>
        </w:tc>
        <w:tc>
          <w:tcPr>
            <w:tcW w:w="1332" w:type="dxa"/>
            <w:vAlign w:val="center"/>
          </w:tcPr>
          <w:p w14:paraId="59C8D9F3">
            <w:pPr>
              <w:rPr>
                <w:b/>
              </w:rPr>
            </w:pPr>
            <w:r>
              <w:rPr>
                <w:b/>
              </w:rPr>
              <w:t>三级指标</w:t>
            </w:r>
          </w:p>
        </w:tc>
        <w:tc>
          <w:tcPr>
            <w:tcW w:w="2891" w:type="dxa"/>
            <w:vAlign w:val="center"/>
          </w:tcPr>
          <w:p w14:paraId="720F1C67">
            <w:pPr>
              <w:rPr>
                <w:b/>
              </w:rPr>
            </w:pPr>
            <w:r>
              <w:rPr>
                <w:b/>
              </w:rPr>
              <w:t>绩效指标描述</w:t>
            </w:r>
          </w:p>
        </w:tc>
        <w:tc>
          <w:tcPr>
            <w:tcW w:w="1276" w:type="dxa"/>
            <w:vAlign w:val="center"/>
          </w:tcPr>
          <w:p w14:paraId="52332668">
            <w:pPr>
              <w:rPr>
                <w:b/>
              </w:rPr>
            </w:pPr>
            <w:r>
              <w:rPr>
                <w:b/>
              </w:rPr>
              <w:t>指标值</w:t>
            </w:r>
          </w:p>
        </w:tc>
        <w:tc>
          <w:tcPr>
            <w:tcW w:w="1843" w:type="dxa"/>
            <w:vAlign w:val="center"/>
          </w:tcPr>
          <w:p w14:paraId="4BFD6C8E">
            <w:pPr>
              <w:rPr>
                <w:b/>
              </w:rPr>
            </w:pPr>
            <w:r>
              <w:rPr>
                <w:b/>
              </w:rPr>
              <w:t>指标值确定依据</w:t>
            </w:r>
          </w:p>
        </w:tc>
      </w:tr>
      <w:tr w14:paraId="1A455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C25B0">
            <w:r>
              <w:t>产出指标</w:t>
            </w:r>
          </w:p>
        </w:tc>
        <w:tc>
          <w:tcPr>
            <w:tcW w:w="1276" w:type="dxa"/>
            <w:vAlign w:val="center"/>
          </w:tcPr>
          <w:p w14:paraId="63039188">
            <w:r>
              <w:t>数量指标</w:t>
            </w:r>
          </w:p>
        </w:tc>
        <w:tc>
          <w:tcPr>
            <w:tcW w:w="1332" w:type="dxa"/>
            <w:vAlign w:val="center"/>
          </w:tcPr>
          <w:p w14:paraId="53E4175D">
            <w:r>
              <w:t>参保人员数量</w:t>
            </w:r>
          </w:p>
        </w:tc>
        <w:tc>
          <w:tcPr>
            <w:tcW w:w="2891" w:type="dxa"/>
            <w:vAlign w:val="center"/>
          </w:tcPr>
          <w:p w14:paraId="0D65D9D8">
            <w:r>
              <w:t>参保人员数量</w:t>
            </w:r>
          </w:p>
        </w:tc>
        <w:tc>
          <w:tcPr>
            <w:tcW w:w="1276" w:type="dxa"/>
            <w:vAlign w:val="center"/>
          </w:tcPr>
          <w:p w14:paraId="7BD727AA">
            <w:r>
              <w:t>4人</w:t>
            </w:r>
          </w:p>
        </w:tc>
        <w:tc>
          <w:tcPr>
            <w:tcW w:w="1843" w:type="dxa"/>
            <w:vAlign w:val="center"/>
          </w:tcPr>
          <w:p w14:paraId="66F74A77">
            <w:r>
              <w:t>依据文件规定</w:t>
            </w:r>
          </w:p>
        </w:tc>
      </w:tr>
      <w:tr w14:paraId="33FBC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553682"/>
        </w:tc>
        <w:tc>
          <w:tcPr>
            <w:tcW w:w="1276" w:type="dxa"/>
            <w:vAlign w:val="center"/>
          </w:tcPr>
          <w:p w14:paraId="72344320">
            <w:r>
              <w:t>质量指标</w:t>
            </w:r>
          </w:p>
        </w:tc>
        <w:tc>
          <w:tcPr>
            <w:tcW w:w="1332" w:type="dxa"/>
            <w:vAlign w:val="center"/>
          </w:tcPr>
          <w:p w14:paraId="2E7E5D84">
            <w:r>
              <w:t>执行准确率</w:t>
            </w:r>
          </w:p>
        </w:tc>
        <w:tc>
          <w:tcPr>
            <w:tcW w:w="2891" w:type="dxa"/>
            <w:vAlign w:val="center"/>
          </w:tcPr>
          <w:p w14:paraId="23059400">
            <w:r>
              <w:t>执行准确率</w:t>
            </w:r>
          </w:p>
        </w:tc>
        <w:tc>
          <w:tcPr>
            <w:tcW w:w="1276" w:type="dxa"/>
            <w:vAlign w:val="center"/>
          </w:tcPr>
          <w:p w14:paraId="251670DC">
            <w:r>
              <w:t>≥100百分比</w:t>
            </w:r>
          </w:p>
        </w:tc>
        <w:tc>
          <w:tcPr>
            <w:tcW w:w="1843" w:type="dxa"/>
            <w:vAlign w:val="center"/>
          </w:tcPr>
          <w:p w14:paraId="01886A1E">
            <w:r>
              <w:t>依据文件规定</w:t>
            </w:r>
          </w:p>
        </w:tc>
      </w:tr>
      <w:tr w14:paraId="5BE2C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542805"/>
        </w:tc>
        <w:tc>
          <w:tcPr>
            <w:tcW w:w="1276" w:type="dxa"/>
            <w:vAlign w:val="center"/>
          </w:tcPr>
          <w:p w14:paraId="60E919CC">
            <w:r>
              <w:t>时效指标</w:t>
            </w:r>
          </w:p>
        </w:tc>
        <w:tc>
          <w:tcPr>
            <w:tcW w:w="1332" w:type="dxa"/>
            <w:vAlign w:val="center"/>
          </w:tcPr>
          <w:p w14:paraId="47E00FEE">
            <w:r>
              <w:t>资金及时拨付率</w:t>
            </w:r>
          </w:p>
        </w:tc>
        <w:tc>
          <w:tcPr>
            <w:tcW w:w="2891" w:type="dxa"/>
            <w:vAlign w:val="center"/>
          </w:tcPr>
          <w:p w14:paraId="1281DB4C">
            <w:r>
              <w:t>实际拨付资金占应拨付资金的比例</w:t>
            </w:r>
          </w:p>
        </w:tc>
        <w:tc>
          <w:tcPr>
            <w:tcW w:w="1276" w:type="dxa"/>
            <w:vAlign w:val="center"/>
          </w:tcPr>
          <w:p w14:paraId="0ABFEA7D">
            <w:r>
              <w:t>≥100百分比</w:t>
            </w:r>
          </w:p>
        </w:tc>
        <w:tc>
          <w:tcPr>
            <w:tcW w:w="1843" w:type="dxa"/>
            <w:vAlign w:val="center"/>
          </w:tcPr>
          <w:p w14:paraId="2DF874CD">
            <w:r>
              <w:t>依据文件规定</w:t>
            </w:r>
          </w:p>
        </w:tc>
      </w:tr>
      <w:tr w14:paraId="70E87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B577D0"/>
        </w:tc>
        <w:tc>
          <w:tcPr>
            <w:tcW w:w="1276" w:type="dxa"/>
            <w:vAlign w:val="center"/>
          </w:tcPr>
          <w:p w14:paraId="02D0C892">
            <w:r>
              <w:t>成本指标</w:t>
            </w:r>
          </w:p>
        </w:tc>
        <w:tc>
          <w:tcPr>
            <w:tcW w:w="1332" w:type="dxa"/>
            <w:vAlign w:val="center"/>
          </w:tcPr>
          <w:p w14:paraId="4D2F7B7F">
            <w:r>
              <w:t>预算执行率</w:t>
            </w:r>
          </w:p>
        </w:tc>
        <w:tc>
          <w:tcPr>
            <w:tcW w:w="2891" w:type="dxa"/>
            <w:vAlign w:val="center"/>
          </w:tcPr>
          <w:p w14:paraId="6C0A2B9D">
            <w:r>
              <w:t>按照支出进度要求和预算构成执行</w:t>
            </w:r>
          </w:p>
        </w:tc>
        <w:tc>
          <w:tcPr>
            <w:tcW w:w="1276" w:type="dxa"/>
            <w:vAlign w:val="center"/>
          </w:tcPr>
          <w:p w14:paraId="6417CB86">
            <w:r>
              <w:t>≥90百分比</w:t>
            </w:r>
          </w:p>
        </w:tc>
        <w:tc>
          <w:tcPr>
            <w:tcW w:w="1843" w:type="dxa"/>
            <w:vAlign w:val="center"/>
          </w:tcPr>
          <w:p w14:paraId="754BC146">
            <w:r>
              <w:t>依据文件规定</w:t>
            </w:r>
          </w:p>
        </w:tc>
      </w:tr>
      <w:tr w14:paraId="7EA38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10F200">
            <w:r>
              <w:t>效益指标</w:t>
            </w:r>
          </w:p>
        </w:tc>
        <w:tc>
          <w:tcPr>
            <w:tcW w:w="1276" w:type="dxa"/>
            <w:vAlign w:val="center"/>
          </w:tcPr>
          <w:p w14:paraId="7DD8960D">
            <w:r>
              <w:t>社会效益指标</w:t>
            </w:r>
          </w:p>
        </w:tc>
        <w:tc>
          <w:tcPr>
            <w:tcW w:w="1332" w:type="dxa"/>
            <w:vAlign w:val="center"/>
          </w:tcPr>
          <w:p w14:paraId="46CAD73C">
            <w:r>
              <w:t>社会稳定提升度</w:t>
            </w:r>
          </w:p>
        </w:tc>
        <w:tc>
          <w:tcPr>
            <w:tcW w:w="2891" w:type="dxa"/>
            <w:vAlign w:val="center"/>
          </w:tcPr>
          <w:p w14:paraId="2D8B3641">
            <w:r>
              <w:t>保障招待所挂靠人员享受参保待遇，提高社会稳定程度</w:t>
            </w:r>
          </w:p>
        </w:tc>
        <w:tc>
          <w:tcPr>
            <w:tcW w:w="1276" w:type="dxa"/>
            <w:vAlign w:val="center"/>
          </w:tcPr>
          <w:p w14:paraId="2FF1AC04">
            <w:r>
              <w:t>有所提升</w:t>
            </w:r>
          </w:p>
        </w:tc>
        <w:tc>
          <w:tcPr>
            <w:tcW w:w="1843" w:type="dxa"/>
            <w:vAlign w:val="center"/>
          </w:tcPr>
          <w:p w14:paraId="642C79FF">
            <w:r>
              <w:t>依据文件规定</w:t>
            </w:r>
          </w:p>
        </w:tc>
      </w:tr>
    </w:tbl>
    <w:p w14:paraId="6C3184E1"/>
    <w:p w14:paraId="36640C0C">
      <w:pPr>
        <w:spacing w:line="360" w:lineRule="auto"/>
        <w:ind w:firstLine="640" w:firstLineChars="200"/>
        <w:rPr>
          <w:rFonts w:ascii="仿宋" w:hAnsi="仿宋" w:eastAsia="仿宋"/>
          <w:sz w:val="32"/>
          <w:szCs w:val="32"/>
        </w:rPr>
      </w:pPr>
    </w:p>
    <w:p w14:paraId="0B13A5C3">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7EE49522"/>
    <w:p w14:paraId="185FF334">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393A6D87">
      <w:pPr>
        <w:spacing w:line="360" w:lineRule="auto"/>
        <w:ind w:firstLine="640" w:firstLineChars="200"/>
        <w:rPr>
          <w:rFonts w:ascii="仿宋" w:hAnsi="仿宋" w:eastAsia="仿宋"/>
          <w:sz w:val="32"/>
          <w:szCs w:val="32"/>
        </w:rPr>
      </w:pPr>
      <w:r>
        <w:rPr>
          <w:rFonts w:ascii="仿宋" w:hAnsi="仿宋" w:eastAsia="仿宋"/>
          <w:sz w:val="32"/>
          <w:szCs w:val="32"/>
        </w:rPr>
        <w:t>2022年，我</w:t>
      </w:r>
      <w:r>
        <w:rPr>
          <w:rFonts w:hint="eastAsia" w:ascii="仿宋" w:hAnsi="仿宋" w:eastAsia="仿宋"/>
          <w:sz w:val="32"/>
          <w:szCs w:val="32"/>
          <w:lang w:eastAsia="zh-CN"/>
        </w:rPr>
        <w:t>单位</w:t>
      </w:r>
      <w:r>
        <w:rPr>
          <w:rFonts w:ascii="仿宋" w:hAnsi="仿宋" w:eastAsia="仿宋"/>
          <w:sz w:val="32"/>
          <w:szCs w:val="32"/>
        </w:rPr>
        <w:t>无政府采购预算，空表列示。</w:t>
      </w:r>
    </w:p>
    <w:tbl>
      <w:tblPr>
        <w:tblStyle w:val="5"/>
        <w:tblW w:w="14040" w:type="dxa"/>
        <w:tblInd w:w="93" w:type="dxa"/>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tblGrid>
      <w:tr w14:paraId="112F1E82">
        <w:tblPrEx>
          <w:tblCellMar>
            <w:top w:w="0" w:type="dxa"/>
            <w:left w:w="108" w:type="dxa"/>
            <w:bottom w:w="0" w:type="dxa"/>
            <w:right w:w="108" w:type="dxa"/>
          </w:tblCellMar>
        </w:tblPrEx>
        <w:trPr>
          <w:trHeight w:val="405" w:hRule="atLeast"/>
        </w:trPr>
        <w:tc>
          <w:tcPr>
            <w:tcW w:w="14040"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68D23115">
            <w:pPr>
              <w:widowControl/>
              <w:jc w:val="center"/>
              <w:rPr>
                <w:rFonts w:ascii="宋体" w:hAnsi="宋体" w:eastAsia="宋体" w:cs="宋体"/>
                <w:color w:val="000000"/>
                <w:kern w:val="0"/>
                <w:sz w:val="32"/>
                <w:szCs w:val="32"/>
              </w:rPr>
            </w:pPr>
            <w:bookmarkStart w:id="4" w:name="RANGE!A1"/>
            <w:r>
              <w:rPr>
                <w:rFonts w:hint="eastAsia" w:ascii="仿宋" w:hAnsi="仿宋" w:eastAsia="仿宋"/>
                <w:sz w:val="32"/>
                <w:szCs w:val="32"/>
                <w:lang w:eastAsia="zh-CN"/>
              </w:rPr>
              <w:t>单位</w:t>
            </w:r>
            <w:r>
              <w:rPr>
                <w:rFonts w:hint="eastAsia" w:ascii="宋体" w:hAnsi="宋体" w:eastAsia="宋体" w:cs="宋体"/>
                <w:color w:val="000000"/>
                <w:kern w:val="0"/>
                <w:sz w:val="32"/>
                <w:szCs w:val="32"/>
              </w:rPr>
              <w:t>政府采购预算</w:t>
            </w:r>
            <w:bookmarkEnd w:id="4"/>
          </w:p>
        </w:tc>
      </w:tr>
      <w:tr w14:paraId="7CEF5262">
        <w:tblPrEx>
          <w:tblCellMar>
            <w:top w:w="0" w:type="dxa"/>
            <w:left w:w="108" w:type="dxa"/>
            <w:bottom w:w="0" w:type="dxa"/>
            <w:right w:w="108" w:type="dxa"/>
          </w:tblCellMar>
        </w:tblPrEx>
        <w:trPr>
          <w:trHeight w:val="315" w:hRule="atLeast"/>
        </w:trPr>
        <w:tc>
          <w:tcPr>
            <w:tcW w:w="75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7EFD67A">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审计局</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219DE70E">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单位：万元</w:t>
            </w:r>
          </w:p>
        </w:tc>
      </w:tr>
      <w:tr w14:paraId="5DF12A4B">
        <w:tblPrEx>
          <w:tblCellMar>
            <w:top w:w="0" w:type="dxa"/>
            <w:left w:w="108" w:type="dxa"/>
            <w:bottom w:w="0" w:type="dxa"/>
            <w:right w:w="108" w:type="dxa"/>
          </w:tblCellMar>
        </w:tblPrEx>
        <w:trPr>
          <w:trHeight w:val="27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DAF927">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政府采购项目来源</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0ADD66FC">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采购物品名称</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0094E9D5">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政府采购目录序号</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528D0B4E">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计量  单位</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074C45D8">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数量</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0FD96F2A">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单价</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7D4BC130">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政府采购金额（当年</w:t>
            </w:r>
            <w:r>
              <w:rPr>
                <w:rFonts w:hint="eastAsia" w:ascii="Times New Roman" w:hAnsi="Times New Roman" w:eastAsia="等线" w:cs="Times New Roman"/>
                <w:b/>
                <w:bCs/>
                <w:color w:val="000000"/>
                <w:kern w:val="0"/>
                <w:szCs w:val="21"/>
              </w:rPr>
              <w:t>单位</w:t>
            </w:r>
            <w:r>
              <w:rPr>
                <w:rFonts w:ascii="Times New Roman" w:hAnsi="Times New Roman" w:eastAsia="等线" w:cs="Times New Roman"/>
                <w:b/>
                <w:bCs/>
                <w:color w:val="000000"/>
                <w:kern w:val="0"/>
                <w:szCs w:val="21"/>
              </w:rPr>
              <w:t>预算安排资金）</w:t>
            </w:r>
          </w:p>
        </w:tc>
      </w:tr>
      <w:tr w14:paraId="75FA0B37">
        <w:tblPrEx>
          <w:tblCellMar>
            <w:top w:w="0" w:type="dxa"/>
            <w:left w:w="108" w:type="dxa"/>
            <w:bottom w:w="0" w:type="dxa"/>
            <w:right w:w="108" w:type="dxa"/>
          </w:tblCellMar>
        </w:tblPrEx>
        <w:trPr>
          <w:trHeight w:val="8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303D0E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项目名称</w:t>
            </w:r>
          </w:p>
        </w:tc>
        <w:tc>
          <w:tcPr>
            <w:tcW w:w="1080" w:type="dxa"/>
            <w:tcBorders>
              <w:top w:val="nil"/>
              <w:left w:val="nil"/>
              <w:bottom w:val="single" w:color="auto" w:sz="4" w:space="0"/>
              <w:right w:val="single" w:color="auto" w:sz="4" w:space="0"/>
            </w:tcBorders>
            <w:shd w:val="clear" w:color="auto" w:fill="auto"/>
            <w:vAlign w:val="center"/>
          </w:tcPr>
          <w:p w14:paraId="5940F35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预算资金</w:t>
            </w:r>
          </w:p>
        </w:tc>
        <w:tc>
          <w:tcPr>
            <w:tcW w:w="1080" w:type="dxa"/>
            <w:vMerge w:val="continue"/>
            <w:tcBorders>
              <w:top w:val="nil"/>
              <w:left w:val="single" w:color="auto" w:sz="4" w:space="0"/>
              <w:bottom w:val="single" w:color="auto" w:sz="4" w:space="0"/>
              <w:right w:val="single" w:color="auto" w:sz="4" w:space="0"/>
            </w:tcBorders>
            <w:vAlign w:val="center"/>
          </w:tcPr>
          <w:p w14:paraId="49B4B6E5">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78A39CFC">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0E73EC03">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4570731F">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11DCF541">
            <w:pPr>
              <w:widowControl/>
              <w:jc w:val="left"/>
              <w:rPr>
                <w:rFonts w:ascii="Times New Roman" w:hAnsi="Times New Roman" w:eastAsia="等线" w:cs="Times New Roman"/>
                <w:b/>
                <w:bCs/>
                <w:color w:val="000000"/>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6685FA6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合计</w:t>
            </w:r>
          </w:p>
        </w:tc>
        <w:tc>
          <w:tcPr>
            <w:tcW w:w="1080" w:type="dxa"/>
            <w:tcBorders>
              <w:top w:val="nil"/>
              <w:left w:val="nil"/>
              <w:bottom w:val="single" w:color="auto" w:sz="4" w:space="0"/>
              <w:right w:val="single" w:color="auto" w:sz="4" w:space="0"/>
            </w:tcBorders>
            <w:shd w:val="clear" w:color="auto" w:fill="auto"/>
            <w:vAlign w:val="center"/>
          </w:tcPr>
          <w:p w14:paraId="1DA4D57A">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一般公共预算拨款</w:t>
            </w:r>
          </w:p>
        </w:tc>
        <w:tc>
          <w:tcPr>
            <w:tcW w:w="1080" w:type="dxa"/>
            <w:tcBorders>
              <w:top w:val="nil"/>
              <w:left w:val="nil"/>
              <w:bottom w:val="single" w:color="auto" w:sz="4" w:space="0"/>
              <w:right w:val="single" w:color="auto" w:sz="4" w:space="0"/>
            </w:tcBorders>
            <w:shd w:val="clear" w:color="auto" w:fill="auto"/>
            <w:vAlign w:val="center"/>
          </w:tcPr>
          <w:p w14:paraId="24EC52A4">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基金预算拨款</w:t>
            </w:r>
          </w:p>
        </w:tc>
        <w:tc>
          <w:tcPr>
            <w:tcW w:w="1080" w:type="dxa"/>
            <w:tcBorders>
              <w:top w:val="nil"/>
              <w:left w:val="nil"/>
              <w:bottom w:val="single" w:color="auto" w:sz="4" w:space="0"/>
              <w:right w:val="single" w:color="auto" w:sz="4" w:space="0"/>
            </w:tcBorders>
            <w:shd w:val="clear" w:color="auto" w:fill="auto"/>
            <w:vAlign w:val="center"/>
          </w:tcPr>
          <w:p w14:paraId="23BD05A2">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国有资本经营预算拨款</w:t>
            </w:r>
          </w:p>
        </w:tc>
        <w:tc>
          <w:tcPr>
            <w:tcW w:w="1080" w:type="dxa"/>
            <w:tcBorders>
              <w:top w:val="nil"/>
              <w:left w:val="nil"/>
              <w:bottom w:val="single" w:color="auto" w:sz="4" w:space="0"/>
              <w:right w:val="single" w:color="auto" w:sz="4" w:space="0"/>
            </w:tcBorders>
            <w:shd w:val="clear" w:color="auto" w:fill="auto"/>
            <w:vAlign w:val="center"/>
          </w:tcPr>
          <w:p w14:paraId="3D774861">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财政专户核拨</w:t>
            </w:r>
          </w:p>
        </w:tc>
        <w:tc>
          <w:tcPr>
            <w:tcW w:w="1080" w:type="dxa"/>
            <w:tcBorders>
              <w:top w:val="nil"/>
              <w:left w:val="nil"/>
              <w:bottom w:val="single" w:color="auto" w:sz="4" w:space="0"/>
              <w:right w:val="single" w:color="auto" w:sz="4" w:space="0"/>
            </w:tcBorders>
            <w:shd w:val="clear" w:color="auto" w:fill="auto"/>
            <w:vAlign w:val="center"/>
          </w:tcPr>
          <w:p w14:paraId="58DFE77A">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单位资金</w:t>
            </w:r>
          </w:p>
        </w:tc>
      </w:tr>
      <w:tr w14:paraId="1858B245">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22223C4">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合  计</w:t>
            </w:r>
          </w:p>
        </w:tc>
        <w:tc>
          <w:tcPr>
            <w:tcW w:w="1080" w:type="dxa"/>
            <w:tcBorders>
              <w:top w:val="nil"/>
              <w:left w:val="nil"/>
              <w:bottom w:val="single" w:color="auto" w:sz="4" w:space="0"/>
              <w:right w:val="single" w:color="auto" w:sz="4" w:space="0"/>
            </w:tcBorders>
            <w:shd w:val="clear" w:color="auto" w:fill="auto"/>
            <w:vAlign w:val="center"/>
          </w:tcPr>
          <w:p w14:paraId="23BE7386">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E2B71F2">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9CF8BBF">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651BB3F">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1AAE5D9">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9A2CCDD">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38B3779">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BD0418C">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1FE25EA">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E35AC86">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20DD307">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EA25338">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14:paraId="18BB5151">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E7CA44D">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5BD106D">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28E0448">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66B2B99">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160FA8A">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30BFEC5">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31A6055">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153416F">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E024F53">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E9E4195">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1702AF9">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D75123B">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5631AD3">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14:paraId="7C9D1714">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C35540C">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CE9AE08">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19317D5">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E61061D">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B95A7F9">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F6C2E50">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5311C4E">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00B8C86">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BCF54C9">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F7D7D74">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56B5B4D">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DEE59CA">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DB347B1">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r w14:paraId="14490D90">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9CDF4EF">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37A3E22">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83AED17">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B400410">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E237AF1">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999A0B5">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F838259">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68D9200">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4A5087E">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648BC2F">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874C699">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DBB7D58">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6495591">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bl>
    <w:p w14:paraId="38C8A81E">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14:paraId="52364887">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4DBB44F9">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val="en-US" w:eastAsia="zh-CN"/>
        </w:rPr>
        <w:t>部门</w:t>
      </w:r>
      <w:r>
        <w:rPr>
          <w:rFonts w:hint="eastAsia" w:ascii="仿宋" w:hAnsi="仿宋" w:eastAsia="仿宋"/>
          <w:sz w:val="32"/>
          <w:szCs w:val="32"/>
        </w:rPr>
        <w:t>固定资产总金额为5</w:t>
      </w:r>
      <w:r>
        <w:rPr>
          <w:rFonts w:ascii="仿宋" w:hAnsi="仿宋" w:eastAsia="仿宋"/>
          <w:sz w:val="32"/>
          <w:szCs w:val="32"/>
        </w:rPr>
        <w:t>571.15</w:t>
      </w:r>
      <w:r>
        <w:rPr>
          <w:rFonts w:hint="eastAsia" w:ascii="仿宋" w:hAnsi="仿宋" w:eastAsia="仿宋"/>
          <w:sz w:val="32"/>
          <w:szCs w:val="32"/>
        </w:rPr>
        <w:t>万元（详见下表）。</w:t>
      </w:r>
      <w:r>
        <w:rPr>
          <w:rFonts w:ascii="仿宋" w:hAnsi="仿宋" w:eastAsia="仿宋"/>
          <w:sz w:val="32"/>
          <w:szCs w:val="32"/>
        </w:rPr>
        <w:t xml:space="preserve"> </w:t>
      </w:r>
    </w:p>
    <w:p w14:paraId="4B43F692">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val="en-US" w:eastAsia="zh-CN"/>
        </w:rPr>
        <w:t>部门</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176"/>
        <w:gridCol w:w="4261"/>
      </w:tblGrid>
      <w:tr w14:paraId="79AB7310">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70CAF425">
            <w:pPr>
              <w:widowControl/>
              <w:jc w:val="center"/>
              <w:rPr>
                <w:rFonts w:ascii="宋体" w:hAnsi="宋体" w:cs="宋体"/>
                <w:kern w:val="0"/>
                <w:sz w:val="28"/>
                <w:szCs w:val="28"/>
              </w:rPr>
            </w:pPr>
            <w:r>
              <w:rPr>
                <w:rFonts w:hint="eastAsia" w:ascii="宋体" w:hAnsi="宋体"/>
                <w:sz w:val="32"/>
                <w:szCs w:val="32"/>
              </w:rPr>
              <w:t>固定资产占用情况表</w:t>
            </w:r>
          </w:p>
        </w:tc>
      </w:tr>
      <w:tr w14:paraId="672046BF">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7B1B3695">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5FA699E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2594C5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1AB0879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0D18EC0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w:t>
            </w:r>
            <w:r>
              <w:rPr>
                <w:rFonts w:hint="eastAsia" w:ascii="仿宋_GB2312" w:hAnsi="仿宋" w:eastAsia="仿宋_GB2312" w:cs="宋体"/>
                <w:b/>
                <w:bCs/>
                <w:kern w:val="0"/>
                <w:sz w:val="24"/>
                <w:szCs w:val="24"/>
                <w:lang w:eastAsia="zh-CN"/>
              </w:rPr>
              <w:t>部门</w:t>
            </w:r>
            <w:r>
              <w:rPr>
                <w:rFonts w:hint="eastAsia" w:ascii="仿宋_GB2312" w:hAnsi="仿宋" w:eastAsia="仿宋_GB2312" w:cs="宋体"/>
                <w:b/>
                <w:bCs/>
                <w:kern w:val="0"/>
                <w:sz w:val="24"/>
                <w:szCs w:val="24"/>
              </w:rPr>
              <w:t>：万元）</w:t>
            </w:r>
          </w:p>
        </w:tc>
      </w:tr>
      <w:tr w14:paraId="33404B5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4B9E11E">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3B61DDB1">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340EA121">
            <w:pPr>
              <w:widowControl/>
              <w:jc w:val="center"/>
              <w:rPr>
                <w:rFonts w:ascii="仿宋_GB2312" w:hAnsi="仿宋" w:eastAsia="仿宋_GB2312" w:cs="宋体"/>
                <w:b/>
                <w:kern w:val="0"/>
                <w:sz w:val="24"/>
                <w:szCs w:val="24"/>
              </w:rPr>
            </w:pPr>
            <w:r>
              <w:rPr>
                <w:rFonts w:ascii="仿宋_GB2312" w:hAnsi="仿宋" w:eastAsia="仿宋_GB2312" w:cs="宋体"/>
                <w:b/>
                <w:kern w:val="0"/>
                <w:sz w:val="24"/>
                <w:szCs w:val="24"/>
              </w:rPr>
              <w:t>5571.15</w:t>
            </w:r>
          </w:p>
        </w:tc>
      </w:tr>
      <w:tr w14:paraId="04798F6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F9496B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03E84092">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44092.86</w:t>
            </w:r>
          </w:p>
        </w:tc>
        <w:tc>
          <w:tcPr>
            <w:tcW w:w="4261" w:type="dxa"/>
            <w:tcBorders>
              <w:top w:val="nil"/>
              <w:left w:val="nil"/>
              <w:bottom w:val="single" w:color="auto" w:sz="4" w:space="0"/>
              <w:right w:val="single" w:color="auto" w:sz="4" w:space="0"/>
            </w:tcBorders>
            <w:shd w:val="clear" w:color="auto" w:fill="auto"/>
            <w:noWrap/>
            <w:vAlign w:val="center"/>
          </w:tcPr>
          <w:p w14:paraId="4C713DDB">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4590.34</w:t>
            </w:r>
          </w:p>
        </w:tc>
      </w:tr>
      <w:tr w14:paraId="34D3D29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12B2A">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915F4C6">
            <w:pPr>
              <w:jc w:val="center"/>
              <w:rPr>
                <w:rFonts w:ascii="仿宋_GB2312" w:hAnsi="仿宋" w:eastAsia="仿宋_GB2312" w:cs="宋体"/>
                <w:kern w:val="0"/>
                <w:sz w:val="24"/>
                <w:szCs w:val="24"/>
              </w:rPr>
            </w:pPr>
            <w:r>
              <w:rPr>
                <w:rFonts w:ascii="仿宋_GB2312" w:hAnsi="仿宋" w:eastAsia="仿宋_GB2312" w:cs="宋体"/>
                <w:kern w:val="0"/>
                <w:sz w:val="24"/>
                <w:szCs w:val="24"/>
              </w:rPr>
              <w:t>44092.86</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78A5D9C">
            <w:pPr>
              <w:jc w:val="center"/>
              <w:rPr>
                <w:rFonts w:ascii="仿宋_GB2312" w:hAnsi="仿宋" w:eastAsia="仿宋_GB2312" w:cs="宋体"/>
                <w:kern w:val="0"/>
                <w:sz w:val="24"/>
                <w:szCs w:val="24"/>
              </w:rPr>
            </w:pPr>
            <w:r>
              <w:rPr>
                <w:rFonts w:ascii="仿宋_GB2312" w:hAnsi="仿宋" w:eastAsia="仿宋_GB2312" w:cs="宋体"/>
                <w:kern w:val="0"/>
                <w:sz w:val="24"/>
                <w:szCs w:val="24"/>
              </w:rPr>
              <w:t>4590.34</w:t>
            </w:r>
          </w:p>
        </w:tc>
      </w:tr>
      <w:tr w14:paraId="5384700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038E20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7C3B876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w:t>
            </w:r>
          </w:p>
        </w:tc>
        <w:tc>
          <w:tcPr>
            <w:tcW w:w="4261" w:type="dxa"/>
            <w:tcBorders>
              <w:top w:val="nil"/>
              <w:left w:val="nil"/>
              <w:bottom w:val="single" w:color="auto" w:sz="4" w:space="0"/>
              <w:right w:val="single" w:color="auto" w:sz="4" w:space="0"/>
            </w:tcBorders>
            <w:shd w:val="clear" w:color="auto" w:fill="auto"/>
            <w:noWrap/>
            <w:vAlign w:val="center"/>
          </w:tcPr>
          <w:p w14:paraId="345F8D93">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28.50</w:t>
            </w:r>
          </w:p>
        </w:tc>
      </w:tr>
      <w:tr w14:paraId="0F0C81C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F86D70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6E01089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w:t>
            </w:r>
          </w:p>
        </w:tc>
        <w:tc>
          <w:tcPr>
            <w:tcW w:w="4261" w:type="dxa"/>
            <w:tcBorders>
              <w:top w:val="nil"/>
              <w:left w:val="nil"/>
              <w:bottom w:val="single" w:color="auto" w:sz="4" w:space="0"/>
              <w:right w:val="single" w:color="auto" w:sz="4" w:space="0"/>
            </w:tcBorders>
            <w:shd w:val="clear" w:color="auto" w:fill="auto"/>
            <w:noWrap/>
            <w:vAlign w:val="center"/>
          </w:tcPr>
          <w:p w14:paraId="22C8AEE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167.21</w:t>
            </w:r>
          </w:p>
        </w:tc>
      </w:tr>
      <w:tr w14:paraId="06CA2DE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791B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BA9A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092B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167.21</w:t>
            </w:r>
          </w:p>
        </w:tc>
      </w:tr>
      <w:tr w14:paraId="63803AB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0EA4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C38DC3C">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00AC2C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61C505C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C0B5A">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CD8D085">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0F9B3C7">
            <w:pPr>
              <w:jc w:val="center"/>
              <w:rPr>
                <w:rFonts w:ascii="仿宋_GB2312" w:hAnsi="仿宋" w:eastAsia="仿宋_GB2312" w:cs="宋体"/>
                <w:kern w:val="0"/>
                <w:sz w:val="24"/>
                <w:szCs w:val="24"/>
              </w:rPr>
            </w:pPr>
            <w:r>
              <w:rPr>
                <w:rFonts w:ascii="仿宋_GB2312" w:hAnsi="仿宋" w:eastAsia="仿宋_GB2312" w:cs="宋体"/>
                <w:kern w:val="0"/>
                <w:sz w:val="24"/>
                <w:szCs w:val="24"/>
              </w:rPr>
              <w:t>785.10</w:t>
            </w:r>
          </w:p>
        </w:tc>
      </w:tr>
    </w:tbl>
    <w:p w14:paraId="14E03F1D">
      <w:pPr>
        <w:outlineLvl w:val="0"/>
        <w:rPr>
          <w:rFonts w:ascii="方正小标宋_GBK" w:eastAsia="方正小标宋_GBK"/>
          <w:sz w:val="44"/>
        </w:rPr>
      </w:pPr>
    </w:p>
    <w:p w14:paraId="6DA67B62">
      <w:pPr>
        <w:spacing w:line="360" w:lineRule="auto"/>
        <w:rPr>
          <w:rFonts w:ascii="黑体" w:hAnsi="黑体" w:eastAsia="黑体" w:cs="Times New Roman"/>
          <w:sz w:val="32"/>
          <w:szCs w:val="32"/>
        </w:rPr>
      </w:pPr>
    </w:p>
    <w:p w14:paraId="5956CD9F">
      <w:pPr>
        <w:jc w:val="center"/>
        <w:outlineLvl w:val="0"/>
        <w:rPr>
          <w:rFonts w:ascii="方正小标宋_GBK" w:eastAsia="方正小标宋_GBK"/>
          <w:sz w:val="44"/>
        </w:rPr>
      </w:pPr>
    </w:p>
    <w:p w14:paraId="3145D0B4">
      <w:pPr>
        <w:jc w:val="center"/>
        <w:outlineLvl w:val="0"/>
        <w:rPr>
          <w:rFonts w:ascii="方正小标宋_GBK" w:eastAsia="方正小标宋_GBK"/>
          <w:sz w:val="44"/>
        </w:rPr>
      </w:pPr>
      <w:r>
        <w:rPr>
          <w:rFonts w:hint="eastAsia" w:ascii="方正小标宋_GBK" w:eastAsia="方正小标宋_GBK"/>
          <w:sz w:val="44"/>
        </w:rPr>
        <w:t>第八部分：名词解释</w:t>
      </w:r>
    </w:p>
    <w:p w14:paraId="20B6E5F8">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276AFCFF">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78CD7483">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5967CBBF">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581285C6">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0BC42C4">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A5CCA00">
      <w:pPr>
        <w:spacing w:line="360" w:lineRule="auto"/>
        <w:jc w:val="center"/>
        <w:rPr>
          <w:rFonts w:ascii="黑体" w:hAnsi="黑体" w:eastAsia="黑体" w:cs="Times New Roman"/>
          <w:sz w:val="32"/>
          <w:szCs w:val="32"/>
        </w:rPr>
      </w:pPr>
    </w:p>
    <w:p w14:paraId="326BF5A7">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3DE76689">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7142316D">
        <w:pPr>
          <w:pStyle w:val="3"/>
          <w:jc w:val="center"/>
        </w:pPr>
        <w:r>
          <w:fldChar w:fldCharType="begin"/>
        </w:r>
        <w:r>
          <w:instrText xml:space="preserve">PAGE   \* MERGEFORMAT</w:instrText>
        </w:r>
        <w:r>
          <w:fldChar w:fldCharType="separate"/>
        </w:r>
        <w:r>
          <w:rPr>
            <w:lang w:val="zh-CN"/>
          </w:rPr>
          <w:t>12</w:t>
        </w:r>
        <w:r>
          <w:fldChar w:fldCharType="end"/>
        </w:r>
      </w:p>
    </w:sdtContent>
  </w:sdt>
  <w:p w14:paraId="0730D16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kY2NmM2RkMDVlYzQ2NzEyOTA2N2Y5ZDRjNWViNGIifQ=="/>
  </w:docVars>
  <w:rsids>
    <w:rsidRoot w:val="00055F1F"/>
    <w:rsid w:val="00013B8A"/>
    <w:rsid w:val="00016C04"/>
    <w:rsid w:val="000244EE"/>
    <w:rsid w:val="00044FBC"/>
    <w:rsid w:val="00055F1F"/>
    <w:rsid w:val="000577EF"/>
    <w:rsid w:val="00057F18"/>
    <w:rsid w:val="000A445D"/>
    <w:rsid w:val="000C178B"/>
    <w:rsid w:val="00131DEC"/>
    <w:rsid w:val="00136AB3"/>
    <w:rsid w:val="001462BD"/>
    <w:rsid w:val="00152380"/>
    <w:rsid w:val="001638BE"/>
    <w:rsid w:val="00164810"/>
    <w:rsid w:val="00172C7A"/>
    <w:rsid w:val="001777E1"/>
    <w:rsid w:val="00181777"/>
    <w:rsid w:val="001B4688"/>
    <w:rsid w:val="001B6235"/>
    <w:rsid w:val="001D5731"/>
    <w:rsid w:val="001F4875"/>
    <w:rsid w:val="002062E4"/>
    <w:rsid w:val="00212335"/>
    <w:rsid w:val="002918C6"/>
    <w:rsid w:val="00291EF3"/>
    <w:rsid w:val="00296524"/>
    <w:rsid w:val="002A64BF"/>
    <w:rsid w:val="002D1656"/>
    <w:rsid w:val="002D296A"/>
    <w:rsid w:val="002D2B49"/>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0D69"/>
    <w:rsid w:val="003E3832"/>
    <w:rsid w:val="003E5531"/>
    <w:rsid w:val="003E555C"/>
    <w:rsid w:val="003E6AF3"/>
    <w:rsid w:val="0040243C"/>
    <w:rsid w:val="00406BD1"/>
    <w:rsid w:val="00420A12"/>
    <w:rsid w:val="0042464E"/>
    <w:rsid w:val="00426C19"/>
    <w:rsid w:val="00450FD9"/>
    <w:rsid w:val="00453CE0"/>
    <w:rsid w:val="00470736"/>
    <w:rsid w:val="00470BBB"/>
    <w:rsid w:val="0048611E"/>
    <w:rsid w:val="004B6929"/>
    <w:rsid w:val="004E2F43"/>
    <w:rsid w:val="004E3572"/>
    <w:rsid w:val="004E35FB"/>
    <w:rsid w:val="004F3C52"/>
    <w:rsid w:val="00510A1E"/>
    <w:rsid w:val="005158E2"/>
    <w:rsid w:val="00524204"/>
    <w:rsid w:val="00550049"/>
    <w:rsid w:val="00553F7E"/>
    <w:rsid w:val="00570142"/>
    <w:rsid w:val="00586C35"/>
    <w:rsid w:val="005B1B6F"/>
    <w:rsid w:val="005B6CCB"/>
    <w:rsid w:val="005C54AA"/>
    <w:rsid w:val="005C7B89"/>
    <w:rsid w:val="005F4967"/>
    <w:rsid w:val="00612C6D"/>
    <w:rsid w:val="00613697"/>
    <w:rsid w:val="0062788A"/>
    <w:rsid w:val="00641F8A"/>
    <w:rsid w:val="00642ADC"/>
    <w:rsid w:val="0066383B"/>
    <w:rsid w:val="006A6FA2"/>
    <w:rsid w:val="006B475E"/>
    <w:rsid w:val="006B5117"/>
    <w:rsid w:val="006C62DF"/>
    <w:rsid w:val="006F5104"/>
    <w:rsid w:val="006F6549"/>
    <w:rsid w:val="0073001E"/>
    <w:rsid w:val="00735B02"/>
    <w:rsid w:val="00757B12"/>
    <w:rsid w:val="007657C8"/>
    <w:rsid w:val="00767A77"/>
    <w:rsid w:val="00771E49"/>
    <w:rsid w:val="00782208"/>
    <w:rsid w:val="00791938"/>
    <w:rsid w:val="007A5999"/>
    <w:rsid w:val="007C7FD7"/>
    <w:rsid w:val="007F24F0"/>
    <w:rsid w:val="007F3746"/>
    <w:rsid w:val="00833132"/>
    <w:rsid w:val="00845C67"/>
    <w:rsid w:val="0086454E"/>
    <w:rsid w:val="008672EA"/>
    <w:rsid w:val="00891680"/>
    <w:rsid w:val="008A0099"/>
    <w:rsid w:val="008A0B5F"/>
    <w:rsid w:val="008B4B84"/>
    <w:rsid w:val="008B5402"/>
    <w:rsid w:val="008D11BC"/>
    <w:rsid w:val="0090527E"/>
    <w:rsid w:val="00905BB7"/>
    <w:rsid w:val="0090620C"/>
    <w:rsid w:val="00912DA4"/>
    <w:rsid w:val="009302B8"/>
    <w:rsid w:val="009305C6"/>
    <w:rsid w:val="009664F1"/>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3027D"/>
    <w:rsid w:val="00B71A0D"/>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13719"/>
    <w:rsid w:val="00D43F7A"/>
    <w:rsid w:val="00D45530"/>
    <w:rsid w:val="00D45A0E"/>
    <w:rsid w:val="00D45D23"/>
    <w:rsid w:val="00D723D1"/>
    <w:rsid w:val="00D80C60"/>
    <w:rsid w:val="00D8525F"/>
    <w:rsid w:val="00DA0C4D"/>
    <w:rsid w:val="00DA5DA7"/>
    <w:rsid w:val="00DC0E4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3D6C"/>
    <w:rsid w:val="00EA56CB"/>
    <w:rsid w:val="00EA7853"/>
    <w:rsid w:val="00EC40E5"/>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10669DE"/>
    <w:rsid w:val="019F4B5D"/>
    <w:rsid w:val="03343D40"/>
    <w:rsid w:val="041E2774"/>
    <w:rsid w:val="04C17856"/>
    <w:rsid w:val="08167EB9"/>
    <w:rsid w:val="09005418"/>
    <w:rsid w:val="09A74F02"/>
    <w:rsid w:val="0A214432"/>
    <w:rsid w:val="0B0C7351"/>
    <w:rsid w:val="0D2072D9"/>
    <w:rsid w:val="0E3B7DF0"/>
    <w:rsid w:val="0ECC7523"/>
    <w:rsid w:val="0FBA447E"/>
    <w:rsid w:val="118E6D12"/>
    <w:rsid w:val="11B85750"/>
    <w:rsid w:val="11D4349D"/>
    <w:rsid w:val="12160DDC"/>
    <w:rsid w:val="1A187AC0"/>
    <w:rsid w:val="1BF400B9"/>
    <w:rsid w:val="1CB734EA"/>
    <w:rsid w:val="1E1D56A5"/>
    <w:rsid w:val="1E676188"/>
    <w:rsid w:val="1F551EF2"/>
    <w:rsid w:val="209B6D55"/>
    <w:rsid w:val="22BB36DF"/>
    <w:rsid w:val="269829DE"/>
    <w:rsid w:val="275F6D2E"/>
    <w:rsid w:val="27733670"/>
    <w:rsid w:val="27E2170E"/>
    <w:rsid w:val="285604E3"/>
    <w:rsid w:val="29883BEF"/>
    <w:rsid w:val="2AC670C5"/>
    <w:rsid w:val="2E277E7A"/>
    <w:rsid w:val="2EC61641"/>
    <w:rsid w:val="317A24FA"/>
    <w:rsid w:val="31E76D05"/>
    <w:rsid w:val="355F0D68"/>
    <w:rsid w:val="3AAF36D1"/>
    <w:rsid w:val="3B043A1D"/>
    <w:rsid w:val="3EB43064"/>
    <w:rsid w:val="3F4F5483"/>
    <w:rsid w:val="40A64E31"/>
    <w:rsid w:val="41432DC5"/>
    <w:rsid w:val="42310E70"/>
    <w:rsid w:val="42B5384F"/>
    <w:rsid w:val="44384737"/>
    <w:rsid w:val="4554199A"/>
    <w:rsid w:val="48090F94"/>
    <w:rsid w:val="499A379E"/>
    <w:rsid w:val="4F825BD0"/>
    <w:rsid w:val="555678EA"/>
    <w:rsid w:val="56DF110B"/>
    <w:rsid w:val="5D334349"/>
    <w:rsid w:val="5D8365CC"/>
    <w:rsid w:val="5F7E34EF"/>
    <w:rsid w:val="66D540B5"/>
    <w:rsid w:val="66E53E53"/>
    <w:rsid w:val="6B0845B4"/>
    <w:rsid w:val="6C545262"/>
    <w:rsid w:val="6D066B1C"/>
    <w:rsid w:val="6FF764E4"/>
    <w:rsid w:val="731A30D6"/>
    <w:rsid w:val="7A205476"/>
    <w:rsid w:val="7C305561"/>
    <w:rsid w:val="7D1F7C67"/>
    <w:rsid w:val="7EED1A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插入文本样式-插入部门职责文件"/>
    <w:basedOn w:val="1"/>
    <w:autoRedefine/>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1">
    <w:name w:val="插入文本样式-插入总体目标文件"/>
    <w:basedOn w:val="1"/>
    <w:autoRedefine/>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2">
    <w:name w:val="插入文本样式-插入职责分类绩效目标文件"/>
    <w:basedOn w:val="1"/>
    <w:autoRedefine/>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3">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4">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16">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7">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18">
    <w:name w:val="单元格样式3"/>
    <w:basedOn w:val="1"/>
    <w:autoRedefine/>
    <w:qFormat/>
    <w:uiPriority w:val="0"/>
    <w:pPr>
      <w:widowControl/>
      <w:jc w:val="center"/>
    </w:pPr>
    <w:rPr>
      <w:rFonts w:ascii="方正书宋_GBK" w:hAnsi="方正书宋_GBK" w:eastAsia="方正书宋_GBK" w:cs="方正书宋_GBK"/>
      <w:kern w:val="0"/>
      <w:szCs w:val="24"/>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FA861-9D13-41E0-8D95-55140933E17E}">
  <ds:schemaRefs/>
</ds:datastoreItem>
</file>

<file path=docProps/app.xml><?xml version="1.0" encoding="utf-8"?>
<Properties xmlns="http://schemas.openxmlformats.org/officeDocument/2006/extended-properties" xmlns:vt="http://schemas.openxmlformats.org/officeDocument/2006/docPropsVTypes">
  <Template>Normal</Template>
  <Pages>16</Pages>
  <Words>4697</Words>
  <Characters>5073</Characters>
  <Lines>42</Lines>
  <Paragraphs>11</Paragraphs>
  <TotalTime>1</TotalTime>
  <ScaleCrop>false</ScaleCrop>
  <LinksUpToDate>false</LinksUpToDate>
  <CharactersWithSpaces>5105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2022-03-04T02:46:00Z</dcterms:created>
  <dc:creator>Windows 用户</dc:creator>
  <cp:lastModifiedBy>WPS_1602455382</cp:lastModifiedBy>
  <cp:lastPrinted>2021-04-14T02:06:00Z</cp:lastPrinted>
  <dcterms:modified xsi:type="dcterms:W3CDTF">2025-05-13T09:26:24Z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76EAFEA3433E47EF9BBEB116C4FC5C2C</vt:lpwstr>
  </property>
  <property fmtid="{D5CDD505-2E9C-101B-9397-08002B2CF9AE}" pid="4" name="KSOTemplateDocerSaveRecord">
    <vt:lpwstr>eyJoZGlkIjoiNzFkY2NmM2RkMDVlYzQ2NzEyOTA2N2Y5ZDRjNWViNGIiLCJ1c2VySWQiOiIxMTMwMTY4NzY0In0=</vt:lpwstr>
  </property>
</Properties>
</file>