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2BD79">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E9A2D9F">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lang w:val="en-US" w:eastAsia="zh-CN"/>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val="en-US" w:eastAsia="zh-CN"/>
        </w:rPr>
        <w:t>消防救援大队</w:t>
      </w:r>
    </w:p>
    <w:p w14:paraId="434796B7">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1</w:t>
      </w:r>
      <w:r>
        <w:rPr>
          <w:rFonts w:hint="eastAsia" w:asciiTheme="majorEastAsia" w:hAnsiTheme="majorEastAsia" w:eastAsiaTheme="majorEastAsia" w:cstheme="majorEastAsia"/>
          <w:b/>
          <w:bCs w:val="0"/>
          <w:kern w:val="2"/>
          <w:sz w:val="44"/>
          <w:szCs w:val="44"/>
        </w:rPr>
        <w:t>年部门整体支出绩效评价自评报告</w:t>
      </w:r>
    </w:p>
    <w:p w14:paraId="073349C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60A8A2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1DC969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863D94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ED48AF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2A52A82">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CB52BB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F2AA8F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499834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72AD0E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A60D3E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D4DC5F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59E3AA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B24F0C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80184D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352D2C9">
      <w:pPr>
        <w:widowControl w:val="0"/>
        <w:adjustRightInd/>
        <w:snapToGrid/>
        <w:spacing w:after="0" w:line="540" w:lineRule="exact"/>
        <w:jc w:val="both"/>
        <w:rPr>
          <w:rFonts w:ascii="Times New Roman" w:hAnsi="Times New Roman" w:eastAsia="宋体" w:cs="Times New Roman"/>
          <w:bCs/>
          <w:kern w:val="2"/>
          <w:sz w:val="72"/>
          <w:szCs w:val="24"/>
        </w:rPr>
      </w:pPr>
    </w:p>
    <w:p w14:paraId="64C67C9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097B42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443FF1D">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2</w:t>
      </w:r>
      <w:r>
        <w:rPr>
          <w:rFonts w:hint="eastAsia" w:cs="Times New Roman" w:asciiTheme="minorEastAsia" w:hAnsiTheme="minorEastAsia" w:eastAsiaTheme="minorEastAsia"/>
          <w:bCs/>
          <w:kern w:val="2"/>
          <w:sz w:val="36"/>
          <w:szCs w:val="36"/>
        </w:rPr>
        <w:t>年</w:t>
      </w:r>
      <w:r>
        <w:rPr>
          <w:rFonts w:hint="eastAsia" w:cs="Times New Roman" w:asciiTheme="minorEastAsia" w:hAnsiTheme="minorEastAsia" w:eastAsiaTheme="minorEastAsia"/>
          <w:bCs/>
          <w:kern w:val="2"/>
          <w:sz w:val="36"/>
          <w:szCs w:val="36"/>
          <w:lang w:val="en-US" w:eastAsia="zh-CN"/>
        </w:rPr>
        <w:t>11</w:t>
      </w:r>
      <w:r>
        <w:rPr>
          <w:rFonts w:hint="eastAsia" w:cs="Times New Roman" w:asciiTheme="minorEastAsia" w:hAnsiTheme="minorEastAsia" w:eastAsiaTheme="minorEastAsia"/>
          <w:bCs/>
          <w:kern w:val="2"/>
          <w:sz w:val="36"/>
          <w:szCs w:val="36"/>
        </w:rPr>
        <w:t>月</w:t>
      </w:r>
    </w:p>
    <w:p w14:paraId="4EA869ED">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18584E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D18058A">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33E8C8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13AC58B2">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5CE1C607">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A3A311D">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E8C96DB">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val="en-US" w:eastAsia="zh-CN"/>
            </w:rPr>
            <w:t>消防救援大队</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4F7AF1F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35CF21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E36C16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E2FC6B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B163E9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DAF94D2">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57124F79">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D09F34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C67176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AEFE38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88344FE">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FC6865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755043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4ABCE2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17FED2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E835564">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1A4FAB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EDE839E">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49762D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C6ECEB1">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10C263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37EDE6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81A434A">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366A6CAB">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30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68F76496">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79D2AA29">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7625557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年部门整体支出情况开展了绩效自评价工作。</w:t>
      </w:r>
    </w:p>
    <w:p w14:paraId="01ACF1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val="en-US" w:eastAsia="zh-CN"/>
        </w:rPr>
        <w:t>消防救援大队</w:t>
      </w:r>
      <w:r>
        <w:rPr>
          <w:rFonts w:hint="eastAsia" w:ascii="仿宋_GB2312" w:eastAsia="仿宋_GB2312" w:cs="DengXian-Regular"/>
          <w:sz w:val="32"/>
          <w:szCs w:val="32"/>
        </w:rPr>
        <w:t>为</w:t>
      </w:r>
      <w:r>
        <w:rPr>
          <w:rFonts w:hint="eastAsia" w:ascii="仿宋_GB2312" w:eastAsia="仿宋_GB2312" w:cs="DengXian-Regular"/>
          <w:sz w:val="32"/>
          <w:szCs w:val="32"/>
          <w:lang w:val="en-US" w:eastAsia="zh-CN"/>
        </w:rPr>
        <w:t>副处</w:t>
      </w:r>
      <w:r>
        <w:rPr>
          <w:rFonts w:hint="eastAsia" w:ascii="仿宋_GB2312" w:eastAsia="仿宋_GB2312" w:cs="DengXian-Regular"/>
          <w:sz w:val="32"/>
          <w:szCs w:val="32"/>
        </w:rPr>
        <w:t>级行政单位，经费保障形式为财政拨款，下设</w:t>
      </w:r>
      <w:r>
        <w:rPr>
          <w:rFonts w:hint="eastAsia" w:ascii="仿宋_GB2312" w:eastAsia="仿宋_GB2312" w:cs="DengXian-Regular"/>
          <w:sz w:val="32"/>
          <w:szCs w:val="32"/>
          <w:lang w:val="en-US" w:eastAsia="zh-CN"/>
        </w:rPr>
        <w:t>2个消防救援站，分别为长城大街消防救援站及中纺路消防救援站，</w:t>
      </w:r>
      <w:r>
        <w:rPr>
          <w:rFonts w:hint="eastAsia" w:ascii="仿宋_GB2312" w:eastAsia="仿宋_GB2312" w:cs="DengXian-Regular"/>
          <w:sz w:val="32"/>
          <w:szCs w:val="32"/>
        </w:rPr>
        <w:t>负责全区</w:t>
      </w:r>
      <w:r>
        <w:rPr>
          <w:rFonts w:hint="eastAsia" w:ascii="仿宋_GB2312" w:eastAsia="仿宋_GB2312" w:cs="DengXian-Regular"/>
          <w:sz w:val="32"/>
          <w:szCs w:val="32"/>
          <w:lang w:val="en-US" w:eastAsia="zh-CN"/>
        </w:rPr>
        <w:t>消防</w:t>
      </w:r>
      <w:r>
        <w:rPr>
          <w:rFonts w:hint="eastAsia" w:ascii="仿宋_GB2312" w:eastAsia="仿宋_GB2312" w:cs="DengXian-Regular"/>
          <w:sz w:val="32"/>
          <w:szCs w:val="32"/>
        </w:rPr>
        <w:t>工作。</w:t>
      </w:r>
    </w:p>
    <w:p w14:paraId="2797FE1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2C8912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6992FA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val="en-US" w:eastAsia="zh-CN"/>
        </w:rPr>
        <w:t>消防大队</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年部门整体支出绩效评价工作。</w:t>
      </w:r>
    </w:p>
    <w:p w14:paraId="79DE41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消防大队</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年部门整体支出绩效评价指标体系共设</w:t>
      </w:r>
      <w:r>
        <w:rPr>
          <w:rFonts w:hint="eastAsia" w:ascii="仿宋_GB2312" w:eastAsia="仿宋_GB2312" w:cs="DengXian-Regular"/>
          <w:color w:val="FF0000"/>
          <w:sz w:val="32"/>
          <w:szCs w:val="32"/>
        </w:rPr>
        <w:t>置4个一级指标、7个二级指标、27个三级指标，</w:t>
      </w:r>
      <w:r>
        <w:rPr>
          <w:rFonts w:hint="eastAsia" w:ascii="仿宋_GB2312" w:eastAsia="仿宋_GB2312" w:cs="DengXian-Regular"/>
          <w:sz w:val="32"/>
          <w:szCs w:val="32"/>
        </w:rPr>
        <w:t>从投入、过程、产出、效果四个方面对</w:t>
      </w:r>
      <w:r>
        <w:rPr>
          <w:rFonts w:hint="eastAsia" w:ascii="仿宋_GB2312" w:eastAsia="仿宋_GB2312" w:cs="DengXian-Regular"/>
          <w:sz w:val="32"/>
          <w:szCs w:val="32"/>
          <w:lang w:val="en-US" w:eastAsia="zh-CN"/>
        </w:rPr>
        <w:t>消防大队</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4EDA11F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消防大队</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年部门整体支出综合评价得分为</w:t>
      </w:r>
      <w:r>
        <w:rPr>
          <w:rFonts w:hint="eastAsia" w:ascii="仿宋_GB2312" w:eastAsia="仿宋_GB2312" w:cs="DengXian-Regular"/>
          <w:color w:val="FF0000"/>
          <w:sz w:val="32"/>
          <w:szCs w:val="32"/>
          <w:lang w:val="en-US" w:eastAsia="zh-CN"/>
        </w:rPr>
        <w:t>99</w:t>
      </w:r>
      <w:r>
        <w:rPr>
          <w:rFonts w:hint="eastAsia" w:ascii="仿宋_GB2312" w:eastAsia="仿宋_GB2312" w:cs="DengXian-Regular"/>
          <w:sz w:val="32"/>
          <w:szCs w:val="32"/>
        </w:rPr>
        <w:t>分，评价等级为“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w:t>
      </w:r>
    </w:p>
    <w:p w14:paraId="7E0026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w:t>
      </w:r>
      <w:r>
        <w:rPr>
          <w:rFonts w:hint="eastAsia" w:ascii="仿宋_GB2312" w:eastAsia="仿宋_GB2312" w:cs="DengXian-Regular"/>
          <w:sz w:val="32"/>
          <w:szCs w:val="32"/>
          <w:lang w:val="en-US" w:eastAsia="zh-CN"/>
        </w:rPr>
        <w:t>消防大队</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3B8C6B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29B71E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41B90C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71CC21A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1D0E01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3853447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77093DF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0C9411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针对此次绩效评价过程中发现的问题，我们建议：</w:t>
      </w:r>
    </w:p>
    <w:p w14:paraId="7AC5BA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101770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14:paraId="65DF09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3690EA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4AFFC33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37DD527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建议严格按照《中华人民共和国政府采购法》及河北省2017年《政府采购集中采购目录和限额标准》的相关规定，执行政府采购，加快预算执行进度，提高政府采购效率。</w:t>
      </w:r>
      <w:bookmarkStart w:id="1" w:name="_Toc4346"/>
    </w:p>
    <w:p w14:paraId="5E8FE7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32EB9FF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w:t>
      </w:r>
      <w:r>
        <w:rPr>
          <w:rFonts w:hint="eastAsia" w:ascii="仿宋_GB2312" w:eastAsia="仿宋_GB2312" w:cs="Times New Roman" w:hAnsiTheme="minorEastAsia"/>
          <w:sz w:val="32"/>
          <w:szCs w:val="32"/>
          <w:u w:color="000000"/>
          <w:lang w:val="en-US" w:eastAsia="zh-CN"/>
        </w:rPr>
        <w:t>消防大队</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14:paraId="1205EC4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32BB9250">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14:paraId="500CFB6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6.预算安排建议</w:t>
      </w:r>
    </w:p>
    <w:p w14:paraId="3498C4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项目资金方面：</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ascii="仿宋_GB2312" w:eastAsia="仿宋_GB2312" w:cs="DengXian-Regular"/>
          <w:sz w:val="32"/>
          <w:szCs w:val="32"/>
        </w:rPr>
        <w:t>年项目支出资金使用率较低，</w:t>
      </w:r>
      <w:r>
        <w:rPr>
          <w:rFonts w:hint="eastAsia" w:ascii="仿宋_GB2312" w:eastAsia="仿宋_GB2312" w:cs="DengXian-Regular"/>
          <w:sz w:val="32"/>
          <w:szCs w:val="32"/>
        </w:rPr>
        <w:t>针对</w:t>
      </w:r>
      <w:r>
        <w:rPr>
          <w:rFonts w:ascii="仿宋_GB2312" w:eastAsia="仿宋_GB2312" w:cs="DengXian-Regular"/>
          <w:sz w:val="32"/>
          <w:szCs w:val="32"/>
        </w:rPr>
        <w:t>部分未实施项目资金结转至下一年度</w:t>
      </w:r>
      <w:r>
        <w:rPr>
          <w:rFonts w:hint="eastAsia" w:ascii="仿宋_GB2312" w:eastAsia="仿宋_GB2312" w:cs="DengXian-Regular"/>
          <w:sz w:val="32"/>
          <w:szCs w:val="32"/>
        </w:rPr>
        <w:t>的，建议</w:t>
      </w:r>
      <w:r>
        <w:rPr>
          <w:rFonts w:ascii="仿宋_GB2312" w:eastAsia="仿宋_GB2312" w:cs="DengXian-Regular"/>
          <w:sz w:val="32"/>
          <w:szCs w:val="32"/>
        </w:rPr>
        <w:t>202</w:t>
      </w:r>
      <w:r>
        <w:rPr>
          <w:rFonts w:hint="eastAsia" w:ascii="仿宋_GB2312" w:eastAsia="仿宋_GB2312" w:cs="DengXian-Regular"/>
          <w:sz w:val="32"/>
          <w:szCs w:val="32"/>
          <w:lang w:val="en-US" w:eastAsia="zh-CN"/>
        </w:rPr>
        <w:t>2</w:t>
      </w:r>
      <w:r>
        <w:rPr>
          <w:rFonts w:ascii="仿宋_GB2312" w:eastAsia="仿宋_GB2312" w:cs="DengXian-Regular"/>
          <w:sz w:val="32"/>
          <w:szCs w:val="32"/>
        </w:rPr>
        <w:t>年预算不增加</w:t>
      </w:r>
      <w:r>
        <w:rPr>
          <w:rFonts w:hint="eastAsia" w:ascii="仿宋_GB2312" w:eastAsia="仿宋_GB2312" w:cs="DengXian-Regular"/>
          <w:sz w:val="32"/>
          <w:szCs w:val="32"/>
        </w:rPr>
        <w:t>该部分</w:t>
      </w:r>
      <w:r>
        <w:rPr>
          <w:rFonts w:ascii="仿宋_GB2312" w:eastAsia="仿宋_GB2312" w:cs="DengXian-Regular"/>
          <w:sz w:val="32"/>
          <w:szCs w:val="32"/>
        </w:rPr>
        <w:t>项目资金预算</w:t>
      </w:r>
      <w:r>
        <w:rPr>
          <w:rFonts w:hint="eastAsia" w:ascii="仿宋_GB2312" w:eastAsia="仿宋_GB2312" w:cs="DengXian-Regular"/>
          <w:sz w:val="32"/>
          <w:szCs w:val="32"/>
        </w:rPr>
        <w:t>；</w:t>
      </w:r>
      <w:r>
        <w:rPr>
          <w:rFonts w:ascii="仿宋_GB2312" w:eastAsia="仿宋_GB2312" w:cs="DengXian-Regular"/>
          <w:sz w:val="32"/>
          <w:szCs w:val="32"/>
        </w:rPr>
        <w:t>其他项目资金根据实际情况予以保持或适当</w:t>
      </w:r>
      <w:r>
        <w:rPr>
          <w:rFonts w:hint="eastAsia" w:ascii="仿宋_GB2312" w:eastAsia="仿宋_GB2312" w:cs="DengXian-Regular"/>
          <w:sz w:val="32"/>
          <w:szCs w:val="32"/>
        </w:rPr>
        <w:t>增减</w:t>
      </w:r>
      <w:r>
        <w:rPr>
          <w:rFonts w:ascii="仿宋_GB2312" w:eastAsia="仿宋_GB2312" w:cs="DengXian-Regular"/>
          <w:sz w:val="32"/>
          <w:szCs w:val="32"/>
        </w:rPr>
        <w:t>。</w:t>
      </w:r>
    </w:p>
    <w:p w14:paraId="69014985">
      <w:pPr>
        <w:pStyle w:val="3"/>
        <w:spacing w:line="540" w:lineRule="exact"/>
        <w:jc w:val="center"/>
        <w:rPr>
          <w:rFonts w:ascii="黑体" w:hAnsi="黑体"/>
          <w:b w:val="0"/>
        </w:rPr>
      </w:pPr>
      <w:r>
        <w:rPr>
          <w:rFonts w:hint="eastAsia" w:ascii="黑体" w:hAnsi="黑体"/>
          <w:b w:val="0"/>
        </w:rPr>
        <w:t>第二部分   绩效评价报告</w:t>
      </w:r>
      <w:bookmarkEnd w:id="1"/>
    </w:p>
    <w:p w14:paraId="3032FDF7">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val="en-US" w:eastAsia="zh-CN"/>
        </w:rPr>
        <w:t>消防救援大队</w:t>
      </w:r>
      <w:r>
        <w:rPr>
          <w:rFonts w:hint="eastAsia" w:ascii="楷体" w:hAnsi="楷体" w:eastAsia="楷体" w:cs="楷体"/>
        </w:rPr>
        <w:t>单位基本情况</w:t>
      </w:r>
      <w:bookmarkEnd w:id="2"/>
      <w:bookmarkEnd w:id="3"/>
      <w:bookmarkStart w:id="4" w:name="_Toc492652764"/>
    </w:p>
    <w:p w14:paraId="50CDC344">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4A8D69C9">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 xml:space="preserve"> 一、消防宣传及防灭火抢险救援，组织开展消防宣传。对机关、团体、企业、事业单位遵守消防法律、法规情况进行监督管理，对专职、义务消防队进行指导，督促有关单位整改火灾隐患，落实消防安全措施，防止火灾的发生，减少火灾的损失，积极参加社会抢险救援，保卫国家经济建设，保护公共财产和人民生命财产的安全。</w:t>
      </w:r>
    </w:p>
    <w:p w14:paraId="6FB92E74">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二、消防宣传与法律监督管理，组织开展消防宣传，对机关、团体、企业、事业单位遵守消防法律、法规情况进行监督管理。</w:t>
      </w:r>
    </w:p>
    <w:p w14:paraId="2A449284">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三、防灭火及社会抢险救援，积极参加各类火灾扑救工作及社会抢险救援，保卫国家经济建设，保护公共财产和人民生命财产安全。</w:t>
      </w:r>
    </w:p>
    <w:p w14:paraId="751D27EF">
      <w:pPr>
        <w:pStyle w:val="4"/>
        <w:spacing w:before="0" w:after="0"/>
        <w:ind w:firstLine="643" w:firstLineChars="200"/>
        <w:jc w:val="both"/>
        <w:rPr>
          <w:rFonts w:ascii="仿宋_GB2312" w:hAnsi="Tahoma" w:cs="DengXian-Regular"/>
          <w:color w:val="FF0000"/>
          <w:sz w:val="32"/>
        </w:rPr>
      </w:pPr>
      <w:bookmarkStart w:id="6" w:name="_Toc465149499"/>
      <w:bookmarkStart w:id="7" w:name="_Toc492652765"/>
      <w:bookmarkStart w:id="8" w:name="_Toc7075"/>
      <w:r>
        <w:rPr>
          <w:rFonts w:hint="eastAsia" w:ascii="仿宋_GB2312" w:hAnsi="Tahoma" w:cs="DengXian-Regular"/>
          <w:color w:val="FF0000"/>
          <w:sz w:val="32"/>
        </w:rPr>
        <w:t>（二）</w:t>
      </w:r>
      <w:bookmarkEnd w:id="6"/>
      <w:r>
        <w:rPr>
          <w:rFonts w:hint="eastAsia" w:ascii="仿宋_GB2312" w:hAnsi="Tahoma" w:cs="DengXian-Regular"/>
          <w:color w:val="FF0000"/>
          <w:sz w:val="32"/>
        </w:rPr>
        <w:t>部门年度发展规划总体目标和职责分类绩效目标</w:t>
      </w:r>
      <w:bookmarkEnd w:id="7"/>
      <w:bookmarkEnd w:id="8"/>
    </w:p>
    <w:p w14:paraId="2B2C215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val="en-US" w:eastAsia="zh-CN"/>
        </w:rPr>
        <w:t>消防大队</w:t>
      </w:r>
      <w:r>
        <w:rPr>
          <w:rFonts w:hint="eastAsia" w:ascii="仿宋_GB2312" w:eastAsia="仿宋_GB2312" w:cs="DengXian-Regular"/>
          <w:sz w:val="32"/>
          <w:szCs w:val="32"/>
        </w:rPr>
        <w:t>设置的年度发展规划总体目标为：</w:t>
      </w:r>
    </w:p>
    <w:p w14:paraId="2E74A3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负责贯彻执行党和国家关于制定XXX工作要点，并监督实施。指导全区XXX工作。制定XXX规划并组织实施，指导检查全区XX工作。负责全区XX工作，负责全区XX工作。</w:t>
      </w:r>
    </w:p>
    <w:p w14:paraId="5E8FED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00C1C97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1.开展XX工作。</w:t>
      </w:r>
    </w:p>
    <w:p w14:paraId="7FA14F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2.开展XX工作。</w:t>
      </w:r>
    </w:p>
    <w:p w14:paraId="3A863E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3.开展XX工作。</w:t>
      </w:r>
      <w:bookmarkStart w:id="9" w:name="_Toc1678"/>
      <w:bookmarkStart w:id="10" w:name="_Toc492652766"/>
      <w:bookmarkStart w:id="11" w:name="_Toc465149500"/>
    </w:p>
    <w:p w14:paraId="625517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17F28EC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XXX单位预算收入XXX万元，均为一般公共预算拨款，其中：财政拨款XXX万元，中央财政提前通知转移支付XX万元。预算收入按功能分类包含：公共安全支出XX万元，社会保障和就业支出XX万元，医疗卫生与计划生育支出XX万元，住房保障支出XX万元。具体预算收入详见附件2。</w:t>
      </w:r>
    </w:p>
    <w:p w14:paraId="1B21362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XXX单位决算收入XXX万元，其中：财政拨款收入XXX万元，其他收入XX万元（全部为利息收入）。决算收入按功能分类包含：公共安全支出XX万元，占比XX%；社会保障和就业支出XX万元，占比XX%；医疗卫生与计划生育支出XX万元，占比XX%；住房保障支出XX万元，占比XX%。具体决算收入详见附件</w:t>
      </w:r>
    </w:p>
    <w:p w14:paraId="6F4E8AA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5204EFED">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1</w:t>
      </w:r>
      <w:r>
        <w:rPr>
          <w:rFonts w:hint="eastAsia" w:asciiTheme="minorEastAsia" w:hAnsiTheme="minorEastAsia" w:eastAsiaTheme="minorEastAsia" w:cstheme="minorEastAsia"/>
          <w:b/>
          <w:bCs/>
          <w:sz w:val="32"/>
          <w:szCs w:val="32"/>
        </w:rPr>
        <w:t>年度区</w:t>
      </w:r>
      <w:r>
        <w:rPr>
          <w:rFonts w:hint="eastAsia" w:ascii="仿宋_GB2312" w:eastAsia="仿宋_GB2312" w:cs="DengXian-Regular"/>
          <w:sz w:val="32"/>
          <w:szCs w:val="32"/>
        </w:rPr>
        <w:t>XXX单位</w:t>
      </w:r>
      <w:r>
        <w:rPr>
          <w:rFonts w:hint="eastAsia" w:asciiTheme="minorEastAsia" w:hAnsiTheme="minorEastAsia" w:eastAsiaTheme="minorEastAsia" w:cstheme="minorEastAsia"/>
          <w:b/>
          <w:bCs/>
          <w:sz w:val="32"/>
          <w:szCs w:val="32"/>
        </w:rPr>
        <w:t>决算收入结构图</w:t>
      </w:r>
    </w:p>
    <w:p w14:paraId="0CE0EEC4">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394970</wp:posOffset>
            </wp:positionH>
            <wp:positionV relativeFrom="paragraph">
              <wp:posOffset>56515</wp:posOffset>
            </wp:positionV>
            <wp:extent cx="4562475" cy="2866390"/>
            <wp:effectExtent l="0" t="0" r="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08B5F39">
      <w:pPr>
        <w:spacing w:after="0" w:line="540" w:lineRule="exact"/>
        <w:ind w:firstLine="640" w:firstLineChars="200"/>
        <w:jc w:val="both"/>
        <w:rPr>
          <w:rFonts w:ascii="仿宋_GB2312" w:eastAsia="仿宋_GB2312" w:cs="Times New Roman" w:hAnsiTheme="minorEastAsia"/>
          <w:sz w:val="32"/>
          <w:szCs w:val="32"/>
          <w:u w:color="000000"/>
        </w:rPr>
      </w:pPr>
    </w:p>
    <w:p w14:paraId="5A648F30">
      <w:pPr>
        <w:spacing w:after="0" w:line="540" w:lineRule="exact"/>
        <w:ind w:firstLine="640" w:firstLineChars="200"/>
        <w:jc w:val="both"/>
        <w:rPr>
          <w:rFonts w:ascii="仿宋_GB2312" w:eastAsia="仿宋_GB2312" w:cs="DengXian-Regular"/>
          <w:sz w:val="32"/>
          <w:szCs w:val="32"/>
        </w:rPr>
      </w:pPr>
    </w:p>
    <w:p w14:paraId="1FD0026B">
      <w:pPr>
        <w:spacing w:after="0" w:line="540" w:lineRule="exact"/>
        <w:ind w:firstLine="640" w:firstLineChars="200"/>
        <w:jc w:val="both"/>
        <w:rPr>
          <w:rFonts w:ascii="仿宋_GB2312" w:eastAsia="仿宋_GB2312" w:cs="DengXian-Regular"/>
          <w:sz w:val="32"/>
          <w:szCs w:val="32"/>
        </w:rPr>
      </w:pPr>
    </w:p>
    <w:p w14:paraId="1807992D">
      <w:pPr>
        <w:spacing w:after="0" w:line="540" w:lineRule="exact"/>
        <w:ind w:firstLine="640" w:firstLineChars="200"/>
        <w:jc w:val="both"/>
        <w:rPr>
          <w:rFonts w:ascii="仿宋_GB2312" w:eastAsia="仿宋_GB2312" w:cs="DengXian-Regular"/>
          <w:sz w:val="32"/>
          <w:szCs w:val="32"/>
        </w:rPr>
      </w:pPr>
    </w:p>
    <w:p w14:paraId="3B284BF0">
      <w:pPr>
        <w:spacing w:after="0" w:line="540" w:lineRule="exact"/>
        <w:ind w:firstLine="640" w:firstLineChars="200"/>
        <w:jc w:val="both"/>
        <w:rPr>
          <w:rFonts w:ascii="仿宋_GB2312" w:eastAsia="仿宋_GB2312" w:cs="DengXian-Regular"/>
          <w:sz w:val="32"/>
          <w:szCs w:val="32"/>
        </w:rPr>
      </w:pPr>
    </w:p>
    <w:p w14:paraId="528B09AA">
      <w:pPr>
        <w:spacing w:after="0" w:line="540" w:lineRule="exact"/>
        <w:ind w:firstLine="640" w:firstLineChars="200"/>
        <w:jc w:val="both"/>
        <w:rPr>
          <w:rFonts w:ascii="仿宋_GB2312" w:eastAsia="仿宋_GB2312" w:cs="DengXian-Regular"/>
          <w:sz w:val="32"/>
          <w:szCs w:val="32"/>
        </w:rPr>
      </w:pPr>
    </w:p>
    <w:p w14:paraId="4851AAA5">
      <w:pPr>
        <w:spacing w:after="0" w:line="540" w:lineRule="exact"/>
        <w:ind w:firstLine="640" w:firstLineChars="200"/>
        <w:jc w:val="both"/>
        <w:rPr>
          <w:rFonts w:ascii="仿宋_GB2312" w:eastAsia="仿宋_GB2312" w:cs="DengXian-Regular"/>
          <w:sz w:val="32"/>
          <w:szCs w:val="32"/>
        </w:rPr>
      </w:pPr>
    </w:p>
    <w:p w14:paraId="7CE95D42">
      <w:pPr>
        <w:spacing w:after="0" w:line="540" w:lineRule="exact"/>
        <w:ind w:firstLine="640" w:firstLineChars="200"/>
        <w:jc w:val="both"/>
        <w:rPr>
          <w:rFonts w:ascii="仿宋_GB2312" w:eastAsia="仿宋_GB2312" w:cs="DengXian-Regular"/>
          <w:sz w:val="32"/>
          <w:szCs w:val="32"/>
        </w:rPr>
      </w:pPr>
    </w:p>
    <w:p w14:paraId="7E0D42E1">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XXX单位一般公共预算财政拨款决算收入比年初预算增加（减少）XX万元，完成年初预算的XX%。决算收入大于（小于）预算收入的主要原因为202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年度区XXX单位.........。预算收入与决算收入对比情况见图2。</w:t>
      </w:r>
    </w:p>
    <w:p w14:paraId="197B8FDF">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w:t>
      </w:r>
      <w:r>
        <w:rPr>
          <w:rFonts w:hint="default" w:asciiTheme="minorEastAsia" w:hAnsiTheme="minorEastAsia" w:eastAsiaTheme="minorEastAsia" w:cstheme="minorEastAsia"/>
          <w:b/>
          <w:sz w:val="32"/>
          <w:szCs w:val="32"/>
          <w:u w:color="000000"/>
          <w:lang w:val="en-US"/>
        </w:rPr>
        <w:t>1</w:t>
      </w:r>
      <w:r>
        <w:rPr>
          <w:rFonts w:hint="eastAsia" w:asciiTheme="minorEastAsia" w:hAnsiTheme="minorEastAsia" w:eastAsiaTheme="minorEastAsia" w:cstheme="minorEastAsia"/>
          <w:b/>
          <w:sz w:val="32"/>
          <w:szCs w:val="32"/>
          <w:u w:color="000000"/>
        </w:rPr>
        <w:t>年度区</w:t>
      </w:r>
      <w:r>
        <w:rPr>
          <w:rFonts w:hint="eastAsia" w:ascii="仿宋_GB2312" w:eastAsia="仿宋_GB2312" w:cs="DengXian-Regular"/>
          <w:sz w:val="32"/>
          <w:szCs w:val="32"/>
        </w:rPr>
        <w:t>XXX单位</w:t>
      </w:r>
      <w:r>
        <w:rPr>
          <w:rFonts w:hint="eastAsia" w:asciiTheme="minorEastAsia" w:hAnsiTheme="minorEastAsia" w:eastAsiaTheme="minorEastAsia" w:cstheme="minorEastAsia"/>
          <w:b/>
          <w:sz w:val="32"/>
          <w:szCs w:val="32"/>
          <w:u w:color="000000"/>
        </w:rPr>
        <w:t>预算收入与决算收入对比图</w:t>
      </w:r>
    </w:p>
    <w:p w14:paraId="02C69CFC">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drawing>
          <wp:anchor distT="0" distB="0" distL="114300" distR="114300" simplePos="0" relativeHeight="251660288" behindDoc="0" locked="0" layoutInCell="1" allowOverlap="1">
            <wp:simplePos x="0" y="0"/>
            <wp:positionH relativeFrom="column">
              <wp:posOffset>77470</wp:posOffset>
            </wp:positionH>
            <wp:positionV relativeFrom="paragraph">
              <wp:posOffset>126365</wp:posOffset>
            </wp:positionV>
            <wp:extent cx="5122545" cy="2747010"/>
            <wp:effectExtent l="0" t="0" r="0" b="0"/>
            <wp:wrapSquare wrapText="bothSides"/>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2FA47D1C">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年度区XXX单位</w:t>
      </w:r>
      <w:r>
        <w:rPr>
          <w:rFonts w:hint="eastAsia" w:ascii="仿宋_GB2312" w:eastAsia="仿宋_GB2312" w:cs="Times New Roman" w:hAnsiTheme="minorEastAsia"/>
          <w:sz w:val="32"/>
          <w:szCs w:val="32"/>
          <w:u w:color="000000"/>
        </w:rPr>
        <w:t>预算支出安排XXX万元，其中：基本支出XXX万元，项目支出XXX万元。预算支出按功能分类包含：公共安全支出XXX万元，社会保障和就业支出XXX万元，医疗卫生与计划教育支出XXX万元，住房保障支出XXX万元。具体预算支出详见附件2。</w:t>
      </w:r>
    </w:p>
    <w:p w14:paraId="666513FC">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年度区XXX单位</w:t>
      </w:r>
      <w:r>
        <w:rPr>
          <w:rFonts w:hint="eastAsia" w:ascii="仿宋_GB2312" w:eastAsia="仿宋_GB2312" w:cs="Times New Roman" w:hAnsiTheme="minorEastAsia"/>
          <w:sz w:val="32"/>
          <w:szCs w:val="32"/>
          <w:u w:color="000000"/>
        </w:rPr>
        <w:t>决算支出为XXX万元，其中：基本支出XXX万元，项目支出XXX万元。决算支出按功能分类包含：公共安全支出XXX万元，占比XX%；社会保障和就业支出XXX万元，占比XX%；医疗卫生与计划教育支出XX万元，占比XX%；住房保障支出XXX万元，占比XX%。具体决算支出详见附件2。</w:t>
      </w:r>
    </w:p>
    <w:p w14:paraId="54693590">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746CB37D">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年度区XXX单位</w:t>
      </w:r>
      <w:r>
        <w:rPr>
          <w:rFonts w:hint="eastAsia" w:asciiTheme="minorEastAsia" w:hAnsiTheme="minorEastAsia" w:eastAsiaTheme="minorEastAsia" w:cstheme="minorEastAsia"/>
          <w:b/>
          <w:bCs/>
          <w:sz w:val="32"/>
          <w:szCs w:val="32"/>
          <w:u w:color="000000"/>
        </w:rPr>
        <w:t>决算支出结构图</w:t>
      </w:r>
    </w:p>
    <w:p w14:paraId="599A23AD">
      <w:pPr>
        <w:spacing w:after="0" w:line="360" w:lineRule="auto"/>
        <w:ind w:firstLine="440" w:firstLineChars="200"/>
        <w:jc w:val="both"/>
        <w:rPr>
          <w:rFonts w:ascii="仿宋" w:hAnsi="仿宋" w:eastAsia="仿宋"/>
          <w:snapToGrid w:val="0"/>
          <w:sz w:val="32"/>
          <w:szCs w:val="32"/>
        </w:rPr>
      </w:pPr>
      <w:r>
        <w:drawing>
          <wp:anchor distT="0" distB="0" distL="90170" distR="90170" simplePos="0" relativeHeight="251661312" behindDoc="0" locked="0" layoutInCell="1" allowOverlap="1">
            <wp:simplePos x="0" y="0"/>
            <wp:positionH relativeFrom="column">
              <wp:posOffset>143510</wp:posOffset>
            </wp:positionH>
            <wp:positionV relativeFrom="paragraph">
              <wp:posOffset>109220</wp:posOffset>
            </wp:positionV>
            <wp:extent cx="4991100" cy="2790825"/>
            <wp:effectExtent l="0" t="0" r="0" b="0"/>
            <wp:wrapSquare wrapText="bothSides"/>
            <wp:docPr id="9"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s="DengXian-Regular"/>
          <w:sz w:val="32"/>
          <w:szCs w:val="32"/>
        </w:rPr>
        <w:t>财政拨款决算支出比年初预算增加XXX万元。决算支出完成年初预算的XXX%。</w:t>
      </w:r>
      <w:r>
        <w:rPr>
          <w:rFonts w:hint="eastAsia" w:ascii="仿宋_GB2312" w:eastAsia="仿宋_GB2312" w:cs="Times New Roman" w:hAnsiTheme="minorEastAsia"/>
          <w:sz w:val="32"/>
          <w:szCs w:val="32"/>
          <w:u w:color="000000"/>
        </w:rPr>
        <w:t>决算支出大于（小于）预算支出的</w:t>
      </w:r>
      <w:r>
        <w:rPr>
          <w:rFonts w:hint="eastAsia" w:ascii="仿宋_GB2312" w:eastAsia="仿宋_GB2312" w:cs="DengXian-Regular"/>
          <w:sz w:val="32"/>
          <w:szCs w:val="32"/>
        </w:rPr>
        <w:t>主要原因为xxxxx</w:t>
      </w:r>
      <w:r>
        <w:rPr>
          <w:rFonts w:hint="eastAsia" w:ascii="仿宋" w:hAnsi="仿宋" w:eastAsia="仿宋"/>
          <w:snapToGrid w:val="0"/>
          <w:sz w:val="32"/>
          <w:szCs w:val="32"/>
        </w:rPr>
        <w:t>。预算支出与决算支出对比情况如图4。</w:t>
      </w:r>
    </w:p>
    <w:p w14:paraId="1F244105">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drawing>
          <wp:anchor distT="0" distB="0" distL="114300" distR="114300" simplePos="0" relativeHeight="251662336" behindDoc="0" locked="0" layoutInCell="1" allowOverlap="1">
            <wp:simplePos x="0" y="0"/>
            <wp:positionH relativeFrom="column">
              <wp:posOffset>144145</wp:posOffset>
            </wp:positionH>
            <wp:positionV relativeFrom="paragraph">
              <wp:posOffset>499745</wp:posOffset>
            </wp:positionV>
            <wp:extent cx="5102225" cy="2717165"/>
            <wp:effectExtent l="0" t="0" r="0" b="0"/>
            <wp:wrapSquare wrapText="bothSides"/>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Theme="minorEastAsia" w:hAnsiTheme="minorEastAsia" w:eastAsiaTheme="minorEastAsia" w:cstheme="minorEastAsia"/>
          <w:b/>
          <w:bCs/>
          <w:sz w:val="32"/>
          <w:szCs w:val="32"/>
        </w:rPr>
        <w:t xml:space="preserve">图4  </w:t>
      </w: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年度区XXX单位</w:t>
      </w:r>
      <w:r>
        <w:rPr>
          <w:rFonts w:hint="eastAsia" w:asciiTheme="minorEastAsia" w:hAnsiTheme="minorEastAsia" w:eastAsiaTheme="minorEastAsia" w:cstheme="minorEastAsia"/>
          <w:b/>
          <w:bCs/>
          <w:sz w:val="32"/>
          <w:szCs w:val="32"/>
        </w:rPr>
        <w:t>预算支出与决算支出对比图</w:t>
      </w:r>
    </w:p>
    <w:p w14:paraId="1EBBD79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年实际项目支出xxx万元，决算报表中项目支出xxx万元，实际支出与决算报表差xxx万元，是由于</w:t>
      </w:r>
      <w:r>
        <w:rPr>
          <w:rFonts w:hint="default" w:ascii="仿宋_GB2312" w:eastAsia="仿宋_GB2312" w:cs="DengXian-Regular"/>
          <w:sz w:val="32"/>
          <w:szCs w:val="32"/>
          <w:lang w:val="en-US"/>
        </w:rPr>
        <w:t>XX</w:t>
      </w:r>
      <w:r>
        <w:rPr>
          <w:rFonts w:hint="eastAsia" w:ascii="仿宋_GB2312" w:eastAsia="仿宋_GB2312" w:cs="DengXian-Regular"/>
          <w:sz w:val="32"/>
          <w:szCs w:val="32"/>
          <w:lang w:val="en-US" w:eastAsia="zh-CN"/>
        </w:rPr>
        <w:t>部门</w:t>
      </w:r>
      <w:r>
        <w:rPr>
          <w:rFonts w:hint="eastAsia" w:ascii="仿宋_GB2312" w:eastAsia="仿宋_GB2312" w:cs="DengXian-Regular"/>
          <w:sz w:val="32"/>
          <w:szCs w:val="32"/>
        </w:rPr>
        <w:t>将预算安排的“项目支出”中“行政运行”科目项下的长期聘用人员项目经费（xx万元）和保安保洁项目经费（xx万元）按照决算口径“项目支出”不能有“行政运行”科目要求，故调整入决算支出中的“基本支出”科目。</w:t>
      </w:r>
    </w:p>
    <w:p w14:paraId="395E05AC">
      <w:pPr>
        <w:pStyle w:val="4"/>
        <w:spacing w:before="0" w:after="0"/>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14:paraId="65FA9C40">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年区xxx单位“三公”经费预算xxx万元（公务用车运行维护费xx万元，公务接待费xx万元），实际支出xx万元（公务用车运行维护费xx万元，公务接待费xx万元），比预算减少xx万元，节约率xx%。202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年预算数相比无变化，决算数与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年实际支出相比，减少xx万元。具体详见表1。</w:t>
      </w:r>
    </w:p>
    <w:p w14:paraId="7FE0D906">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区xxx单位</w:t>
      </w:r>
      <w:r>
        <w:rPr>
          <w:rFonts w:hint="eastAsia" w:asciiTheme="minorEastAsia" w:hAnsiTheme="minorEastAsia" w:eastAsiaTheme="minorEastAsia" w:cstheme="minorEastAsia"/>
          <w:b/>
          <w:bCs/>
          <w:sz w:val="32"/>
          <w:szCs w:val="32"/>
        </w:rPr>
        <w:t>“三公”经费预算及决算明细表</w:t>
      </w:r>
    </w:p>
    <w:p w14:paraId="4C23299E">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02665924">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0D64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3D482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6AAE61">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5EEE9800">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82B0">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181CEE45">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87CE6">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CEED9E">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E980D">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726F33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6CA3E27">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76465E2">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9C20F3">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99BA3C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39202D79">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4694">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23876CDB">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FC18B">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B1EC">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E00F">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6EEBBD">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D0E82D">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7BA68E">
            <w:pPr>
              <w:spacing w:after="0"/>
              <w:ind w:firstLine="420" w:firstLineChars="200"/>
              <w:jc w:val="center"/>
              <w:textAlignment w:val="center"/>
              <w:rPr>
                <w:rFonts w:asciiTheme="minorEastAsia" w:hAnsiTheme="minorEastAsia" w:eastAsiaTheme="minorEastAsia" w:cstheme="minorEastAsia"/>
                <w:color w:val="000000"/>
                <w:sz w:val="21"/>
                <w:szCs w:val="21"/>
              </w:rPr>
            </w:pPr>
          </w:p>
        </w:tc>
      </w:tr>
      <w:tr w14:paraId="4BA43D11">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2C8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4DF547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58C74">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C1A9E">
            <w:pPr>
              <w:spacing w:after="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8BA3">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EADA">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BF31CB">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D79190">
            <w:pPr>
              <w:spacing w:after="0"/>
              <w:jc w:val="center"/>
              <w:textAlignment w:val="center"/>
              <w:rPr>
                <w:rFonts w:asciiTheme="minorEastAsia" w:hAnsiTheme="minorEastAsia" w:eastAsiaTheme="minorEastAsia" w:cstheme="minorEastAsia"/>
                <w:color w:val="000000"/>
                <w:sz w:val="21"/>
                <w:szCs w:val="21"/>
              </w:rPr>
            </w:pPr>
          </w:p>
        </w:tc>
      </w:tr>
      <w:tr w14:paraId="1E277B4E">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638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774B1">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154F">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BE519">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0FBD">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A41C">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6EEF30">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CC31A7">
            <w:pPr>
              <w:spacing w:after="0"/>
              <w:jc w:val="center"/>
              <w:textAlignment w:val="center"/>
              <w:rPr>
                <w:rFonts w:asciiTheme="minorEastAsia" w:hAnsiTheme="minorEastAsia" w:eastAsiaTheme="minorEastAsia" w:cstheme="minorEastAsia"/>
                <w:color w:val="000000"/>
                <w:sz w:val="21"/>
                <w:szCs w:val="21"/>
              </w:rPr>
            </w:pPr>
          </w:p>
        </w:tc>
      </w:tr>
      <w:tr w14:paraId="5D797A2C">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78E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E25F5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A76C">
            <w:pPr>
              <w:spacing w:after="0"/>
              <w:jc w:val="center"/>
              <w:textAlignment w:val="center"/>
              <w:rPr>
                <w:rFonts w:asciiTheme="minorEastAsia" w:hAnsiTheme="minorEastAsia" w:eastAsiaTheme="minorEastAsia" w:cstheme="minorEastAsia"/>
                <w:color w:val="000000"/>
                <w:sz w:val="21"/>
                <w:szCs w:val="21"/>
              </w:rPr>
            </w:pP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B193">
            <w:pPr>
              <w:spacing w:after="0"/>
              <w:jc w:val="center"/>
              <w:textAlignment w:val="center"/>
              <w:rPr>
                <w:rFonts w:asciiTheme="minorEastAsia" w:hAnsiTheme="minorEastAsia" w:eastAsiaTheme="minorEastAsia" w:cstheme="minorEastAsia"/>
                <w:color w:val="000000"/>
                <w:sz w:val="21"/>
                <w:szCs w:val="21"/>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FF78">
            <w:pPr>
              <w:spacing w:after="0"/>
              <w:jc w:val="center"/>
              <w:textAlignment w:val="center"/>
              <w:rPr>
                <w:rFonts w:asciiTheme="minorEastAsia" w:hAnsiTheme="minorEastAsia" w:eastAsiaTheme="minorEastAsia" w:cstheme="minorEastAsia"/>
                <w:color w:val="000000"/>
                <w:sz w:val="21"/>
                <w:szCs w:val="21"/>
              </w:rPr>
            </w:pP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65127A">
            <w:pPr>
              <w:spacing w:after="0"/>
              <w:jc w:val="center"/>
              <w:textAlignment w:val="center"/>
              <w:rPr>
                <w:rFonts w:asciiTheme="minorEastAsia" w:hAnsiTheme="minorEastAsia" w:eastAsiaTheme="minorEastAsia" w:cstheme="minorEastAsia"/>
                <w:color w:val="000000"/>
                <w:sz w:val="21"/>
                <w:szCs w:val="21"/>
              </w:rPr>
            </w:pP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96252C">
            <w:pPr>
              <w:spacing w:after="0"/>
              <w:ind w:firstLine="420" w:firstLineChars="200"/>
              <w:jc w:val="center"/>
              <w:textAlignment w:val="center"/>
              <w:rPr>
                <w:rFonts w:asciiTheme="minorEastAsia" w:hAnsiTheme="minorEastAsia" w:eastAsiaTheme="minorEastAsia" w:cstheme="minorEastAsia"/>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AED564">
            <w:pPr>
              <w:spacing w:after="0"/>
              <w:jc w:val="center"/>
              <w:textAlignment w:val="center"/>
              <w:rPr>
                <w:rFonts w:asciiTheme="minorEastAsia" w:hAnsiTheme="minorEastAsia" w:eastAsiaTheme="minorEastAsia" w:cstheme="minorEastAsia"/>
                <w:color w:val="000000"/>
                <w:sz w:val="21"/>
                <w:szCs w:val="21"/>
              </w:rPr>
            </w:pPr>
          </w:p>
        </w:tc>
      </w:tr>
    </w:tbl>
    <w:p w14:paraId="15F9F2BD">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年底区xxx单位车辆合计xx辆，其中xx用车xx辆，其他用车xx辆。202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年公务用车购置及运维费年初预算xx万元，全部为公务用车运行维护费，实际支出xxx万元，比预算减少xx万元，节约率xx%。202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年实际支出相比，减少xx万元。</w:t>
      </w:r>
    </w:p>
    <w:p w14:paraId="67CE863B">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年区xxx单位公务接待费年初预算xx万元，实际支出xx万元，比预算减少了xx万元，节约率xx%。202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年预算相比无变化，决算数与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年实际支出相比，增加xx万元。</w:t>
      </w:r>
    </w:p>
    <w:p w14:paraId="25627C02">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04421EC4">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根据绩效预算管理改革的有关政策和文件规定，并与区xxx单位沟通，绩效评价工作组以绩效预算架构为指导，以部门预算文本及相关资料为基础，制定了部门整体支出绩效评价指标体系。</w:t>
      </w:r>
    </w:p>
    <w:p w14:paraId="06B4CC66">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14:paraId="0534944D">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14:paraId="072F1C3E">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14182DC8">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5339A648">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14:paraId="0358D7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30436D0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4D1263E6">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14:paraId="501E5192">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r>
        <w:rPr>
          <w:rFonts w:hint="eastAsia" w:ascii="仿宋_GB2312" w:eastAsia="仿宋_GB2312" w:cs="DengXian-Regular"/>
          <w:sz w:val="32"/>
          <w:szCs w:val="32"/>
        </w:rPr>
        <w:t>。</w:t>
      </w:r>
    </w:p>
    <w:p w14:paraId="78099D3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057B86F5">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14:paraId="59388544">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6CDA863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070D1FC6">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14:paraId="58DA820A">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14:paraId="574EDBB7">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26F3CEB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283F830E">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14:paraId="1300F172">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2128C8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13FFF1A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3DA64B4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4C869D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0A64E3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14:paraId="1FC08A7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2B30DD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14:paraId="2E77A700">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14:paraId="3866ADEB">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14:paraId="75308195">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14:paraId="2F4B05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38923F0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1C09D0F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2911E49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73387CC1">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14:paraId="19D93915">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65149510"/>
      <w:bookmarkStart w:id="46"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14:paraId="4C666078">
      <w:pPr>
        <w:spacing w:after="0" w:line="360" w:lineRule="auto"/>
        <w:ind w:firstLine="640" w:firstLineChars="200"/>
        <w:jc w:val="both"/>
        <w:textAlignment w:val="baseline"/>
        <w:rPr>
          <w:rFonts w:ascii="仿宋_GB2312" w:eastAsia="仿宋_GB2312" w:cs="DengXian-Regular"/>
          <w:sz w:val="32"/>
          <w:szCs w:val="32"/>
        </w:rPr>
      </w:pPr>
      <w:bookmarkStart w:id="47" w:name="_Toc421623218"/>
      <w:bookmarkStart w:id="48" w:name="_Toc422314153"/>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14:paraId="1D6F8A8C">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14:paraId="1A152D6A">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14:paraId="3829CC17">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14:paraId="2474811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2A4604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3D56A4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经与区xxx单位充分沟通，并充分收集相关资料，主要包括部门职责、工作活动、预决算文本、相关管理制度、资金使用等相关资料，为制定绩效评价实施方案和指标体系奠定了基础。</w:t>
      </w:r>
    </w:p>
    <w:p w14:paraId="015C952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2C2432A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基于对区xxx单位相关资料的收集，制定绩效评价实施方案和体系,确定最终方案。</w:t>
      </w:r>
    </w:p>
    <w:p w14:paraId="24703AC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405CCB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xxx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7B020DE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14:paraId="23D9C7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07F434FF">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14:paraId="1D7CCB12">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区xxx单位部门整体支出绩效评价总得分为xx分，综合绩效评价等级为“x”。各项得分情况如下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64BE4340">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14:paraId="646EB75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4307C112">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2B0F2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19D9C0F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4A2F7FD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18FA47AC">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43B19080">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5739A3DB">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35CC5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19692BE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1CF89249">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14:paraId="709D3984">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14:paraId="21DD725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558609F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3743EB60">
            <w:pPr>
              <w:spacing w:line="420" w:lineRule="exact"/>
              <w:jc w:val="center"/>
              <w:rPr>
                <w:rFonts w:cs="宋体" w:asciiTheme="minorEastAsia" w:hAnsiTheme="minorEastAsia" w:eastAsiaTheme="minorEastAsia"/>
                <w:sz w:val="21"/>
                <w:szCs w:val="21"/>
              </w:rPr>
            </w:pPr>
          </w:p>
        </w:tc>
      </w:tr>
      <w:tr w14:paraId="7245A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BCBAD30">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B39BBA7">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123E7C6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14:paraId="1456C5E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BF7AC97">
            <w:pPr>
              <w:spacing w:line="420" w:lineRule="exact"/>
              <w:jc w:val="center"/>
              <w:rPr>
                <w:rFonts w:cs="宋体" w:asciiTheme="minorEastAsia" w:hAnsiTheme="minorEastAsia" w:eastAsiaTheme="minorEastAsia"/>
                <w:sz w:val="21"/>
                <w:szCs w:val="21"/>
              </w:rPr>
            </w:pPr>
          </w:p>
        </w:tc>
      </w:tr>
      <w:tr w14:paraId="2553A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FB05C9E">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37D9A97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C2C14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3C71E7C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1AE1F84A">
            <w:pPr>
              <w:spacing w:line="420" w:lineRule="exact"/>
              <w:jc w:val="center"/>
              <w:rPr>
                <w:rFonts w:cs="宋体" w:asciiTheme="minorEastAsia" w:hAnsiTheme="minorEastAsia" w:eastAsiaTheme="minorEastAsia"/>
                <w:sz w:val="21"/>
                <w:szCs w:val="21"/>
              </w:rPr>
            </w:pPr>
          </w:p>
        </w:tc>
      </w:tr>
      <w:tr w14:paraId="7A7B0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2948ED6D">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660A79B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20FE22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14:paraId="62BFDF2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14:paraId="2A6FE04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20F19A3B">
            <w:pPr>
              <w:spacing w:line="420" w:lineRule="exact"/>
              <w:jc w:val="center"/>
              <w:rPr>
                <w:rFonts w:cs="宋体" w:asciiTheme="minorEastAsia" w:hAnsiTheme="minorEastAsia" w:eastAsiaTheme="minorEastAsia"/>
                <w:sz w:val="21"/>
                <w:szCs w:val="21"/>
              </w:rPr>
            </w:pPr>
          </w:p>
        </w:tc>
      </w:tr>
      <w:tr w14:paraId="69FAF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42325E45">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79B6D6A9">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67A664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14:paraId="0F59514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0FB7128A">
            <w:pPr>
              <w:spacing w:line="420" w:lineRule="exact"/>
              <w:jc w:val="center"/>
              <w:rPr>
                <w:rFonts w:cs="宋体" w:asciiTheme="minorEastAsia" w:hAnsiTheme="minorEastAsia" w:eastAsiaTheme="minorEastAsia"/>
                <w:sz w:val="21"/>
                <w:szCs w:val="21"/>
              </w:rPr>
            </w:pPr>
          </w:p>
        </w:tc>
      </w:tr>
      <w:tr w14:paraId="3CC0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628FF91">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A3D7F23">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698209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728F2C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14:paraId="78502945">
            <w:pPr>
              <w:spacing w:line="420" w:lineRule="exact"/>
              <w:jc w:val="center"/>
              <w:rPr>
                <w:rFonts w:cs="宋体" w:asciiTheme="minorEastAsia" w:hAnsiTheme="minorEastAsia" w:eastAsiaTheme="minorEastAsia"/>
                <w:sz w:val="21"/>
                <w:szCs w:val="21"/>
              </w:rPr>
            </w:pPr>
          </w:p>
        </w:tc>
      </w:tr>
      <w:tr w14:paraId="0ECA6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643C0203">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3CD9BC6B">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3603C9D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14:paraId="53B4FB31">
            <w:pPr>
              <w:spacing w:line="420" w:lineRule="exact"/>
              <w:jc w:val="center"/>
              <w:rPr>
                <w:rFonts w:cs="宋体" w:asciiTheme="minorEastAsia" w:hAnsiTheme="minorEastAsia" w:eastAsiaTheme="minorEastAsia"/>
                <w:sz w:val="21"/>
                <w:szCs w:val="21"/>
              </w:rPr>
            </w:pPr>
          </w:p>
        </w:tc>
      </w:tr>
    </w:tbl>
    <w:p w14:paraId="44EDAACA">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14:paraId="6677884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14:paraId="3C0B501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499D55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通过对比保定市徐水区委办公室及保定市徐水区人民政府办公室印发的《保定市徐水区xxx单位职能配置内设机构和人员编制规定》和徐水区xxx单位202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评价工作组认为区xxx单位部门职责符合“三定”方案中所赋予的职责，绩效目标设立依据充分，符合客观实际，与部门职责、工作规划和重点工作相关，工作活动和项目预算安排合理。</w:t>
      </w:r>
    </w:p>
    <w:p w14:paraId="433427C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14:paraId="625E2FD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14:paraId="65C1B6D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14:paraId="3BA3908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14:paraId="3391DA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14:paraId="050D24A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14:paraId="437C5A84">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57CC71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年预算文本—部门职责工作活动绩效目标,该指标实际得分xx分。</w:t>
      </w:r>
    </w:p>
    <w:p w14:paraId="27E2616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14:paraId="7187B92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14:paraId="4C084E8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14:paraId="2D006C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年预算文本及相关会计资料，区xxx单位所有收入均已纳入部门预算，部门支出按基本支出、项目支出分别编制。</w:t>
      </w:r>
    </w:p>
    <w:p w14:paraId="59F611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p w14:paraId="6CC9F09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14:paraId="697CB8E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14:paraId="3C67071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14:paraId="75FE752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年预算文本—部门项目支出预算表，</w:t>
      </w:r>
      <w:r>
        <w:rPr>
          <w:rFonts w:hint="default" w:ascii="仿宋_GB2312" w:eastAsia="仿宋_GB2312" w:cs="DengXian-Regular"/>
          <w:sz w:val="32"/>
          <w:szCs w:val="32"/>
          <w:lang w:val="en-US"/>
        </w:rPr>
        <w:t>XXX</w:t>
      </w:r>
      <w:r>
        <w:rPr>
          <w:rFonts w:hint="eastAsia" w:ascii="仿宋_GB2312" w:eastAsia="仿宋_GB2312" w:cs="DengXian-Regular"/>
          <w:sz w:val="32"/>
          <w:szCs w:val="32"/>
          <w:lang w:val="en-US" w:eastAsia="zh-CN"/>
        </w:rPr>
        <w:t>部门</w:t>
      </w:r>
      <w:r>
        <w:rPr>
          <w:rFonts w:hint="eastAsia" w:ascii="仿宋_GB2312" w:eastAsia="仿宋_GB2312" w:cs="DengXian-Regular"/>
          <w:sz w:val="32"/>
          <w:szCs w:val="32"/>
        </w:rPr>
        <w:t>2020年预算项目共xx个（详见附件2-2-2），涉及资金xxx万元，所有项目均细化到具体用款单位及项目资金额度。项目预算细化率=（xxx/xx）*100%=100%</w:t>
      </w:r>
    </w:p>
    <w:p w14:paraId="088F1DA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该指标实际得分x分。</w:t>
      </w:r>
    </w:p>
    <w:p w14:paraId="730CA2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14:paraId="6F82CA5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年底区xxx单位在职人员控制情况，通过在职人员控制率衡量。</w:t>
      </w:r>
    </w:p>
    <w:p w14:paraId="294B01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62A22F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根据保定市徐水区委办公室及保定市徐水区人民政府办公室关于印发《保定市徐水区xxx单位职能配置内设机构和人员编制规定》的通知，</w:t>
      </w:r>
      <w:r>
        <w:rPr>
          <w:rFonts w:hint="default" w:ascii="仿宋_GB2312" w:eastAsia="仿宋_GB2312" w:cs="DengXian-Regular"/>
          <w:sz w:val="32"/>
          <w:szCs w:val="32"/>
          <w:lang w:val="en-US"/>
        </w:rPr>
        <w:t>XXX</w:t>
      </w:r>
      <w:r>
        <w:rPr>
          <w:rFonts w:hint="eastAsia" w:ascii="仿宋_GB2312" w:eastAsia="仿宋_GB2312" w:cs="DengXian-Regular"/>
          <w:sz w:val="32"/>
          <w:szCs w:val="32"/>
          <w:lang w:val="en-US" w:eastAsia="zh-CN"/>
        </w:rPr>
        <w:t>部门</w:t>
      </w:r>
      <w:r>
        <w:rPr>
          <w:rFonts w:hint="eastAsia" w:ascii="仿宋_GB2312" w:eastAsia="仿宋_GB2312" w:cs="DengXian-Regular"/>
          <w:sz w:val="32"/>
          <w:szCs w:val="32"/>
        </w:rPr>
        <w:t>人员编制为xx人，根据区xxx单位202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年决算文本-部门基本情况表，截至202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年底，在职人员xx人，在职人员控制率=（xx/xx）*100%=100%。</w:t>
      </w:r>
    </w:p>
    <w:p w14:paraId="3F637B1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bookmarkEnd w:id="60"/>
    <w:bookmarkEnd w:id="61"/>
    <w:p w14:paraId="58775810">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14:paraId="171067FE">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192EF5FE">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7FCD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67D7586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00D998B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E9DC12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6FB980D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523499C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2F6A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376CBBF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14:paraId="30D363B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31599CE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14:paraId="69EAE7C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14:paraId="57F0157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10835D8C">
            <w:pPr>
              <w:spacing w:line="420" w:lineRule="exact"/>
              <w:jc w:val="center"/>
              <w:rPr>
                <w:rFonts w:cs="宋体" w:asciiTheme="minorEastAsia" w:hAnsiTheme="minorEastAsia" w:eastAsiaTheme="minorEastAsia"/>
                <w:sz w:val="21"/>
                <w:szCs w:val="21"/>
              </w:rPr>
            </w:pPr>
          </w:p>
        </w:tc>
      </w:tr>
      <w:tr w14:paraId="2D5F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0639E78">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43561C0">
            <w:pPr>
              <w:spacing w:line="420" w:lineRule="exact"/>
              <w:jc w:val="center"/>
              <w:rPr>
                <w:rFonts w:cs="宋体" w:asciiTheme="minorEastAsia" w:hAnsiTheme="minorEastAsia" w:eastAsiaTheme="minorEastAsia"/>
                <w:sz w:val="21"/>
                <w:szCs w:val="21"/>
              </w:rPr>
            </w:pPr>
          </w:p>
        </w:tc>
        <w:tc>
          <w:tcPr>
            <w:tcW w:w="2277" w:type="dxa"/>
            <w:vAlign w:val="center"/>
          </w:tcPr>
          <w:p w14:paraId="73D263D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14:paraId="2C6258A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7AE848CA">
            <w:pPr>
              <w:spacing w:line="420" w:lineRule="exact"/>
              <w:jc w:val="center"/>
              <w:rPr>
                <w:rFonts w:cs="宋体" w:asciiTheme="minorEastAsia" w:hAnsiTheme="minorEastAsia" w:eastAsiaTheme="minorEastAsia"/>
                <w:sz w:val="21"/>
                <w:szCs w:val="21"/>
              </w:rPr>
            </w:pPr>
          </w:p>
        </w:tc>
      </w:tr>
      <w:tr w14:paraId="1948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E4CC71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88740B5">
            <w:pPr>
              <w:spacing w:line="420" w:lineRule="exact"/>
              <w:jc w:val="center"/>
              <w:rPr>
                <w:rFonts w:cs="宋体" w:asciiTheme="minorEastAsia" w:hAnsiTheme="minorEastAsia" w:eastAsiaTheme="minorEastAsia"/>
                <w:sz w:val="21"/>
                <w:szCs w:val="21"/>
              </w:rPr>
            </w:pPr>
          </w:p>
        </w:tc>
        <w:tc>
          <w:tcPr>
            <w:tcW w:w="2277" w:type="dxa"/>
            <w:vAlign w:val="center"/>
          </w:tcPr>
          <w:p w14:paraId="52C4534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14:paraId="6F125E5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14:paraId="6073CC43">
            <w:pPr>
              <w:spacing w:line="420" w:lineRule="exact"/>
              <w:jc w:val="center"/>
              <w:rPr>
                <w:rFonts w:cs="宋体" w:asciiTheme="minorEastAsia" w:hAnsiTheme="minorEastAsia" w:eastAsiaTheme="minorEastAsia"/>
                <w:sz w:val="21"/>
                <w:szCs w:val="21"/>
              </w:rPr>
            </w:pPr>
          </w:p>
        </w:tc>
      </w:tr>
      <w:tr w14:paraId="5DF4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E9E292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AD34DCD">
            <w:pPr>
              <w:spacing w:line="420" w:lineRule="exact"/>
              <w:jc w:val="center"/>
              <w:rPr>
                <w:rFonts w:cs="宋体" w:asciiTheme="minorEastAsia" w:hAnsiTheme="minorEastAsia" w:eastAsiaTheme="minorEastAsia"/>
                <w:sz w:val="21"/>
                <w:szCs w:val="21"/>
              </w:rPr>
            </w:pPr>
          </w:p>
        </w:tc>
        <w:tc>
          <w:tcPr>
            <w:tcW w:w="2277" w:type="dxa"/>
            <w:vAlign w:val="center"/>
          </w:tcPr>
          <w:p w14:paraId="0F99714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14:paraId="2D469E6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F657A1F">
            <w:pPr>
              <w:spacing w:line="420" w:lineRule="exact"/>
              <w:jc w:val="center"/>
              <w:rPr>
                <w:rFonts w:cs="宋体" w:asciiTheme="minorEastAsia" w:hAnsiTheme="minorEastAsia" w:eastAsiaTheme="minorEastAsia"/>
                <w:sz w:val="21"/>
                <w:szCs w:val="21"/>
              </w:rPr>
            </w:pPr>
          </w:p>
        </w:tc>
      </w:tr>
      <w:tr w14:paraId="7FC1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85337C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65AE914">
            <w:pPr>
              <w:spacing w:line="420" w:lineRule="exact"/>
              <w:jc w:val="center"/>
              <w:rPr>
                <w:rFonts w:cs="宋体" w:asciiTheme="minorEastAsia" w:hAnsiTheme="minorEastAsia" w:eastAsiaTheme="minorEastAsia"/>
                <w:sz w:val="21"/>
                <w:szCs w:val="21"/>
              </w:rPr>
            </w:pPr>
          </w:p>
        </w:tc>
        <w:tc>
          <w:tcPr>
            <w:tcW w:w="2277" w:type="dxa"/>
            <w:vAlign w:val="center"/>
          </w:tcPr>
          <w:p w14:paraId="675240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2AF101E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69B7B0F8">
            <w:pPr>
              <w:spacing w:line="420" w:lineRule="exact"/>
              <w:jc w:val="center"/>
              <w:rPr>
                <w:rFonts w:cs="宋体" w:asciiTheme="minorEastAsia" w:hAnsiTheme="minorEastAsia" w:eastAsiaTheme="minorEastAsia"/>
                <w:sz w:val="21"/>
                <w:szCs w:val="21"/>
              </w:rPr>
            </w:pPr>
          </w:p>
        </w:tc>
      </w:tr>
      <w:tr w14:paraId="533F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DAF6797">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18D9004">
            <w:pPr>
              <w:spacing w:line="420" w:lineRule="exact"/>
              <w:jc w:val="center"/>
              <w:rPr>
                <w:rFonts w:cs="宋体" w:asciiTheme="minorEastAsia" w:hAnsiTheme="minorEastAsia" w:eastAsiaTheme="minorEastAsia"/>
                <w:sz w:val="21"/>
                <w:szCs w:val="21"/>
              </w:rPr>
            </w:pPr>
          </w:p>
        </w:tc>
        <w:tc>
          <w:tcPr>
            <w:tcW w:w="2277" w:type="dxa"/>
            <w:vAlign w:val="center"/>
          </w:tcPr>
          <w:p w14:paraId="3EF77B2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120A2B0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314932C8">
            <w:pPr>
              <w:spacing w:line="420" w:lineRule="exact"/>
              <w:jc w:val="center"/>
              <w:rPr>
                <w:rFonts w:cs="宋体" w:asciiTheme="minorEastAsia" w:hAnsiTheme="minorEastAsia" w:eastAsiaTheme="minorEastAsia"/>
                <w:sz w:val="21"/>
                <w:szCs w:val="21"/>
              </w:rPr>
            </w:pPr>
          </w:p>
        </w:tc>
      </w:tr>
      <w:tr w14:paraId="54D1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6AB072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5F9951D">
            <w:pPr>
              <w:spacing w:line="420" w:lineRule="exact"/>
              <w:jc w:val="center"/>
              <w:rPr>
                <w:rFonts w:cs="宋体" w:asciiTheme="minorEastAsia" w:hAnsiTheme="minorEastAsia" w:eastAsiaTheme="minorEastAsia"/>
                <w:sz w:val="21"/>
                <w:szCs w:val="21"/>
              </w:rPr>
            </w:pPr>
          </w:p>
        </w:tc>
        <w:tc>
          <w:tcPr>
            <w:tcW w:w="2277" w:type="dxa"/>
            <w:vAlign w:val="center"/>
          </w:tcPr>
          <w:p w14:paraId="64FA388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14:paraId="4CB1C4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E0D79A9">
            <w:pPr>
              <w:spacing w:line="420" w:lineRule="exact"/>
              <w:jc w:val="center"/>
              <w:rPr>
                <w:rFonts w:cs="宋体" w:asciiTheme="minorEastAsia" w:hAnsiTheme="minorEastAsia" w:eastAsiaTheme="minorEastAsia"/>
                <w:sz w:val="21"/>
                <w:szCs w:val="21"/>
              </w:rPr>
            </w:pPr>
          </w:p>
        </w:tc>
      </w:tr>
      <w:tr w14:paraId="100B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FD6B71A">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A2A9D0B">
            <w:pPr>
              <w:spacing w:line="420" w:lineRule="exact"/>
              <w:jc w:val="center"/>
              <w:rPr>
                <w:rFonts w:cs="宋体" w:asciiTheme="minorEastAsia" w:hAnsiTheme="minorEastAsia" w:eastAsiaTheme="minorEastAsia"/>
                <w:sz w:val="21"/>
                <w:szCs w:val="21"/>
              </w:rPr>
            </w:pPr>
          </w:p>
        </w:tc>
        <w:tc>
          <w:tcPr>
            <w:tcW w:w="2277" w:type="dxa"/>
            <w:vAlign w:val="center"/>
          </w:tcPr>
          <w:p w14:paraId="28C4D7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14:paraId="732B160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5E70419">
            <w:pPr>
              <w:spacing w:line="420" w:lineRule="exact"/>
              <w:jc w:val="center"/>
              <w:rPr>
                <w:rFonts w:cs="宋体" w:asciiTheme="minorEastAsia" w:hAnsiTheme="minorEastAsia" w:eastAsiaTheme="minorEastAsia"/>
                <w:sz w:val="21"/>
                <w:szCs w:val="21"/>
              </w:rPr>
            </w:pPr>
          </w:p>
        </w:tc>
      </w:tr>
      <w:tr w14:paraId="6B55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6681628">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2B3825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00473CB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5A45F08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62A3FA2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8E95CEA">
            <w:pPr>
              <w:spacing w:line="420" w:lineRule="exact"/>
              <w:jc w:val="center"/>
              <w:rPr>
                <w:rFonts w:cs="宋体" w:asciiTheme="minorEastAsia" w:hAnsiTheme="minorEastAsia" w:eastAsiaTheme="minorEastAsia"/>
                <w:sz w:val="21"/>
                <w:szCs w:val="21"/>
              </w:rPr>
            </w:pPr>
          </w:p>
        </w:tc>
      </w:tr>
      <w:tr w14:paraId="0F575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2E9A6A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98FC966">
            <w:pPr>
              <w:spacing w:line="420" w:lineRule="exact"/>
              <w:jc w:val="center"/>
              <w:rPr>
                <w:rFonts w:cs="宋体" w:asciiTheme="minorEastAsia" w:hAnsiTheme="minorEastAsia" w:eastAsiaTheme="minorEastAsia"/>
                <w:sz w:val="21"/>
                <w:szCs w:val="21"/>
              </w:rPr>
            </w:pPr>
          </w:p>
        </w:tc>
        <w:tc>
          <w:tcPr>
            <w:tcW w:w="2277" w:type="dxa"/>
            <w:vAlign w:val="center"/>
          </w:tcPr>
          <w:p w14:paraId="08AAB1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275553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DE1E5CE">
            <w:pPr>
              <w:spacing w:line="420" w:lineRule="exact"/>
              <w:jc w:val="center"/>
              <w:rPr>
                <w:rFonts w:cs="宋体" w:asciiTheme="minorEastAsia" w:hAnsiTheme="minorEastAsia" w:eastAsiaTheme="minorEastAsia"/>
                <w:sz w:val="21"/>
                <w:szCs w:val="21"/>
              </w:rPr>
            </w:pPr>
          </w:p>
        </w:tc>
      </w:tr>
      <w:tr w14:paraId="4098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30696CB">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C75973F">
            <w:pPr>
              <w:spacing w:line="420" w:lineRule="exact"/>
              <w:jc w:val="center"/>
              <w:rPr>
                <w:rFonts w:cs="宋体" w:asciiTheme="minorEastAsia" w:hAnsiTheme="minorEastAsia" w:eastAsiaTheme="minorEastAsia"/>
                <w:sz w:val="21"/>
                <w:szCs w:val="21"/>
              </w:rPr>
            </w:pPr>
          </w:p>
        </w:tc>
        <w:tc>
          <w:tcPr>
            <w:tcW w:w="2277" w:type="dxa"/>
            <w:vAlign w:val="center"/>
          </w:tcPr>
          <w:p w14:paraId="4B0BDA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4360012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0E3F19F">
            <w:pPr>
              <w:spacing w:line="420" w:lineRule="exact"/>
              <w:jc w:val="center"/>
              <w:rPr>
                <w:rFonts w:cs="宋体" w:asciiTheme="minorEastAsia" w:hAnsiTheme="minorEastAsia" w:eastAsiaTheme="minorEastAsia"/>
                <w:sz w:val="21"/>
                <w:szCs w:val="21"/>
              </w:rPr>
            </w:pPr>
          </w:p>
        </w:tc>
      </w:tr>
      <w:tr w14:paraId="56D2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3C2612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F46271E">
            <w:pPr>
              <w:spacing w:line="420" w:lineRule="exact"/>
              <w:jc w:val="center"/>
              <w:rPr>
                <w:rFonts w:cs="宋体" w:asciiTheme="minorEastAsia" w:hAnsiTheme="minorEastAsia" w:eastAsiaTheme="minorEastAsia"/>
                <w:sz w:val="21"/>
                <w:szCs w:val="21"/>
              </w:rPr>
            </w:pPr>
          </w:p>
        </w:tc>
        <w:tc>
          <w:tcPr>
            <w:tcW w:w="2277" w:type="dxa"/>
            <w:vAlign w:val="center"/>
          </w:tcPr>
          <w:p w14:paraId="41F514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14:paraId="6DDEEC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AB459B5">
            <w:pPr>
              <w:spacing w:line="420" w:lineRule="exact"/>
              <w:jc w:val="center"/>
              <w:rPr>
                <w:rFonts w:cs="宋体" w:asciiTheme="minorEastAsia" w:hAnsiTheme="minorEastAsia" w:eastAsiaTheme="minorEastAsia"/>
                <w:sz w:val="21"/>
                <w:szCs w:val="21"/>
              </w:rPr>
            </w:pPr>
          </w:p>
        </w:tc>
      </w:tr>
      <w:tr w14:paraId="5936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14:paraId="592157DA">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5FAB79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14:paraId="3857508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14:paraId="7FB6C49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14:paraId="10FF84E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1FF23B4">
            <w:pPr>
              <w:spacing w:line="420" w:lineRule="exact"/>
              <w:jc w:val="center"/>
              <w:rPr>
                <w:rFonts w:cs="宋体" w:asciiTheme="minorEastAsia" w:hAnsiTheme="minorEastAsia" w:eastAsiaTheme="minorEastAsia"/>
                <w:sz w:val="21"/>
                <w:szCs w:val="21"/>
              </w:rPr>
            </w:pPr>
          </w:p>
        </w:tc>
      </w:tr>
      <w:tr w14:paraId="703A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14:paraId="3106CF71">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29CA71DA">
            <w:pPr>
              <w:spacing w:line="420" w:lineRule="exact"/>
              <w:jc w:val="center"/>
              <w:rPr>
                <w:rFonts w:cs="宋体" w:asciiTheme="minorEastAsia" w:hAnsiTheme="minorEastAsia" w:eastAsiaTheme="minorEastAsia"/>
                <w:sz w:val="21"/>
                <w:szCs w:val="21"/>
              </w:rPr>
            </w:pPr>
          </w:p>
        </w:tc>
        <w:tc>
          <w:tcPr>
            <w:tcW w:w="2277" w:type="dxa"/>
            <w:vAlign w:val="center"/>
          </w:tcPr>
          <w:p w14:paraId="7870042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14:paraId="669011E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1EA226A3">
            <w:pPr>
              <w:spacing w:line="420" w:lineRule="exact"/>
              <w:jc w:val="center"/>
              <w:rPr>
                <w:rFonts w:cs="宋体" w:asciiTheme="minorEastAsia" w:hAnsiTheme="minorEastAsia" w:eastAsiaTheme="minorEastAsia"/>
                <w:sz w:val="21"/>
                <w:szCs w:val="21"/>
              </w:rPr>
            </w:pPr>
          </w:p>
        </w:tc>
      </w:tr>
      <w:tr w14:paraId="7EE6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56D7EE3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23FD36FC">
            <w:pPr>
              <w:spacing w:line="420" w:lineRule="exact"/>
              <w:jc w:val="center"/>
              <w:rPr>
                <w:rFonts w:cs="宋体" w:asciiTheme="minorEastAsia" w:hAnsiTheme="minorEastAsia" w:eastAsiaTheme="minorEastAsia"/>
                <w:sz w:val="21"/>
                <w:szCs w:val="21"/>
              </w:rPr>
            </w:pPr>
          </w:p>
        </w:tc>
        <w:tc>
          <w:tcPr>
            <w:tcW w:w="1155" w:type="dxa"/>
            <w:vAlign w:val="center"/>
          </w:tcPr>
          <w:p w14:paraId="38CA27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276" w:type="dxa"/>
            <w:vAlign w:val="center"/>
          </w:tcPr>
          <w:p w14:paraId="2417696A">
            <w:pPr>
              <w:spacing w:line="420" w:lineRule="exact"/>
              <w:jc w:val="center"/>
              <w:rPr>
                <w:rFonts w:cs="宋体" w:asciiTheme="minorEastAsia" w:hAnsiTheme="minorEastAsia" w:eastAsiaTheme="minorEastAsia"/>
                <w:sz w:val="21"/>
                <w:szCs w:val="21"/>
              </w:rPr>
            </w:pPr>
          </w:p>
        </w:tc>
      </w:tr>
      <w:bookmarkEnd w:id="63"/>
    </w:tbl>
    <w:p w14:paraId="2ABECA51">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rPr>
        <w:t>1.预算执行（24分）</w:t>
      </w:r>
    </w:p>
    <w:p w14:paraId="3A6A236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14:paraId="69DBE32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14:paraId="5826B85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14:paraId="022353F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]xxx号追加行政运行办公经费xx万元；徐财预指[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]xx号追加xxx设备购置及委托业务费合计xx万元；徐财预指[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]xx号号追加xxx办公经费xx万元、行政运行办公经费及委托业务费合计xx万元，区xxx单位202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年度预算收入的追加数为xx万元，年初预算数为xxx万元，预算收入调整率为xx%，预算调整增加了xx个百分点，扣5.33*0.1*2=1.07分。</w:t>
      </w:r>
    </w:p>
    <w:p w14:paraId="479E1D9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该项指标实际得分xx分。</w:t>
      </w:r>
    </w:p>
    <w:p w14:paraId="7A90718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14:paraId="593E62C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14:paraId="355D184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14:paraId="47B932D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年预算文本、决算文本，202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年收入预算数xxx万元，收入决算数xxx万元，收入完成率=（决算数/预算数）*100%=xxx%。</w:t>
      </w:r>
    </w:p>
    <w:p w14:paraId="3FA3C8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p w14:paraId="06A9CE3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14:paraId="57A3B9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14:paraId="6A9F91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14:paraId="507D0DB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根据区xxx单位提供的保定市财政局下发的预算指标文件，其中：徐财预指[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]xx号追加行政运行办公经费xx万元；徐财预指[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]xx号追加xxx设备购置及委托业务费合计xx万元；徐财预指[</w:t>
      </w:r>
      <w:r>
        <w:rPr>
          <w:rFonts w:ascii="仿宋_GB2312" w:eastAsia="仿宋_GB2312" w:cs="DengXian-Regular"/>
          <w:sz w:val="32"/>
          <w:szCs w:val="32"/>
        </w:rPr>
        <w:t>202</w:t>
      </w:r>
      <w:r>
        <w:rPr>
          <w:rFonts w:hint="default" w:ascii="仿宋_GB2312" w:eastAsia="仿宋_GB2312" w:cs="DengXian-Regular"/>
          <w:sz w:val="32"/>
          <w:szCs w:val="32"/>
          <w:lang w:val="en-US"/>
        </w:rPr>
        <w:t>1</w:t>
      </w:r>
      <w:r>
        <w:rPr>
          <w:rFonts w:hint="eastAsia" w:ascii="仿宋_GB2312" w:eastAsia="仿宋_GB2312" w:cs="DengXian-Regular"/>
          <w:sz w:val="32"/>
          <w:szCs w:val="32"/>
        </w:rPr>
        <w:t>]xx号追加xxx业务办公经费xx万元、行政运行办公经费及委托业务费合计xx万元，区xxx单位202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年度预算支出的追加数合计xx万元，年初预算数为xxx万元，预算支出调整率为xx%，预算调整增加（减少）了xxx个百分点，扣（加）xx分。</w:t>
      </w:r>
    </w:p>
    <w:p w14:paraId="1E8712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p w14:paraId="5179B6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14:paraId="0801EC8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14:paraId="3A4BD3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14:paraId="7753D49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区xxx单位提供的202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年决算文本，部门决算财政拨款支出数xxx万元，财政拨款收入数xxx万元，财政拨款支出率=（财政拨款支出数/财政拨款收入数）*100%=xx%</w:t>
      </w:r>
      <w:r>
        <w:rPr>
          <w:rFonts w:ascii="Arial" w:hAnsi="Arial" w:eastAsia="仿宋_GB2312" w:cs="Arial"/>
          <w:sz w:val="32"/>
          <w:szCs w:val="32"/>
        </w:rPr>
        <w:t>≥</w:t>
      </w:r>
      <w:r>
        <w:rPr>
          <w:rFonts w:hint="eastAsia" w:ascii="仿宋_GB2312" w:eastAsia="仿宋_GB2312" w:cs="DengXian-Regular"/>
          <w:sz w:val="32"/>
          <w:szCs w:val="32"/>
        </w:rPr>
        <w:t>90%。区xxx单位202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年年初结转和结余xx万元，故支出数大于收入数。</w:t>
      </w:r>
    </w:p>
    <w:p w14:paraId="33D19F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p w14:paraId="3273FBC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14:paraId="04581FE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46DDBDF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4DC51E5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年预算文本及决算文本，“三公”经费年初预算数xx万元，年末决算数xx万元，“三公”经费控制率=（年末决算数/年初预算数）*100%=xx%</w:t>
      </w:r>
      <w:r>
        <w:rPr>
          <w:rFonts w:ascii="Arial" w:hAnsi="Arial" w:eastAsia="仿宋_GB2312" w:cs="Arial"/>
          <w:sz w:val="32"/>
          <w:szCs w:val="32"/>
        </w:rPr>
        <w:t>≤</w:t>
      </w:r>
      <w:r>
        <w:rPr>
          <w:rFonts w:hint="eastAsia" w:ascii="仿宋_GB2312" w:eastAsia="仿宋_GB2312" w:cs="DengXian-Regular"/>
          <w:sz w:val="32"/>
          <w:szCs w:val="32"/>
        </w:rPr>
        <w:t>100%。</w:t>
      </w:r>
    </w:p>
    <w:p w14:paraId="2B2ECA5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p w14:paraId="31B6C6F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14:paraId="0E3028F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66567D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4B45109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年预算文本及决算文本，政府采购年初预算数xx万元，年末决算数xx万元，政府采购执行率为xx。</w:t>
      </w:r>
    </w:p>
    <w:p w14:paraId="3FB540A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该指标实际得分为xx分。</w:t>
      </w:r>
    </w:p>
    <w:p w14:paraId="6C1B5A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14:paraId="36B8210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14:paraId="15B677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年明细账、会计凭证等相关资料，区xxx单位资金使用符合相关会计准则和财务制度，资金拨付有完备的审批程序和手续，资金使用符合部门预算批复的用途，未发现截留、挤占、挪用财政资金的情况。</w:t>
      </w:r>
    </w:p>
    <w:p w14:paraId="1E762E1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p w14:paraId="6419F7A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14:paraId="2A0EFEE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14:paraId="1B09E36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年决算文本、明细账及总账，区xxx单位决算文本数据均与明细账、总账一致。</w:t>
      </w:r>
    </w:p>
    <w:p w14:paraId="259EE43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p w14:paraId="22C989C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4F4ED17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1AE18A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2C6E39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区xxx单位工作制度涵盖了财务制度、网络安全制度、公务用车制度等相关制度，经检查区xxx单位付款流程审批单、资产盘点表等资料，区xxx单位已按照相关管理制度的规定执行。</w:t>
      </w:r>
    </w:p>
    <w:p w14:paraId="7666CA3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该项指标实际得分xx分。</w:t>
      </w:r>
    </w:p>
    <w:p w14:paraId="547C34D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0D2C598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1F793AB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年按政府信息公开的有关要求在保定市徐水区人民政府网公开了202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年的预决算情况、部门责任清单、行政监督清单等相关信息。</w:t>
      </w:r>
    </w:p>
    <w:p w14:paraId="74D4E7E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p w14:paraId="7778C54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48C33E2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48AD5DC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根据区xxx单位提供的会计账簿、凭证及其他相关资料，区xxx单位会计信息资料真实完整，</w:t>
      </w:r>
    </w:p>
    <w:p w14:paraId="60EBBED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p w14:paraId="4BF95A9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14:paraId="28D633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14:paraId="407B66CE">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区xxx单位建立了固定资产台账、无形资产台账，资产保存完整，202</w:t>
      </w:r>
      <w:r>
        <w:rPr>
          <w:rFonts w:hint="default" w:ascii="仿宋_GB2312" w:eastAsia="仿宋_GB2312" w:cs="DengXian-Regular"/>
          <w:sz w:val="32"/>
          <w:szCs w:val="32"/>
          <w:lang w:val="en-US"/>
        </w:rPr>
        <w:t>1</w:t>
      </w:r>
      <w:r>
        <w:rPr>
          <w:rFonts w:hint="eastAsia" w:ascii="仿宋_GB2312" w:eastAsia="仿宋_GB2312" w:cs="DengXian-Regular"/>
          <w:sz w:val="32"/>
          <w:szCs w:val="32"/>
        </w:rPr>
        <w:t>年新增资产xx万元，包含：xxx（xx万元）、电脑及计算机设备（xx万元）、xx（xx万元），资产购置手续完备，配置符合要求，资产管理整体较规范。</w:t>
      </w:r>
    </w:p>
    <w:p w14:paraId="4CBF0C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该项指标实际得分x分。</w:t>
      </w:r>
    </w:p>
    <w:p w14:paraId="4C52181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14:paraId="23E689B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14:paraId="4AA6F4D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14:paraId="3B198F0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14:paraId="729BE93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年度财政专项资金部门绩效自评价工作的通知》及徐水区xxx单位202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年一般项目部门绩效自评表，区xxx单位202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年开展绩效自评的项目数为xx个，年初预算文本项目数xx个，要求自评项目个数xx个，自评覆盖率为 xx%。</w:t>
      </w:r>
    </w:p>
    <w:p w14:paraId="3AB1A34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该指标实际得分x分。</w:t>
      </w:r>
    </w:p>
    <w:p w14:paraId="19F9CFE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14:paraId="0B69FBAD">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14:paraId="5E56C91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14:paraId="622468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年参评数量x个，绩效评价结果达到优等的数量x个，绩效评价优等率为xx%。</w:t>
      </w:r>
    </w:p>
    <w:p w14:paraId="130DD0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该指标实际得分x分。</w:t>
      </w:r>
      <w:bookmarkEnd w:id="64"/>
      <w:bookmarkEnd w:id="65"/>
    </w:p>
    <w:p w14:paraId="4F9236D7">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14:paraId="7C456A0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1584D225">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3E41C3F4">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06B044E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134751E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00D13B6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3D537F5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699E865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349FC3E">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5383123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040BF5C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14:paraId="4ED96BF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5F9D926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DA3AC3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007FDA92">
            <w:pPr>
              <w:spacing w:line="420" w:lineRule="exact"/>
              <w:jc w:val="center"/>
              <w:rPr>
                <w:rFonts w:cs="宋体" w:asciiTheme="minorEastAsia" w:hAnsiTheme="minorEastAsia" w:eastAsiaTheme="minorEastAsia"/>
                <w:sz w:val="21"/>
                <w:szCs w:val="21"/>
              </w:rPr>
            </w:pPr>
          </w:p>
        </w:tc>
      </w:tr>
      <w:tr w14:paraId="10A5EF96">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A9E8185">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4DFEF91">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0C13FF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2E91331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B3BB1DF">
            <w:pPr>
              <w:spacing w:line="420" w:lineRule="exact"/>
              <w:jc w:val="center"/>
              <w:rPr>
                <w:rFonts w:cs="宋体" w:asciiTheme="minorEastAsia" w:hAnsiTheme="minorEastAsia" w:eastAsiaTheme="minorEastAsia"/>
                <w:sz w:val="21"/>
                <w:szCs w:val="21"/>
              </w:rPr>
            </w:pPr>
          </w:p>
        </w:tc>
      </w:tr>
      <w:tr w14:paraId="11ED23A7">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238303BD">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A50F57C">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5B768D9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社区矫正人数</w:t>
            </w:r>
          </w:p>
        </w:tc>
        <w:tc>
          <w:tcPr>
            <w:tcW w:w="1125" w:type="dxa"/>
            <w:tcBorders>
              <w:top w:val="single" w:color="000000" w:sz="4" w:space="0"/>
              <w:left w:val="single" w:color="000000" w:sz="4" w:space="0"/>
              <w:bottom w:val="single" w:color="000000" w:sz="4" w:space="0"/>
              <w:right w:val="single" w:color="000000" w:sz="4" w:space="0"/>
            </w:tcBorders>
            <w:vAlign w:val="center"/>
          </w:tcPr>
          <w:p w14:paraId="450A019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23A16B5E">
            <w:pPr>
              <w:spacing w:line="420" w:lineRule="exact"/>
              <w:jc w:val="center"/>
              <w:rPr>
                <w:rFonts w:cs="宋体" w:asciiTheme="minorEastAsia" w:hAnsiTheme="minorEastAsia" w:eastAsiaTheme="minorEastAsia"/>
                <w:sz w:val="21"/>
                <w:szCs w:val="21"/>
              </w:rPr>
            </w:pPr>
          </w:p>
        </w:tc>
      </w:tr>
      <w:tr w14:paraId="1FCFFBB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8C8EAE3">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357CBA7B">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BD36A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社区服刑人员再次犯罪率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B1E32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1F065CB6">
            <w:pPr>
              <w:spacing w:line="420" w:lineRule="exact"/>
              <w:jc w:val="center"/>
              <w:rPr>
                <w:rFonts w:cs="宋体" w:asciiTheme="minorEastAsia" w:hAnsiTheme="minorEastAsia" w:eastAsiaTheme="minorEastAsia"/>
                <w:sz w:val="21"/>
                <w:szCs w:val="21"/>
              </w:rPr>
            </w:pPr>
          </w:p>
        </w:tc>
      </w:tr>
      <w:tr w14:paraId="28239D5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1CEF3504">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0615C00F">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0C33434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法律援助办结率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1B99EEF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14:paraId="6EA97778">
            <w:pPr>
              <w:spacing w:line="420" w:lineRule="exact"/>
              <w:jc w:val="center"/>
              <w:rPr>
                <w:rFonts w:cs="宋体" w:asciiTheme="minorEastAsia" w:hAnsiTheme="minorEastAsia" w:eastAsiaTheme="minorEastAsia"/>
                <w:sz w:val="21"/>
                <w:szCs w:val="21"/>
              </w:rPr>
            </w:pPr>
          </w:p>
        </w:tc>
      </w:tr>
      <w:tr w14:paraId="3E1A955D">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57981E0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784A9F4A">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4A3E7CB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23D6">
            <w:pPr>
              <w:spacing w:line="420" w:lineRule="exact"/>
              <w:jc w:val="center"/>
              <w:rPr>
                <w:rFonts w:cs="宋体" w:asciiTheme="minorEastAsia" w:hAnsiTheme="minorEastAsia" w:eastAsiaTheme="minorEastAsia"/>
                <w:sz w:val="21"/>
                <w:szCs w:val="21"/>
              </w:rPr>
            </w:pPr>
          </w:p>
        </w:tc>
      </w:tr>
    </w:tbl>
    <w:p w14:paraId="3F06D46D">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14:paraId="5EACBA4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14:paraId="1100117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14:paraId="5A9061D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年决算文本及相关资料，区xxx单位202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年结转结余资金xx万元，决算收入xxx万元，结转结余率xx%，小于（大于）5%。</w:t>
      </w:r>
    </w:p>
    <w:p w14:paraId="1BC8AFB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该项指标实际得分x分。</w:t>
      </w:r>
    </w:p>
    <w:p w14:paraId="34FA326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14:paraId="2294F5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14:paraId="702A50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14:paraId="22F1BA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区xxx单位202</w:t>
      </w:r>
      <w:r>
        <w:rPr>
          <w:rFonts w:hint="default" w:ascii="仿宋_GB2312" w:eastAsia="仿宋_GB2312" w:cs="DengXian-Regular"/>
          <w:sz w:val="32"/>
          <w:szCs w:val="32"/>
          <w:lang w:val="en-US"/>
        </w:rPr>
        <w:t>1</w:t>
      </w:r>
      <w:r>
        <w:rPr>
          <w:rFonts w:hint="eastAsia" w:ascii="仿宋_GB2312" w:eastAsia="仿宋_GB2312" w:cs="DengXian-Regular"/>
          <w:sz w:val="32"/>
          <w:szCs w:val="32"/>
        </w:rPr>
        <w:t>年实际支出项目资金总额xxx万元，年初预算共xx个项目，预算数xx万元，年中追加项目资金xx万元，项目资金使用率为xx%。</w:t>
      </w:r>
    </w:p>
    <w:p w14:paraId="7D5555A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该指标实际得分xx分。</w:t>
      </w:r>
    </w:p>
    <w:p w14:paraId="5392BFC1">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14:paraId="01967423">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41C6CD6D">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14:paraId="5D29EB81">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72C9AD83">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3C7DD047">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14:paraId="64873FE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14:paraId="6F1F81D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5CEBE6E8">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7DE6D56">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73A38E1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14:paraId="73ECBB50">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DC4B46E">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12D64D86">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14:paraId="5F339C0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14:paraId="5ED88C2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14:paraId="4956D00A">
            <w:pPr>
              <w:spacing w:line="420" w:lineRule="exact"/>
              <w:jc w:val="center"/>
              <w:rPr>
                <w:rFonts w:cs="宋体" w:asciiTheme="minorEastAsia" w:hAnsiTheme="minorEastAsia" w:eastAsiaTheme="minorEastAsia"/>
                <w:sz w:val="21"/>
                <w:szCs w:val="21"/>
              </w:rPr>
            </w:pPr>
          </w:p>
        </w:tc>
      </w:tr>
      <w:tr w14:paraId="6A18BE8F">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A5081FE">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AE48064">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14:paraId="64BC20B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14:paraId="24230A8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14:paraId="637EA9AD">
            <w:pPr>
              <w:spacing w:line="420" w:lineRule="exact"/>
              <w:jc w:val="center"/>
              <w:rPr>
                <w:rFonts w:cs="宋体" w:asciiTheme="minorEastAsia" w:hAnsiTheme="minorEastAsia" w:eastAsiaTheme="minorEastAsia"/>
                <w:sz w:val="21"/>
                <w:szCs w:val="21"/>
              </w:rPr>
            </w:pPr>
          </w:p>
        </w:tc>
      </w:tr>
      <w:tr w14:paraId="06BDA269">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1A69586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14:paraId="47329CE3">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14:paraId="5963F0E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14:paraId="2468D202">
            <w:pPr>
              <w:spacing w:line="420" w:lineRule="exact"/>
              <w:jc w:val="center"/>
              <w:rPr>
                <w:rFonts w:cs="宋体" w:asciiTheme="minorEastAsia" w:hAnsiTheme="minorEastAsia" w:eastAsiaTheme="minorEastAsia"/>
                <w:sz w:val="21"/>
                <w:szCs w:val="21"/>
              </w:rPr>
            </w:pPr>
          </w:p>
        </w:tc>
      </w:tr>
      <w:bookmarkEnd w:id="70"/>
    </w:tbl>
    <w:p w14:paraId="60F913F1">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14:paraId="453DAFA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14:paraId="62BD98C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经查看区xxx单位提供的相关资料，区xxx单位履行职责对社会发展所带来的社会效益较显著，有效的提高了社会公众的xxx意识，减少了社会xxx因素。</w:t>
      </w:r>
    </w:p>
    <w:p w14:paraId="3BDD2F67">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该项指标实际得分xx分。</w:t>
      </w:r>
    </w:p>
    <w:p w14:paraId="0220983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14:paraId="3F18B927">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14:paraId="75139C4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14:paraId="5AF22970">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14:paraId="15102516">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499D690B">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14B5D08F">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236F31A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234E3D08">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25ACDEA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0D6E22D1">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4D2FBA90">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53244699">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295C84D">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14:paraId="4C54F811">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134" w:type="dxa"/>
            <w:tcBorders>
              <w:top w:val="single" w:color="000000" w:sz="4" w:space="0"/>
              <w:left w:val="single" w:color="000000" w:sz="4" w:space="0"/>
              <w:bottom w:val="single" w:color="000000" w:sz="4" w:space="0"/>
              <w:right w:val="single" w:color="000000" w:sz="4" w:space="0"/>
            </w:tcBorders>
            <w:vAlign w:val="center"/>
          </w:tcPr>
          <w:p w14:paraId="25B09393">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5DA96646">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59328238">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232EA53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xx</w:t>
            </w:r>
          </w:p>
        </w:tc>
      </w:tr>
      <w:tr w14:paraId="62F96B1D">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7967180">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5A635B20">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134" w:type="dxa"/>
            <w:tcBorders>
              <w:top w:val="single" w:color="000000" w:sz="4" w:space="0"/>
              <w:left w:val="single" w:color="000000" w:sz="4" w:space="0"/>
              <w:bottom w:val="single" w:color="000000" w:sz="4" w:space="0"/>
              <w:right w:val="single" w:color="000000" w:sz="4" w:space="0"/>
            </w:tcBorders>
            <w:vAlign w:val="center"/>
          </w:tcPr>
          <w:p w14:paraId="5BBF73EE">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1DD8BB5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682C71BE">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AB2ABBF">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xx</w:t>
            </w:r>
          </w:p>
        </w:tc>
      </w:tr>
      <w:tr w14:paraId="65F88029">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B59F634">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14:paraId="7C8FF0F2">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134" w:type="dxa"/>
            <w:tcBorders>
              <w:top w:val="single" w:color="000000" w:sz="4" w:space="0"/>
              <w:left w:val="single" w:color="000000" w:sz="4" w:space="0"/>
              <w:bottom w:val="single" w:color="000000" w:sz="4" w:space="0"/>
              <w:right w:val="single" w:color="000000" w:sz="4" w:space="0"/>
            </w:tcBorders>
            <w:vAlign w:val="center"/>
          </w:tcPr>
          <w:p w14:paraId="4CFF383A">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1218" w:type="dxa"/>
            <w:tcBorders>
              <w:top w:val="single" w:color="000000" w:sz="4" w:space="0"/>
              <w:left w:val="single" w:color="000000" w:sz="4" w:space="0"/>
              <w:bottom w:val="single" w:color="000000" w:sz="4" w:space="0"/>
              <w:right w:val="single" w:color="000000" w:sz="4" w:space="0"/>
            </w:tcBorders>
            <w:vAlign w:val="center"/>
          </w:tcPr>
          <w:p w14:paraId="4E1F12FD">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2774AE0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704D4B2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r>
    </w:tbl>
    <w:p w14:paraId="61BE23F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14:paraId="23F718A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7B37448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14:paraId="13E2A0A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经计算，总体得分为xx分，小于(大于）90分，评价等级为“xx”。</w:t>
      </w:r>
    </w:p>
    <w:p w14:paraId="698659A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该指标实际得分xx分。</w:t>
      </w:r>
    </w:p>
    <w:p w14:paraId="6E1CE8C8">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14:paraId="453CA8CB">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区xxx单位</w:t>
      </w:r>
      <w:r>
        <w:rPr>
          <w:rFonts w:hint="eastAsia"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14:paraId="4ACE2C39">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1.部分绩效指标方面。</w:t>
      </w:r>
    </w:p>
    <w:p w14:paraId="3DF736E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2.预算决算比较。</w:t>
      </w:r>
    </w:p>
    <w:p w14:paraId="3AABBF0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3.预算追加方面</w:t>
      </w:r>
    </w:p>
    <w:p w14:paraId="47867486">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p>
    <w:p w14:paraId="208EB905">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5.项目资金使用率方面</w:t>
      </w:r>
    </w:p>
    <w:bookmarkEnd w:id="75"/>
    <w:bookmarkEnd w:id="76"/>
    <w:p w14:paraId="60CB5C84">
      <w:pPr>
        <w:spacing w:after="0" w:line="360" w:lineRule="auto"/>
        <w:jc w:val="both"/>
        <w:textAlignment w:val="baseline"/>
        <w:rPr>
          <w:rFonts w:ascii="仿宋_GB2312" w:eastAsia="仿宋_GB2312" w:cs="Times New Roman" w:hAnsiTheme="minorEastAsia"/>
          <w:sz w:val="32"/>
          <w:szCs w:val="32"/>
          <w:u w:color="000000"/>
        </w:rPr>
      </w:pPr>
      <w:bookmarkStart w:id="77" w:name="_Toc465149521"/>
    </w:p>
    <w:p w14:paraId="569AB649">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区xxx单位</w:t>
      </w:r>
      <w:r>
        <w:rPr>
          <w:rFonts w:hint="eastAsia" w:ascii="仿宋_GB2312" w:eastAsia="仿宋_GB2312" w:cs="Times New Roman" w:hAnsiTheme="minorEastAsia"/>
          <w:sz w:val="32"/>
          <w:szCs w:val="32"/>
          <w:u w:color="000000"/>
        </w:rPr>
        <w:t>部门基本情况及主要职责</w:t>
      </w:r>
    </w:p>
    <w:p w14:paraId="40D80115">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年度保定市徐水区</w:t>
      </w:r>
      <w:r>
        <w:rPr>
          <w:rFonts w:hint="eastAsia" w:ascii="仿宋_GB2312" w:eastAsia="仿宋_GB2312" w:cs="DengXian-Regular"/>
          <w:sz w:val="32"/>
          <w:szCs w:val="32"/>
        </w:rPr>
        <w:t>xxx单位</w:t>
      </w:r>
      <w:r>
        <w:rPr>
          <w:rFonts w:hint="eastAsia" w:ascii="仿宋_GB2312" w:eastAsia="仿宋_GB2312" w:cs="Times New Roman" w:hAnsiTheme="minorEastAsia"/>
          <w:sz w:val="32"/>
          <w:szCs w:val="32"/>
          <w:u w:color="000000"/>
        </w:rPr>
        <w:t>收支预算及决算明细表</w:t>
      </w:r>
    </w:p>
    <w:p w14:paraId="1BFF71E5">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14:paraId="39A5A6FD">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w:t>
      </w:r>
      <w:r>
        <w:rPr>
          <w:rFonts w:hint="default" w:ascii="仿宋_GB2312" w:eastAsia="仿宋_GB2312" w:cs="Times New Roman" w:hAnsiTheme="minorEastAsia"/>
          <w:sz w:val="32"/>
          <w:szCs w:val="32"/>
          <w:u w:color="000000"/>
          <w:lang w:val="en-US"/>
        </w:rPr>
        <w:t>1</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xxx单位</w:t>
      </w:r>
      <w:r>
        <w:rPr>
          <w:rFonts w:hint="eastAsia" w:ascii="仿宋_GB2312" w:eastAsia="仿宋_GB2312" w:cs="Times New Roman" w:hAnsiTheme="minorEastAsia"/>
          <w:sz w:val="32"/>
          <w:szCs w:val="32"/>
          <w:u w:color="000000"/>
        </w:rPr>
        <w:t>工作活动绩效目标、绩效指标一览表</w:t>
      </w:r>
      <w:bookmarkEnd w:id="77"/>
    </w:p>
    <w:p w14:paraId="11A77165">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0E275CD6">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1EF7A40E">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4A60E538">
      <w:pPr>
        <w:spacing w:line="540" w:lineRule="exact"/>
        <w:ind w:firstLine="640" w:firstLineChars="200"/>
        <w:jc w:val="both"/>
        <w:textAlignment w:val="baseline"/>
        <w:rPr>
          <w:rFonts w:ascii="仿宋_GB2312" w:eastAsia="仿宋_GB2312" w:cs="Times New Roman" w:hAnsiTheme="minorEastAsia"/>
          <w:sz w:val="32"/>
          <w:szCs w:val="32"/>
          <w:u w:color="000000"/>
        </w:rPr>
      </w:pPr>
    </w:p>
    <w:p w14:paraId="2FD0B90C">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engXian-Regular">
    <w:altName w:val="宋体"/>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A14F5">
    <w:pPr>
      <w:pStyle w:val="14"/>
      <w:jc w:val="center"/>
    </w:pPr>
  </w:p>
  <w:p w14:paraId="16FB25C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D8DE0">
    <w:pPr>
      <w:pStyle w:val="14"/>
      <w:jc w:val="center"/>
    </w:pPr>
    <w:r>
      <w:fldChar w:fldCharType="begin"/>
    </w:r>
    <w:r>
      <w:instrText xml:space="preserve"> PAGE   \* MERGEFORMAT </w:instrText>
    </w:r>
    <w:r>
      <w:fldChar w:fldCharType="separate"/>
    </w:r>
    <w:r>
      <w:rPr>
        <w:lang w:val="zh-CN"/>
      </w:rPr>
      <w:t>4</w:t>
    </w:r>
    <w:r>
      <w:rPr>
        <w:lang w:val="zh-CN"/>
      </w:rPr>
      <w:fldChar w:fldCharType="end"/>
    </w:r>
  </w:p>
  <w:p w14:paraId="42B13FD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ZjA2ZDQ0MjNkY2Y1YzllYjA2MWFjNGZjMDYzZTQ2MzkifQ=="/>
  </w:docVars>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E3A01CC"/>
    <w:rsid w:val="0E9172D3"/>
    <w:rsid w:val="0EF1422C"/>
    <w:rsid w:val="0F3B23D4"/>
    <w:rsid w:val="0F3B3DD7"/>
    <w:rsid w:val="107B6AE8"/>
    <w:rsid w:val="11195DC6"/>
    <w:rsid w:val="115A70AD"/>
    <w:rsid w:val="116421D6"/>
    <w:rsid w:val="11EA1B00"/>
    <w:rsid w:val="121F5AC5"/>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BFB44D4"/>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8D64BB4"/>
    <w:rsid w:val="2936596A"/>
    <w:rsid w:val="2997006D"/>
    <w:rsid w:val="29AC5EF0"/>
    <w:rsid w:val="2B040631"/>
    <w:rsid w:val="2B0B5AF1"/>
    <w:rsid w:val="2B793244"/>
    <w:rsid w:val="2C094BA0"/>
    <w:rsid w:val="2C60205D"/>
    <w:rsid w:val="2C8F5C68"/>
    <w:rsid w:val="2CAD317E"/>
    <w:rsid w:val="2CC97424"/>
    <w:rsid w:val="2D2725F0"/>
    <w:rsid w:val="2D345768"/>
    <w:rsid w:val="2D73679B"/>
    <w:rsid w:val="2E994608"/>
    <w:rsid w:val="2E9C375A"/>
    <w:rsid w:val="2EA60EE0"/>
    <w:rsid w:val="2ED8262F"/>
    <w:rsid w:val="2F242CBD"/>
    <w:rsid w:val="2FB34058"/>
    <w:rsid w:val="300C74C4"/>
    <w:rsid w:val="304B3830"/>
    <w:rsid w:val="307D5A91"/>
    <w:rsid w:val="317B20C5"/>
    <w:rsid w:val="32A33E31"/>
    <w:rsid w:val="32D048D8"/>
    <w:rsid w:val="32D3622F"/>
    <w:rsid w:val="32D63CF2"/>
    <w:rsid w:val="32F26097"/>
    <w:rsid w:val="3341799D"/>
    <w:rsid w:val="337A399F"/>
    <w:rsid w:val="337F2EFA"/>
    <w:rsid w:val="339029A7"/>
    <w:rsid w:val="33CC5FD9"/>
    <w:rsid w:val="34697607"/>
    <w:rsid w:val="34DC6FBF"/>
    <w:rsid w:val="352019FA"/>
    <w:rsid w:val="35731520"/>
    <w:rsid w:val="35F436C6"/>
    <w:rsid w:val="36037C49"/>
    <w:rsid w:val="36590DA5"/>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2D6901"/>
    <w:rsid w:val="3B3315C9"/>
    <w:rsid w:val="3B3666AA"/>
    <w:rsid w:val="3B5D03F9"/>
    <w:rsid w:val="3B9C69ED"/>
    <w:rsid w:val="3C075E40"/>
    <w:rsid w:val="3C0F314C"/>
    <w:rsid w:val="3C8400FD"/>
    <w:rsid w:val="3C8D5215"/>
    <w:rsid w:val="3CB96E1E"/>
    <w:rsid w:val="3D132AA3"/>
    <w:rsid w:val="3E2A5A13"/>
    <w:rsid w:val="3E6A5C1B"/>
    <w:rsid w:val="3E951BD3"/>
    <w:rsid w:val="3EB91E59"/>
    <w:rsid w:val="3FA23A80"/>
    <w:rsid w:val="3FB75DF9"/>
    <w:rsid w:val="418368ED"/>
    <w:rsid w:val="425C64FC"/>
    <w:rsid w:val="4278675D"/>
    <w:rsid w:val="431F105C"/>
    <w:rsid w:val="43F003B4"/>
    <w:rsid w:val="446458DA"/>
    <w:rsid w:val="446645C4"/>
    <w:rsid w:val="44E00C2F"/>
    <w:rsid w:val="44F12828"/>
    <w:rsid w:val="453F4EE8"/>
    <w:rsid w:val="457E0C0E"/>
    <w:rsid w:val="45A27895"/>
    <w:rsid w:val="4654463C"/>
    <w:rsid w:val="469D1E1F"/>
    <w:rsid w:val="4703453A"/>
    <w:rsid w:val="47401AE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9C0BA0"/>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B37A6B"/>
    <w:rsid w:val="77CC2AC5"/>
    <w:rsid w:val="78AC0F28"/>
    <w:rsid w:val="78AD7E4B"/>
    <w:rsid w:val="7922758B"/>
    <w:rsid w:val="79766799"/>
    <w:rsid w:val="79B255D2"/>
    <w:rsid w:val="79B45BBB"/>
    <w:rsid w:val="79D0307E"/>
    <w:rsid w:val="79DE121D"/>
    <w:rsid w:val="79E249A2"/>
    <w:rsid w:val="7A5C7B4D"/>
    <w:rsid w:val="7B1F1C18"/>
    <w:rsid w:val="7B387938"/>
    <w:rsid w:val="7C341C52"/>
    <w:rsid w:val="7D033238"/>
    <w:rsid w:val="7D2F6ABF"/>
    <w:rsid w:val="7D50024E"/>
    <w:rsid w:val="7D637EF4"/>
    <w:rsid w:val="7E341B98"/>
    <w:rsid w:val="7E51328E"/>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89532\Desktop\&#24213;&#31295;---&#33258;&#24049;&#30340;.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89532\Desktop\&#24213;&#31295;---&#33258;&#24049;&#3034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89532\Desktop\&#24213;&#31295;---&#33258;&#24049;&#3034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89532\Desktop\&#24213;&#31295;---&#33258;&#24049;&#3034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2021</a:t>
            </a:r>
            <a:r>
              <a:rPr lang="zh-CN" altLang="en-US" sz="1400" b="0">
                <a:latin typeface="仿宋" panose="02010609060101010101" charset="-122"/>
                <a:ea typeface="仿宋" panose="02010609060101010101" charset="-122"/>
                <a:cs typeface="仿宋" panose="02010609060101010101" charset="-122"/>
              </a:rPr>
              <a:t>年决算收入结构图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95138888888892"/>
          <c:y val="0.00694444444444448"/>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3178fab1-4cfa-4516-a86d-5b3fb416f0c2}"/>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en-US" altLang="en-US" sz="1400" b="0" i="0" u="none" strike="noStrike" kern="1200" baseline="0">
                <a:solidFill>
                  <a:sysClr val="windowText" lastClr="000000"/>
                </a:solidFill>
                <a:latin typeface="仿宋" panose="02010609060101010101" charset="-122"/>
                <a:ea typeface="仿宋" panose="02010609060101010101" charset="-122"/>
                <a:cs typeface="仿宋" panose="02010609060101010101" charset="-122"/>
              </a:rPr>
              <a:t>2020</a:t>
            </a:r>
            <a:r>
              <a:rPr lang="zh-CN" altLang="en-US" sz="1400" b="0" i="0" u="none" strike="noStrike" kern="1200" baseline="0">
                <a:solidFill>
                  <a:sysClr val="windowText" lastClr="000000"/>
                </a:solidFill>
                <a:latin typeface="仿宋" panose="02010609060101010101" charset="-122"/>
                <a:ea typeface="仿宋" panose="02010609060101010101" charset="-122"/>
                <a:cs typeface="仿宋" panose="02010609060101010101" charset="-122"/>
              </a:rPr>
              <a:t>年</a:t>
            </a:r>
            <a:r>
              <a:rPr lang="zh-CN" altLang="en-US" sz="1400" b="0">
                <a:latin typeface="仿宋" panose="02010609060101010101" charset="-122"/>
                <a:ea typeface="仿宋" panose="02010609060101010101" charset="-122"/>
                <a:cs typeface="仿宋" panose="02010609060101010101" charset="-122"/>
              </a:rPr>
              <a:t>度预算收入与决算收入对比图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186409052606237"/>
          <c:y val="0.00684150513112889"/>
        </c:manualLayout>
      </c:layout>
      <c:overlay val="0"/>
    </c:title>
    <c:autoTitleDeleted val="0"/>
    <c:plotArea>
      <c:layout>
        <c:manualLayout>
          <c:layoutTarget val="inner"/>
          <c:xMode val="edge"/>
          <c:yMode val="edge"/>
          <c:x val="0.159427550004525"/>
          <c:y val="0.174797092671109"/>
          <c:w val="0.684520830835232"/>
          <c:h val="0.388237431859482"/>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0.020304568527918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6818950930626"/>
                  <c:y val="-0.07692307692307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3790186126"/>
                  <c:y val="-0.03846153846153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0.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768189509306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0"/>
          <c:showBubbleSize val="0"/>
        </c:dLbls>
        <c:gapWidth val="150"/>
        <c:axId val="157344128"/>
        <c:axId val="157345664"/>
      </c:barChart>
      <c:catAx>
        <c:axId val="15734412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345664"/>
        <c:crosses val="autoZero"/>
        <c:auto val="1"/>
        <c:lblAlgn val="ctr"/>
        <c:lblOffset val="100"/>
        <c:noMultiLvlLbl val="0"/>
      </c:catAx>
      <c:valAx>
        <c:axId val="157345664"/>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734412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8955329-54a4-4ce6-937f-ac6221534046}"/>
      </c:ext>
    </c:extLst>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2021</a:t>
            </a:r>
            <a:r>
              <a:rPr lang="zh-CN" altLang="en-US" sz="1400" b="0">
                <a:latin typeface="仿宋" panose="02010609060101010101" charset="-122"/>
                <a:ea typeface="仿宋" panose="02010609060101010101" charset="-122"/>
                <a:cs typeface="仿宋" panose="02010609060101010101" charset="-122"/>
              </a:rPr>
              <a:t>年度决算支出结构图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98346055979648"/>
          <c:y val="0.00682593856655289"/>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82a669f5-873b-4c71-9254-5174cbc592b7}"/>
      </c:ext>
    </c:extLst>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cs typeface="仿宋" panose="02010609060101010101" charset="-122"/>
              </a:rPr>
              <a:t>2021</a:t>
            </a:r>
            <a:r>
              <a:rPr lang="zh-CN" altLang="en-US" sz="1400" b="0">
                <a:latin typeface="仿宋" panose="02010609060101010101" charset="-122"/>
                <a:ea typeface="仿宋" panose="02010609060101010101" charset="-122"/>
                <a:cs typeface="仿宋" panose="02010609060101010101" charset="-122"/>
              </a:rPr>
              <a:t>年预算支出与决算支出对比图</a:t>
            </a:r>
            <a:endParaRPr lang="zh-CN" altLang="en-US" sz="1400" b="0">
              <a:latin typeface="仿宋" panose="02010609060101010101" charset="-122"/>
              <a:ea typeface="仿宋" panose="02010609060101010101" charset="-122"/>
              <a:cs typeface="仿宋" panose="02010609060101010101" charset="-122"/>
            </a:endParaRPr>
          </a:p>
        </c:rich>
      </c:tx>
      <c:layout>
        <c:manualLayout>
          <c:xMode val="edge"/>
          <c:yMode val="edge"/>
          <c:x val="0.212023186761504"/>
          <c:y val="0.00789265982636148"/>
        </c:manualLayout>
      </c:layout>
      <c:overlay val="0"/>
    </c:title>
    <c:autoTitleDeleted val="0"/>
    <c:plotArea>
      <c:layout>
        <c:manualLayout>
          <c:layoutTarget val="inner"/>
          <c:xMode val="edge"/>
          <c:yMode val="edge"/>
          <c:x val="0.176327804291726"/>
          <c:y val="0.151059495972789"/>
          <c:w val="0.677196941205967"/>
          <c:h val="0.388318863456989"/>
        </c:manualLayout>
      </c:layout>
      <c:barChart>
        <c:barDir val="col"/>
        <c:grouping val="clustered"/>
        <c:varyColors val="0"/>
        <c:ser>
          <c:idx val="0"/>
          <c:order val="0"/>
          <c:tx>
            <c:strRef>
              <c:f>'[底稿---自己的.xlsx]Sheet1'!$B$3</c:f>
              <c:strCache>
                <c:ptCount val="1"/>
                <c:pt idx="0">
                  <c:v>预算</c:v>
                </c:pt>
              </c:strCache>
            </c:strRef>
          </c:tx>
          <c:invertIfNegative val="0"/>
          <c:dLbls>
            <c:dLbl>
              <c:idx val="0"/>
              <c:layout>
                <c:manualLayout>
                  <c:x val="-0.020304568527918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76818950930626"/>
                  <c:y val="-0.076923076923076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35363790186126"/>
                  <c:y val="-0.038461538461538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'[底稿---自己的.xlsx]Sheet1'!$B$4:$B$7</c:f>
              <c:numCache>
                <c:formatCode>0.00_ </c:formatCode>
                <c:ptCount val="4"/>
                <c:pt idx="0">
                  <c:v>737.43</c:v>
                </c:pt>
                <c:pt idx="1">
                  <c:v>104</c:v>
                </c:pt>
                <c:pt idx="2">
                  <c:v>24.27</c:v>
                </c:pt>
                <c:pt idx="3">
                  <c:v>36.79</c:v>
                </c:pt>
              </c:numCache>
            </c:numRef>
          </c:val>
        </c:ser>
        <c:ser>
          <c:idx val="1"/>
          <c:order val="1"/>
          <c:tx>
            <c:strRef>
              <c:f>'[底稿---自己的.xlsx]Sheet1'!$C$3</c:f>
              <c:strCache>
                <c:ptCount val="1"/>
                <c:pt idx="0">
                  <c:v>决算</c:v>
                </c:pt>
              </c:strCache>
            </c:strRef>
          </c:tx>
          <c:invertIfNegative val="0"/>
          <c:dLbls>
            <c:dLbl>
              <c:idx val="0"/>
              <c:layout>
                <c:manualLayout>
                  <c:x val="0.00225606316976875"/>
                  <c:y val="0.01709401709401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76818950930618"/>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25606316976875"/>
                  <c:y val="0.012820512820512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1189.16</c:v>
                </c:pt>
                <c:pt idx="1">
                  <c:v>105.54</c:v>
                </c:pt>
                <c:pt idx="2">
                  <c:v>23.94</c:v>
                </c:pt>
                <c:pt idx="3">
                  <c:v>45.89</c:v>
                </c:pt>
              </c:numCache>
            </c:numRef>
          </c:val>
        </c:ser>
        <c:dLbls>
          <c:showLegendKey val="0"/>
          <c:showVal val="1"/>
          <c:showCatName val="0"/>
          <c:showSerName val="0"/>
          <c:showPercent val="0"/>
          <c:showBubbleSize val="0"/>
        </c:dLbls>
        <c:gapWidth val="150"/>
        <c:axId val="165905536"/>
        <c:axId val="174944640"/>
      </c:barChart>
      <c:catAx>
        <c:axId val="165905536"/>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4944640"/>
        <c:crosses val="autoZero"/>
        <c:auto val="1"/>
        <c:lblAlgn val="ctr"/>
        <c:lblOffset val="100"/>
        <c:noMultiLvlLbl val="0"/>
      </c:catAx>
      <c:valAx>
        <c:axId val="174944640"/>
        <c:scaling>
          <c:orientation val="minMax"/>
        </c:scaling>
        <c:delete val="0"/>
        <c:axPos val="l"/>
        <c:majorGridlines>
          <c:spPr>
            <a:ln w="9525" cap="flat" cmpd="sng" algn="ctr">
              <a:solidFill>
                <a:srgbClr val="4F81BD"/>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6590553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e911214e-1c7e-481f-adaa-d3c5427865ea}"/>
      </c:ext>
    </c:extLst>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2.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4857751" y="400050"/>
          <a:ext cx="762000"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0.86294</cdr:x>
      <cdr:y>0.13462</cdr:y>
    </cdr:from>
    <cdr:to>
      <cdr:x>0.99831</cdr:x>
      <cdr:y>0.21474</cdr:y>
    </cdr:to>
    <cdr:sp>
      <cdr:nvSpPr>
        <cdr:cNvPr id="2" name="矩形 1"/>
        <cdr:cNvSpPr/>
      </cdr:nvSpPr>
      <cdr:spPr xmlns:a="http://schemas.openxmlformats.org/drawingml/2006/main">
        <a:xfrm xmlns:a="http://schemas.openxmlformats.org/drawingml/2006/main">
          <a:off x="3608362" y="174387"/>
          <a:ext cx="566046" cy="103787"/>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900"/>
            <a:t>单位：万元</a:t>
          </a:r>
          <a:endParaRPr lang="zh-CN" altLang="en-US" sz="900"/>
        </a:p>
      </cdr:txBody>
    </cdr:sp>
  </cdr:relSizeAnchor>
</c:userShapes>
</file>

<file path=word/drawings/drawing4.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7252</Words>
  <Characters>7688</Characters>
  <Lines>102</Lines>
  <Paragraphs>28</Paragraphs>
  <TotalTime>2</TotalTime>
  <ScaleCrop>false</ScaleCrop>
  <LinksUpToDate>false</LinksUpToDate>
  <CharactersWithSpaces>7847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茜</cp:lastModifiedBy>
  <cp:lastPrinted>2021-07-09T01:47:00Z</cp:lastPrinted>
  <dcterms:modified xsi:type="dcterms:W3CDTF">2025-05-13T02:47:58Z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7E7588654FC244E380CF99C244D2BB12</vt:lpwstr>
  </property>
  <property fmtid="{D5CDD505-2E9C-101B-9397-08002B2CF9AE}" pid="4" name="KSOTemplateDocerSaveRecord">
    <vt:lpwstr>eyJoZGlkIjoiZTdiYTc4MDUxNmI5NDRkN2E0MTUyN2RhMjVjN2JlNzAiLCJ1c2VySWQiOiI3ODQyNDkwMDIifQ==</vt:lpwstr>
  </property>
</Properties>
</file>