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347EF">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w:t>
      </w:r>
      <w:r>
        <w:rPr>
          <w:rFonts w:hint="default" w:ascii="黑体" w:hAnsi="黑体" w:eastAsia="黑体" w:cs="黑体"/>
          <w:bCs/>
          <w:kern w:val="2"/>
          <w:sz w:val="32"/>
          <w:szCs w:val="32"/>
          <w:lang w:val="en-US"/>
        </w:rPr>
        <w:t>3</w:t>
      </w:r>
      <w:r>
        <w:rPr>
          <w:rFonts w:hint="eastAsia" w:ascii="黑体" w:hAnsi="黑体" w:eastAsia="黑体" w:cs="黑体"/>
          <w:bCs/>
          <w:kern w:val="2"/>
          <w:sz w:val="32"/>
          <w:szCs w:val="32"/>
        </w:rPr>
        <w:t>〕</w:t>
      </w:r>
      <w:r>
        <w:rPr>
          <w:rFonts w:hint="eastAsia" w:ascii="黑体" w:hAnsi="黑体" w:eastAsia="黑体" w:cs="黑体"/>
          <w:bCs/>
          <w:kern w:val="2"/>
          <w:sz w:val="32"/>
          <w:szCs w:val="32"/>
          <w:lang w:val="en-US" w:eastAsia="zh-CN"/>
        </w:rPr>
        <w:t>78</w:t>
      </w:r>
      <w:r>
        <w:rPr>
          <w:rFonts w:hint="eastAsia" w:ascii="黑体" w:hAnsi="黑体" w:eastAsia="黑体" w:cs="黑体"/>
          <w:bCs/>
          <w:kern w:val="2"/>
          <w:sz w:val="32"/>
          <w:szCs w:val="32"/>
        </w:rPr>
        <w:t>号附件</w:t>
      </w:r>
      <w:r>
        <w:rPr>
          <w:rFonts w:hint="default" w:ascii="黑体" w:hAnsi="黑体" w:eastAsia="黑体" w:cs="黑体"/>
          <w:bCs/>
          <w:kern w:val="2"/>
          <w:sz w:val="32"/>
          <w:szCs w:val="32"/>
          <w:lang w:val="en-US"/>
        </w:rPr>
        <w:t>2</w:t>
      </w:r>
    </w:p>
    <w:p w14:paraId="64E482E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2B30569">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机关服务中心</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2</w:t>
      </w:r>
      <w:r>
        <w:rPr>
          <w:rFonts w:hint="eastAsia" w:asciiTheme="majorEastAsia" w:hAnsiTheme="majorEastAsia" w:eastAsiaTheme="majorEastAsia" w:cstheme="majorEastAsia"/>
          <w:b/>
          <w:bCs w:val="0"/>
          <w:kern w:val="2"/>
          <w:sz w:val="44"/>
          <w:szCs w:val="44"/>
        </w:rPr>
        <w:t>年部门</w:t>
      </w:r>
    </w:p>
    <w:p w14:paraId="58D548C2">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3C6DD12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B2845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A85D4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AA3369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58ED34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DF3F5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CFC53A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8106F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3E5AD8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59462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6DA409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5291C2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E7E09C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4A397B9">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8</w:t>
      </w:r>
      <w:r>
        <w:rPr>
          <w:rFonts w:hint="eastAsia" w:cs="Times New Roman" w:asciiTheme="minorEastAsia" w:hAnsiTheme="minorEastAsia" w:eastAsiaTheme="minorEastAsia"/>
          <w:bCs/>
          <w:kern w:val="2"/>
          <w:sz w:val="36"/>
          <w:szCs w:val="36"/>
        </w:rPr>
        <w:t>月</w:t>
      </w:r>
    </w:p>
    <w:p w14:paraId="37F114E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C8E4F3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687EA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DE4BC6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54E13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6260DD28">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61994515">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92F8FD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A9BB1AF">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机关服务中心</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8D355C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23AC5D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B559C5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087184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734086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C19D74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AE446D9">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096FE9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70E56A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07E0BC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091FFB2">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98587E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A14928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0E5F69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C84EA8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08ECC7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DF17EE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B7889A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E1011F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CFED11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C39E69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C8D81F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50647FE">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20D438C">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367439B">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40EBD429">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7CCA2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14:paraId="2514052E">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机关服务中心</w:t>
      </w:r>
      <w:r>
        <w:rPr>
          <w:rFonts w:hint="eastAsia" w:ascii="仿宋_GB2312" w:eastAsia="仿宋_GB2312" w:cs="DengXian-Regular"/>
          <w:sz w:val="32"/>
          <w:szCs w:val="32"/>
        </w:rPr>
        <w:t>为正科级行政单位，经费保障形式为财政拨款，下设</w:t>
      </w:r>
      <w:r>
        <w:rPr>
          <w:rFonts w:hint="default" w:ascii="仿宋_GB2312" w:eastAsia="仿宋_GB2312" w:cs="DengXian-Regular"/>
          <w:sz w:val="32"/>
          <w:szCs w:val="32"/>
          <w:lang w:val="en-US"/>
        </w:rPr>
        <w:t>3</w:t>
      </w:r>
      <w:r>
        <w:rPr>
          <w:rFonts w:hint="eastAsia" w:ascii="仿宋_GB2312" w:eastAsia="仿宋_GB2312" w:cs="DengXian-Regular"/>
          <w:sz w:val="32"/>
          <w:szCs w:val="32"/>
        </w:rPr>
        <w:t>个股室，分别为</w:t>
      </w:r>
      <w:r>
        <w:rPr>
          <w:rFonts w:hint="eastAsia" w:ascii="仿宋_GB2312" w:eastAsia="仿宋_GB2312" w:cs="DengXian-Regular"/>
          <w:sz w:val="32"/>
          <w:szCs w:val="32"/>
          <w:lang w:eastAsia="zh-CN"/>
        </w:rPr>
        <w:t>综合</w:t>
      </w:r>
      <w:r>
        <w:rPr>
          <w:rFonts w:hint="eastAsia" w:ascii="仿宋_GB2312" w:eastAsia="仿宋_GB2312" w:cs="DengXian-Regular"/>
          <w:sz w:val="32"/>
          <w:szCs w:val="32"/>
        </w:rPr>
        <w:t>股、</w:t>
      </w:r>
      <w:r>
        <w:rPr>
          <w:rFonts w:hint="eastAsia" w:ascii="仿宋_GB2312" w:eastAsia="仿宋_GB2312" w:cs="DengXian-Regular"/>
          <w:sz w:val="32"/>
          <w:szCs w:val="32"/>
          <w:lang w:eastAsia="zh-CN"/>
        </w:rPr>
        <w:t>维修</w:t>
      </w:r>
      <w:r>
        <w:rPr>
          <w:rFonts w:hint="eastAsia" w:ascii="仿宋_GB2312" w:eastAsia="仿宋_GB2312" w:cs="DengXian-Regular"/>
          <w:sz w:val="32"/>
          <w:szCs w:val="32"/>
        </w:rPr>
        <w:t>部、</w:t>
      </w:r>
      <w:r>
        <w:rPr>
          <w:rFonts w:hint="eastAsia" w:ascii="仿宋_GB2312" w:eastAsia="仿宋_GB2312" w:cs="DengXian-Regular"/>
          <w:sz w:val="32"/>
          <w:szCs w:val="32"/>
          <w:lang w:eastAsia="zh-CN"/>
        </w:rPr>
        <w:t>保卫</w:t>
      </w:r>
      <w:r>
        <w:rPr>
          <w:rFonts w:hint="eastAsia" w:ascii="仿宋_GB2312" w:eastAsia="仿宋_GB2312" w:cs="DengXian-Regular"/>
          <w:sz w:val="32"/>
          <w:szCs w:val="32"/>
        </w:rPr>
        <w:t>股，主要职责</w:t>
      </w:r>
      <w:r>
        <w:rPr>
          <w:rFonts w:hint="eastAsia" w:ascii="仿宋_GB2312" w:eastAsia="仿宋_GB2312" w:cs="DengXian-Regular"/>
          <w:sz w:val="32"/>
          <w:szCs w:val="32"/>
          <w:lang w:eastAsia="zh-CN"/>
        </w:rPr>
        <w:t>：</w:t>
      </w:r>
    </w:p>
    <w:p w14:paraId="368524C3">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1、负责区委、区政府、人大、政协等机关和归属政府所有权的房产及设施的登记、分配、维修、改造和建设任务。</w:t>
      </w:r>
    </w:p>
    <w:p w14:paraId="0E06A73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2、负责区委、区政府、人大、政协机关大院等单位的冬季取暖及所属锅炉和设备的保养、维修和使用。</w:t>
      </w:r>
    </w:p>
    <w:p w14:paraId="5D4E4F6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3、负责区委、区政府、人大、政协机关大院的干部、职工就餐和开水供应。</w:t>
      </w:r>
    </w:p>
    <w:p w14:paraId="5FAD93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4、负责区委、区政府、人大、政协等机关的安全保卫、环境卫生、绿化、美化和形象建设。</w:t>
      </w:r>
    </w:p>
    <w:p w14:paraId="584F16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185FA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3C6753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保定市徐水区机关服务中心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14:paraId="02187F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w:t>
      </w:r>
      <w:r>
        <w:rPr>
          <w:rFonts w:hint="eastAsia" w:ascii="仿宋_GB2312" w:eastAsia="仿宋_GB2312" w:cs="DengXian-Regular"/>
          <w:sz w:val="32"/>
          <w:szCs w:val="32"/>
          <w:highlight w:val="none"/>
        </w:rPr>
        <w:t>4个一级指标、7个二级指标、27个三级指标，</w:t>
      </w:r>
      <w:r>
        <w:rPr>
          <w:rFonts w:hint="eastAsia" w:ascii="仿宋_GB2312" w:eastAsia="仿宋_GB2312" w:cs="DengXian-Regular"/>
          <w:sz w:val="32"/>
          <w:szCs w:val="32"/>
        </w:rPr>
        <w:t>从投入、过程、产出、效果四个方面对区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19A0DEFD">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default" w:ascii="仿宋_GB2312" w:eastAsia="仿宋_GB2312" w:cs="DengXian-Regular"/>
          <w:sz w:val="32"/>
          <w:szCs w:val="32"/>
          <w:lang w:val="en-US" w:eastAsia="zh-CN"/>
        </w:rPr>
        <w:t>2</w:t>
      </w:r>
      <w:r>
        <w:rPr>
          <w:rFonts w:hint="eastAsia" w:ascii="仿宋_GB2312" w:eastAsia="仿宋_GB2312" w:cs="DengXian-Regular"/>
          <w:sz w:val="32"/>
          <w:szCs w:val="32"/>
        </w:rPr>
        <w:t>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highlight w:val="none"/>
          <w:lang w:val="en-US" w:eastAsia="zh-CN"/>
        </w:rPr>
        <w:t>93</w:t>
      </w:r>
      <w:r>
        <w:rPr>
          <w:rFonts w:hint="eastAsia" w:ascii="仿宋_GB2312" w:eastAsia="仿宋_GB2312" w:cs="DengXian-Regular"/>
          <w:sz w:val="32"/>
          <w:szCs w:val="32"/>
          <w:highlight w:val="none"/>
        </w:rPr>
        <w:t>分，评价等级为“</w:t>
      </w:r>
      <w:r>
        <w:rPr>
          <w:rFonts w:hint="eastAsia" w:ascii="仿宋_GB2312" w:eastAsia="仿宋_GB2312" w:cs="DengXian-Regular"/>
          <w:sz w:val="32"/>
          <w:szCs w:val="32"/>
          <w:highlight w:val="none"/>
          <w:lang w:val="en-US" w:eastAsia="zh-CN"/>
        </w:rPr>
        <w:t>优</w:t>
      </w:r>
      <w:r>
        <w:rPr>
          <w:rFonts w:hint="eastAsia" w:ascii="仿宋_GB2312" w:eastAsia="仿宋_GB2312" w:cs="DengXian-Regular"/>
          <w:sz w:val="32"/>
          <w:szCs w:val="32"/>
          <w:highlight w:val="none"/>
        </w:rPr>
        <w:t>”。</w:t>
      </w:r>
    </w:p>
    <w:p w14:paraId="1CB0AD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50A2042C">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rPr>
        <w:t>通过本次绩效评价工作，发现我单位在以下几个方面存在</w:t>
      </w:r>
      <w:r>
        <w:rPr>
          <w:rFonts w:hint="eastAsia" w:ascii="仿宋_GB2312" w:eastAsia="仿宋_GB2312" w:cs="DengXian-Regular"/>
          <w:sz w:val="32"/>
          <w:szCs w:val="32"/>
          <w:highlight w:val="none"/>
        </w:rPr>
        <w:t>一些不足之处，具体如下：</w:t>
      </w:r>
    </w:p>
    <w:p w14:paraId="36A771C4">
      <w:pPr>
        <w:spacing w:after="0" w:line="360" w:lineRule="auto"/>
        <w:ind w:firstLine="640" w:firstLineChars="200"/>
        <w:jc w:val="both"/>
        <w:textAlignment w:val="baseline"/>
        <w:rPr>
          <w:rFonts w:hint="default" w:ascii="仿宋_GB2312" w:eastAsia="仿宋_GB2312" w:cs="DengXian-Regular"/>
          <w:sz w:val="32"/>
          <w:szCs w:val="32"/>
          <w:highlight w:val="none"/>
          <w:lang w:val="en-US"/>
        </w:rPr>
      </w:pPr>
      <w:r>
        <w:rPr>
          <w:rFonts w:hint="eastAsia" w:ascii="仿宋_GB2312" w:eastAsia="仿宋_GB2312" w:cs="DengXian-Regular"/>
          <w:sz w:val="32"/>
          <w:szCs w:val="32"/>
          <w:highlight w:val="none"/>
        </w:rPr>
        <w:t>1.绩效指标方面</w:t>
      </w:r>
      <w:r>
        <w:rPr>
          <w:rFonts w:hint="default" w:ascii="仿宋_GB2312" w:eastAsia="仿宋_GB2312" w:cs="DengXian-Regular"/>
          <w:sz w:val="32"/>
          <w:szCs w:val="32"/>
          <w:highlight w:val="none"/>
          <w:lang w:val="en-US"/>
        </w:rPr>
        <w:t>:细化不够明确，有的没有化</w:t>
      </w:r>
      <w:r>
        <w:rPr>
          <w:rFonts w:hint="default" w:ascii="仿宋_GB2312" w:eastAsia="仿宋_GB2312" w:cs="DengXian-Regular"/>
          <w:sz w:val="32"/>
          <w:szCs w:val="32"/>
          <w:highlight w:val="none"/>
          <w:lang w:val="en-US" w:eastAsia="zh-CN"/>
        </w:rPr>
        <w:t>分</w:t>
      </w:r>
      <w:r>
        <w:rPr>
          <w:rFonts w:hint="default" w:ascii="仿宋_GB2312" w:eastAsia="仿宋_GB2312" w:cs="DengXian-Regular"/>
          <w:sz w:val="32"/>
          <w:szCs w:val="32"/>
          <w:highlight w:val="none"/>
          <w:lang w:val="en-US"/>
        </w:rPr>
        <w:t>进来</w:t>
      </w:r>
      <w:r>
        <w:rPr>
          <w:rFonts w:hint="default" w:ascii="仿宋_GB2312" w:eastAsia="仿宋_GB2312" w:cs="DengXian-Regular"/>
          <w:sz w:val="32"/>
          <w:szCs w:val="32"/>
          <w:highlight w:val="none"/>
          <w:lang w:val="en-US" w:eastAsia="zh-CN"/>
        </w:rPr>
        <w:t>，涵盖不全面</w:t>
      </w:r>
      <w:r>
        <w:rPr>
          <w:rFonts w:hint="default" w:ascii="仿宋_GB2312" w:eastAsia="仿宋_GB2312" w:cs="DengXian-Regular"/>
          <w:sz w:val="32"/>
          <w:szCs w:val="32"/>
          <w:highlight w:val="none"/>
          <w:lang w:val="en-US"/>
        </w:rPr>
        <w:t>。</w:t>
      </w:r>
    </w:p>
    <w:p w14:paraId="7F31131F">
      <w:pPr>
        <w:spacing w:after="0" w:line="360" w:lineRule="auto"/>
        <w:ind w:right="396" w:rightChars="180"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2.预算决算比较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lang w:val="en-US" w:eastAsia="zh-CN"/>
        </w:rPr>
        <w:t>我</w:t>
      </w:r>
      <w:r>
        <w:rPr>
          <w:rFonts w:hint="eastAsia" w:ascii="仿宋_GB2312" w:eastAsia="仿宋_GB2312" w:cs="DengXian-Regular"/>
          <w:sz w:val="32"/>
          <w:szCs w:val="32"/>
          <w:highlight w:val="none"/>
        </w:rPr>
        <w:t>单位一般公共预算财政拨款决算收入比年初预算增加</w:t>
      </w:r>
      <w:r>
        <w:rPr>
          <w:rFonts w:hint="eastAsia" w:ascii="仿宋_GB2312" w:eastAsia="仿宋_GB2312" w:cs="DengXian-Regular"/>
          <w:sz w:val="32"/>
          <w:szCs w:val="32"/>
          <w:highlight w:val="none"/>
          <w:lang w:val="en-US"/>
        </w:rPr>
        <w:t>611.85</w:t>
      </w:r>
      <w:r>
        <w:rPr>
          <w:rFonts w:hint="eastAsia" w:ascii="仿宋_GB2312" w:eastAsia="仿宋_GB2312" w:cs="DengXian-Regular"/>
          <w:sz w:val="32"/>
          <w:szCs w:val="32"/>
          <w:highlight w:val="none"/>
        </w:rPr>
        <w:t>万元，完成年初预算的</w:t>
      </w:r>
      <w:r>
        <w:rPr>
          <w:rFonts w:hint="eastAsia" w:ascii="仿宋_GB2312" w:eastAsia="仿宋_GB2312" w:cs="DengXian-Regular"/>
          <w:sz w:val="32"/>
          <w:szCs w:val="32"/>
          <w:highlight w:val="none"/>
          <w:lang w:val="en-US"/>
        </w:rPr>
        <w:t>159.56</w:t>
      </w:r>
      <w:r>
        <w:rPr>
          <w:rFonts w:hint="eastAsia" w:ascii="仿宋_GB2312" w:eastAsia="仿宋_GB2312" w:cs="DengXian-Regular"/>
          <w:sz w:val="32"/>
          <w:szCs w:val="32"/>
          <w:highlight w:val="none"/>
        </w:rPr>
        <w:t>%。决算收入大于预算收入的主要原因为202</w:t>
      </w:r>
      <w:r>
        <w:rPr>
          <w:rFonts w:hint="eastAsia"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年度</w:t>
      </w:r>
      <w:r>
        <w:rPr>
          <w:rFonts w:hint="eastAsia" w:ascii="仿宋_GB2312" w:eastAsia="仿宋_GB2312" w:cs="DengXian-Regular"/>
          <w:sz w:val="32"/>
          <w:szCs w:val="32"/>
          <w:highlight w:val="none"/>
          <w:lang w:eastAsia="zh-CN"/>
        </w:rPr>
        <w:t>区机关服务中心项目资金支出增加</w:t>
      </w:r>
      <w:r>
        <w:rPr>
          <w:rFonts w:hint="eastAsia" w:ascii="仿宋_GB2312" w:eastAsia="仿宋_GB2312" w:cs="DengXian-Regular"/>
          <w:sz w:val="32"/>
          <w:szCs w:val="32"/>
          <w:highlight w:val="none"/>
        </w:rPr>
        <w:t>。</w:t>
      </w:r>
    </w:p>
    <w:p w14:paraId="2152524E">
      <w:pPr>
        <w:spacing w:after="0" w:line="360" w:lineRule="auto"/>
        <w:ind w:right="396" w:rightChars="180"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预算追加方面：追加项目共</w:t>
      </w:r>
      <w:r>
        <w:rPr>
          <w:rFonts w:hint="eastAsia" w:ascii="仿宋_GB2312" w:eastAsia="仿宋_GB2312" w:cs="DengXian-Regular"/>
          <w:sz w:val="32"/>
          <w:szCs w:val="32"/>
          <w:highlight w:val="none"/>
          <w:lang w:val="en-US" w:eastAsia="zh-CN"/>
        </w:rPr>
        <w:t>11</w:t>
      </w:r>
      <w:r>
        <w:rPr>
          <w:rFonts w:hint="eastAsia" w:ascii="仿宋_GB2312" w:eastAsia="仿宋_GB2312" w:cs="DengXian-Regular"/>
          <w:sz w:val="32"/>
          <w:szCs w:val="32"/>
          <w:highlight w:val="none"/>
        </w:rPr>
        <w:t>项，追加徐水区政府西院维修改造项目经费</w:t>
      </w:r>
      <w:r>
        <w:rPr>
          <w:rFonts w:hint="eastAsia" w:ascii="仿宋_GB2312" w:eastAsia="仿宋_GB2312" w:cs="DengXian-Regular"/>
          <w:sz w:val="32"/>
          <w:szCs w:val="32"/>
          <w:highlight w:val="none"/>
          <w:lang w:val="en-US"/>
        </w:rPr>
        <w:t>363.57</w:t>
      </w:r>
      <w:r>
        <w:rPr>
          <w:rFonts w:hint="eastAsia" w:ascii="仿宋_GB2312" w:eastAsia="仿宋_GB2312" w:cs="DengXian-Regular"/>
          <w:sz w:val="32"/>
          <w:szCs w:val="32"/>
          <w:highlight w:val="none"/>
        </w:rPr>
        <w:t>万元；追追加区政府院内绿化改造项目资金经费</w:t>
      </w:r>
      <w:r>
        <w:rPr>
          <w:rFonts w:hint="eastAsia" w:ascii="仿宋_GB2312" w:eastAsia="仿宋_GB2312" w:cs="DengXian-Regular"/>
          <w:sz w:val="32"/>
          <w:szCs w:val="32"/>
          <w:highlight w:val="none"/>
          <w:lang w:val="en-US"/>
        </w:rPr>
        <w:t>11.51</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；徐财预指[2022]1-1163号</w:t>
      </w:r>
      <w:r>
        <w:rPr>
          <w:rFonts w:hint="eastAsia" w:ascii="仿宋_GB2312" w:eastAsia="仿宋_GB2312" w:cs="DengXian-Regular"/>
          <w:sz w:val="32"/>
          <w:szCs w:val="32"/>
          <w:highlight w:val="none"/>
        </w:rPr>
        <w:t>追加追加后勤保障经费</w:t>
      </w:r>
      <w:r>
        <w:rPr>
          <w:rFonts w:hint="eastAsia" w:ascii="仿宋_GB2312" w:eastAsia="仿宋_GB2312" w:cs="DengXian-Regular"/>
          <w:sz w:val="32"/>
          <w:szCs w:val="32"/>
          <w:highlight w:val="none"/>
          <w:lang w:val="en-US"/>
        </w:rPr>
        <w:t>7.88</w:t>
      </w:r>
      <w:r>
        <w:rPr>
          <w:rFonts w:hint="eastAsia" w:ascii="仿宋_GB2312" w:eastAsia="仿宋_GB2312" w:cs="DengXian-Regular"/>
          <w:sz w:val="32"/>
          <w:szCs w:val="32"/>
          <w:highlight w:val="none"/>
          <w:lang w:val="en-US" w:eastAsia="zh-CN"/>
        </w:rPr>
        <w:t>万元</w:t>
      </w:r>
      <w:r>
        <w:rPr>
          <w:rFonts w:hint="eastAsia" w:ascii="仿宋_GB2312" w:eastAsia="仿宋_GB2312" w:cs="DengXian-Regular"/>
          <w:sz w:val="32"/>
          <w:szCs w:val="32"/>
          <w:highlight w:val="none"/>
          <w:lang w:eastAsia="zh-CN"/>
        </w:rPr>
        <w:t>；追加追加晨阳专班后勤保障经费</w:t>
      </w:r>
      <w:r>
        <w:rPr>
          <w:rFonts w:hint="eastAsia" w:ascii="仿宋_GB2312" w:eastAsia="仿宋_GB2312" w:cs="DengXian-Regular"/>
          <w:sz w:val="32"/>
          <w:szCs w:val="32"/>
          <w:highlight w:val="none"/>
          <w:lang w:val="en-US" w:eastAsia="zh-CN"/>
        </w:rPr>
        <w:t>5.00万元</w:t>
      </w: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eastAsia="zh-CN"/>
        </w:rPr>
        <w:t>；追加拨付机关服务中心后勤保障服务经费</w:t>
      </w:r>
      <w:r>
        <w:rPr>
          <w:rFonts w:hint="eastAsia" w:ascii="仿宋_GB2312" w:eastAsia="仿宋_GB2312" w:cs="DengXian-Regular"/>
          <w:sz w:val="32"/>
          <w:szCs w:val="32"/>
          <w:highlight w:val="none"/>
          <w:lang w:val="en-US" w:eastAsia="zh-CN"/>
        </w:rPr>
        <w:t>1.20万元</w:t>
      </w:r>
      <w:r>
        <w:rPr>
          <w:rFonts w:hint="eastAsia" w:ascii="仿宋_GB2312" w:eastAsia="仿宋_GB2312" w:cs="DengXian-Regular"/>
          <w:sz w:val="32"/>
          <w:szCs w:val="32"/>
          <w:highlight w:val="none"/>
          <w:lang w:eastAsia="zh-CN"/>
        </w:rPr>
        <w:t>；追加机关服务中心取暖费</w:t>
      </w:r>
      <w:r>
        <w:rPr>
          <w:rFonts w:hint="eastAsia" w:ascii="仿宋_GB2312" w:eastAsia="仿宋_GB2312" w:cs="DengXian-Regular"/>
          <w:sz w:val="32"/>
          <w:szCs w:val="32"/>
          <w:highlight w:val="none"/>
          <w:lang w:val="en-US" w:eastAsia="zh-CN"/>
        </w:rPr>
        <w:t>79.76万元</w:t>
      </w:r>
      <w:r>
        <w:rPr>
          <w:rFonts w:hint="eastAsia" w:ascii="仿宋_GB2312" w:eastAsia="仿宋_GB2312" w:cs="DengXian-Regular"/>
          <w:sz w:val="32"/>
          <w:szCs w:val="32"/>
          <w:highlight w:val="none"/>
          <w:lang w:eastAsia="zh-CN"/>
        </w:rPr>
        <w:t>；追加拨付机关服务中心购置供电设备资金</w:t>
      </w:r>
      <w:r>
        <w:rPr>
          <w:rFonts w:hint="eastAsia" w:ascii="仿宋_GB2312" w:eastAsia="仿宋_GB2312" w:cs="DengXian-Regular"/>
          <w:sz w:val="32"/>
          <w:szCs w:val="32"/>
          <w:highlight w:val="none"/>
          <w:lang w:val="en-US" w:eastAsia="zh-CN"/>
        </w:rPr>
        <w:t>27.83万元</w:t>
      </w:r>
      <w:r>
        <w:rPr>
          <w:rFonts w:hint="eastAsia" w:ascii="仿宋_GB2312" w:eastAsia="仿宋_GB2312" w:cs="DengXian-Regular"/>
          <w:sz w:val="32"/>
          <w:szCs w:val="32"/>
          <w:highlight w:val="none"/>
          <w:lang w:eastAsia="zh-CN"/>
        </w:rPr>
        <w:t>；追加机关服务中心平台租赁车辆资金</w:t>
      </w:r>
      <w:r>
        <w:rPr>
          <w:rFonts w:hint="eastAsia" w:ascii="仿宋_GB2312" w:eastAsia="仿宋_GB2312" w:cs="DengXian-Regular"/>
          <w:sz w:val="32"/>
          <w:szCs w:val="32"/>
          <w:highlight w:val="none"/>
          <w:lang w:val="en-US" w:eastAsia="zh-CN"/>
        </w:rPr>
        <w:t>24.78万元。追加机关服务中心更换两个伸缩门资金7.99万元</w:t>
      </w:r>
      <w:r>
        <w:rPr>
          <w:rFonts w:hint="eastAsia" w:ascii="仿宋_GB2312" w:eastAsia="仿宋_GB2312" w:cs="DengXian-Regular"/>
          <w:sz w:val="32"/>
          <w:szCs w:val="32"/>
          <w:highlight w:val="none"/>
          <w:lang w:eastAsia="zh-CN"/>
        </w:rPr>
        <w:t>；追加追加政府机关大院取暖费</w:t>
      </w:r>
      <w:r>
        <w:rPr>
          <w:rFonts w:hint="eastAsia" w:ascii="仿宋_GB2312" w:eastAsia="仿宋_GB2312" w:cs="DengXian-Regular"/>
          <w:sz w:val="32"/>
          <w:szCs w:val="32"/>
          <w:highlight w:val="none"/>
          <w:lang w:val="en-US" w:eastAsia="zh-CN"/>
        </w:rPr>
        <w:t>60.00万元</w:t>
      </w:r>
      <w:r>
        <w:rPr>
          <w:rFonts w:hint="eastAsia" w:ascii="仿宋_GB2312" w:eastAsia="仿宋_GB2312" w:cs="DengXian-Regular"/>
          <w:sz w:val="32"/>
          <w:szCs w:val="32"/>
          <w:highlight w:val="none"/>
          <w:lang w:eastAsia="zh-CN"/>
        </w:rPr>
        <w:t>。</w:t>
      </w:r>
    </w:p>
    <w:p w14:paraId="429247B2">
      <w:pPr>
        <w:spacing w:after="0" w:line="360" w:lineRule="auto"/>
        <w:ind w:right="396" w:rightChars="180"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rPr>
        <w:t>4.政府采购方面</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rPr>
        <w:t>根据</w:t>
      </w:r>
      <w:r>
        <w:rPr>
          <w:rFonts w:hint="eastAsia" w:ascii="仿宋_GB2312" w:eastAsia="仿宋_GB2312" w:cs="DengXian-Regular"/>
          <w:sz w:val="32"/>
          <w:szCs w:val="32"/>
          <w:highlight w:val="none"/>
          <w:lang w:eastAsia="zh-CN"/>
        </w:rPr>
        <w:t>区机关服务中心</w:t>
      </w:r>
      <w:r>
        <w:rPr>
          <w:rFonts w:hint="eastAsia" w:ascii="仿宋_GB2312" w:eastAsia="仿宋_GB2312" w:cs="DengXian-Regular"/>
          <w:sz w:val="32"/>
          <w:szCs w:val="32"/>
          <w:highlight w:val="none"/>
          <w:lang w:val="en-US" w:eastAsia="zh-CN"/>
        </w:rPr>
        <w:t>2022</w:t>
      </w:r>
      <w:r>
        <w:rPr>
          <w:rFonts w:hint="eastAsia" w:ascii="仿宋_GB2312" w:eastAsia="仿宋_GB2312" w:cs="DengXian-Regular"/>
          <w:sz w:val="32"/>
          <w:szCs w:val="32"/>
          <w:highlight w:val="none"/>
        </w:rPr>
        <w:t>年预算文本及决算文本，政府采购年初预算数</w:t>
      </w:r>
      <w:r>
        <w:rPr>
          <w:rFonts w:hint="eastAsia" w:ascii="仿宋_GB2312" w:eastAsia="仿宋_GB2312" w:cs="DengXian-Regular"/>
          <w:sz w:val="32"/>
          <w:szCs w:val="32"/>
          <w:highlight w:val="none"/>
          <w:lang w:val="en-US"/>
        </w:rPr>
        <w:t>0</w:t>
      </w:r>
      <w:r>
        <w:rPr>
          <w:rFonts w:hint="eastAsia" w:ascii="仿宋_GB2312" w:eastAsia="仿宋_GB2312" w:cs="DengXian-Regular"/>
          <w:sz w:val="32"/>
          <w:szCs w:val="32"/>
          <w:highlight w:val="none"/>
        </w:rPr>
        <w:t>万元，年末决算数</w:t>
      </w:r>
      <w:r>
        <w:rPr>
          <w:rFonts w:hint="eastAsia" w:ascii="仿宋_GB2312" w:eastAsia="仿宋_GB2312" w:cs="DengXian-Regular"/>
          <w:sz w:val="32"/>
          <w:szCs w:val="32"/>
          <w:highlight w:val="none"/>
          <w:lang w:val="en-US"/>
        </w:rPr>
        <w:t>456.26</w:t>
      </w:r>
      <w:r>
        <w:rPr>
          <w:rFonts w:hint="eastAsia" w:ascii="仿宋_GB2312" w:eastAsia="仿宋_GB2312" w:cs="DengXian-Regular"/>
          <w:sz w:val="32"/>
          <w:szCs w:val="32"/>
          <w:highlight w:val="none"/>
        </w:rPr>
        <w:t>万元，政府采购执行率为</w:t>
      </w:r>
      <w:r>
        <w:rPr>
          <w:rFonts w:hint="eastAsia" w:ascii="仿宋_GB2312" w:eastAsia="仿宋_GB2312" w:cs="DengXian-Regular"/>
          <w:sz w:val="32"/>
          <w:szCs w:val="32"/>
          <w:highlight w:val="none"/>
          <w:lang w:val="en-US"/>
        </w:rPr>
        <w:t>0</w:t>
      </w:r>
      <w:r>
        <w:rPr>
          <w:rFonts w:hint="eastAsia" w:ascii="仿宋_GB2312" w:eastAsia="仿宋_GB2312" w:cs="DengXian-Regular"/>
          <w:sz w:val="32"/>
          <w:szCs w:val="32"/>
          <w:highlight w:val="none"/>
        </w:rPr>
        <w:t>。</w:t>
      </w:r>
    </w:p>
    <w:p w14:paraId="127C4892">
      <w:pPr>
        <w:spacing w:after="0" w:line="360" w:lineRule="auto"/>
        <w:ind w:right="396" w:rightChars="180"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5.项目资金使用率方面</w:t>
      </w:r>
      <w:r>
        <w:rPr>
          <w:rFonts w:hint="eastAsia" w:ascii="仿宋_GB2312" w:eastAsia="仿宋_GB2312" w:cs="DengXian-Regular"/>
          <w:sz w:val="32"/>
          <w:szCs w:val="32"/>
          <w:highlight w:val="none"/>
          <w:lang w:eastAsia="zh-CN"/>
        </w:rPr>
        <w:t>：区机关服务中心</w:t>
      </w:r>
      <w:r>
        <w:rPr>
          <w:rFonts w:hint="eastAsia" w:ascii="仿宋_GB2312" w:eastAsia="仿宋_GB2312" w:cs="DengXian-Regular"/>
          <w:sz w:val="32"/>
          <w:szCs w:val="32"/>
          <w:highlight w:val="none"/>
        </w:rPr>
        <w:t>202</w:t>
      </w:r>
      <w:r>
        <w:rPr>
          <w:rFonts w:hint="eastAsia"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年度预算收入的追加数为</w:t>
      </w:r>
      <w:r>
        <w:rPr>
          <w:rFonts w:hint="eastAsia" w:ascii="仿宋_GB2312" w:eastAsia="仿宋_GB2312" w:cs="DengXian-Regular"/>
          <w:sz w:val="32"/>
          <w:szCs w:val="32"/>
          <w:highlight w:val="none"/>
          <w:lang w:val="en-US"/>
        </w:rPr>
        <w:t>613.84</w:t>
      </w:r>
      <w:r>
        <w:rPr>
          <w:rFonts w:hint="eastAsia" w:ascii="仿宋_GB2312" w:eastAsia="仿宋_GB2312" w:cs="DengXian-Regular"/>
          <w:sz w:val="32"/>
          <w:szCs w:val="32"/>
          <w:highlight w:val="none"/>
        </w:rPr>
        <w:t>万元，年初预算数为</w:t>
      </w:r>
      <w:r>
        <w:rPr>
          <w:rFonts w:hint="eastAsia" w:ascii="仿宋_GB2312" w:eastAsia="仿宋_GB2312" w:cs="DengXian-Regular"/>
          <w:sz w:val="32"/>
          <w:szCs w:val="32"/>
          <w:highlight w:val="none"/>
          <w:lang w:val="en-US"/>
        </w:rPr>
        <w:t>202.34</w:t>
      </w:r>
      <w:r>
        <w:rPr>
          <w:rFonts w:hint="eastAsia" w:ascii="仿宋_GB2312" w:eastAsia="仿宋_GB2312" w:cs="DengXian-Regular"/>
          <w:sz w:val="32"/>
          <w:szCs w:val="32"/>
          <w:highlight w:val="none"/>
        </w:rPr>
        <w:t>万元，预算收入调整率为</w:t>
      </w:r>
      <w:r>
        <w:rPr>
          <w:rFonts w:hint="eastAsia" w:ascii="仿宋_GB2312" w:eastAsia="仿宋_GB2312" w:cs="DengXian-Regular"/>
          <w:sz w:val="32"/>
          <w:szCs w:val="32"/>
          <w:highlight w:val="none"/>
          <w:lang w:val="en-US"/>
        </w:rPr>
        <w:t>303.37</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2022年追加预算项目较多，</w:t>
      </w:r>
      <w:r>
        <w:rPr>
          <w:rFonts w:hint="eastAsia" w:ascii="仿宋_GB2312" w:eastAsia="仿宋_GB2312" w:cs="DengXian-Regular"/>
          <w:sz w:val="32"/>
          <w:szCs w:val="32"/>
          <w:highlight w:val="none"/>
        </w:rPr>
        <w:t>做下一年度预算时，争取更精准些。</w:t>
      </w:r>
    </w:p>
    <w:p w14:paraId="0DB3A867">
      <w:pPr>
        <w:spacing w:after="0" w:line="360" w:lineRule="auto"/>
        <w:ind w:right="396" w:rightChars="180" w:firstLine="640" w:firstLineChars="200"/>
        <w:jc w:val="both"/>
        <w:textAlignment w:val="baseline"/>
        <w:rPr>
          <w:rFonts w:hint="default" w:ascii="仿宋_GB2312" w:eastAsia="仿宋_GB2312" w:cs="DengXian-Regular"/>
          <w:sz w:val="32"/>
          <w:szCs w:val="32"/>
          <w:highlight w:val="none"/>
          <w:lang w:val="en-US"/>
        </w:rPr>
      </w:pPr>
      <w:r>
        <w:rPr>
          <w:rFonts w:hint="eastAsia" w:ascii="仿宋_GB2312" w:eastAsia="仿宋_GB2312" w:cs="DengXian-Regular"/>
          <w:sz w:val="32"/>
          <w:szCs w:val="32"/>
          <w:highlight w:val="none"/>
        </w:rPr>
        <w:t>6.部分基础数据信息方面</w:t>
      </w:r>
      <w:r>
        <w:rPr>
          <w:rFonts w:hint="default" w:ascii="仿宋_GB2312" w:eastAsia="仿宋_GB2312" w:cs="DengXian-Regular"/>
          <w:sz w:val="32"/>
          <w:szCs w:val="32"/>
          <w:highlight w:val="none"/>
          <w:lang w:val="en-US"/>
        </w:rPr>
        <w:t>;</w:t>
      </w:r>
      <w:r>
        <w:rPr>
          <w:rFonts w:hint="eastAsia" w:ascii="仿宋_GB2312" w:eastAsia="仿宋_GB2312" w:cs="DengXian-Regular"/>
          <w:sz w:val="32"/>
          <w:szCs w:val="32"/>
          <w:highlight w:val="none"/>
        </w:rPr>
        <w:t>一</w:t>
      </w:r>
      <w:r>
        <w:rPr>
          <w:rFonts w:hint="eastAsia" w:ascii="仿宋_GB2312" w:eastAsia="仿宋_GB2312" w:cs="DengXian-Regular"/>
          <w:sz w:val="32"/>
          <w:szCs w:val="32"/>
        </w:rPr>
        <w:t>些信息不太完善，做的不够详细</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相关数据没有量化</w:t>
      </w:r>
      <w:r>
        <w:rPr>
          <w:rFonts w:hint="eastAsia" w:ascii="仿宋_GB2312" w:eastAsia="仿宋_GB2312" w:cs="DengXian-Regular"/>
          <w:sz w:val="32"/>
          <w:szCs w:val="32"/>
        </w:rPr>
        <w:t>。</w:t>
      </w:r>
    </w:p>
    <w:p w14:paraId="63C599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1C33E5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30BC22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708694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1C25D9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5524B2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658357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14:paraId="50ED2F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55F4377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eastAsia="zh-CN"/>
        </w:rPr>
        <w:t>机关服务中心</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4FEE81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2A5399EB">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44070C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6F06D48C">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年基本支出决算数较预算数增加，主要原因为</w:t>
      </w:r>
      <w:r>
        <w:rPr>
          <w:rFonts w:hint="eastAsia" w:ascii="仿宋_GB2312" w:eastAsia="仿宋_GB2312" w:cs="DengXian-Regular"/>
          <w:sz w:val="32"/>
          <w:szCs w:val="32"/>
          <w:lang w:val="en-US" w:eastAsia="zh-CN"/>
        </w:rPr>
        <w:t>有人员调入</w:t>
      </w:r>
      <w:r>
        <w:rPr>
          <w:rFonts w:ascii="仿宋_GB2312" w:eastAsia="仿宋_GB2312" w:cs="DengXian-Regular"/>
          <w:sz w:val="32"/>
          <w:szCs w:val="32"/>
        </w:rPr>
        <w:t>，增加人员经费支出</w:t>
      </w:r>
      <w:r>
        <w:rPr>
          <w:rFonts w:hint="eastAsia" w:ascii="仿宋_GB2312" w:eastAsia="仿宋_GB2312" w:cs="DengXian-Regular"/>
          <w:sz w:val="32"/>
          <w:szCs w:val="32"/>
          <w:lang w:eastAsia="zh-CN"/>
        </w:rPr>
        <w:t>。</w:t>
      </w:r>
    </w:p>
    <w:p w14:paraId="13B504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年项目支出资金使用率较</w:t>
      </w:r>
      <w:r>
        <w:rPr>
          <w:rFonts w:hint="eastAsia" w:ascii="仿宋_GB2312" w:eastAsia="仿宋_GB2312" w:cs="DengXian-Regular"/>
          <w:sz w:val="32"/>
          <w:szCs w:val="32"/>
          <w:lang w:val="en-US" w:eastAsia="zh-CN"/>
        </w:rPr>
        <w:t>高</w:t>
      </w:r>
      <w:r>
        <w:rPr>
          <w:rFonts w:ascii="仿宋_GB2312" w:eastAsia="仿宋_GB2312" w:cs="DengXian-Regular"/>
          <w:sz w:val="32"/>
          <w:szCs w:val="32"/>
        </w:rPr>
        <w:t>，</w:t>
      </w:r>
      <w:r>
        <w:rPr>
          <w:rFonts w:hint="eastAsia" w:ascii="仿宋_GB2312" w:eastAsia="仿宋_GB2312" w:cs="DengXian-Regular"/>
          <w:sz w:val="32"/>
          <w:szCs w:val="32"/>
          <w:lang w:eastAsia="zh-CN"/>
        </w:rPr>
        <w:t>有追加项目，</w:t>
      </w:r>
      <w:r>
        <w:rPr>
          <w:rFonts w:hint="eastAsia" w:ascii="仿宋_GB2312" w:eastAsia="仿宋_GB2312" w:cs="DengXian-Regular"/>
          <w:sz w:val="32"/>
          <w:szCs w:val="32"/>
        </w:rPr>
        <w:t>建议</w:t>
      </w:r>
      <w:r>
        <w:rPr>
          <w:rFonts w:ascii="仿宋_GB2312" w:eastAsia="仿宋_GB2312" w:cs="DengXian-Regular"/>
          <w:sz w:val="32"/>
          <w:szCs w:val="32"/>
        </w:rPr>
        <w:t>202</w:t>
      </w:r>
      <w:r>
        <w:rPr>
          <w:rFonts w:hint="default" w:ascii="仿宋_GB2312" w:eastAsia="仿宋_GB2312" w:cs="DengXian-Regular"/>
          <w:sz w:val="32"/>
          <w:szCs w:val="32"/>
          <w:lang w:val="en-US"/>
        </w:rPr>
        <w:t>3</w:t>
      </w:r>
      <w:r>
        <w:rPr>
          <w:rFonts w:ascii="仿宋_GB2312" w:eastAsia="仿宋_GB2312" w:cs="DengXian-Regular"/>
          <w:sz w:val="32"/>
          <w:szCs w:val="32"/>
        </w:rPr>
        <w:t>年项目资金预算</w:t>
      </w:r>
      <w:r>
        <w:rPr>
          <w:rFonts w:hint="eastAsia" w:ascii="仿宋_GB2312" w:eastAsia="仿宋_GB2312" w:cs="DengXian-Regular"/>
          <w:sz w:val="32"/>
          <w:szCs w:val="32"/>
          <w:lang w:eastAsia="zh-CN"/>
        </w:rPr>
        <w:t>参考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lang w:val="en-US" w:eastAsia="zh-CN"/>
        </w:rPr>
        <w:t>年项目支出情况，对</w:t>
      </w:r>
      <w:r>
        <w:rPr>
          <w:rFonts w:hint="eastAsia" w:ascii="仿宋_GB2312" w:eastAsia="仿宋_GB2312" w:cs="DengXian-Regular"/>
          <w:sz w:val="32"/>
          <w:szCs w:val="32"/>
          <w:lang w:eastAsia="zh-CN"/>
        </w:rPr>
        <w:t>预算</w:t>
      </w:r>
      <w:r>
        <w:rPr>
          <w:rFonts w:ascii="仿宋_GB2312" w:eastAsia="仿宋_GB2312" w:cs="DengXian-Regular"/>
          <w:sz w:val="32"/>
          <w:szCs w:val="32"/>
        </w:rPr>
        <w:t>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37C46490">
      <w:pPr>
        <w:pStyle w:val="3"/>
        <w:spacing w:line="540" w:lineRule="exact"/>
        <w:jc w:val="center"/>
        <w:rPr>
          <w:rFonts w:ascii="黑体" w:hAnsi="黑体"/>
          <w:b w:val="0"/>
        </w:rPr>
      </w:pPr>
      <w:r>
        <w:rPr>
          <w:rFonts w:hint="eastAsia" w:ascii="黑体" w:hAnsi="黑体"/>
          <w:b w:val="0"/>
        </w:rPr>
        <w:t>第二部分   绩效评价报告</w:t>
      </w:r>
      <w:bookmarkEnd w:id="1"/>
    </w:p>
    <w:p w14:paraId="705E257C">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机关服务中心</w:t>
      </w:r>
      <w:r>
        <w:rPr>
          <w:rFonts w:hint="eastAsia" w:ascii="楷体" w:hAnsi="楷体" w:eastAsia="楷体" w:cs="楷体"/>
        </w:rPr>
        <w:t>基本情况</w:t>
      </w:r>
      <w:bookmarkEnd w:id="2"/>
      <w:bookmarkEnd w:id="3"/>
      <w:bookmarkStart w:id="4" w:name="_Toc492652764"/>
    </w:p>
    <w:p w14:paraId="085447C5">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022BE9FA">
      <w:pPr>
        <w:spacing w:after="0" w:line="360" w:lineRule="auto"/>
        <w:ind w:firstLine="640" w:firstLineChars="200"/>
        <w:jc w:val="both"/>
        <w:textAlignment w:val="baseline"/>
        <w:rPr>
          <w:rFonts w:hint="eastAsia" w:ascii="仿宋_GB2312" w:eastAsia="仿宋_GB2312" w:cs="DengXian-Regular"/>
          <w:sz w:val="32"/>
          <w:szCs w:val="32"/>
          <w:lang w:eastAsia="zh-CN"/>
        </w:rPr>
      </w:pPr>
      <w:bookmarkStart w:id="6" w:name="_Toc465149499"/>
      <w:bookmarkStart w:id="7" w:name="_Toc492652765"/>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单位职能配置内设机构和人员编制规定》的通知，区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为区政府工作部门，正科级单位，下设</w:t>
      </w:r>
      <w:r>
        <w:rPr>
          <w:rFonts w:hint="eastAsia" w:ascii="仿宋_GB2312" w:eastAsia="仿宋_GB2312" w:cs="DengXian-Regular"/>
          <w:sz w:val="32"/>
          <w:szCs w:val="32"/>
          <w:lang w:val="en-US" w:eastAsia="zh-CN"/>
        </w:rPr>
        <w:t>三个</w:t>
      </w:r>
      <w:r>
        <w:rPr>
          <w:rFonts w:hint="eastAsia" w:ascii="仿宋_GB2312" w:eastAsia="仿宋_GB2312" w:cs="DengXian-Regular"/>
          <w:sz w:val="32"/>
          <w:szCs w:val="32"/>
        </w:rPr>
        <w:t>个股室。</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根据绩效预算管理改革的相关要求，按照“部门职责—工作活动绩效目标”的层级设立了绩效预算架构，职责活动包括</w:t>
      </w:r>
      <w:r>
        <w:rPr>
          <w:rFonts w:hint="eastAsia" w:ascii="仿宋_GB2312" w:eastAsia="仿宋_GB2312" w:cs="DengXian-Regular"/>
          <w:sz w:val="32"/>
          <w:szCs w:val="32"/>
          <w:lang w:eastAsia="zh-CN"/>
        </w:rPr>
        <w:t>：</w:t>
      </w:r>
    </w:p>
    <w:p w14:paraId="02BD8DFA">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1、负责区委、区政府、人大、政协等机关和归属政府所有权的房产及设施的登记、分配、维修、改造和建设任务。</w:t>
      </w:r>
    </w:p>
    <w:p w14:paraId="6671F56B">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2、负责区委、区政府、人大、政协机关大院的冬季取暖及所属锅炉和设备的保养、维修和使用。</w:t>
      </w:r>
    </w:p>
    <w:p w14:paraId="734A62BB">
      <w:pPr>
        <w:ind w:firstLine="640" w:firstLineChars="200"/>
      </w:pPr>
      <w:r>
        <w:rPr>
          <w:rFonts w:hint="eastAsia" w:ascii="仿宋_GB2312" w:eastAsia="仿宋_GB2312" w:cs="DengXian-Regular"/>
          <w:color w:val="000000" w:themeColor="text1"/>
          <w:sz w:val="32"/>
          <w:szCs w:val="32"/>
        </w:rPr>
        <w:t>3、负责区委、区政府、人大、政协机关大院的干部、职工就餐和开水供应。</w:t>
      </w:r>
    </w:p>
    <w:p w14:paraId="4345D8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color w:val="000000" w:themeColor="text1"/>
          <w:sz w:val="32"/>
          <w:szCs w:val="32"/>
        </w:rPr>
        <w:t>4、负责区委、区政府、人大、政协等机关的安全保卫、环境卫生、绿化、美化和形象建设</w:t>
      </w:r>
      <w:r>
        <w:rPr>
          <w:rFonts w:hint="eastAsia" w:ascii="仿宋_GB2312" w:eastAsia="仿宋_GB2312" w:cs="DengXian-Regular"/>
          <w:color w:val="000000" w:themeColor="text1"/>
          <w:sz w:val="32"/>
          <w:szCs w:val="32"/>
          <w:lang w:eastAsia="zh-CN"/>
        </w:rPr>
        <w:t>。</w:t>
      </w:r>
      <w:r>
        <w:rPr>
          <w:rFonts w:hint="eastAsia" w:ascii="仿宋_GB2312" w:eastAsia="仿宋_GB2312" w:cs="DengXian-Regular"/>
          <w:sz w:val="32"/>
          <w:szCs w:val="32"/>
        </w:rPr>
        <w:t>共</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部分。</w:t>
      </w:r>
    </w:p>
    <w:p w14:paraId="69C48D45">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D8969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设置的年度发展规划总体目标为：</w:t>
      </w:r>
    </w:p>
    <w:p w14:paraId="295C62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工作要点，并监督实施。指导</w:t>
      </w:r>
      <w:r>
        <w:rPr>
          <w:rFonts w:hint="eastAsia" w:ascii="仿宋_GB2312" w:eastAsia="仿宋_GB2312" w:cs="DengXian-Regular"/>
          <w:sz w:val="32"/>
          <w:szCs w:val="32"/>
          <w:lang w:val="en-US" w:eastAsia="zh-CN"/>
        </w:rPr>
        <w:t>区委政府后勤保障</w:t>
      </w:r>
      <w:r>
        <w:rPr>
          <w:rFonts w:hint="eastAsia" w:ascii="仿宋_GB2312" w:eastAsia="仿宋_GB2312" w:cs="DengXian-Regular"/>
          <w:sz w:val="32"/>
          <w:szCs w:val="32"/>
        </w:rPr>
        <w:t>工作。制定</w:t>
      </w:r>
      <w:r>
        <w:rPr>
          <w:rFonts w:hint="eastAsia" w:ascii="仿宋_GB2312" w:eastAsia="仿宋_GB2312" w:cs="DengXian-Regular"/>
          <w:sz w:val="32"/>
          <w:szCs w:val="32"/>
          <w:lang w:val="en-US" w:eastAsia="zh-CN"/>
        </w:rPr>
        <w:t>年度工作</w:t>
      </w:r>
      <w:r>
        <w:rPr>
          <w:rFonts w:hint="eastAsia" w:ascii="仿宋_GB2312" w:eastAsia="仿宋_GB2312" w:cs="DengXian-Regular"/>
          <w:sz w:val="32"/>
          <w:szCs w:val="32"/>
        </w:rPr>
        <w:t>规划并组织实施，指导检查</w:t>
      </w:r>
      <w:r>
        <w:rPr>
          <w:rFonts w:hint="eastAsia" w:ascii="仿宋_GB2312" w:eastAsia="仿宋_GB2312" w:cs="DengXian-Regular"/>
          <w:sz w:val="32"/>
          <w:szCs w:val="32"/>
          <w:lang w:val="en-US" w:eastAsia="zh-CN"/>
        </w:rPr>
        <w:t>区委政府后勤保障</w:t>
      </w:r>
      <w:r>
        <w:rPr>
          <w:rFonts w:hint="eastAsia" w:ascii="仿宋_GB2312" w:eastAsia="仿宋_GB2312" w:cs="DengXian-Regular"/>
          <w:sz w:val="32"/>
          <w:szCs w:val="32"/>
        </w:rPr>
        <w:t>工作。</w:t>
      </w:r>
    </w:p>
    <w:p w14:paraId="59D91C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7F2472F5">
      <w:pPr>
        <w:spacing w:after="0" w:line="360" w:lineRule="auto"/>
        <w:ind w:firstLine="640" w:firstLineChars="200"/>
        <w:jc w:val="both"/>
        <w:textAlignment w:val="baseline"/>
        <w:rPr>
          <w:rFonts w:ascii="仿宋_GB2312" w:eastAsia="仿宋_GB2312" w:cs="DengXian-Regular"/>
          <w:color w:val="000000" w:themeColor="text1"/>
          <w:sz w:val="32"/>
          <w:szCs w:val="32"/>
        </w:rPr>
      </w:pPr>
      <w:bookmarkStart w:id="9" w:name="_Toc1678"/>
      <w:bookmarkStart w:id="10" w:name="_Toc492652766"/>
      <w:bookmarkStart w:id="11" w:name="_Toc465149500"/>
      <w:r>
        <w:rPr>
          <w:rFonts w:hint="eastAsia" w:ascii="仿宋_GB2312" w:eastAsia="仿宋_GB2312" w:cs="DengXian-Regular"/>
          <w:color w:val="000000" w:themeColor="text1"/>
          <w:sz w:val="32"/>
          <w:szCs w:val="32"/>
        </w:rPr>
        <w:t>1、负责区委、区政府、人大、政协等机关和归属政府所有权的房产及设施的登记、分配、维修、改造和建设任务。</w:t>
      </w:r>
    </w:p>
    <w:p w14:paraId="5BF7BCD5">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2、负责区委、区政府、人大、政协机关大院的冬季取暖及所属锅炉和设备的保养、维修和使用。</w:t>
      </w:r>
    </w:p>
    <w:p w14:paraId="6FC26B97">
      <w:pPr>
        <w:ind w:firstLine="640" w:firstLineChars="200"/>
      </w:pPr>
      <w:r>
        <w:rPr>
          <w:rFonts w:hint="eastAsia" w:ascii="仿宋_GB2312" w:eastAsia="仿宋_GB2312" w:cs="DengXian-Regular"/>
          <w:color w:val="000000" w:themeColor="text1"/>
          <w:sz w:val="32"/>
          <w:szCs w:val="32"/>
        </w:rPr>
        <w:t>3、负责区委、区政府、人大、政协机关大院的干部、职工就餐和开水供应。</w:t>
      </w:r>
    </w:p>
    <w:p w14:paraId="46AC3EE9">
      <w:pPr>
        <w:spacing w:after="0" w:line="360" w:lineRule="auto"/>
        <w:ind w:firstLine="640" w:firstLineChars="200"/>
        <w:jc w:val="both"/>
        <w:textAlignment w:val="baseline"/>
        <w:rPr>
          <w:rFonts w:hint="eastAsia" w:ascii="仿宋_GB2312" w:eastAsia="仿宋_GB2312" w:cs="DengXian-Regular"/>
          <w:color w:val="000000" w:themeColor="text1"/>
          <w:sz w:val="32"/>
          <w:szCs w:val="32"/>
          <w:lang w:eastAsia="zh-CN"/>
        </w:rPr>
      </w:pPr>
      <w:r>
        <w:rPr>
          <w:rFonts w:hint="eastAsia" w:ascii="仿宋_GB2312" w:eastAsia="仿宋_GB2312" w:cs="DengXian-Regular"/>
          <w:color w:val="000000" w:themeColor="text1"/>
          <w:sz w:val="32"/>
          <w:szCs w:val="32"/>
        </w:rPr>
        <w:t>4、负责区委、区政府、人大、政协等机关的安全保卫、环境卫生、绿化、美化和形象建设</w:t>
      </w:r>
      <w:r>
        <w:rPr>
          <w:rFonts w:hint="eastAsia" w:ascii="仿宋_GB2312" w:eastAsia="仿宋_GB2312" w:cs="DengXian-Regular"/>
          <w:color w:val="000000" w:themeColor="text1"/>
          <w:sz w:val="32"/>
          <w:szCs w:val="32"/>
          <w:lang w:eastAsia="zh-CN"/>
        </w:rPr>
        <w:t>。</w:t>
      </w:r>
    </w:p>
    <w:p w14:paraId="50DD4C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7B77A7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机关服务中心</w:t>
      </w:r>
      <w:r>
        <w:rPr>
          <w:rFonts w:hint="eastAsia" w:ascii="仿宋_GB2312" w:eastAsia="仿宋_GB2312" w:cs="DengXian-Regular"/>
          <w:sz w:val="32"/>
          <w:szCs w:val="32"/>
        </w:rPr>
        <w:t>预算收入1027.24万元，均为一般公共预算拨款，其中：财政拨款</w:t>
      </w:r>
      <w:r>
        <w:rPr>
          <w:rFonts w:hint="default" w:ascii="仿宋_GB2312" w:eastAsia="仿宋_GB2312" w:cs="DengXian-Regular"/>
          <w:sz w:val="32"/>
          <w:szCs w:val="32"/>
          <w:lang w:val="en-US"/>
        </w:rPr>
        <w:t>1027.24</w:t>
      </w:r>
      <w:r>
        <w:rPr>
          <w:rFonts w:hint="eastAsia" w:ascii="仿宋_GB2312" w:eastAsia="仿宋_GB2312" w:cs="DengXian-Regular"/>
          <w:sz w:val="32"/>
          <w:szCs w:val="32"/>
        </w:rPr>
        <w:t>万元。预算收入按功能分类包含：公共安全支出989</w:t>
      </w:r>
      <w:r>
        <w:rPr>
          <w:rFonts w:hint="default" w:ascii="仿宋_GB2312" w:eastAsia="仿宋_GB2312" w:cs="DengXian-Regular"/>
          <w:sz w:val="32"/>
          <w:szCs w:val="32"/>
          <w:lang w:val="en-US"/>
        </w:rPr>
        <w:t>.</w:t>
      </w:r>
      <w:r>
        <w:rPr>
          <w:rFonts w:hint="eastAsia" w:ascii="仿宋_GB2312" w:eastAsia="仿宋_GB2312" w:cs="DengXian-Regular"/>
          <w:sz w:val="32"/>
          <w:szCs w:val="32"/>
        </w:rPr>
        <w:t>75万元，社会保障和就业支出14</w:t>
      </w:r>
      <w:r>
        <w:rPr>
          <w:rFonts w:hint="default" w:ascii="仿宋_GB2312" w:eastAsia="仿宋_GB2312" w:cs="DengXian-Regular"/>
          <w:sz w:val="32"/>
          <w:szCs w:val="32"/>
          <w:lang w:val="en-US"/>
        </w:rPr>
        <w:t>.</w:t>
      </w:r>
      <w:r>
        <w:rPr>
          <w:rFonts w:hint="eastAsia" w:ascii="仿宋_GB2312" w:eastAsia="仿宋_GB2312" w:cs="DengXian-Regular"/>
          <w:sz w:val="32"/>
          <w:szCs w:val="32"/>
        </w:rPr>
        <w:t>88万元，医疗卫生与计划生育支出</w:t>
      </w:r>
      <w:r>
        <w:rPr>
          <w:rFonts w:hint="default" w:ascii="仿宋_GB2312" w:eastAsia="仿宋_GB2312" w:cs="DengXian-Regular"/>
          <w:sz w:val="32"/>
          <w:szCs w:val="32"/>
          <w:lang w:val="en-US"/>
        </w:rPr>
        <w:t>12.37</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10.24</w:t>
      </w:r>
      <w:r>
        <w:rPr>
          <w:rFonts w:hint="eastAsia" w:ascii="仿宋_GB2312" w:eastAsia="仿宋_GB2312" w:cs="DengXian-Regular"/>
          <w:sz w:val="32"/>
          <w:szCs w:val="32"/>
        </w:rPr>
        <w:t>万元。具体预算收入详见附件2。</w:t>
      </w:r>
    </w:p>
    <w:p w14:paraId="78278A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机关服务中心</w:t>
      </w:r>
      <w:r>
        <w:rPr>
          <w:rFonts w:hint="eastAsia" w:ascii="仿宋_GB2312" w:eastAsia="仿宋_GB2312" w:cs="DengXian-Regular"/>
          <w:sz w:val="32"/>
          <w:szCs w:val="32"/>
        </w:rPr>
        <w:t>决算收入</w:t>
      </w:r>
      <w:r>
        <w:rPr>
          <w:rFonts w:hint="eastAsia" w:ascii="仿宋_GB2312" w:hAnsi="仿宋" w:eastAsia="仿宋_GB2312"/>
          <w:sz w:val="32"/>
          <w:szCs w:val="32"/>
        </w:rPr>
        <w:t>1639.09</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1638.95</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0.14</w:t>
      </w:r>
      <w:r>
        <w:rPr>
          <w:rFonts w:hint="eastAsia" w:ascii="仿宋_GB2312" w:eastAsia="仿宋_GB2312" w:cs="DengXian-Regular"/>
          <w:sz w:val="32"/>
          <w:szCs w:val="32"/>
        </w:rPr>
        <w:t>万元（全部为利息收入）。决算收入按功能分类包含：公共安全支出1561</w:t>
      </w:r>
      <w:r>
        <w:rPr>
          <w:rFonts w:hint="default" w:ascii="仿宋_GB2312" w:eastAsia="仿宋_GB2312" w:cs="DengXian-Regular"/>
          <w:sz w:val="32"/>
          <w:szCs w:val="32"/>
          <w:lang w:val="en-US"/>
        </w:rPr>
        <w:t>.</w:t>
      </w:r>
      <w:r>
        <w:rPr>
          <w:rFonts w:hint="eastAsia" w:ascii="仿宋_GB2312" w:eastAsia="仿宋_GB2312" w:cs="DengXian-Regular"/>
          <w:sz w:val="32"/>
          <w:szCs w:val="32"/>
        </w:rPr>
        <w:t>23万元，占比</w:t>
      </w:r>
      <w:r>
        <w:rPr>
          <w:rFonts w:hint="default" w:ascii="仿宋_GB2312" w:eastAsia="仿宋_GB2312" w:cs="DengXian-Regular"/>
          <w:sz w:val="32"/>
          <w:szCs w:val="32"/>
          <w:lang w:val="en-US"/>
        </w:rPr>
        <w:t>95.25</w:t>
      </w:r>
      <w:r>
        <w:rPr>
          <w:rFonts w:hint="eastAsia" w:ascii="仿宋_GB2312" w:eastAsia="仿宋_GB2312" w:cs="DengXian-Regular"/>
          <w:sz w:val="32"/>
          <w:szCs w:val="32"/>
        </w:rPr>
        <w:t>%；社会保障和就业支出60</w:t>
      </w:r>
      <w:r>
        <w:rPr>
          <w:rFonts w:hint="default" w:ascii="仿宋_GB2312" w:eastAsia="仿宋_GB2312" w:cs="DengXian-Regular"/>
          <w:sz w:val="32"/>
          <w:szCs w:val="32"/>
          <w:lang w:val="en-US"/>
        </w:rPr>
        <w:t>.</w:t>
      </w:r>
      <w:r>
        <w:rPr>
          <w:rFonts w:hint="eastAsia" w:ascii="仿宋_GB2312" w:eastAsia="仿宋_GB2312" w:cs="DengXian-Regular"/>
          <w:sz w:val="32"/>
          <w:szCs w:val="32"/>
        </w:rPr>
        <w:t>03万元，占比</w:t>
      </w:r>
      <w:r>
        <w:rPr>
          <w:rFonts w:hint="default" w:ascii="仿宋_GB2312" w:eastAsia="仿宋_GB2312" w:cs="DengXian-Regular"/>
          <w:sz w:val="32"/>
          <w:szCs w:val="32"/>
          <w:lang w:val="en-US"/>
        </w:rPr>
        <w:t>3.66</w:t>
      </w:r>
      <w:r>
        <w:rPr>
          <w:rFonts w:hint="eastAsia" w:ascii="仿宋_GB2312" w:eastAsia="仿宋_GB2312" w:cs="DengXian-Regular"/>
          <w:sz w:val="32"/>
          <w:szCs w:val="32"/>
        </w:rPr>
        <w:t>%；医疗卫生与计划生育支出6</w:t>
      </w:r>
      <w:r>
        <w:rPr>
          <w:rFonts w:hint="default" w:ascii="仿宋_GB2312" w:eastAsia="仿宋_GB2312" w:cs="DengXian-Regular"/>
          <w:sz w:val="32"/>
          <w:szCs w:val="32"/>
          <w:lang w:val="en-US"/>
        </w:rPr>
        <w:t>.</w:t>
      </w:r>
      <w:r>
        <w:rPr>
          <w:rFonts w:hint="eastAsia" w:ascii="仿宋_GB2312" w:eastAsia="仿宋_GB2312" w:cs="DengXian-Regular"/>
          <w:sz w:val="32"/>
          <w:szCs w:val="32"/>
        </w:rPr>
        <w:t>5</w:t>
      </w:r>
      <w:r>
        <w:rPr>
          <w:rFonts w:hint="default" w:ascii="仿宋_GB2312" w:eastAsia="仿宋_GB2312" w:cs="DengXian-Regular"/>
          <w:sz w:val="32"/>
          <w:szCs w:val="32"/>
          <w:lang w:val="en-US"/>
        </w:rPr>
        <w:t>1</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0.40</w:t>
      </w:r>
      <w:r>
        <w:rPr>
          <w:rFonts w:hint="eastAsia" w:ascii="仿宋_GB2312" w:eastAsia="仿宋_GB2312" w:cs="DengXian-Regular"/>
          <w:sz w:val="32"/>
          <w:szCs w:val="32"/>
        </w:rPr>
        <w:t>%；住房保障支出11</w:t>
      </w:r>
      <w:r>
        <w:rPr>
          <w:rFonts w:hint="default" w:ascii="仿宋_GB2312" w:eastAsia="仿宋_GB2312" w:cs="DengXian-Regular"/>
          <w:sz w:val="32"/>
          <w:szCs w:val="32"/>
          <w:lang w:val="en-US"/>
        </w:rPr>
        <w:t>.</w:t>
      </w:r>
      <w:r>
        <w:rPr>
          <w:rFonts w:hint="eastAsia" w:ascii="仿宋_GB2312" w:eastAsia="仿宋_GB2312" w:cs="DengXian-Regular"/>
          <w:sz w:val="32"/>
          <w:szCs w:val="32"/>
        </w:rPr>
        <w:t>3</w:t>
      </w:r>
      <w:r>
        <w:rPr>
          <w:rFonts w:hint="default" w:ascii="仿宋_GB2312" w:eastAsia="仿宋_GB2312" w:cs="DengXian-Regular"/>
          <w:sz w:val="32"/>
          <w:szCs w:val="32"/>
          <w:lang w:val="en-US"/>
        </w:rPr>
        <w:t>2</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0.69</w:t>
      </w:r>
      <w:r>
        <w:rPr>
          <w:rFonts w:hint="eastAsia" w:ascii="仿宋_GB2312" w:eastAsia="仿宋_GB2312" w:cs="DengXian-Regular"/>
          <w:sz w:val="32"/>
          <w:szCs w:val="32"/>
        </w:rPr>
        <w:t>%。具体决算收入详见附件</w:t>
      </w:r>
    </w:p>
    <w:p w14:paraId="3F26A2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079AF897">
      <w:pPr>
        <w:spacing w:after="0" w:line="360" w:lineRule="auto"/>
        <w:jc w:val="center"/>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2</w:t>
      </w:r>
      <w:r>
        <w:rPr>
          <w:rFonts w:hint="eastAsia" w:asciiTheme="minorEastAsia" w:hAnsiTheme="minorEastAsia" w:eastAsiaTheme="minorEastAsia" w:cstheme="minorEastAsia"/>
          <w:b/>
          <w:bCs/>
          <w:sz w:val="32"/>
          <w:szCs w:val="32"/>
        </w:rPr>
        <w:t>年度区</w:t>
      </w:r>
      <w:r>
        <w:rPr>
          <w:rFonts w:hint="eastAsia" w:ascii="仿宋_GB2312" w:eastAsia="仿宋_GB2312" w:cs="DengXian-Regular"/>
          <w:sz w:val="32"/>
          <w:szCs w:val="32"/>
          <w:lang w:eastAsia="zh-CN"/>
        </w:rPr>
        <w:t>机关服务中心</w:t>
      </w:r>
      <w:r>
        <w:rPr>
          <w:rFonts w:hint="eastAsia" w:asciiTheme="minorEastAsia" w:hAnsiTheme="minorEastAsia" w:eastAsiaTheme="minorEastAsia" w:cstheme="minorEastAsia"/>
          <w:b/>
          <w:bCs/>
          <w:sz w:val="32"/>
          <w:szCs w:val="32"/>
        </w:rPr>
        <w:t>决算收入结构图</w:t>
      </w:r>
    </w:p>
    <w:p w14:paraId="3D25E314">
      <w:pPr>
        <w:spacing w:after="0" w:line="360" w:lineRule="auto"/>
        <w:jc w:val="center"/>
        <w:textAlignment w:val="baseline"/>
        <w:rPr>
          <w:rFonts w:hint="eastAsia" w:asciiTheme="minorEastAsia" w:hAnsiTheme="minorEastAsia" w:eastAsiaTheme="minorEastAsia" w:cstheme="minorEastAsia"/>
          <w:b/>
          <w:bCs/>
          <w:sz w:val="32"/>
          <w:szCs w:val="32"/>
        </w:rPr>
      </w:pPr>
    </w:p>
    <w:p w14:paraId="5046DD23">
      <w:pPr>
        <w:spacing w:after="0" w:line="360" w:lineRule="auto"/>
        <w:ind w:firstLine="440" w:firstLineChars="200"/>
        <w:jc w:val="both"/>
        <w:rPr>
          <w:rFonts w:hint="eastAsia" w:ascii="仿宋_GB2312" w:eastAsia="仿宋_GB2312" w:cs="DengXian-Regular"/>
          <w:sz w:val="32"/>
          <w:szCs w:val="32"/>
        </w:rPr>
      </w:pPr>
      <w:r>
        <w:drawing>
          <wp:inline distT="0" distB="0" distL="114300" distR="114300">
            <wp:extent cx="4608830" cy="2956560"/>
            <wp:effectExtent l="4445" t="5080" r="19685" b="1016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1A73F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一般公共预算财政拨款决算收入比年初预算增加</w:t>
      </w:r>
      <w:r>
        <w:rPr>
          <w:rFonts w:hint="default" w:ascii="仿宋_GB2312" w:eastAsia="仿宋_GB2312" w:cs="DengXian-Regular"/>
          <w:sz w:val="32"/>
          <w:szCs w:val="32"/>
          <w:lang w:val="en-US"/>
        </w:rPr>
        <w:t>611.85</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159.56</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区机关服务中心项目资金支出增加</w:t>
      </w:r>
      <w:r>
        <w:rPr>
          <w:rFonts w:hint="eastAsia" w:ascii="仿宋_GB2312" w:eastAsia="仿宋_GB2312" w:cs="DengXian-Regular"/>
          <w:sz w:val="32"/>
          <w:szCs w:val="32"/>
        </w:rPr>
        <w:t>。预算收入与决算收入对比情况见图2。</w:t>
      </w:r>
    </w:p>
    <w:p w14:paraId="44DC8ED9">
      <w:pPr>
        <w:spacing w:after="0" w:line="360" w:lineRule="auto"/>
        <w:jc w:val="center"/>
        <w:rPr>
          <w:rFonts w:hint="eastAsia" w:ascii="仿宋_GB2312" w:eastAsia="仿宋_GB2312" w:cs="DengXian-Regular"/>
          <w:sz w:val="32"/>
          <w:szCs w:val="32"/>
          <w:lang w:eastAsia="zh-CN"/>
        </w:rPr>
      </w:pPr>
      <w:r>
        <w:rPr>
          <w:rFonts w:hint="eastAsia" w:asciiTheme="minorEastAsia" w:hAnsiTheme="minorEastAsia" w:eastAsiaTheme="minorEastAsia" w:cstheme="minorEastAsia"/>
          <w:b/>
          <w:sz w:val="32"/>
          <w:szCs w:val="32"/>
          <w:u w:color="000000"/>
        </w:rPr>
        <w:t>图2  202</w:t>
      </w:r>
      <w:r>
        <w:rPr>
          <w:rFonts w:hint="default" w:ascii="仿宋_GB2312" w:eastAsia="仿宋_GB2312" w:cs="DengXian-Regular"/>
          <w:sz w:val="32"/>
          <w:szCs w:val="32"/>
          <w:lang w:val="en-US"/>
        </w:rPr>
        <w:t>2</w:t>
      </w:r>
      <w:r>
        <w:rPr>
          <w:rFonts w:hint="eastAsia" w:asciiTheme="minorEastAsia" w:hAnsiTheme="minorEastAsia" w:eastAsiaTheme="minorEastAsia" w:cstheme="minorEastAsia"/>
          <w:b/>
          <w:sz w:val="32"/>
          <w:szCs w:val="32"/>
          <w:u w:color="000000"/>
        </w:rPr>
        <w:t>年度区</w:t>
      </w:r>
      <w:r>
        <w:rPr>
          <w:rFonts w:hint="eastAsia" w:ascii="仿宋_GB2312" w:eastAsia="仿宋_GB2312" w:cs="DengXian-Regular"/>
          <w:sz w:val="32"/>
          <w:szCs w:val="32"/>
          <w:lang w:eastAsia="zh-CN"/>
        </w:rPr>
        <w:t>机关服务中心</w:t>
      </w:r>
    </w:p>
    <w:p w14:paraId="2C943F34">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预算收入与决算收入对比图</w:t>
      </w:r>
    </w:p>
    <w:p w14:paraId="418AF43F">
      <w:pPr>
        <w:pStyle w:val="4"/>
        <w:spacing w:before="0" w:after="0"/>
        <w:ind w:firstLine="602" w:firstLineChars="200"/>
        <w:jc w:val="both"/>
      </w:pPr>
      <w:bookmarkStart w:id="12" w:name="_Toc18197"/>
      <w:r>
        <w:drawing>
          <wp:inline distT="0" distB="0" distL="114300" distR="114300">
            <wp:extent cx="4471035" cy="2623820"/>
            <wp:effectExtent l="4445" t="4445" r="5080"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CE723D">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51D09A4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机关服务中心</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1027.24</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824.89</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202.34</w:t>
      </w:r>
      <w:r>
        <w:rPr>
          <w:rFonts w:hint="eastAsia" w:ascii="仿宋_GB2312" w:eastAsia="仿宋_GB2312" w:cs="Times New Roman" w:hAnsiTheme="minorEastAsia"/>
          <w:sz w:val="32"/>
          <w:szCs w:val="32"/>
          <w:u w:color="000000"/>
        </w:rPr>
        <w:t>万元。预算支出按功能分类包含：公共安全支出989</w:t>
      </w:r>
      <w:r>
        <w:rPr>
          <w:rFonts w:hint="eastAsia"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75万元，社会保障和就业支出14</w:t>
      </w:r>
      <w:r>
        <w:rPr>
          <w:rFonts w:hint="eastAsia"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88万元，医疗卫生与计划生育支出</w:t>
      </w:r>
      <w:r>
        <w:rPr>
          <w:rFonts w:hint="eastAsia" w:ascii="仿宋_GB2312" w:eastAsia="仿宋_GB2312" w:cs="Times New Roman" w:hAnsiTheme="minorEastAsia"/>
          <w:sz w:val="32"/>
          <w:szCs w:val="32"/>
          <w:u w:color="000000"/>
          <w:lang w:val="en-US"/>
        </w:rPr>
        <w:t>12.37</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rPr>
        <w:t>10.24</w:t>
      </w:r>
      <w:r>
        <w:rPr>
          <w:rFonts w:hint="eastAsia" w:ascii="仿宋_GB2312" w:eastAsia="仿宋_GB2312" w:cs="Times New Roman" w:hAnsiTheme="minorEastAsia"/>
          <w:sz w:val="32"/>
          <w:szCs w:val="32"/>
          <w:u w:color="000000"/>
        </w:rPr>
        <w:t>万元。具体预算支出详见附件2。</w:t>
      </w:r>
    </w:p>
    <w:p w14:paraId="20B9B61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机关服务中心</w:t>
      </w:r>
      <w:r>
        <w:rPr>
          <w:rFonts w:hint="eastAsia" w:ascii="仿宋_GB2312" w:eastAsia="仿宋_GB2312" w:cs="Times New Roman" w:hAnsiTheme="minorEastAsia"/>
          <w:sz w:val="32"/>
          <w:szCs w:val="32"/>
          <w:u w:color="000000"/>
        </w:rPr>
        <w:t>决算支出为</w:t>
      </w:r>
      <w:r>
        <w:rPr>
          <w:rFonts w:hint="eastAsia" w:ascii="仿宋_GB2312" w:eastAsia="仿宋_GB2312" w:cs="DengXian-Regular"/>
          <w:sz w:val="32"/>
          <w:szCs w:val="32"/>
        </w:rPr>
        <w:t>1639</w:t>
      </w:r>
      <w:r>
        <w:rPr>
          <w:rFonts w:hint="default" w:ascii="仿宋_GB2312" w:eastAsia="仿宋_GB2312" w:cs="DengXian-Regular"/>
          <w:sz w:val="32"/>
          <w:szCs w:val="32"/>
          <w:lang w:val="en-US"/>
        </w:rPr>
        <w:t>.</w:t>
      </w:r>
      <w:r>
        <w:rPr>
          <w:rFonts w:hint="eastAsia" w:ascii="仿宋_GB2312" w:eastAsia="仿宋_GB2312" w:cs="DengXian-Regular"/>
          <w:sz w:val="32"/>
          <w:szCs w:val="32"/>
        </w:rPr>
        <w:t>0</w:t>
      </w:r>
      <w:r>
        <w:rPr>
          <w:rFonts w:hint="default" w:ascii="仿宋_GB2312" w:eastAsia="仿宋_GB2312" w:cs="DengXian-Regular"/>
          <w:sz w:val="32"/>
          <w:szCs w:val="32"/>
          <w:lang w:val="en-US"/>
        </w:rPr>
        <w:t>9</w:t>
      </w:r>
      <w:r>
        <w:rPr>
          <w:rFonts w:hint="eastAsia" w:ascii="仿宋_GB2312" w:eastAsia="仿宋_GB2312" w:cs="Times New Roman" w:hAnsiTheme="minorEastAsia"/>
          <w:sz w:val="32"/>
          <w:szCs w:val="32"/>
          <w:u w:color="000000"/>
        </w:rPr>
        <w:t>万元，其中：基本支出830</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1</w:t>
      </w:r>
      <w:r>
        <w:rPr>
          <w:rFonts w:hint="default" w:ascii="仿宋_GB2312" w:eastAsia="仿宋_GB2312" w:cs="Times New Roman" w:hAnsiTheme="minorEastAsia"/>
          <w:sz w:val="32"/>
          <w:szCs w:val="32"/>
          <w:u w:color="000000"/>
          <w:lang w:val="en-US"/>
        </w:rPr>
        <w:t>8</w:t>
      </w:r>
      <w:r>
        <w:rPr>
          <w:rFonts w:hint="eastAsia" w:ascii="仿宋_GB2312" w:eastAsia="仿宋_GB2312" w:cs="Times New Roman" w:hAnsiTheme="minorEastAsia"/>
          <w:sz w:val="32"/>
          <w:szCs w:val="32"/>
          <w:u w:color="000000"/>
        </w:rPr>
        <w:t>万元，项目支出808</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9</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万元。决算支出按功能分类包含：公共安全支出1561</w:t>
      </w:r>
      <w:r>
        <w:rPr>
          <w:rFonts w:hint="eastAsia"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23万元，占比</w:t>
      </w:r>
      <w:r>
        <w:rPr>
          <w:rFonts w:hint="eastAsia" w:ascii="仿宋_GB2312" w:eastAsia="仿宋_GB2312" w:cs="Times New Roman" w:hAnsiTheme="minorEastAsia"/>
          <w:sz w:val="32"/>
          <w:szCs w:val="32"/>
          <w:u w:color="000000"/>
          <w:lang w:val="en-US"/>
        </w:rPr>
        <w:t>95.25</w:t>
      </w:r>
      <w:r>
        <w:rPr>
          <w:rFonts w:hint="eastAsia" w:ascii="仿宋_GB2312" w:eastAsia="仿宋_GB2312" w:cs="Times New Roman" w:hAnsiTheme="minorEastAsia"/>
          <w:sz w:val="32"/>
          <w:szCs w:val="32"/>
          <w:u w:color="000000"/>
        </w:rPr>
        <w:t>%；社会保障和就业支出60</w:t>
      </w:r>
      <w:r>
        <w:rPr>
          <w:rFonts w:hint="eastAsia"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03万元，占比</w:t>
      </w:r>
      <w:r>
        <w:rPr>
          <w:rFonts w:hint="eastAsia" w:ascii="仿宋_GB2312" w:eastAsia="仿宋_GB2312" w:cs="Times New Roman" w:hAnsiTheme="minorEastAsia"/>
          <w:sz w:val="32"/>
          <w:szCs w:val="32"/>
          <w:u w:color="000000"/>
          <w:lang w:val="en-US"/>
        </w:rPr>
        <w:t>3.66</w:t>
      </w:r>
      <w:r>
        <w:rPr>
          <w:rFonts w:hint="eastAsia" w:ascii="仿宋_GB2312" w:eastAsia="仿宋_GB2312" w:cs="Times New Roman" w:hAnsiTheme="minorEastAsia"/>
          <w:sz w:val="32"/>
          <w:szCs w:val="32"/>
          <w:u w:color="000000"/>
        </w:rPr>
        <w:t>%；医疗卫生与计划生育支出6</w:t>
      </w:r>
      <w:r>
        <w:rPr>
          <w:rFonts w:hint="eastAsia"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rPr>
        <w:t>0.40</w:t>
      </w:r>
      <w:r>
        <w:rPr>
          <w:rFonts w:hint="eastAsia" w:ascii="仿宋_GB2312" w:eastAsia="仿宋_GB2312" w:cs="Times New Roman" w:hAnsiTheme="minorEastAsia"/>
          <w:sz w:val="32"/>
          <w:szCs w:val="32"/>
          <w:u w:color="000000"/>
        </w:rPr>
        <w:t>%；住房保障支出11</w:t>
      </w:r>
      <w:r>
        <w:rPr>
          <w:rFonts w:hint="eastAsia"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rPr>
        <w:t>0.69</w:t>
      </w:r>
      <w:r>
        <w:rPr>
          <w:rFonts w:hint="eastAsia" w:ascii="仿宋_GB2312" w:eastAsia="仿宋_GB2312" w:cs="Times New Roman" w:hAnsiTheme="minorEastAsia"/>
          <w:sz w:val="32"/>
          <w:szCs w:val="32"/>
          <w:u w:color="000000"/>
        </w:rPr>
        <w:t>%。具体决算支出详见附件2。</w:t>
      </w:r>
    </w:p>
    <w:p w14:paraId="788F7629">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47E35AB9">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机关服务中心</w:t>
      </w:r>
      <w:r>
        <w:rPr>
          <w:rFonts w:hint="eastAsia" w:asciiTheme="minorEastAsia" w:hAnsiTheme="minorEastAsia" w:eastAsiaTheme="minorEastAsia" w:cstheme="minorEastAsia"/>
          <w:b/>
          <w:bCs/>
          <w:sz w:val="32"/>
          <w:szCs w:val="32"/>
          <w:u w:color="000000"/>
        </w:rPr>
        <w:t>决算支出结构图</w:t>
      </w:r>
    </w:p>
    <w:p w14:paraId="590409B8">
      <w:pPr>
        <w:spacing w:after="0" w:line="360" w:lineRule="auto"/>
        <w:ind w:firstLine="440" w:firstLineChars="200"/>
        <w:jc w:val="both"/>
      </w:pPr>
      <w:r>
        <w:drawing>
          <wp:inline distT="0" distB="0" distL="114300" distR="114300">
            <wp:extent cx="4501515" cy="2857500"/>
            <wp:effectExtent l="5080" t="4445" r="4445" b="1841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68AFF4">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default" w:ascii="仿宋_GB2312" w:eastAsia="仿宋_GB2312" w:cs="DengXian-Regular"/>
          <w:sz w:val="32"/>
          <w:szCs w:val="32"/>
          <w:lang w:val="en-US"/>
        </w:rPr>
        <w:t>611.85</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159.56</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区机关服务中心项目资金支出增加</w:t>
      </w:r>
      <w:r>
        <w:rPr>
          <w:rFonts w:hint="eastAsia" w:ascii="仿宋" w:hAnsi="仿宋" w:eastAsia="仿宋"/>
          <w:snapToGrid w:val="0"/>
          <w:sz w:val="32"/>
          <w:szCs w:val="32"/>
        </w:rPr>
        <w:t>。预算支出与决算支出对比情况如图4。</w:t>
      </w:r>
    </w:p>
    <w:p w14:paraId="4F6F1CE6">
      <w:pPr>
        <w:spacing w:after="0" w:line="360" w:lineRule="auto"/>
        <w:jc w:val="center"/>
      </w:pPr>
      <w:r>
        <w:drawing>
          <wp:inline distT="0" distB="0" distL="114300" distR="114300">
            <wp:extent cx="5001895" cy="3061335"/>
            <wp:effectExtent l="4445" t="4445" r="7620" b="1270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633F6F">
      <w:pPr>
        <w:spacing w:after="0" w:line="360" w:lineRule="auto"/>
        <w:jc w:val="center"/>
        <w:rPr>
          <w:rFonts w:hint="eastAsia" w:ascii="仿宋_GB2312" w:eastAsia="仿宋_GB2312" w:cs="DengXian-Regular"/>
          <w:sz w:val="32"/>
          <w:szCs w:val="32"/>
          <w:lang w:eastAsia="zh-CN"/>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区机关服务中心</w:t>
      </w:r>
    </w:p>
    <w:p w14:paraId="07854ACA">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预算支出与决算支出对比图</w:t>
      </w:r>
    </w:p>
    <w:p w14:paraId="740EB8E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年实际项目支出808</w:t>
      </w:r>
      <w:r>
        <w:rPr>
          <w:rFonts w:hint="default" w:ascii="仿宋_GB2312" w:eastAsia="仿宋_GB2312" w:cs="DengXian-Regular"/>
          <w:sz w:val="32"/>
          <w:szCs w:val="32"/>
          <w:lang w:val="en-US"/>
        </w:rPr>
        <w:t>.</w:t>
      </w:r>
      <w:r>
        <w:rPr>
          <w:rFonts w:hint="eastAsia" w:ascii="仿宋_GB2312" w:eastAsia="仿宋_GB2312" w:cs="DengXian-Regular"/>
          <w:sz w:val="32"/>
          <w:szCs w:val="32"/>
        </w:rPr>
        <w:t>91万元，决算报表中项目支出808</w:t>
      </w:r>
      <w:r>
        <w:rPr>
          <w:rFonts w:hint="default" w:ascii="仿宋_GB2312" w:eastAsia="仿宋_GB2312" w:cs="DengXian-Regular"/>
          <w:sz w:val="32"/>
          <w:szCs w:val="32"/>
          <w:lang w:val="en-US"/>
        </w:rPr>
        <w:t>.</w:t>
      </w:r>
      <w:r>
        <w:rPr>
          <w:rFonts w:hint="eastAsia" w:ascii="仿宋_GB2312" w:eastAsia="仿宋_GB2312" w:cs="DengXian-Regular"/>
          <w:sz w:val="32"/>
          <w:szCs w:val="32"/>
        </w:rPr>
        <w:t>91万元，实际支出与决算报表差</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14:paraId="695FAFC1">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17C6922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“三公”经费预算</w:t>
      </w:r>
      <w:r>
        <w:rPr>
          <w:rFonts w:hint="default" w:ascii="仿宋_GB2312" w:eastAsia="仿宋_GB2312" w:cs="DengXian-Regular"/>
          <w:sz w:val="32"/>
          <w:szCs w:val="32"/>
          <w:lang w:val="en-US"/>
        </w:rPr>
        <w:t>2.43</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2.43</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0.96</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0.96</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1.47</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60.49</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年预算数相比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0.57</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年实际支出相比，减少</w:t>
      </w:r>
      <w:r>
        <w:rPr>
          <w:rFonts w:hint="default" w:ascii="仿宋_GB2312" w:eastAsia="仿宋_GB2312" w:cs="DengXian-Regular"/>
          <w:sz w:val="32"/>
          <w:szCs w:val="32"/>
          <w:lang w:val="en-US"/>
        </w:rPr>
        <w:t>0.72</w:t>
      </w:r>
      <w:r>
        <w:rPr>
          <w:rFonts w:hint="eastAsia" w:ascii="仿宋_GB2312" w:eastAsia="仿宋_GB2312" w:cs="DengXian-Regular"/>
          <w:sz w:val="32"/>
          <w:szCs w:val="32"/>
        </w:rPr>
        <w:t>万元。具体详见表1。</w:t>
      </w:r>
    </w:p>
    <w:p w14:paraId="1161309F">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Theme="minorEastAsia" w:hAnsiTheme="minorEastAsia" w:eastAsiaTheme="minorEastAsia" w:cstheme="minorEastAsia"/>
          <w:b/>
          <w:bCs/>
          <w:sz w:val="32"/>
          <w:szCs w:val="32"/>
          <w:lang w:eastAsia="zh-CN"/>
        </w:rPr>
        <w:t>区机关服务中心</w:t>
      </w:r>
      <w:r>
        <w:rPr>
          <w:rFonts w:hint="eastAsia" w:asciiTheme="minorEastAsia" w:hAnsiTheme="minorEastAsia" w:eastAsiaTheme="minorEastAsia" w:cstheme="minorEastAsia"/>
          <w:b/>
          <w:bCs/>
          <w:sz w:val="32"/>
          <w:szCs w:val="32"/>
        </w:rPr>
        <w:t>“三公”经费预算及决算明细表</w:t>
      </w:r>
    </w:p>
    <w:p w14:paraId="3A1CF089">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323648F4">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E769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633F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F96BC">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15076B9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89C1">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50449A54">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F75A3">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A5FCB">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926B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9278EC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86909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78282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D125C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19346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239B250E">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F33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420654C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5ADE">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B267">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C0FE">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F7DD9E">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3601DF">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BACA8B">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14:paraId="0B1C28DA">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41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4102B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4ED8">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55A3">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1.68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B691">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2.43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1D9B">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0.96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7FC781">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-0.57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CF72A3">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-0.72</w:t>
            </w:r>
          </w:p>
        </w:tc>
      </w:tr>
      <w:tr w14:paraId="20F2C2B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A34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E64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46C1">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7313">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DB37">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1F56">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46C620">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47E2E4">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14:paraId="78E43D9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589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E804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1D87">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412A">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6514">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3D989">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14D52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07B666">
            <w:pPr>
              <w:spacing w:after="0"/>
              <w:jc w:val="center"/>
              <w:textAlignment w:val="center"/>
              <w:rPr>
                <w:rFonts w:asciiTheme="minorEastAsia" w:hAnsiTheme="minorEastAsia" w:eastAsiaTheme="minorEastAsia" w:cstheme="minorEastAsia"/>
                <w:color w:val="000000"/>
                <w:sz w:val="21"/>
                <w:szCs w:val="21"/>
              </w:rPr>
            </w:pPr>
          </w:p>
        </w:tc>
      </w:tr>
    </w:tbl>
    <w:p w14:paraId="3E960F1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2</w:t>
      </w:r>
      <w:r>
        <w:rPr>
          <w:rFonts w:hint="eastAsia" w:ascii="仿宋_GB2312" w:eastAsia="仿宋_GB2312" w:cs="DengXian-Regular"/>
          <w:sz w:val="32"/>
          <w:szCs w:val="32"/>
        </w:rPr>
        <w:t>辆，其中</w:t>
      </w:r>
      <w:r>
        <w:rPr>
          <w:rFonts w:hint="eastAsia" w:ascii="仿宋_GB2312" w:eastAsia="仿宋_GB2312" w:cs="DengXian-Regular"/>
          <w:color w:val="000000" w:themeColor="text1"/>
          <w:sz w:val="32"/>
          <w:szCs w:val="32"/>
        </w:rPr>
        <w:t>应急保障</w:t>
      </w:r>
      <w:r>
        <w:rPr>
          <w:rFonts w:ascii="仿宋_GB2312" w:eastAsia="仿宋_GB2312" w:cs="DengXian-Regular"/>
          <w:color w:val="000000" w:themeColor="text1"/>
          <w:sz w:val="32"/>
          <w:szCs w:val="32"/>
        </w:rPr>
        <w:t>用车</w:t>
      </w:r>
      <w:r>
        <w:rPr>
          <w:rFonts w:hint="eastAsia" w:ascii="仿宋_GB2312" w:eastAsia="仿宋_GB2312" w:cs="DengXian-Regular"/>
          <w:color w:val="000000" w:themeColor="text1"/>
          <w:sz w:val="32"/>
          <w:szCs w:val="32"/>
        </w:rPr>
        <w:t>用车</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辆</w:t>
      </w:r>
      <w:r>
        <w:rPr>
          <w:rFonts w:hint="eastAsia" w:ascii="仿宋_GB2312" w:eastAsia="仿宋_GB2312" w:cs="DengXian-Regular"/>
          <w:sz w:val="32"/>
          <w:szCs w:val="32"/>
        </w:rPr>
        <w:t>，其他用车</w:t>
      </w:r>
      <w:r>
        <w:rPr>
          <w:rFonts w:hint="default" w:ascii="仿宋_GB2312" w:eastAsia="仿宋_GB2312" w:cs="DengXian-Regular"/>
          <w:sz w:val="32"/>
          <w:szCs w:val="32"/>
          <w:lang w:val="en-US" w:eastAsia="zh-CN"/>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2.43</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0.96</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1.47</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60.49</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0.57</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年实际支出相比，减少</w:t>
      </w:r>
      <w:r>
        <w:rPr>
          <w:rFonts w:hint="default" w:ascii="仿宋_GB2312" w:eastAsia="仿宋_GB2312" w:cs="DengXian-Regular"/>
          <w:sz w:val="32"/>
          <w:szCs w:val="32"/>
          <w:lang w:val="en-US"/>
        </w:rPr>
        <w:t>0.72</w:t>
      </w:r>
      <w:r>
        <w:rPr>
          <w:rFonts w:hint="eastAsia" w:ascii="仿宋_GB2312" w:eastAsia="仿宋_GB2312" w:cs="DengXian-Regular"/>
          <w:sz w:val="32"/>
          <w:szCs w:val="32"/>
        </w:rPr>
        <w:t>万元。</w:t>
      </w:r>
    </w:p>
    <w:p w14:paraId="0EC8457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公务接待费年初预算</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0</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0</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0.57</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0.72</w:t>
      </w:r>
      <w:r>
        <w:rPr>
          <w:rFonts w:hint="eastAsia" w:ascii="仿宋_GB2312" w:eastAsia="仿宋_GB2312" w:cs="DengXian-Regular"/>
          <w:sz w:val="32"/>
          <w:szCs w:val="32"/>
        </w:rPr>
        <w:t>万元。</w:t>
      </w:r>
    </w:p>
    <w:p w14:paraId="3F54846F">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014BE20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w:t>
      </w:r>
      <w:r>
        <w:rPr>
          <w:rFonts w:hint="eastAsia" w:ascii="仿宋_GB2312" w:eastAsia="仿宋_GB2312" w:cs="DengXian-Regular"/>
          <w:sz w:val="32"/>
          <w:szCs w:val="32"/>
          <w:lang w:eastAsia="zh-CN"/>
        </w:rPr>
        <w:t>我</w:t>
      </w:r>
      <w:r>
        <w:rPr>
          <w:rFonts w:hint="eastAsia" w:ascii="仿宋_GB2312" w:eastAsia="仿宋_GB2312" w:cs="DengXian-Regular"/>
          <w:sz w:val="32"/>
          <w:szCs w:val="32"/>
        </w:rPr>
        <w:t>单位沟通，绩效评价工作组以绩效预算架构为指导，以部门预算文本及相关资料为基础，制定了部门整体支出绩效评价指标体系。</w:t>
      </w:r>
    </w:p>
    <w:p w14:paraId="559D430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17B9D5CA">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7FB7273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6848AC0D">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0B5C5EE">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26D3C4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126400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4AEEAC58">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7BECD0DF">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9" w:name="_GoBack"/>
      <w:bookmarkEnd w:id="79"/>
      <w:r>
        <w:rPr>
          <w:rFonts w:hint="eastAsia" w:ascii="仿宋_GB2312" w:eastAsia="仿宋_GB2312" w:cs="DengXian-Regular"/>
          <w:sz w:val="32"/>
          <w:szCs w:val="32"/>
        </w:rPr>
        <w:t>。</w:t>
      </w:r>
    </w:p>
    <w:p w14:paraId="1C0FAC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58E8A999">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0BAE4E4D">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46CC77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568F1CD5">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4E304E4E">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47A11E88">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7C3631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4F11171C">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41F6703B">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380A21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54D4B2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36E73B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09EF0D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3F27E4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4B8954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5F1A51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5BD30296">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6FAD9A05">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1461F49B">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5EC604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60B9E0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0E15B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74AB6E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9D21E4A">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58F2D52B">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3EBB7EEC">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6390E134">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04D8F5B">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700CBCF0">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5852F6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E0D8E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B772E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14:paraId="611B73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1DA5B7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相关资料的收集，制定绩效评价实施方案和体系,确定最终方案。</w:t>
      </w:r>
    </w:p>
    <w:p w14:paraId="383923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0B16D5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58F6E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3C8BA4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5F4F33E">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10FC731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部门整体支出绩效评价总得分为</w:t>
      </w:r>
      <w:r>
        <w:rPr>
          <w:rFonts w:hint="default" w:ascii="仿宋_GB2312" w:eastAsia="仿宋_GB2312" w:cs="DengXian-Regular"/>
          <w:sz w:val="32"/>
          <w:szCs w:val="32"/>
          <w:highlight w:val="none"/>
          <w:lang w:val="en-US"/>
        </w:rPr>
        <w:t>92</w:t>
      </w:r>
      <w:r>
        <w:rPr>
          <w:rFonts w:hint="eastAsia" w:ascii="仿宋_GB2312" w:eastAsia="仿宋_GB2312" w:cs="DengXian-Regular"/>
          <w:sz w:val="32"/>
          <w:szCs w:val="32"/>
          <w:highlight w:val="none"/>
        </w:rPr>
        <w:t>分，综合绩效评价等级为“</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highlight w:val="none"/>
        </w:rPr>
        <w:t>”</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401A2C42">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40DE67D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p>
    <w:p w14:paraId="525E8162">
      <w:pPr>
        <w:spacing w:after="0" w:line="360" w:lineRule="auto"/>
        <w:ind w:firstLine="640" w:firstLineChars="200"/>
        <w:jc w:val="both"/>
        <w:textAlignment w:val="baseline"/>
        <w:rPr>
          <w:rFonts w:hint="eastAsia" w:ascii="仿宋_GB2312" w:eastAsia="仿宋_GB2312" w:cs="DengXian-Regular"/>
          <w:sz w:val="32"/>
          <w:szCs w:val="32"/>
        </w:rPr>
      </w:pPr>
    </w:p>
    <w:p w14:paraId="4DF6C636">
      <w:pPr>
        <w:spacing w:after="0" w:line="360" w:lineRule="auto"/>
        <w:ind w:firstLine="640" w:firstLineChars="200"/>
        <w:jc w:val="both"/>
        <w:textAlignment w:val="baseline"/>
        <w:rPr>
          <w:rFonts w:hint="eastAsia" w:ascii="仿宋_GB2312" w:eastAsia="仿宋_GB2312" w:cs="DengXian-Regular"/>
          <w:sz w:val="32"/>
          <w:szCs w:val="32"/>
        </w:rPr>
      </w:pPr>
    </w:p>
    <w:p w14:paraId="2C1062B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ab/>
      </w:r>
    </w:p>
    <w:p w14:paraId="5A3468D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2EA66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134956B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3311CB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5F0520A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7EA32B2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77F9FA7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5969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523F9E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27F0BCB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2BFF5F8C">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2DEE96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3885E5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A5D4EA5">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2</w:t>
            </w:r>
          </w:p>
        </w:tc>
      </w:tr>
      <w:tr w14:paraId="2E8B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BDE17D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F4D9BF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CE436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C101F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4F590CC">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2</w:t>
            </w:r>
          </w:p>
        </w:tc>
      </w:tr>
      <w:tr w14:paraId="5435A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5CEF2C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94E82B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228D8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E253C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33241B5">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2</w:t>
            </w:r>
          </w:p>
        </w:tc>
      </w:tr>
      <w:tr w14:paraId="26D5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421ED3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710CC7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60F0FE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4931CA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07387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D35243D">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2</w:t>
            </w:r>
          </w:p>
        </w:tc>
      </w:tr>
      <w:tr w14:paraId="34ECA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9EEDE4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54A540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613A5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557AA3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E51D7A0">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2</w:t>
            </w:r>
          </w:p>
        </w:tc>
      </w:tr>
      <w:tr w14:paraId="49ED4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4C5C40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957605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51897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5A12BE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8EF3E7B">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2</w:t>
            </w:r>
          </w:p>
        </w:tc>
      </w:tr>
      <w:tr w14:paraId="6B70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3A43397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304A151B">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05CA98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31CD7B0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14:paraId="2F411EF0">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13791C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22910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05A14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职能配置内设机构和人员编制规定》和保定市徐水区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6ED8CD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3C8F1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BB95F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B74D8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273AB0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455919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735D3708">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685306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4C5C89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120BD6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381041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1348B7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所有收入均已纳入部门预算，部门支出按基本支出、项目支出分别编制。</w:t>
      </w:r>
    </w:p>
    <w:p w14:paraId="4407EF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77A78F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13E563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7627EF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173A86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机关服务中心部门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4</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202.34</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202.24</w:t>
      </w:r>
      <w:r>
        <w:rPr>
          <w:rFonts w:hint="eastAsia" w:ascii="仿宋_GB2312" w:eastAsia="仿宋_GB2312" w:cs="DengXian-Regular"/>
          <w:sz w:val="32"/>
          <w:szCs w:val="32"/>
        </w:rPr>
        <w:t>/</w:t>
      </w:r>
      <w:r>
        <w:rPr>
          <w:rFonts w:hint="default" w:ascii="仿宋_GB2312" w:eastAsia="仿宋_GB2312" w:cs="DengXian-Regular"/>
          <w:sz w:val="32"/>
          <w:szCs w:val="32"/>
          <w:lang w:val="en-US"/>
        </w:rPr>
        <w:t>202.24</w:t>
      </w:r>
      <w:r>
        <w:rPr>
          <w:rFonts w:hint="eastAsia" w:ascii="仿宋_GB2312" w:eastAsia="仿宋_GB2312" w:cs="DengXian-Regular"/>
          <w:sz w:val="32"/>
          <w:szCs w:val="32"/>
        </w:rPr>
        <w:t>）*100%=100%</w:t>
      </w:r>
    </w:p>
    <w:p w14:paraId="55987F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0F5BF2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46E0A8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在职人员控制情况，通过在职人员控制率衡量。</w:t>
      </w:r>
    </w:p>
    <w:p w14:paraId="13D8DA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1B6F4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机关服务中心部门</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24</w:t>
      </w:r>
      <w:r>
        <w:rPr>
          <w:rFonts w:hint="eastAsia" w:ascii="仿宋_GB2312" w:eastAsia="仿宋_GB2312" w:cs="DengXian-Regular"/>
          <w:sz w:val="32"/>
          <w:szCs w:val="32"/>
        </w:rPr>
        <w:t>人，根据区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18</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18</w:t>
      </w:r>
      <w:r>
        <w:rPr>
          <w:rFonts w:hint="eastAsia" w:ascii="仿宋_GB2312" w:eastAsia="仿宋_GB2312" w:cs="DengXian-Regular"/>
          <w:sz w:val="32"/>
          <w:szCs w:val="32"/>
        </w:rPr>
        <w:t>/</w:t>
      </w:r>
      <w:r>
        <w:rPr>
          <w:rFonts w:hint="default" w:ascii="仿宋_GB2312" w:eastAsia="仿宋_GB2312" w:cs="DengXian-Regular"/>
          <w:sz w:val="32"/>
          <w:szCs w:val="32"/>
          <w:lang w:val="en-US"/>
        </w:rPr>
        <w:t>24</w:t>
      </w:r>
      <w:r>
        <w:rPr>
          <w:rFonts w:hint="eastAsia" w:ascii="仿宋_GB2312" w:eastAsia="仿宋_GB2312" w:cs="DengXian-Regular"/>
          <w:sz w:val="32"/>
          <w:szCs w:val="32"/>
        </w:rPr>
        <w:t>）*100%=</w:t>
      </w:r>
      <w:r>
        <w:rPr>
          <w:rFonts w:hint="default" w:ascii="仿宋_GB2312" w:eastAsia="仿宋_GB2312" w:cs="DengXian-Regular"/>
          <w:sz w:val="32"/>
          <w:szCs w:val="32"/>
          <w:lang w:val="en-US"/>
        </w:rPr>
        <w:t>75</w:t>
      </w:r>
      <w:r>
        <w:rPr>
          <w:rFonts w:hint="eastAsia" w:ascii="仿宋_GB2312" w:eastAsia="仿宋_GB2312" w:cs="DengXian-Regular"/>
          <w:sz w:val="32"/>
          <w:szCs w:val="32"/>
        </w:rPr>
        <w:t>%。</w:t>
      </w:r>
    </w:p>
    <w:p w14:paraId="2BC36A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14:paraId="75E79450">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4AFFC621">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348911B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49B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23DEC6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2E6F4E4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07D7833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36D2BA1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002322D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D94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41D4B5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69BD23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12911E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7CEB8D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768C5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00FA9A2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14:paraId="547A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6F7C7C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14F64DC">
            <w:pPr>
              <w:spacing w:line="420" w:lineRule="exact"/>
              <w:jc w:val="center"/>
              <w:rPr>
                <w:rFonts w:cs="宋体" w:asciiTheme="minorEastAsia" w:hAnsiTheme="minorEastAsia" w:eastAsiaTheme="minorEastAsia"/>
                <w:sz w:val="21"/>
                <w:szCs w:val="21"/>
              </w:rPr>
            </w:pPr>
          </w:p>
        </w:tc>
        <w:tc>
          <w:tcPr>
            <w:tcW w:w="2277" w:type="dxa"/>
            <w:vAlign w:val="center"/>
          </w:tcPr>
          <w:p w14:paraId="51E487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225415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2B7BE2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17D2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A90009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4EB4D7A">
            <w:pPr>
              <w:spacing w:line="420" w:lineRule="exact"/>
              <w:jc w:val="center"/>
              <w:rPr>
                <w:rFonts w:cs="宋体" w:asciiTheme="minorEastAsia" w:hAnsiTheme="minorEastAsia" w:eastAsiaTheme="minorEastAsia"/>
                <w:sz w:val="21"/>
                <w:szCs w:val="21"/>
              </w:rPr>
            </w:pPr>
          </w:p>
        </w:tc>
        <w:tc>
          <w:tcPr>
            <w:tcW w:w="2277" w:type="dxa"/>
            <w:vAlign w:val="center"/>
          </w:tcPr>
          <w:p w14:paraId="10DFEF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5FCF94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FD6060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w:t>
            </w:r>
          </w:p>
        </w:tc>
      </w:tr>
      <w:tr w14:paraId="75B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994E9C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616BDF8">
            <w:pPr>
              <w:spacing w:line="420" w:lineRule="exact"/>
              <w:jc w:val="center"/>
              <w:rPr>
                <w:rFonts w:cs="宋体" w:asciiTheme="minorEastAsia" w:hAnsiTheme="minorEastAsia" w:eastAsiaTheme="minorEastAsia"/>
                <w:sz w:val="21"/>
                <w:szCs w:val="21"/>
              </w:rPr>
            </w:pPr>
          </w:p>
        </w:tc>
        <w:tc>
          <w:tcPr>
            <w:tcW w:w="2277" w:type="dxa"/>
            <w:vAlign w:val="center"/>
          </w:tcPr>
          <w:p w14:paraId="4604D5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1B3587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F2A3774">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017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60AA2A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AA34CC9">
            <w:pPr>
              <w:spacing w:line="420" w:lineRule="exact"/>
              <w:jc w:val="center"/>
              <w:rPr>
                <w:rFonts w:cs="宋体" w:asciiTheme="minorEastAsia" w:hAnsiTheme="minorEastAsia" w:eastAsiaTheme="minorEastAsia"/>
                <w:sz w:val="21"/>
                <w:szCs w:val="21"/>
              </w:rPr>
            </w:pPr>
          </w:p>
        </w:tc>
        <w:tc>
          <w:tcPr>
            <w:tcW w:w="2277" w:type="dxa"/>
            <w:vAlign w:val="center"/>
          </w:tcPr>
          <w:p w14:paraId="06F383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255517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DCBDB0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77A6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exact"/>
          <w:jc w:val="center"/>
        </w:trPr>
        <w:tc>
          <w:tcPr>
            <w:tcW w:w="1557" w:type="dxa"/>
            <w:vMerge w:val="continue"/>
            <w:vAlign w:val="center"/>
          </w:tcPr>
          <w:p w14:paraId="295EB9A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D19CAD1">
            <w:pPr>
              <w:spacing w:line="420" w:lineRule="exact"/>
              <w:jc w:val="center"/>
              <w:rPr>
                <w:rFonts w:cs="宋体" w:asciiTheme="minorEastAsia" w:hAnsiTheme="minorEastAsia" w:eastAsiaTheme="minorEastAsia"/>
                <w:sz w:val="21"/>
                <w:szCs w:val="21"/>
              </w:rPr>
            </w:pPr>
          </w:p>
        </w:tc>
        <w:tc>
          <w:tcPr>
            <w:tcW w:w="2277" w:type="dxa"/>
            <w:vAlign w:val="center"/>
          </w:tcPr>
          <w:p w14:paraId="3665B9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18E12A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A939B3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w:t>
            </w:r>
          </w:p>
        </w:tc>
      </w:tr>
      <w:tr w14:paraId="7DA2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F9AB27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2D8C523">
            <w:pPr>
              <w:spacing w:line="420" w:lineRule="exact"/>
              <w:jc w:val="center"/>
              <w:rPr>
                <w:rFonts w:cs="宋体" w:asciiTheme="minorEastAsia" w:hAnsiTheme="minorEastAsia" w:eastAsiaTheme="minorEastAsia"/>
                <w:sz w:val="21"/>
                <w:szCs w:val="21"/>
              </w:rPr>
            </w:pPr>
          </w:p>
        </w:tc>
        <w:tc>
          <w:tcPr>
            <w:tcW w:w="2277" w:type="dxa"/>
            <w:vAlign w:val="center"/>
          </w:tcPr>
          <w:p w14:paraId="031466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5BE1CA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0D2B87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3515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9DCA12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C80C990">
            <w:pPr>
              <w:spacing w:line="420" w:lineRule="exact"/>
              <w:jc w:val="center"/>
              <w:rPr>
                <w:rFonts w:cs="宋体" w:asciiTheme="minorEastAsia" w:hAnsiTheme="minorEastAsia" w:eastAsiaTheme="minorEastAsia"/>
                <w:sz w:val="21"/>
                <w:szCs w:val="21"/>
              </w:rPr>
            </w:pPr>
          </w:p>
        </w:tc>
        <w:tc>
          <w:tcPr>
            <w:tcW w:w="2277" w:type="dxa"/>
            <w:vAlign w:val="center"/>
          </w:tcPr>
          <w:p w14:paraId="76E046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5E7370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796581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178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3B301C9">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41DCE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3E24E1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30AD95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596DD2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A204B5F">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14:paraId="7D4A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003F8C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02CE079">
            <w:pPr>
              <w:spacing w:line="420" w:lineRule="exact"/>
              <w:jc w:val="center"/>
              <w:rPr>
                <w:rFonts w:cs="宋体" w:asciiTheme="minorEastAsia" w:hAnsiTheme="minorEastAsia" w:eastAsiaTheme="minorEastAsia"/>
                <w:sz w:val="21"/>
                <w:szCs w:val="21"/>
              </w:rPr>
            </w:pPr>
          </w:p>
        </w:tc>
        <w:tc>
          <w:tcPr>
            <w:tcW w:w="2277" w:type="dxa"/>
            <w:vAlign w:val="center"/>
          </w:tcPr>
          <w:p w14:paraId="131CFA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E7FFD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1658491">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14:paraId="3807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7E954A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CEA723">
            <w:pPr>
              <w:spacing w:line="420" w:lineRule="exact"/>
              <w:jc w:val="center"/>
              <w:rPr>
                <w:rFonts w:cs="宋体" w:asciiTheme="minorEastAsia" w:hAnsiTheme="minorEastAsia" w:eastAsiaTheme="minorEastAsia"/>
                <w:sz w:val="21"/>
                <w:szCs w:val="21"/>
              </w:rPr>
            </w:pPr>
          </w:p>
        </w:tc>
        <w:tc>
          <w:tcPr>
            <w:tcW w:w="2277" w:type="dxa"/>
            <w:vAlign w:val="center"/>
          </w:tcPr>
          <w:p w14:paraId="12393F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573D4B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63D8E31">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14:paraId="6564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D56E53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78976D8">
            <w:pPr>
              <w:spacing w:line="420" w:lineRule="exact"/>
              <w:jc w:val="center"/>
              <w:rPr>
                <w:rFonts w:cs="宋体" w:asciiTheme="minorEastAsia" w:hAnsiTheme="minorEastAsia" w:eastAsiaTheme="minorEastAsia"/>
                <w:sz w:val="21"/>
                <w:szCs w:val="21"/>
              </w:rPr>
            </w:pPr>
          </w:p>
        </w:tc>
        <w:tc>
          <w:tcPr>
            <w:tcW w:w="2277" w:type="dxa"/>
            <w:vAlign w:val="center"/>
          </w:tcPr>
          <w:p w14:paraId="7FFA41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1AE3C5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24352E4">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14:paraId="7486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5569C871">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B7A5F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08E198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292AA3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AE12F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9032016">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14:paraId="5F01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16AA98D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B4B7C77">
            <w:pPr>
              <w:spacing w:line="420" w:lineRule="exact"/>
              <w:jc w:val="center"/>
              <w:rPr>
                <w:rFonts w:cs="宋体" w:asciiTheme="minorEastAsia" w:hAnsiTheme="minorEastAsia" w:eastAsiaTheme="minorEastAsia"/>
                <w:sz w:val="21"/>
                <w:szCs w:val="21"/>
              </w:rPr>
            </w:pPr>
          </w:p>
        </w:tc>
        <w:tc>
          <w:tcPr>
            <w:tcW w:w="2277" w:type="dxa"/>
            <w:vAlign w:val="center"/>
          </w:tcPr>
          <w:p w14:paraId="6F7B86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487796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95E02D9">
            <w:pPr>
              <w:spacing w:line="420" w:lineRule="exact"/>
              <w:jc w:val="center"/>
              <w:rPr>
                <w:rFonts w:cs="宋体" w:asciiTheme="minorEastAsia" w:hAnsiTheme="minorEastAsia" w:eastAsiaTheme="minorEastAsia"/>
                <w:sz w:val="21"/>
                <w:szCs w:val="21"/>
                <w:lang w:val="en-US" w:eastAsia="zh-CN" w:bidi="ar-SA"/>
              </w:rPr>
            </w:pPr>
            <w:r>
              <w:rPr>
                <w:rFonts w:hint="default" w:cs="宋体" w:asciiTheme="minorEastAsia" w:hAnsiTheme="minorEastAsia" w:eastAsiaTheme="minorEastAsia"/>
                <w:sz w:val="21"/>
                <w:szCs w:val="21"/>
                <w:lang w:val="en-US"/>
              </w:rPr>
              <w:t>3</w:t>
            </w:r>
          </w:p>
        </w:tc>
      </w:tr>
      <w:tr w14:paraId="23DF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2FC014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69925EE">
            <w:pPr>
              <w:spacing w:line="420" w:lineRule="exact"/>
              <w:jc w:val="center"/>
              <w:rPr>
                <w:rFonts w:cs="宋体" w:asciiTheme="minorEastAsia" w:hAnsiTheme="minorEastAsia" w:eastAsiaTheme="minorEastAsia"/>
                <w:sz w:val="21"/>
                <w:szCs w:val="21"/>
              </w:rPr>
            </w:pPr>
          </w:p>
        </w:tc>
        <w:tc>
          <w:tcPr>
            <w:tcW w:w="1155" w:type="dxa"/>
            <w:vAlign w:val="center"/>
          </w:tcPr>
          <w:p w14:paraId="602DC8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418164D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42</w:t>
            </w:r>
          </w:p>
        </w:tc>
      </w:tr>
      <w:bookmarkEnd w:id="63"/>
    </w:tbl>
    <w:p w14:paraId="0E4C56A0">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3985BE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006C03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296D41C6">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预算收入调整率=（调整预算数-年初预算数）/年初预算数*100%</w:t>
      </w:r>
    </w:p>
    <w:p w14:paraId="622F78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的预算指标文件，其中：徐财预指[2022]1-1057号追加徐水区政府西院维修改造项目经费</w:t>
      </w:r>
      <w:r>
        <w:rPr>
          <w:rFonts w:hint="default" w:ascii="仿宋_GB2312" w:eastAsia="仿宋_GB2312" w:cs="DengXian-Regular"/>
          <w:sz w:val="32"/>
          <w:szCs w:val="32"/>
          <w:lang w:val="en-US"/>
        </w:rPr>
        <w:t>363.57</w:t>
      </w:r>
      <w:r>
        <w:rPr>
          <w:rFonts w:hint="eastAsia" w:ascii="仿宋_GB2312" w:eastAsia="仿宋_GB2312" w:cs="DengXian-Regular"/>
          <w:sz w:val="32"/>
          <w:szCs w:val="32"/>
        </w:rPr>
        <w:t>万元；徐财预指[2022]1-1067号追加区政府西院暖气管道及水管维修项目</w:t>
      </w:r>
      <w:r>
        <w:rPr>
          <w:rFonts w:hint="eastAsia" w:ascii="仿宋_GB2312" w:eastAsia="仿宋_GB2312" w:cs="DengXian-Regular"/>
          <w:sz w:val="32"/>
          <w:szCs w:val="32"/>
          <w:lang w:eastAsia="zh-CN"/>
        </w:rPr>
        <w:t>经</w:t>
      </w:r>
      <w:r>
        <w:rPr>
          <w:rFonts w:hint="eastAsia" w:ascii="仿宋_GB2312" w:eastAsia="仿宋_GB2312" w:cs="DengXian-Regular"/>
          <w:sz w:val="32"/>
          <w:szCs w:val="32"/>
        </w:rPr>
        <w:t>费24.31万元；徐财预指[2022]1-1162号追加区政府院内绿化改造项目资金经费</w:t>
      </w:r>
      <w:r>
        <w:rPr>
          <w:rFonts w:hint="default" w:ascii="仿宋_GB2312" w:eastAsia="仿宋_GB2312" w:cs="DengXian-Regular"/>
          <w:sz w:val="32"/>
          <w:szCs w:val="32"/>
          <w:lang w:val="en-US"/>
        </w:rPr>
        <w:t>11.51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；徐财预指[2022]1-1163号</w:t>
      </w:r>
      <w:r>
        <w:rPr>
          <w:rFonts w:hint="eastAsia" w:ascii="仿宋_GB2312" w:eastAsia="仿宋_GB2312" w:cs="DengXian-Regular"/>
          <w:sz w:val="32"/>
          <w:szCs w:val="32"/>
        </w:rPr>
        <w:t>追加追加后勤保障经费</w:t>
      </w:r>
      <w:r>
        <w:rPr>
          <w:rFonts w:hint="default" w:ascii="仿宋_GB2312" w:eastAsia="仿宋_GB2312" w:cs="DengXian-Regular"/>
          <w:sz w:val="32"/>
          <w:szCs w:val="32"/>
          <w:lang w:val="en-US"/>
        </w:rPr>
        <w:t>7.88</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lang w:eastAsia="zh-CN"/>
        </w:rPr>
        <w:t>；徐财预指[2022]1-1264号追加追加晨阳专班后勤保障经费</w:t>
      </w:r>
      <w:r>
        <w:rPr>
          <w:rFonts w:hint="default" w:ascii="仿宋_GB2312" w:eastAsia="仿宋_GB2312" w:cs="DengXian-Regular"/>
          <w:sz w:val="32"/>
          <w:szCs w:val="32"/>
          <w:lang w:val="en-US" w:eastAsia="zh-CN"/>
        </w:rPr>
        <w:t>5.00</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；徐财预指[2022]1-1288号追加拨付机关服务中心后勤保障服务经费</w:t>
      </w:r>
      <w:r>
        <w:rPr>
          <w:rFonts w:hint="default" w:ascii="仿宋_GB2312" w:eastAsia="仿宋_GB2312" w:cs="DengXian-Regular"/>
          <w:sz w:val="32"/>
          <w:szCs w:val="32"/>
          <w:lang w:val="en-US" w:eastAsia="zh-CN"/>
        </w:rPr>
        <w:t>1.20</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lang w:eastAsia="zh-CN"/>
        </w:rPr>
        <w:t>；徐财预指[2022]1-1338号追加机关服务中心取暖费</w:t>
      </w:r>
      <w:r>
        <w:rPr>
          <w:rFonts w:hint="default" w:ascii="仿宋_GB2312" w:eastAsia="仿宋_GB2312" w:cs="DengXian-Regular"/>
          <w:sz w:val="32"/>
          <w:szCs w:val="32"/>
          <w:lang w:val="en-US" w:eastAsia="zh-CN"/>
        </w:rPr>
        <w:t>79.76</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lang w:eastAsia="zh-CN"/>
        </w:rPr>
        <w:t>；徐财预指[2022]1-1243号追加拨付机关服务中心购置供电设备资金</w:t>
      </w:r>
      <w:r>
        <w:rPr>
          <w:rFonts w:hint="default" w:ascii="仿宋_GB2312" w:eastAsia="仿宋_GB2312" w:cs="DengXian-Regular"/>
          <w:sz w:val="32"/>
          <w:szCs w:val="32"/>
          <w:lang w:val="en-US" w:eastAsia="zh-CN"/>
        </w:rPr>
        <w:t>27.83</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lang w:eastAsia="zh-CN"/>
        </w:rPr>
        <w:t>；徐财预指[2022]1-1387号追加机关服务中心平台租赁车辆资金</w:t>
      </w:r>
      <w:r>
        <w:rPr>
          <w:rFonts w:hint="default" w:ascii="仿宋_GB2312" w:eastAsia="仿宋_GB2312" w:cs="DengXian-Regular"/>
          <w:sz w:val="32"/>
          <w:szCs w:val="32"/>
          <w:lang w:val="en-US" w:eastAsia="zh-CN"/>
        </w:rPr>
        <w:t>24.78</w:t>
      </w:r>
      <w:r>
        <w:rPr>
          <w:rFonts w:hint="eastAsia" w:ascii="仿宋_GB2312" w:eastAsia="仿宋_GB2312" w:cs="DengXian-Regular"/>
          <w:sz w:val="32"/>
          <w:szCs w:val="32"/>
          <w:lang w:val="en-US" w:eastAsia="zh-CN"/>
        </w:rPr>
        <w:t>万元徐财预指[2022]1-1355号追加机关服务中心更换两个伸缩门资金</w:t>
      </w:r>
      <w:r>
        <w:rPr>
          <w:rFonts w:hint="default" w:ascii="仿宋_GB2312" w:eastAsia="仿宋_GB2312" w:cs="DengXian-Regular"/>
          <w:sz w:val="32"/>
          <w:szCs w:val="32"/>
          <w:lang w:val="en-US" w:eastAsia="zh-CN"/>
        </w:rPr>
        <w:t>7.99</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lang w:eastAsia="zh-CN"/>
        </w:rPr>
        <w:t>；徐财预指[2022]1-1421号追加追加政府机关大院取暖费</w:t>
      </w:r>
      <w:r>
        <w:rPr>
          <w:rFonts w:hint="default" w:ascii="仿宋_GB2312" w:eastAsia="仿宋_GB2312" w:cs="DengXian-Regular"/>
          <w:sz w:val="32"/>
          <w:szCs w:val="32"/>
          <w:lang w:val="en-US" w:eastAsia="zh-CN"/>
        </w:rPr>
        <w:t>60.00</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613.84</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202.34</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303.37</w:t>
      </w:r>
      <w:r>
        <w:rPr>
          <w:rFonts w:hint="eastAsia" w:ascii="仿宋_GB2312" w:eastAsia="仿宋_GB2312" w:cs="DengXian-Regular"/>
          <w:sz w:val="32"/>
          <w:szCs w:val="32"/>
        </w:rPr>
        <w:t>%。</w:t>
      </w:r>
    </w:p>
    <w:p w14:paraId="5CDA1A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14:paraId="715F99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505EEF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60BBBB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20B269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1027.24</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1639.09</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159.56</w:t>
      </w:r>
      <w:r>
        <w:rPr>
          <w:rFonts w:hint="eastAsia" w:ascii="仿宋_GB2312" w:eastAsia="仿宋_GB2312" w:cs="DengXian-Regular"/>
          <w:sz w:val="32"/>
          <w:szCs w:val="32"/>
        </w:rPr>
        <w:t>%。</w:t>
      </w:r>
    </w:p>
    <w:p w14:paraId="5B9D37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2CA312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5D2FA1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7B1D2F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63AA88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提供的保定市财政局下发的预算指标文件，其中：徐财预指[2022]1-1057号追加徐水区政府西院维修改造项目经费</w:t>
      </w:r>
      <w:r>
        <w:rPr>
          <w:rFonts w:hint="eastAsia" w:ascii="仿宋_GB2312" w:eastAsia="仿宋_GB2312" w:cs="DengXian-Regular"/>
          <w:sz w:val="32"/>
          <w:szCs w:val="32"/>
          <w:lang w:val="en-US"/>
        </w:rPr>
        <w:t>363.57</w:t>
      </w:r>
      <w:r>
        <w:rPr>
          <w:rFonts w:hint="eastAsia" w:ascii="仿宋_GB2312" w:eastAsia="仿宋_GB2312" w:cs="DengXian-Regular"/>
          <w:sz w:val="32"/>
          <w:szCs w:val="32"/>
        </w:rPr>
        <w:t>万元；徐财预指[2022]1-1067号追加区政府西院暖气管道及水管维修项目</w:t>
      </w:r>
      <w:r>
        <w:rPr>
          <w:rFonts w:hint="eastAsia" w:ascii="仿宋_GB2312" w:eastAsia="仿宋_GB2312" w:cs="DengXian-Regular"/>
          <w:sz w:val="32"/>
          <w:szCs w:val="32"/>
          <w:lang w:eastAsia="zh-CN"/>
        </w:rPr>
        <w:t>经</w:t>
      </w:r>
      <w:r>
        <w:rPr>
          <w:rFonts w:hint="eastAsia" w:ascii="仿宋_GB2312" w:eastAsia="仿宋_GB2312" w:cs="DengXian-Regular"/>
          <w:sz w:val="32"/>
          <w:szCs w:val="32"/>
        </w:rPr>
        <w:t>费24.31万元；徐财预指[2022]1-1162号追加区政府院内绿化改造项目资金经费</w:t>
      </w:r>
      <w:r>
        <w:rPr>
          <w:rFonts w:hint="eastAsia" w:ascii="仿宋_GB2312" w:eastAsia="仿宋_GB2312" w:cs="DengXian-Regular"/>
          <w:sz w:val="32"/>
          <w:szCs w:val="32"/>
          <w:lang w:val="en-US"/>
        </w:rPr>
        <w:t>11.51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；徐财预指[2022]1-1163号</w:t>
      </w:r>
      <w:r>
        <w:rPr>
          <w:rFonts w:hint="eastAsia" w:ascii="仿宋_GB2312" w:eastAsia="仿宋_GB2312" w:cs="DengXian-Regular"/>
          <w:sz w:val="32"/>
          <w:szCs w:val="32"/>
        </w:rPr>
        <w:t>追加追加后勤保障经费</w:t>
      </w:r>
      <w:r>
        <w:rPr>
          <w:rFonts w:hint="eastAsia" w:ascii="仿宋_GB2312" w:eastAsia="仿宋_GB2312" w:cs="DengXian-Regular"/>
          <w:sz w:val="32"/>
          <w:szCs w:val="32"/>
          <w:lang w:val="en-US"/>
        </w:rPr>
        <w:t>7.88</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lang w:eastAsia="zh-CN"/>
        </w:rPr>
        <w:t>；徐财预指[2022]1-1264号追加追加晨阳专班后勤保障经费</w:t>
      </w:r>
      <w:r>
        <w:rPr>
          <w:rFonts w:hint="eastAsia" w:ascii="仿宋_GB2312" w:eastAsia="仿宋_GB2312" w:cs="DengXian-Regular"/>
          <w:sz w:val="32"/>
          <w:szCs w:val="32"/>
          <w:lang w:val="en-US" w:eastAsia="zh-CN"/>
        </w:rPr>
        <w:t>5.00万元</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；徐财预指[2022]1-1288号追加拨付机关服务中心后勤保障服务经费</w:t>
      </w:r>
      <w:r>
        <w:rPr>
          <w:rFonts w:hint="eastAsia" w:ascii="仿宋_GB2312" w:eastAsia="仿宋_GB2312" w:cs="DengXian-Regular"/>
          <w:sz w:val="32"/>
          <w:szCs w:val="32"/>
          <w:lang w:val="en-US" w:eastAsia="zh-CN"/>
        </w:rPr>
        <w:t>1.20万元</w:t>
      </w:r>
      <w:r>
        <w:rPr>
          <w:rFonts w:hint="eastAsia" w:ascii="仿宋_GB2312" w:eastAsia="仿宋_GB2312" w:cs="DengXian-Regular"/>
          <w:sz w:val="32"/>
          <w:szCs w:val="32"/>
          <w:lang w:eastAsia="zh-CN"/>
        </w:rPr>
        <w:t>；徐财预指[2022]1-1338号追加机关服务中心取暖费</w:t>
      </w:r>
      <w:r>
        <w:rPr>
          <w:rFonts w:hint="eastAsia" w:ascii="仿宋_GB2312" w:eastAsia="仿宋_GB2312" w:cs="DengXian-Regular"/>
          <w:sz w:val="32"/>
          <w:szCs w:val="32"/>
          <w:lang w:val="en-US" w:eastAsia="zh-CN"/>
        </w:rPr>
        <w:t>79.76万元</w:t>
      </w:r>
      <w:r>
        <w:rPr>
          <w:rFonts w:hint="eastAsia" w:ascii="仿宋_GB2312" w:eastAsia="仿宋_GB2312" w:cs="DengXian-Regular"/>
          <w:sz w:val="32"/>
          <w:szCs w:val="32"/>
          <w:lang w:eastAsia="zh-CN"/>
        </w:rPr>
        <w:t>；徐财预指[2022]1-1243号追加拨付机关服务中心购置供电设备资金</w:t>
      </w:r>
      <w:r>
        <w:rPr>
          <w:rFonts w:hint="eastAsia" w:ascii="仿宋_GB2312" w:eastAsia="仿宋_GB2312" w:cs="DengXian-Regular"/>
          <w:sz w:val="32"/>
          <w:szCs w:val="32"/>
          <w:lang w:val="en-US" w:eastAsia="zh-CN"/>
        </w:rPr>
        <w:t>27.83万元</w:t>
      </w:r>
      <w:r>
        <w:rPr>
          <w:rFonts w:hint="eastAsia" w:ascii="仿宋_GB2312" w:eastAsia="仿宋_GB2312" w:cs="DengXian-Regular"/>
          <w:sz w:val="32"/>
          <w:szCs w:val="32"/>
          <w:lang w:eastAsia="zh-CN"/>
        </w:rPr>
        <w:t>；徐财预指[2022]1-1387号追加机关服务中心平台租赁车辆资金</w:t>
      </w:r>
      <w:r>
        <w:rPr>
          <w:rFonts w:hint="eastAsia" w:ascii="仿宋_GB2312" w:eastAsia="仿宋_GB2312" w:cs="DengXian-Regular"/>
          <w:sz w:val="32"/>
          <w:szCs w:val="32"/>
          <w:lang w:val="en-US" w:eastAsia="zh-CN"/>
        </w:rPr>
        <w:t>24.78万元徐财预指[2022]1-1355号追加机关服务中心更换两个伸缩门资金7.99万元</w:t>
      </w:r>
      <w:r>
        <w:rPr>
          <w:rFonts w:hint="eastAsia" w:ascii="仿宋_GB2312" w:eastAsia="仿宋_GB2312" w:cs="DengXian-Regular"/>
          <w:sz w:val="32"/>
          <w:szCs w:val="32"/>
          <w:lang w:eastAsia="zh-CN"/>
        </w:rPr>
        <w:t>；徐财预指[2022]1-1421号追加追加政府机关大院取暖费</w:t>
      </w:r>
      <w:r>
        <w:rPr>
          <w:rFonts w:hint="eastAsia" w:ascii="仿宋_GB2312" w:eastAsia="仿宋_GB2312" w:cs="DengXian-Regular"/>
          <w:sz w:val="32"/>
          <w:szCs w:val="32"/>
          <w:lang w:val="en-US" w:eastAsia="zh-CN"/>
        </w:rPr>
        <w:t>60.00万元</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202</w:t>
      </w:r>
      <w:r>
        <w:rPr>
          <w:rFonts w:hint="eastAsia" w:ascii="仿宋_GB2312" w:eastAsia="仿宋_GB2312" w:cs="DengXian-Regular"/>
          <w:sz w:val="32"/>
          <w:szCs w:val="32"/>
          <w:lang w:val="en-US"/>
        </w:rPr>
        <w:t>2</w:t>
      </w:r>
      <w:r>
        <w:rPr>
          <w:rFonts w:hint="eastAsia" w:ascii="仿宋_GB2312" w:eastAsia="仿宋_GB2312" w:cs="DengXian-Regular"/>
          <w:sz w:val="32"/>
          <w:szCs w:val="32"/>
        </w:rPr>
        <w:t>年度预算收入的追加数为</w:t>
      </w:r>
      <w:r>
        <w:rPr>
          <w:rFonts w:hint="eastAsia" w:ascii="仿宋_GB2312" w:eastAsia="仿宋_GB2312" w:cs="DengXian-Regular"/>
          <w:sz w:val="32"/>
          <w:szCs w:val="32"/>
          <w:lang w:val="en-US"/>
        </w:rPr>
        <w:t>613.84</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rPr>
        <w:t>202.34</w:t>
      </w:r>
      <w:r>
        <w:rPr>
          <w:rFonts w:hint="eastAsia" w:ascii="仿宋_GB2312" w:eastAsia="仿宋_GB2312" w:cs="DengXian-Regular"/>
          <w:sz w:val="32"/>
          <w:szCs w:val="32"/>
        </w:rPr>
        <w:t>万元，预算收入调整率为</w:t>
      </w:r>
      <w:r>
        <w:rPr>
          <w:rFonts w:hint="eastAsia" w:ascii="仿宋_GB2312" w:eastAsia="仿宋_GB2312" w:cs="DengXian-Regular"/>
          <w:sz w:val="32"/>
          <w:szCs w:val="32"/>
          <w:lang w:val="en-US"/>
        </w:rPr>
        <w:t>303.37</w:t>
      </w:r>
      <w:r>
        <w:rPr>
          <w:rFonts w:hint="eastAsia" w:ascii="仿宋_GB2312" w:eastAsia="仿宋_GB2312" w:cs="DengXian-Regular"/>
          <w:sz w:val="32"/>
          <w:szCs w:val="32"/>
        </w:rPr>
        <w:t>%。</w:t>
      </w:r>
    </w:p>
    <w:p w14:paraId="0BAA74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1</w:t>
      </w:r>
      <w:r>
        <w:rPr>
          <w:rFonts w:hint="eastAsia" w:ascii="仿宋_GB2312" w:eastAsia="仿宋_GB2312" w:cs="DengXian-Regular"/>
          <w:sz w:val="32"/>
          <w:szCs w:val="32"/>
        </w:rPr>
        <w:t>分。</w:t>
      </w:r>
    </w:p>
    <w:p w14:paraId="48F7B7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D7CD7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AF08F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1D88CF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年决算文本，部门决算财政拨款支出数1639</w:t>
      </w:r>
      <w:r>
        <w:rPr>
          <w:rFonts w:hint="default" w:ascii="仿宋_GB2312" w:eastAsia="仿宋_GB2312" w:cs="DengXian-Regular"/>
          <w:sz w:val="32"/>
          <w:szCs w:val="32"/>
          <w:lang w:val="en-US"/>
        </w:rPr>
        <w:t>.</w:t>
      </w:r>
      <w:r>
        <w:rPr>
          <w:rFonts w:hint="eastAsia" w:ascii="仿宋_GB2312" w:eastAsia="仿宋_GB2312" w:cs="DengXian-Regular"/>
          <w:sz w:val="32"/>
          <w:szCs w:val="32"/>
        </w:rPr>
        <w:t>0</w:t>
      </w:r>
      <w:r>
        <w:rPr>
          <w:rFonts w:hint="default" w:ascii="仿宋_GB2312" w:eastAsia="仿宋_GB2312" w:cs="DengXian-Regular"/>
          <w:sz w:val="32"/>
          <w:szCs w:val="32"/>
          <w:lang w:val="en-US"/>
        </w:rPr>
        <w:t>9</w:t>
      </w:r>
      <w:r>
        <w:rPr>
          <w:rFonts w:hint="eastAsia" w:ascii="仿宋_GB2312" w:eastAsia="仿宋_GB2312" w:cs="DengXian-Regular"/>
          <w:sz w:val="32"/>
          <w:szCs w:val="32"/>
        </w:rPr>
        <w:t>万元，财政拨款收入数1639</w:t>
      </w:r>
      <w:r>
        <w:rPr>
          <w:rFonts w:hint="default" w:ascii="仿宋_GB2312" w:eastAsia="仿宋_GB2312" w:cs="DengXian-Regular"/>
          <w:sz w:val="32"/>
          <w:szCs w:val="32"/>
          <w:lang w:val="en-US"/>
        </w:rPr>
        <w:t>.</w:t>
      </w:r>
      <w:r>
        <w:rPr>
          <w:rFonts w:hint="eastAsia" w:ascii="仿宋_GB2312" w:eastAsia="仿宋_GB2312" w:cs="DengXian-Regular"/>
          <w:sz w:val="32"/>
          <w:szCs w:val="32"/>
        </w:rPr>
        <w:t>0</w:t>
      </w:r>
      <w:r>
        <w:rPr>
          <w:rFonts w:hint="default" w:ascii="仿宋_GB2312" w:eastAsia="仿宋_GB2312" w:cs="DengXian-Regular"/>
          <w:sz w:val="32"/>
          <w:szCs w:val="32"/>
          <w:lang w:val="en-US"/>
        </w:rPr>
        <w:t>9</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万元，故支出数</w:t>
      </w:r>
      <w:r>
        <w:rPr>
          <w:rFonts w:hint="eastAsia" w:ascii="仿宋_GB2312" w:eastAsia="仿宋_GB2312" w:cs="DengXian-Regular"/>
          <w:sz w:val="32"/>
          <w:szCs w:val="32"/>
          <w:lang w:eastAsia="zh-CN"/>
        </w:rPr>
        <w:t>等于</w:t>
      </w:r>
      <w:r>
        <w:rPr>
          <w:rFonts w:hint="eastAsia" w:ascii="仿宋_GB2312" w:eastAsia="仿宋_GB2312" w:cs="DengXian-Regular"/>
          <w:sz w:val="32"/>
          <w:szCs w:val="32"/>
        </w:rPr>
        <w:t>于收入数。</w:t>
      </w:r>
    </w:p>
    <w:p w14:paraId="02FFA0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3858C4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3BDF01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24F693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36CA4F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2.43</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0.96</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39.61</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52A6F0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5AEC75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361C5C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2137BA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508BF3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456.26</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0</w:t>
      </w:r>
      <w:r>
        <w:rPr>
          <w:rFonts w:hint="eastAsia" w:ascii="仿宋_GB2312" w:eastAsia="仿宋_GB2312" w:cs="DengXian-Regular"/>
          <w:sz w:val="32"/>
          <w:szCs w:val="32"/>
        </w:rPr>
        <w:t>。</w:t>
      </w:r>
    </w:p>
    <w:p w14:paraId="28465F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14:paraId="152F29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63B3A8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2DE609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2288E1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0E6FAD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46E9CA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09C1F6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年决算文本、明细账及总账，</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决算文本数据均与明细账、总账一致。</w:t>
      </w:r>
    </w:p>
    <w:p w14:paraId="15B267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394A3A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9D692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4E56DC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A0CF5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工作制度涵盖了财务制度、网络安全制度、公务用车制度等相关制度，经检查</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付款流程审批单、资产盘点表等资料，</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已按照相关管理制度的规定执行。</w:t>
      </w:r>
    </w:p>
    <w:p w14:paraId="52AE7F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53D8BF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36FF1D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510396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年按政府信息公开的有关要求在保定市徐水区人民政府网公开了</w:t>
      </w:r>
      <w:r>
        <w:rPr>
          <w:rFonts w:hint="default" w:ascii="仿宋_GB2312" w:eastAsia="仿宋_GB2312" w:cs="DengXian-Regular"/>
          <w:sz w:val="32"/>
          <w:szCs w:val="32"/>
          <w:lang w:val="en-US"/>
        </w:rPr>
        <w:t>2022</w:t>
      </w:r>
      <w:r>
        <w:rPr>
          <w:rFonts w:hint="eastAsia" w:ascii="仿宋_GB2312" w:eastAsia="仿宋_GB2312" w:cs="DengXian-Regular"/>
          <w:sz w:val="32"/>
          <w:szCs w:val="32"/>
        </w:rPr>
        <w:t>年的预决算情况、部门责任清单、行政监督清单等相关信息。</w:t>
      </w:r>
    </w:p>
    <w:p w14:paraId="1FA789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0850E7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3ED14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6CBD63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提供的会计账簿、凭证及其他相关资料，</w:t>
      </w: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会计信息资料真实完整，</w:t>
      </w:r>
    </w:p>
    <w:p w14:paraId="46F285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78B394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136B8A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598822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建立了固定资产台账、无形资产台账，资产保存完整，</w:t>
      </w:r>
      <w:r>
        <w:rPr>
          <w:rFonts w:hint="default" w:ascii="仿宋_GB2312" w:eastAsia="仿宋_GB2312" w:cs="DengXian-Regular"/>
          <w:sz w:val="32"/>
          <w:szCs w:val="32"/>
          <w:lang w:val="en-US"/>
        </w:rPr>
        <w:t>2022</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89.77</w:t>
      </w:r>
      <w:r>
        <w:rPr>
          <w:rFonts w:hint="eastAsia" w:ascii="仿宋_GB2312" w:eastAsia="仿宋_GB2312" w:cs="DengXian-Regular"/>
          <w:sz w:val="32"/>
          <w:szCs w:val="32"/>
        </w:rPr>
        <w:t>万元，包含：</w:t>
      </w:r>
      <w:r>
        <w:rPr>
          <w:rFonts w:hint="eastAsia" w:ascii="仿宋_GB2312" w:eastAsia="仿宋_GB2312" w:cs="DengXian-Regular"/>
          <w:sz w:val="32"/>
          <w:szCs w:val="32"/>
          <w:lang w:eastAsia="zh-CN"/>
        </w:rPr>
        <w:t>通用设备</w:t>
      </w:r>
      <w:r>
        <w:rPr>
          <w:rFonts w:hint="eastAsia" w:ascii="仿宋_GB2312" w:eastAsia="仿宋_GB2312" w:cs="DengXian-Regular"/>
          <w:sz w:val="32"/>
          <w:szCs w:val="32"/>
        </w:rPr>
        <w:t>（</w:t>
      </w:r>
      <w:r>
        <w:rPr>
          <w:rFonts w:hint="default" w:ascii="仿宋_GB2312" w:eastAsia="仿宋_GB2312" w:cs="DengXian-Regular"/>
          <w:sz w:val="32"/>
          <w:szCs w:val="32"/>
          <w:lang w:val="en-US"/>
        </w:rPr>
        <w:t>43.45</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办公家具及用具</w:t>
      </w:r>
      <w:r>
        <w:rPr>
          <w:rFonts w:hint="eastAsia" w:ascii="仿宋_GB2312" w:eastAsia="仿宋_GB2312" w:cs="DengXian-Regular"/>
          <w:sz w:val="32"/>
          <w:szCs w:val="32"/>
        </w:rPr>
        <w:t>（</w:t>
      </w:r>
      <w:r>
        <w:rPr>
          <w:rFonts w:hint="default" w:ascii="仿宋_GB2312" w:eastAsia="仿宋_GB2312" w:cs="DengXian-Regular"/>
          <w:sz w:val="32"/>
          <w:szCs w:val="32"/>
          <w:lang w:val="en-US"/>
        </w:rPr>
        <w:t>46.32</w:t>
      </w:r>
      <w:r>
        <w:rPr>
          <w:rFonts w:hint="eastAsia" w:ascii="仿宋_GB2312" w:eastAsia="仿宋_GB2312" w:cs="DengXian-Regular"/>
          <w:sz w:val="32"/>
          <w:szCs w:val="32"/>
        </w:rPr>
        <w:t>万元），资产购置手续完备，配置符合要求，资产管理整体较规范。</w:t>
      </w:r>
    </w:p>
    <w:p w14:paraId="479509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538CD6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0A4537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6FA265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1B7074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515C1D6D">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年一般项目部门绩效自评表，</w:t>
      </w: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年开展绩效自评的项</w:t>
      </w:r>
      <w:r>
        <w:rPr>
          <w:rFonts w:hint="eastAsia" w:ascii="仿宋_GB2312" w:eastAsia="仿宋_GB2312" w:cs="DengXian-Regular"/>
          <w:sz w:val="32"/>
          <w:szCs w:val="32"/>
          <w:highlight w:val="none"/>
        </w:rPr>
        <w:t>目数为</w:t>
      </w:r>
      <w:r>
        <w:rPr>
          <w:rFonts w:hint="default" w:ascii="仿宋_GB2312" w:eastAsia="仿宋_GB2312" w:cs="DengXian-Regular"/>
          <w:sz w:val="32"/>
          <w:szCs w:val="32"/>
          <w:highlight w:val="none"/>
          <w:lang w:val="en-US"/>
        </w:rPr>
        <w:t>4</w:t>
      </w:r>
      <w:r>
        <w:rPr>
          <w:rFonts w:hint="eastAsia" w:ascii="仿宋_GB2312" w:eastAsia="仿宋_GB2312" w:cs="DengXian-Regular"/>
          <w:sz w:val="32"/>
          <w:szCs w:val="32"/>
          <w:highlight w:val="none"/>
        </w:rPr>
        <w:t>个，年初预算文本项目数</w:t>
      </w:r>
      <w:r>
        <w:rPr>
          <w:rFonts w:hint="default" w:ascii="仿宋_GB2312" w:eastAsia="仿宋_GB2312" w:cs="DengXian-Regular"/>
          <w:sz w:val="32"/>
          <w:szCs w:val="32"/>
          <w:highlight w:val="none"/>
          <w:lang w:val="en-US"/>
        </w:rPr>
        <w:t>4</w:t>
      </w:r>
      <w:r>
        <w:rPr>
          <w:rFonts w:hint="eastAsia" w:ascii="仿宋_GB2312" w:eastAsia="仿宋_GB2312" w:cs="DengXian-Regular"/>
          <w:sz w:val="32"/>
          <w:szCs w:val="32"/>
          <w:highlight w:val="none"/>
        </w:rPr>
        <w:t>个，要求自评项目个数</w:t>
      </w:r>
      <w:r>
        <w:rPr>
          <w:rFonts w:hint="default" w:ascii="仿宋_GB2312" w:eastAsia="仿宋_GB2312" w:cs="DengXian-Regular"/>
          <w:sz w:val="32"/>
          <w:szCs w:val="32"/>
          <w:highlight w:val="none"/>
          <w:lang w:val="en-US"/>
        </w:rPr>
        <w:t>4</w:t>
      </w:r>
      <w:r>
        <w:rPr>
          <w:rFonts w:hint="eastAsia" w:ascii="仿宋_GB2312" w:eastAsia="仿宋_GB2312" w:cs="DengXian-Regular"/>
          <w:sz w:val="32"/>
          <w:szCs w:val="32"/>
          <w:highlight w:val="none"/>
        </w:rPr>
        <w:t xml:space="preserve">个，自评覆盖率为 </w:t>
      </w:r>
      <w:r>
        <w:rPr>
          <w:rFonts w:hint="default" w:ascii="仿宋_GB2312" w:eastAsia="仿宋_GB2312" w:cs="DengXian-Regular"/>
          <w:sz w:val="32"/>
          <w:szCs w:val="32"/>
          <w:highlight w:val="none"/>
          <w:lang w:val="en-US"/>
        </w:rPr>
        <w:t>100</w:t>
      </w:r>
      <w:r>
        <w:rPr>
          <w:rFonts w:hint="eastAsia" w:ascii="仿宋_GB2312" w:eastAsia="仿宋_GB2312" w:cs="DengXian-Regular"/>
          <w:sz w:val="32"/>
          <w:szCs w:val="32"/>
          <w:highlight w:val="none"/>
        </w:rPr>
        <w:t>%。</w:t>
      </w:r>
    </w:p>
    <w:p w14:paraId="1A67A6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4C90CE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3B2D23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48B2D0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0E4E1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4</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3</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75</w:t>
      </w:r>
      <w:r>
        <w:rPr>
          <w:rFonts w:hint="eastAsia" w:ascii="仿宋_GB2312" w:eastAsia="仿宋_GB2312" w:cs="DengXian-Regular"/>
          <w:sz w:val="32"/>
          <w:szCs w:val="32"/>
        </w:rPr>
        <w:t>%。</w:t>
      </w:r>
    </w:p>
    <w:p w14:paraId="2A29F8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bookmarkEnd w:id="64"/>
      <w:bookmarkEnd w:id="65"/>
    </w:p>
    <w:p w14:paraId="712847E0">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5BC718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w:t>
      </w:r>
    </w:p>
    <w:p w14:paraId="280226F1">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393"/>
        <w:gridCol w:w="1188"/>
        <w:gridCol w:w="2536"/>
        <w:gridCol w:w="1125"/>
        <w:gridCol w:w="853"/>
      </w:tblGrid>
      <w:tr w14:paraId="04F77901">
        <w:tblPrEx>
          <w:tblCellMar>
            <w:top w:w="15" w:type="dxa"/>
            <w:left w:w="15" w:type="dxa"/>
            <w:bottom w:w="15" w:type="dxa"/>
            <w:right w:w="15" w:type="dxa"/>
          </w:tblCellMar>
        </w:tblPrEx>
        <w:trPr>
          <w:trHeight w:val="397" w:hRule="exac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4414D8D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344DC4C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7A04266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7747F2F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29B3CAE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0A0073D">
        <w:tblPrEx>
          <w:tblCellMar>
            <w:top w:w="15" w:type="dxa"/>
            <w:left w:w="15" w:type="dxa"/>
            <w:bottom w:w="15" w:type="dxa"/>
            <w:right w:w="15" w:type="dxa"/>
          </w:tblCellMar>
        </w:tblPrEx>
        <w:trPr>
          <w:trHeight w:val="824" w:hRule="exact"/>
          <w:jc w:val="center"/>
        </w:trPr>
        <w:tc>
          <w:tcPr>
            <w:tcW w:w="1393" w:type="dxa"/>
            <w:vMerge w:val="restart"/>
            <w:tcBorders>
              <w:top w:val="single" w:color="000000" w:sz="4" w:space="0"/>
              <w:left w:val="single" w:color="000000" w:sz="4" w:space="0"/>
              <w:bottom w:val="single" w:color="000000" w:sz="4" w:space="0"/>
              <w:right w:val="single" w:color="000000" w:sz="4" w:space="0"/>
            </w:tcBorders>
            <w:vAlign w:val="center"/>
          </w:tcPr>
          <w:p w14:paraId="271E5A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26D9D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188" w:type="dxa"/>
            <w:vMerge w:val="restart"/>
            <w:tcBorders>
              <w:top w:val="single" w:color="000000" w:sz="4" w:space="0"/>
              <w:left w:val="single" w:color="000000" w:sz="4" w:space="0"/>
              <w:right w:val="single" w:color="000000" w:sz="4" w:space="0"/>
            </w:tcBorders>
            <w:vAlign w:val="center"/>
          </w:tcPr>
          <w:p w14:paraId="21B4C7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right w:val="single" w:color="000000" w:sz="4" w:space="0"/>
            </w:tcBorders>
            <w:vAlign w:val="center"/>
          </w:tcPr>
          <w:p w14:paraId="34D1FDC3">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p w14:paraId="0B147CD7">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right w:val="single" w:color="000000" w:sz="4" w:space="0"/>
            </w:tcBorders>
            <w:vAlign w:val="center"/>
          </w:tcPr>
          <w:p w14:paraId="17F8E8E4">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c>
          <w:tcPr>
            <w:tcW w:w="853" w:type="dxa"/>
            <w:tcBorders>
              <w:top w:val="single" w:color="000000" w:sz="4" w:space="0"/>
              <w:left w:val="single" w:color="000000" w:sz="4" w:space="0"/>
              <w:bottom w:val="single" w:color="000000" w:sz="4" w:space="0"/>
              <w:right w:val="single" w:color="000000" w:sz="4" w:space="0"/>
            </w:tcBorders>
            <w:vAlign w:val="center"/>
          </w:tcPr>
          <w:p w14:paraId="3FB7B45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tr w14:paraId="390104CD">
        <w:tblPrEx>
          <w:tblCellMar>
            <w:top w:w="15" w:type="dxa"/>
            <w:left w:w="15" w:type="dxa"/>
            <w:bottom w:w="15" w:type="dxa"/>
            <w:right w:w="15" w:type="dxa"/>
          </w:tblCellMar>
        </w:tblPrEx>
        <w:trPr>
          <w:trHeight w:val="824" w:hRule="exact"/>
          <w:jc w:val="center"/>
        </w:trPr>
        <w:tc>
          <w:tcPr>
            <w:tcW w:w="1393" w:type="dxa"/>
            <w:vMerge w:val="continue"/>
            <w:tcBorders>
              <w:top w:val="single" w:color="000000" w:sz="4" w:space="0"/>
              <w:left w:val="single" w:color="000000" w:sz="4" w:space="0"/>
              <w:bottom w:val="single" w:color="000000" w:sz="4" w:space="0"/>
              <w:right w:val="single" w:color="000000" w:sz="4" w:space="0"/>
            </w:tcBorders>
            <w:vAlign w:val="center"/>
          </w:tcPr>
          <w:p w14:paraId="49D2D7BA">
            <w:pPr>
              <w:spacing w:line="420" w:lineRule="exact"/>
              <w:jc w:val="center"/>
              <w:rPr>
                <w:rFonts w:cs="宋体" w:asciiTheme="minorEastAsia" w:hAnsiTheme="minorEastAsia" w:eastAsiaTheme="minorEastAsia"/>
                <w:sz w:val="21"/>
                <w:szCs w:val="21"/>
              </w:rPr>
            </w:pPr>
          </w:p>
        </w:tc>
        <w:tc>
          <w:tcPr>
            <w:tcW w:w="1188" w:type="dxa"/>
            <w:vMerge w:val="continue"/>
            <w:tcBorders>
              <w:left w:val="single" w:color="000000" w:sz="4" w:space="0"/>
              <w:right w:val="single" w:color="000000" w:sz="4" w:space="0"/>
            </w:tcBorders>
            <w:vAlign w:val="center"/>
          </w:tcPr>
          <w:p w14:paraId="028E4D5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right w:val="single" w:color="000000" w:sz="4" w:space="0"/>
            </w:tcBorders>
            <w:vAlign w:val="center"/>
          </w:tcPr>
          <w:p w14:paraId="44B98AF2">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right w:val="single" w:color="000000" w:sz="4" w:space="0"/>
            </w:tcBorders>
            <w:vAlign w:val="center"/>
          </w:tcPr>
          <w:p w14:paraId="530F3A48">
            <w:pPr>
              <w:spacing w:line="420" w:lineRule="exact"/>
              <w:jc w:val="center"/>
              <w:rPr>
                <w:rFonts w:hint="default" w:cs="宋体" w:asciiTheme="minorEastAsia" w:hAnsiTheme="minorEastAsia" w:eastAsiaTheme="minorEastAsia"/>
                <w:sz w:val="21"/>
                <w:szCs w:val="21"/>
                <w:lang w:val="en-US" w:eastAsia="zh-CN" w:bidi="ar-SA"/>
              </w:rPr>
            </w:pPr>
            <w:r>
              <w:rPr>
                <w:rFonts w:hint="default" w:cs="宋体" w:asciiTheme="minorEastAsia" w:hAnsiTheme="minorEastAsia" w:eastAsiaTheme="minorEastAsia"/>
                <w:sz w:val="21"/>
                <w:szCs w:val="21"/>
                <w:lang w:val="en-US"/>
              </w:rPr>
              <w:t>10</w:t>
            </w:r>
          </w:p>
        </w:tc>
        <w:tc>
          <w:tcPr>
            <w:tcW w:w="853" w:type="dxa"/>
            <w:tcBorders>
              <w:top w:val="single" w:color="000000" w:sz="4" w:space="0"/>
              <w:left w:val="single" w:color="000000" w:sz="4" w:space="0"/>
              <w:bottom w:val="single" w:color="000000" w:sz="4" w:space="0"/>
              <w:right w:val="single" w:color="000000" w:sz="4" w:space="0"/>
            </w:tcBorders>
            <w:vAlign w:val="center"/>
          </w:tcPr>
          <w:p w14:paraId="6FCA6FF5">
            <w:pPr>
              <w:spacing w:line="420" w:lineRule="exact"/>
              <w:jc w:val="center"/>
              <w:rPr>
                <w:rFonts w:hint="default" w:cs="宋体" w:asciiTheme="minorEastAsia" w:hAnsiTheme="minorEastAsia" w:eastAsiaTheme="minorEastAsia"/>
                <w:sz w:val="21"/>
                <w:szCs w:val="21"/>
                <w:lang w:val="en-US" w:eastAsia="zh-CN" w:bidi="ar-SA"/>
              </w:rPr>
            </w:pPr>
            <w:r>
              <w:rPr>
                <w:rFonts w:hint="default" w:cs="宋体" w:asciiTheme="minorEastAsia" w:hAnsiTheme="minorEastAsia" w:eastAsiaTheme="minorEastAsia"/>
                <w:sz w:val="21"/>
                <w:szCs w:val="21"/>
                <w:lang w:val="en-US"/>
              </w:rPr>
              <w:t>10</w:t>
            </w:r>
          </w:p>
        </w:tc>
      </w:tr>
      <w:tr w14:paraId="5E74F0D5">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4F2599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20CB16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38EBC5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CC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14:paraId="5F71777D">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793A79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636F72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1D9B5F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eastAsia="zh-CN"/>
        </w:rPr>
        <w:t>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0</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0</w:t>
      </w:r>
      <w:r>
        <w:rPr>
          <w:rFonts w:hint="eastAsia" w:ascii="仿宋_GB2312" w:eastAsia="仿宋_GB2312" w:cs="DengXian-Regular"/>
          <w:sz w:val="32"/>
          <w:szCs w:val="32"/>
        </w:rPr>
        <w:t>%，小于5%。</w:t>
      </w:r>
    </w:p>
    <w:p w14:paraId="1BCB69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04596B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5D9C94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7F33BB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34E3D1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年实际支出项目资金总额808</w:t>
      </w:r>
      <w:r>
        <w:rPr>
          <w:rFonts w:hint="default" w:ascii="仿宋_GB2312" w:eastAsia="仿宋_GB2312" w:cs="DengXian-Regular"/>
          <w:sz w:val="32"/>
          <w:szCs w:val="32"/>
          <w:lang w:val="en-US"/>
        </w:rPr>
        <w:t>.</w:t>
      </w:r>
      <w:r>
        <w:rPr>
          <w:rFonts w:hint="eastAsia" w:ascii="仿宋_GB2312" w:eastAsia="仿宋_GB2312" w:cs="DengXian-Regular"/>
          <w:sz w:val="32"/>
          <w:szCs w:val="32"/>
        </w:rPr>
        <w:t>91万元，年初预算共</w:t>
      </w:r>
      <w:r>
        <w:rPr>
          <w:rFonts w:hint="default" w:ascii="仿宋_GB2312" w:eastAsia="仿宋_GB2312" w:cs="DengXian-Regular"/>
          <w:sz w:val="32"/>
          <w:szCs w:val="32"/>
          <w:lang w:val="en-US"/>
        </w:rPr>
        <w:t>4</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202.34</w:t>
      </w:r>
      <w:r>
        <w:rPr>
          <w:rFonts w:hint="eastAsia" w:ascii="仿宋_GB2312" w:eastAsia="仿宋_GB2312" w:cs="DengXian-Regular"/>
          <w:sz w:val="32"/>
          <w:szCs w:val="32"/>
        </w:rPr>
        <w:t>万元，年中追加项目资金606</w:t>
      </w:r>
      <w:r>
        <w:rPr>
          <w:rFonts w:hint="default" w:ascii="仿宋_GB2312" w:eastAsia="仿宋_GB2312" w:cs="DengXian-Regular"/>
          <w:sz w:val="32"/>
          <w:szCs w:val="32"/>
          <w:lang w:val="en-US"/>
        </w:rPr>
        <w:t>.</w:t>
      </w:r>
      <w:r>
        <w:rPr>
          <w:rFonts w:hint="eastAsia" w:ascii="仿宋_GB2312" w:eastAsia="仿宋_GB2312" w:cs="DengXian-Regular"/>
          <w:sz w:val="32"/>
          <w:szCs w:val="32"/>
        </w:rPr>
        <w:t>57万元，项目资金使用率为</w:t>
      </w:r>
      <w:r>
        <w:rPr>
          <w:rFonts w:hint="default" w:ascii="仿宋_GB2312" w:eastAsia="仿宋_GB2312" w:cs="DengXian-Regular"/>
          <w:sz w:val="32"/>
          <w:szCs w:val="32"/>
          <w:lang w:val="en-US"/>
        </w:rPr>
        <w:t>399.78</w:t>
      </w:r>
      <w:r>
        <w:rPr>
          <w:rFonts w:hint="eastAsia" w:ascii="仿宋_GB2312" w:eastAsia="仿宋_GB2312" w:cs="DengXian-Regular"/>
          <w:sz w:val="32"/>
          <w:szCs w:val="32"/>
        </w:rPr>
        <w:t>%。</w:t>
      </w:r>
    </w:p>
    <w:p w14:paraId="02420A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6BF0260C">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3C162788">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5035D9A0">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DA9E407">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699CEE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697207B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002160D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037FF9D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E8059D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338AF53">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630A74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33F5E87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5BE245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D74A63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64585B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2B8C3E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08341D1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9</w:t>
            </w:r>
          </w:p>
        </w:tc>
      </w:tr>
      <w:tr w14:paraId="15887B63">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AD8789C">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D813D49">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9D1D9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704249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4B22CA5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15889B5">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615546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0B6909F4">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1F035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F6205C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13</w:t>
            </w:r>
          </w:p>
        </w:tc>
      </w:tr>
      <w:bookmarkEnd w:id="70"/>
    </w:tbl>
    <w:p w14:paraId="2AB85313">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92652784"/>
      <w:bookmarkStart w:id="73" w:name="_Toc465149516"/>
      <w:r>
        <w:rPr>
          <w:rFonts w:hint="eastAsia" w:ascii="仿宋_GB2312" w:eastAsia="仿宋_GB2312" w:cs="DengXian-Regular"/>
          <w:sz w:val="32"/>
          <w:szCs w:val="32"/>
        </w:rPr>
        <w:t>1.部门整体效益（10分）</w:t>
      </w:r>
    </w:p>
    <w:p w14:paraId="0FEC6F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03008F60">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履行职责对社会发展所带来的社会效益较显著，</w:t>
      </w:r>
      <w:r>
        <w:rPr>
          <w:rFonts w:hint="eastAsia" w:ascii="仿宋_GB2312" w:eastAsia="仿宋_GB2312" w:cs="DengXian-Regular"/>
          <w:color w:val="000000" w:themeColor="text1"/>
          <w:sz w:val="32"/>
          <w:szCs w:val="32"/>
        </w:rPr>
        <w:t>提高人员素质；推进区直机关事业单位办公环境改善。搞好服务保障，为广大干部职工提供安全、快捷、细致、周到的工作环境；得到</w:t>
      </w:r>
      <w:r>
        <w:rPr>
          <w:rFonts w:ascii="仿宋_GB2312" w:eastAsia="仿宋_GB2312" w:cs="DengXian-Regular"/>
          <w:color w:val="000000" w:themeColor="text1"/>
          <w:sz w:val="32"/>
          <w:szCs w:val="32"/>
        </w:rPr>
        <w:t>广大干部职工的</w:t>
      </w:r>
      <w:r>
        <w:rPr>
          <w:rFonts w:hint="eastAsia" w:ascii="仿宋_GB2312" w:eastAsia="仿宋_GB2312" w:cs="DengXian-Regular"/>
          <w:color w:val="000000" w:themeColor="text1"/>
          <w:sz w:val="32"/>
          <w:szCs w:val="32"/>
        </w:rPr>
        <w:t>肯定</w:t>
      </w:r>
      <w:r>
        <w:rPr>
          <w:rFonts w:ascii="仿宋_GB2312" w:eastAsia="仿宋_GB2312" w:cs="DengXian-Regular"/>
          <w:color w:val="000000" w:themeColor="text1"/>
          <w:sz w:val="32"/>
          <w:szCs w:val="32"/>
        </w:rPr>
        <w:t>和认可</w:t>
      </w:r>
      <w:r>
        <w:rPr>
          <w:rFonts w:hint="eastAsia" w:ascii="仿宋_GB2312" w:eastAsia="仿宋_GB2312" w:cs="DengXian-Regular"/>
          <w:color w:val="000000" w:themeColor="text1"/>
          <w:sz w:val="32"/>
          <w:szCs w:val="32"/>
        </w:rPr>
        <w:t>。</w:t>
      </w:r>
    </w:p>
    <w:p w14:paraId="011502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14:paraId="10D4E5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7BEBAA4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88761A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hint="default" w:ascii="仿宋_GB2312" w:eastAsia="仿宋_GB2312" w:cs="Times New Roman" w:hAnsiTheme="minorEastAsia"/>
          <w:sz w:val="32"/>
          <w:szCs w:val="32"/>
          <w:u w:color="000000"/>
          <w:lang w:val="en-US"/>
        </w:rPr>
        <w:t>50</w:t>
      </w:r>
      <w:r>
        <w:rPr>
          <w:rFonts w:hint="eastAsia" w:ascii="仿宋_GB2312" w:eastAsia="仿宋_GB2312" w:cs="Times New Roman" w:hAnsiTheme="minorEastAsia"/>
          <w:sz w:val="32"/>
          <w:szCs w:val="32"/>
          <w:u w:color="000000"/>
        </w:rPr>
        <w:t>个调查对象进行了问卷调查，具体调查情况如下：</w:t>
      </w:r>
    </w:p>
    <w:p w14:paraId="30FAEF77">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8D6779A">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26952481">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6E024F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1CAA04B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482D9AC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3507E43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379EBC4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F0F655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FA93812">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BE63659">
            <w:pPr>
              <w:spacing w:after="0" w:line="360" w:lineRule="auto"/>
              <w:jc w:val="both"/>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color w:val="000000" w:themeColor="text1"/>
                <w:sz w:val="21"/>
                <w:szCs w:val="21"/>
                <w:u w:color="000000"/>
              </w:rPr>
              <w:t>您对徐水区机关服务中心食堂管理工作是否满意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733E3C0D">
            <w:pPr>
              <w:spacing w:after="0" w:line="360" w:lineRule="auto"/>
              <w:jc w:val="center"/>
              <w:textAlignment w:val="baseline"/>
              <w:rPr>
                <w:rFonts w:hint="default"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48</w:t>
            </w:r>
          </w:p>
        </w:tc>
        <w:tc>
          <w:tcPr>
            <w:tcW w:w="1134" w:type="dxa"/>
            <w:tcBorders>
              <w:top w:val="single" w:color="000000" w:sz="4" w:space="0"/>
              <w:left w:val="single" w:color="000000" w:sz="4" w:space="0"/>
              <w:bottom w:val="single" w:color="000000" w:sz="4" w:space="0"/>
              <w:right w:val="single" w:color="000000" w:sz="4" w:space="0"/>
            </w:tcBorders>
            <w:vAlign w:val="center"/>
          </w:tcPr>
          <w:p w14:paraId="7DD3A6BE">
            <w:pPr>
              <w:spacing w:after="0" w:line="360" w:lineRule="auto"/>
              <w:jc w:val="center"/>
              <w:textAlignment w:val="baseline"/>
              <w:rPr>
                <w:rFonts w:hint="default"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5CBDF98B">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24620D6">
            <w:pPr>
              <w:spacing w:after="0" w:line="360" w:lineRule="auto"/>
              <w:jc w:val="center"/>
              <w:textAlignment w:val="baseline"/>
              <w:rPr>
                <w:rFonts w:hint="default" w:cs="Times New Roman" w:asciiTheme="minorEastAsia" w:hAnsiTheme="minorEastAsia" w:eastAsiaTheme="minorEastAsia"/>
                <w:color w:val="000000" w:themeColor="text1"/>
                <w:sz w:val="21"/>
                <w:szCs w:val="21"/>
                <w:u w:color="000000"/>
                <w:lang w:val="en-US" w:eastAsia="zh-CN" w:bidi="ar-SA"/>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D2937E4">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98</w:t>
            </w:r>
          </w:p>
        </w:tc>
      </w:tr>
      <w:tr w14:paraId="5C18E475">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3749C8D">
            <w:pPr>
              <w:spacing w:after="0" w:line="360" w:lineRule="auto"/>
              <w:jc w:val="both"/>
              <w:textAlignment w:val="baseline"/>
              <w:rPr>
                <w:rFonts w:hint="eastAsia"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color w:val="000000" w:themeColor="text1"/>
                <w:sz w:val="21"/>
                <w:szCs w:val="21"/>
                <w:u w:color="000000"/>
              </w:rPr>
              <w:t>您对区机关大院办公环境、保安工作是否满意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4FA0254C">
            <w:pPr>
              <w:spacing w:after="0" w:line="360" w:lineRule="auto"/>
              <w:jc w:val="center"/>
              <w:textAlignment w:val="baseline"/>
              <w:rPr>
                <w:rFonts w:hint="default"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14:paraId="3914DC83">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14:paraId="700796BB">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99CF5B9">
            <w:pPr>
              <w:spacing w:after="0" w:line="360" w:lineRule="auto"/>
              <w:jc w:val="center"/>
              <w:textAlignment w:val="baseline"/>
              <w:rPr>
                <w:rFonts w:hint="default" w:cs="Times New Roman" w:asciiTheme="minorEastAsia" w:hAnsiTheme="minorEastAsia" w:eastAsiaTheme="minorEastAsia"/>
                <w:color w:val="000000" w:themeColor="text1"/>
                <w:sz w:val="21"/>
                <w:szCs w:val="21"/>
                <w:u w:color="000000"/>
                <w:lang w:val="en-US" w:eastAsia="zh-CN" w:bidi="ar-SA"/>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6AB0A3A">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97</w:t>
            </w:r>
          </w:p>
        </w:tc>
      </w:tr>
      <w:tr w14:paraId="21D10A94">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2411D5C">
            <w:pPr>
              <w:spacing w:after="0" w:line="360" w:lineRule="auto"/>
              <w:jc w:val="both"/>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color w:val="000000" w:themeColor="text1"/>
                <w:sz w:val="21"/>
                <w:szCs w:val="21"/>
                <w:u w:color="000000"/>
              </w:rPr>
              <w:t>您对区机关大院办公环境、</w:t>
            </w:r>
            <w:r>
              <w:rPr>
                <w:rFonts w:hint="eastAsia" w:cs="Times New Roman" w:asciiTheme="minorEastAsia" w:hAnsiTheme="minorEastAsia" w:eastAsiaTheme="minorEastAsia"/>
                <w:color w:val="000000" w:themeColor="text1"/>
                <w:sz w:val="21"/>
                <w:szCs w:val="21"/>
                <w:u w:color="000000"/>
                <w:lang w:eastAsia="zh-CN"/>
              </w:rPr>
              <w:t>保洁</w:t>
            </w:r>
            <w:r>
              <w:rPr>
                <w:rFonts w:hint="eastAsia" w:cs="Times New Roman" w:asciiTheme="minorEastAsia" w:hAnsiTheme="minorEastAsia" w:eastAsiaTheme="minorEastAsia"/>
                <w:color w:val="000000" w:themeColor="text1"/>
                <w:sz w:val="21"/>
                <w:szCs w:val="21"/>
                <w:u w:color="000000"/>
              </w:rPr>
              <w:t>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7FFDA0E4">
            <w:pPr>
              <w:spacing w:after="0" w:line="360" w:lineRule="auto"/>
              <w:jc w:val="center"/>
              <w:textAlignment w:val="baseline"/>
              <w:rPr>
                <w:rFonts w:hint="default"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49</w:t>
            </w:r>
          </w:p>
        </w:tc>
        <w:tc>
          <w:tcPr>
            <w:tcW w:w="1134" w:type="dxa"/>
            <w:tcBorders>
              <w:top w:val="single" w:color="000000" w:sz="4" w:space="0"/>
              <w:left w:val="single" w:color="000000" w:sz="4" w:space="0"/>
              <w:bottom w:val="single" w:color="000000" w:sz="4" w:space="0"/>
              <w:right w:val="single" w:color="000000" w:sz="4" w:space="0"/>
            </w:tcBorders>
            <w:vAlign w:val="center"/>
          </w:tcPr>
          <w:p w14:paraId="6BA00E83">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1</w:t>
            </w:r>
          </w:p>
        </w:tc>
        <w:tc>
          <w:tcPr>
            <w:tcW w:w="1218" w:type="dxa"/>
            <w:tcBorders>
              <w:top w:val="single" w:color="000000" w:sz="4" w:space="0"/>
              <w:left w:val="single" w:color="000000" w:sz="4" w:space="0"/>
              <w:bottom w:val="single" w:color="000000" w:sz="4" w:space="0"/>
              <w:right w:val="single" w:color="000000" w:sz="4" w:space="0"/>
            </w:tcBorders>
            <w:vAlign w:val="center"/>
          </w:tcPr>
          <w:p w14:paraId="48EFD67D">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6793C9B0">
            <w:pPr>
              <w:spacing w:after="0" w:line="360" w:lineRule="auto"/>
              <w:jc w:val="center"/>
              <w:textAlignment w:val="baseline"/>
              <w:rPr>
                <w:rFonts w:hint="default" w:cs="Times New Roman" w:asciiTheme="minorEastAsia" w:hAnsiTheme="minorEastAsia" w:eastAsiaTheme="minorEastAsia"/>
                <w:color w:val="000000" w:themeColor="text1"/>
                <w:sz w:val="21"/>
                <w:szCs w:val="21"/>
                <w:u w:color="000000"/>
                <w:lang w:val="en-US" w:eastAsia="zh-CN" w:bidi="ar-SA"/>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E427DDF">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rPr>
            </w:pPr>
            <w:r>
              <w:rPr>
                <w:rFonts w:hint="eastAsia" w:cs="Times New Roman" w:asciiTheme="minorEastAsia" w:hAnsiTheme="minorEastAsia" w:eastAsiaTheme="minorEastAsia"/>
                <w:sz w:val="21"/>
                <w:szCs w:val="21"/>
                <w:u w:color="000000"/>
              </w:rPr>
              <w:t>99</w:t>
            </w:r>
          </w:p>
        </w:tc>
      </w:tr>
    </w:tbl>
    <w:p w14:paraId="4E042D3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w:t>
      </w:r>
      <w:r>
        <w:rPr>
          <w:rFonts w:hint="default" w:ascii="仿宋_GB2312" w:eastAsia="仿宋_GB2312" w:cs="Times New Roman" w:hAnsiTheme="minorEastAsia"/>
          <w:sz w:val="32"/>
          <w:szCs w:val="32"/>
          <w:u w:color="000000"/>
          <w:lang w:val="en-US"/>
        </w:rPr>
        <w:t>4</w:t>
      </w:r>
      <w:r>
        <w:rPr>
          <w:rFonts w:hint="eastAsia" w:ascii="仿宋_GB2312" w:eastAsia="仿宋_GB2312" w:cs="Times New Roman" w:hAnsiTheme="minorEastAsia"/>
          <w:sz w:val="32"/>
          <w:szCs w:val="32"/>
          <w:u w:color="000000"/>
        </w:rPr>
        <w:t>分。</w:t>
      </w:r>
    </w:p>
    <w:p w14:paraId="7F022E3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6877880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230A7D0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98</w:t>
      </w:r>
      <w:r>
        <w:rPr>
          <w:rFonts w:hint="eastAsia" w:ascii="仿宋_GB2312" w:eastAsia="仿宋_GB2312" w:cs="Times New Roman" w:hAnsiTheme="minorEastAsia"/>
          <w:sz w:val="32"/>
          <w:szCs w:val="32"/>
          <w:u w:color="000000"/>
        </w:rPr>
        <w:t>分，</w:t>
      </w:r>
      <w:r>
        <w:rPr>
          <w:rFonts w:hint="eastAsia" w:ascii="仿宋_GB2312" w:eastAsia="仿宋_GB2312" w:cs="Times New Roman" w:hAnsiTheme="minorEastAsia"/>
          <w:sz w:val="32"/>
          <w:szCs w:val="32"/>
          <w:u w:color="000000"/>
          <w:lang w:eastAsia="zh-CN"/>
        </w:rPr>
        <w:t>大于</w:t>
      </w:r>
      <w:r>
        <w:rPr>
          <w:rFonts w:hint="eastAsia" w:ascii="仿宋_GB2312" w:eastAsia="仿宋_GB2312" w:cs="Times New Roman" w:hAnsiTheme="minorEastAsia"/>
          <w:sz w:val="32"/>
          <w:szCs w:val="32"/>
          <w:u w:color="000000"/>
        </w:rPr>
        <w:t>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14:paraId="7D817B1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4</w:t>
      </w:r>
      <w:r>
        <w:rPr>
          <w:rFonts w:hint="eastAsia" w:ascii="仿宋_GB2312" w:eastAsia="仿宋_GB2312" w:cs="Times New Roman" w:hAnsiTheme="minorEastAsia"/>
          <w:sz w:val="32"/>
          <w:szCs w:val="32"/>
          <w:u w:color="000000"/>
        </w:rPr>
        <w:t>分。</w:t>
      </w:r>
    </w:p>
    <w:p w14:paraId="6128C2CE">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77FB825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机关服务中心</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7A55AAF5">
      <w:pPr>
        <w:numPr>
          <w:ilvl w:val="0"/>
          <w:numId w:val="0"/>
        </w:numPr>
        <w:shd w:val="clear"/>
        <w:spacing w:after="0" w:line="360" w:lineRule="auto"/>
        <w:ind w:firstLine="640" w:firstLineChars="200"/>
        <w:jc w:val="both"/>
        <w:textAlignment w:val="baseline"/>
        <w:rPr>
          <w:rFonts w:hint="eastAsia" w:ascii="仿宋_GB2312" w:eastAsia="仿宋_GB2312" w:cs="Times New Roman" w:hAnsiTheme="minorEastAsia"/>
          <w:color w:val="auto"/>
          <w:sz w:val="32"/>
          <w:szCs w:val="32"/>
          <w:u w:color="000000"/>
          <w:lang w:eastAsia="zh-CN"/>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Times New Roman" w:hAnsiTheme="minorEastAsia"/>
          <w:sz w:val="32"/>
          <w:szCs w:val="32"/>
          <w:u w:color="000000"/>
          <w:lang w:eastAsia="zh-CN"/>
        </w:rPr>
        <w:t>：</w:t>
      </w:r>
      <w:r>
        <w:rPr>
          <w:rFonts w:hint="eastAsia" w:ascii="仿宋_GB2312" w:eastAsia="仿宋_GB2312" w:cs="DengXian-Regular"/>
          <w:sz w:val="32"/>
          <w:szCs w:val="32"/>
        </w:rPr>
        <w:t>细化不够明确，有的没有化</w:t>
      </w:r>
      <w:r>
        <w:rPr>
          <w:rFonts w:hint="eastAsia" w:ascii="仿宋_GB2312" w:eastAsia="仿宋_GB2312" w:cs="DengXian-Regular"/>
          <w:sz w:val="32"/>
          <w:szCs w:val="32"/>
          <w:lang w:val="en-US" w:eastAsia="zh-CN"/>
        </w:rPr>
        <w:t>分</w:t>
      </w:r>
      <w:r>
        <w:rPr>
          <w:rFonts w:hint="eastAsia" w:ascii="仿宋_GB2312" w:eastAsia="仿宋_GB2312" w:cs="DengXian-Regular"/>
          <w:sz w:val="32"/>
          <w:szCs w:val="32"/>
        </w:rPr>
        <w:t>进来</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涵盖不全面</w:t>
      </w:r>
      <w:r>
        <w:rPr>
          <w:rFonts w:hint="eastAsia" w:ascii="仿宋_GB2312" w:eastAsia="仿宋_GB2312" w:cs="DengXian-Regular"/>
          <w:sz w:val="32"/>
          <w:szCs w:val="32"/>
        </w:rPr>
        <w:t>。</w:t>
      </w:r>
    </w:p>
    <w:p w14:paraId="17495751">
      <w:pPr>
        <w:shd w:val="clear"/>
        <w:spacing w:after="0" w:line="360" w:lineRule="auto"/>
        <w:ind w:firstLine="640" w:firstLineChars="200"/>
        <w:jc w:val="both"/>
        <w:rPr>
          <w:rFonts w:hint="eastAsia" w:ascii="仿宋_GB2312" w:eastAsia="仿宋_GB2312" w:cs="DengXian-Regular"/>
          <w:sz w:val="32"/>
          <w:szCs w:val="32"/>
          <w:shd w:val="clear"/>
        </w:rPr>
      </w:pPr>
      <w:r>
        <w:rPr>
          <w:rFonts w:hint="eastAsia" w:ascii="仿宋_GB2312" w:eastAsia="仿宋_GB2312" w:cs="Times New Roman" w:hAnsiTheme="minorEastAsia"/>
          <w:color w:val="auto"/>
          <w:sz w:val="32"/>
          <w:szCs w:val="32"/>
          <w:u w:color="000000"/>
        </w:rPr>
        <w:t>2.预算决算比较</w:t>
      </w:r>
      <w:r>
        <w:rPr>
          <w:rFonts w:hint="eastAsia" w:ascii="仿宋_GB2312" w:eastAsia="仿宋_GB2312" w:cs="Times New Roman" w:hAnsiTheme="minorEastAsia"/>
          <w:color w:val="auto"/>
          <w:sz w:val="32"/>
          <w:szCs w:val="32"/>
          <w:u w:color="000000"/>
          <w:lang w:eastAsia="zh-CN"/>
        </w:rPr>
        <w:t>：</w:t>
      </w:r>
      <w:r>
        <w:rPr>
          <w:rFonts w:hint="eastAsia" w:ascii="仿宋_GB2312" w:eastAsia="仿宋_GB2312" w:cs="DengXian-Regular"/>
          <w:sz w:val="32"/>
          <w:szCs w:val="32"/>
          <w:shd w:val="clear"/>
          <w:lang w:val="en-US" w:eastAsia="zh-CN"/>
        </w:rPr>
        <w:t>我</w:t>
      </w:r>
      <w:r>
        <w:rPr>
          <w:rFonts w:hint="eastAsia" w:ascii="仿宋_GB2312" w:eastAsia="仿宋_GB2312" w:cs="DengXian-Regular"/>
          <w:sz w:val="32"/>
          <w:szCs w:val="32"/>
          <w:shd w:val="clear"/>
        </w:rPr>
        <w:t>单位一般公共预算财政拨款决算收入比年初预算增加</w:t>
      </w:r>
      <w:r>
        <w:rPr>
          <w:rFonts w:hint="eastAsia" w:ascii="仿宋_GB2312" w:eastAsia="仿宋_GB2312" w:cs="DengXian-Regular"/>
          <w:sz w:val="32"/>
          <w:szCs w:val="32"/>
          <w:shd w:val="clear"/>
          <w:lang w:val="en-US"/>
        </w:rPr>
        <w:t>611.85</w:t>
      </w:r>
      <w:r>
        <w:rPr>
          <w:rFonts w:hint="eastAsia" w:ascii="仿宋_GB2312" w:eastAsia="仿宋_GB2312" w:cs="DengXian-Regular"/>
          <w:sz w:val="32"/>
          <w:szCs w:val="32"/>
          <w:shd w:val="clear"/>
        </w:rPr>
        <w:t>万元，完成年初预算的</w:t>
      </w:r>
      <w:r>
        <w:rPr>
          <w:rFonts w:hint="eastAsia" w:ascii="仿宋_GB2312" w:eastAsia="仿宋_GB2312" w:cs="DengXian-Regular"/>
          <w:sz w:val="32"/>
          <w:szCs w:val="32"/>
          <w:shd w:val="clear"/>
          <w:lang w:val="en-US"/>
        </w:rPr>
        <w:t>159.56</w:t>
      </w:r>
      <w:r>
        <w:rPr>
          <w:rFonts w:hint="eastAsia" w:ascii="仿宋_GB2312" w:eastAsia="仿宋_GB2312" w:cs="DengXian-Regular"/>
          <w:sz w:val="32"/>
          <w:szCs w:val="32"/>
          <w:shd w:val="clear"/>
        </w:rPr>
        <w:t>%。决算收入大于预算收入的主要原因为202</w:t>
      </w:r>
      <w:r>
        <w:rPr>
          <w:rFonts w:hint="eastAsia" w:ascii="仿宋_GB2312" w:eastAsia="仿宋_GB2312" w:cs="DengXian-Regular"/>
          <w:sz w:val="32"/>
          <w:szCs w:val="32"/>
          <w:shd w:val="clear"/>
          <w:lang w:val="en-US"/>
        </w:rPr>
        <w:t>2</w:t>
      </w:r>
      <w:r>
        <w:rPr>
          <w:rFonts w:hint="eastAsia" w:ascii="仿宋_GB2312" w:eastAsia="仿宋_GB2312" w:cs="DengXian-Regular"/>
          <w:sz w:val="32"/>
          <w:szCs w:val="32"/>
          <w:shd w:val="clear"/>
        </w:rPr>
        <w:t>年度</w:t>
      </w:r>
      <w:r>
        <w:rPr>
          <w:rFonts w:hint="eastAsia" w:ascii="仿宋_GB2312" w:eastAsia="仿宋_GB2312" w:cs="DengXian-Regular"/>
          <w:sz w:val="32"/>
          <w:szCs w:val="32"/>
          <w:shd w:val="clear"/>
          <w:lang w:eastAsia="zh-CN"/>
        </w:rPr>
        <w:t>区机关服务中心项目资金支出增加</w:t>
      </w:r>
      <w:r>
        <w:rPr>
          <w:rFonts w:hint="eastAsia" w:ascii="仿宋_GB2312" w:eastAsia="仿宋_GB2312" w:cs="DengXian-Regular"/>
          <w:sz w:val="32"/>
          <w:szCs w:val="32"/>
          <w:shd w:val="clear"/>
        </w:rPr>
        <w:t>。</w:t>
      </w:r>
    </w:p>
    <w:p w14:paraId="14AD6CF1">
      <w:pPr>
        <w:shd w:val="clear"/>
        <w:spacing w:after="0" w:line="360" w:lineRule="auto"/>
        <w:ind w:firstLine="640" w:firstLineChars="200"/>
        <w:jc w:val="both"/>
        <w:rPr>
          <w:rFonts w:hint="eastAsia" w:ascii="仿宋_GB2312" w:eastAsia="仿宋_GB2312" w:cs="DengXian-Regular"/>
          <w:sz w:val="32"/>
          <w:szCs w:val="32"/>
          <w:shd w:val="clear"/>
          <w:lang w:eastAsia="zh-CN"/>
        </w:rPr>
      </w:pPr>
      <w:r>
        <w:rPr>
          <w:rFonts w:hint="eastAsia" w:ascii="仿宋_GB2312" w:eastAsia="仿宋_GB2312" w:cs="DengXian-Regular"/>
          <w:sz w:val="32"/>
          <w:szCs w:val="32"/>
          <w:shd w:val="clear"/>
          <w:lang w:val="en-US" w:eastAsia="zh-CN"/>
        </w:rPr>
        <w:t>3.</w:t>
      </w:r>
      <w:r>
        <w:rPr>
          <w:rFonts w:hint="eastAsia" w:ascii="仿宋_GB2312" w:eastAsia="仿宋_GB2312" w:cs="DengXian-Regular"/>
          <w:sz w:val="32"/>
          <w:szCs w:val="32"/>
          <w:shd w:val="clear"/>
        </w:rPr>
        <w:t>预算追加方面：追加项目共</w:t>
      </w:r>
      <w:r>
        <w:rPr>
          <w:rFonts w:hint="eastAsia" w:ascii="仿宋_GB2312" w:eastAsia="仿宋_GB2312" w:cs="DengXian-Regular"/>
          <w:sz w:val="32"/>
          <w:szCs w:val="32"/>
          <w:shd w:val="clear"/>
          <w:lang w:val="en-US" w:eastAsia="zh-CN"/>
        </w:rPr>
        <w:t>11</w:t>
      </w:r>
      <w:r>
        <w:rPr>
          <w:rFonts w:hint="eastAsia" w:ascii="仿宋_GB2312" w:eastAsia="仿宋_GB2312" w:cs="DengXian-Regular"/>
          <w:sz w:val="32"/>
          <w:szCs w:val="32"/>
          <w:shd w:val="clear"/>
        </w:rPr>
        <w:t>项，追加徐水区政府西院维修改造项目经费</w:t>
      </w:r>
      <w:r>
        <w:rPr>
          <w:rFonts w:hint="eastAsia" w:ascii="仿宋_GB2312" w:eastAsia="仿宋_GB2312" w:cs="DengXian-Regular"/>
          <w:sz w:val="32"/>
          <w:szCs w:val="32"/>
          <w:shd w:val="clear"/>
          <w:lang w:val="en-US"/>
        </w:rPr>
        <w:t>363.57</w:t>
      </w:r>
      <w:r>
        <w:rPr>
          <w:rFonts w:hint="eastAsia" w:ascii="仿宋_GB2312" w:eastAsia="仿宋_GB2312" w:cs="DengXian-Regular"/>
          <w:sz w:val="32"/>
          <w:szCs w:val="32"/>
          <w:shd w:val="clear"/>
        </w:rPr>
        <w:t>万元；追追加区政府院内绿化改造项目资金经费</w:t>
      </w:r>
      <w:r>
        <w:rPr>
          <w:rFonts w:hint="eastAsia" w:ascii="仿宋_GB2312" w:eastAsia="仿宋_GB2312" w:cs="DengXian-Regular"/>
          <w:sz w:val="32"/>
          <w:szCs w:val="32"/>
          <w:shd w:val="clear"/>
          <w:lang w:val="en-US"/>
        </w:rPr>
        <w:t>11.51</w:t>
      </w:r>
      <w:r>
        <w:rPr>
          <w:rFonts w:hint="eastAsia" w:ascii="仿宋_GB2312" w:eastAsia="仿宋_GB2312" w:cs="DengXian-Regular"/>
          <w:sz w:val="32"/>
          <w:szCs w:val="32"/>
          <w:shd w:val="clear"/>
        </w:rPr>
        <w:t>万元</w:t>
      </w:r>
      <w:r>
        <w:rPr>
          <w:rFonts w:hint="eastAsia" w:ascii="仿宋_GB2312" w:eastAsia="仿宋_GB2312" w:cs="DengXian-Regular"/>
          <w:sz w:val="32"/>
          <w:szCs w:val="32"/>
          <w:shd w:val="clear"/>
          <w:lang w:eastAsia="zh-CN"/>
        </w:rPr>
        <w:t>；徐财预指[2022]1-1163号</w:t>
      </w:r>
      <w:r>
        <w:rPr>
          <w:rFonts w:hint="eastAsia" w:ascii="仿宋_GB2312" w:eastAsia="仿宋_GB2312" w:cs="DengXian-Regular"/>
          <w:sz w:val="32"/>
          <w:szCs w:val="32"/>
          <w:shd w:val="clear"/>
        </w:rPr>
        <w:t>追加追加后勤保障经费</w:t>
      </w:r>
      <w:r>
        <w:rPr>
          <w:rFonts w:hint="eastAsia" w:ascii="仿宋_GB2312" w:eastAsia="仿宋_GB2312" w:cs="DengXian-Regular"/>
          <w:sz w:val="32"/>
          <w:szCs w:val="32"/>
          <w:shd w:val="clear"/>
          <w:lang w:val="en-US"/>
        </w:rPr>
        <w:t>7.88</w:t>
      </w:r>
      <w:r>
        <w:rPr>
          <w:rFonts w:hint="eastAsia" w:ascii="仿宋_GB2312" w:eastAsia="仿宋_GB2312" w:cs="DengXian-Regular"/>
          <w:sz w:val="32"/>
          <w:szCs w:val="32"/>
          <w:shd w:val="clear"/>
          <w:lang w:val="en-US" w:eastAsia="zh-CN"/>
        </w:rPr>
        <w:t>万元</w:t>
      </w:r>
      <w:r>
        <w:rPr>
          <w:rFonts w:hint="eastAsia" w:ascii="仿宋_GB2312" w:eastAsia="仿宋_GB2312" w:cs="DengXian-Regular"/>
          <w:sz w:val="32"/>
          <w:szCs w:val="32"/>
          <w:shd w:val="clear"/>
          <w:lang w:eastAsia="zh-CN"/>
        </w:rPr>
        <w:t>；追加追加晨阳专班后勤保障经费</w:t>
      </w:r>
      <w:r>
        <w:rPr>
          <w:rFonts w:hint="eastAsia" w:ascii="仿宋_GB2312" w:eastAsia="仿宋_GB2312" w:cs="DengXian-Regular"/>
          <w:sz w:val="32"/>
          <w:szCs w:val="32"/>
          <w:shd w:val="clear"/>
          <w:lang w:val="en-US" w:eastAsia="zh-CN"/>
        </w:rPr>
        <w:t>5.00万元</w:t>
      </w:r>
      <w:r>
        <w:rPr>
          <w:rFonts w:hint="eastAsia" w:ascii="仿宋_GB2312" w:eastAsia="仿宋_GB2312" w:cs="DengXian-Regular"/>
          <w:sz w:val="32"/>
          <w:szCs w:val="32"/>
          <w:shd w:val="clear"/>
        </w:rPr>
        <w:t>区</w:t>
      </w:r>
      <w:r>
        <w:rPr>
          <w:rFonts w:hint="eastAsia" w:ascii="仿宋_GB2312" w:eastAsia="仿宋_GB2312" w:cs="DengXian-Regular"/>
          <w:sz w:val="32"/>
          <w:szCs w:val="32"/>
          <w:shd w:val="clear"/>
          <w:lang w:eastAsia="zh-CN"/>
        </w:rPr>
        <w:t>；追加拨付机关服务中心后勤保障服务经费</w:t>
      </w:r>
      <w:r>
        <w:rPr>
          <w:rFonts w:hint="eastAsia" w:ascii="仿宋_GB2312" w:eastAsia="仿宋_GB2312" w:cs="DengXian-Regular"/>
          <w:sz w:val="32"/>
          <w:szCs w:val="32"/>
          <w:shd w:val="clear"/>
          <w:lang w:val="en-US" w:eastAsia="zh-CN"/>
        </w:rPr>
        <w:t>1.20万元</w:t>
      </w:r>
      <w:r>
        <w:rPr>
          <w:rFonts w:hint="eastAsia" w:ascii="仿宋_GB2312" w:eastAsia="仿宋_GB2312" w:cs="DengXian-Regular"/>
          <w:sz w:val="32"/>
          <w:szCs w:val="32"/>
          <w:shd w:val="clear"/>
          <w:lang w:eastAsia="zh-CN"/>
        </w:rPr>
        <w:t>；追加机关服务中心取暖费</w:t>
      </w:r>
      <w:r>
        <w:rPr>
          <w:rFonts w:hint="eastAsia" w:ascii="仿宋_GB2312" w:eastAsia="仿宋_GB2312" w:cs="DengXian-Regular"/>
          <w:sz w:val="32"/>
          <w:szCs w:val="32"/>
          <w:shd w:val="clear"/>
          <w:lang w:val="en-US" w:eastAsia="zh-CN"/>
        </w:rPr>
        <w:t>79.76万元</w:t>
      </w:r>
      <w:r>
        <w:rPr>
          <w:rFonts w:hint="eastAsia" w:ascii="仿宋_GB2312" w:eastAsia="仿宋_GB2312" w:cs="DengXian-Regular"/>
          <w:sz w:val="32"/>
          <w:szCs w:val="32"/>
          <w:shd w:val="clear"/>
          <w:lang w:eastAsia="zh-CN"/>
        </w:rPr>
        <w:t>；追加拨付机关服务中心购置供电设备资金</w:t>
      </w:r>
      <w:r>
        <w:rPr>
          <w:rFonts w:hint="eastAsia" w:ascii="仿宋_GB2312" w:eastAsia="仿宋_GB2312" w:cs="DengXian-Regular"/>
          <w:sz w:val="32"/>
          <w:szCs w:val="32"/>
          <w:shd w:val="clear"/>
          <w:lang w:val="en-US" w:eastAsia="zh-CN"/>
        </w:rPr>
        <w:t>27.83万元</w:t>
      </w:r>
      <w:r>
        <w:rPr>
          <w:rFonts w:hint="eastAsia" w:ascii="仿宋_GB2312" w:eastAsia="仿宋_GB2312" w:cs="DengXian-Regular"/>
          <w:sz w:val="32"/>
          <w:szCs w:val="32"/>
          <w:shd w:val="clear"/>
          <w:lang w:eastAsia="zh-CN"/>
        </w:rPr>
        <w:t>；追加机关服务中心平台租赁车辆资金</w:t>
      </w:r>
      <w:r>
        <w:rPr>
          <w:rFonts w:hint="eastAsia" w:ascii="仿宋_GB2312" w:eastAsia="仿宋_GB2312" w:cs="DengXian-Regular"/>
          <w:sz w:val="32"/>
          <w:szCs w:val="32"/>
          <w:shd w:val="clear"/>
          <w:lang w:val="en-US" w:eastAsia="zh-CN"/>
        </w:rPr>
        <w:t>24.78万元。追加机关服务中心更换两个伸缩门资金7.99万元</w:t>
      </w:r>
      <w:r>
        <w:rPr>
          <w:rFonts w:hint="eastAsia" w:ascii="仿宋_GB2312" w:eastAsia="仿宋_GB2312" w:cs="DengXian-Regular"/>
          <w:sz w:val="32"/>
          <w:szCs w:val="32"/>
          <w:shd w:val="clear"/>
          <w:lang w:eastAsia="zh-CN"/>
        </w:rPr>
        <w:t>；追加追加政府机关大院取暖费</w:t>
      </w:r>
      <w:r>
        <w:rPr>
          <w:rFonts w:hint="eastAsia" w:ascii="仿宋_GB2312" w:eastAsia="仿宋_GB2312" w:cs="DengXian-Regular"/>
          <w:sz w:val="32"/>
          <w:szCs w:val="32"/>
          <w:shd w:val="clear"/>
          <w:lang w:val="en-US" w:eastAsia="zh-CN"/>
        </w:rPr>
        <w:t>60.00万元</w:t>
      </w:r>
      <w:r>
        <w:rPr>
          <w:rFonts w:hint="eastAsia" w:ascii="仿宋_GB2312" w:eastAsia="仿宋_GB2312" w:cs="DengXian-Regular"/>
          <w:sz w:val="32"/>
          <w:szCs w:val="32"/>
          <w:shd w:val="clear"/>
          <w:lang w:eastAsia="zh-CN"/>
        </w:rPr>
        <w:t>。</w:t>
      </w:r>
    </w:p>
    <w:p w14:paraId="77FC092C">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4.政府采购方面</w:t>
      </w:r>
      <w:r>
        <w:rPr>
          <w:rFonts w:hint="eastAsia" w:ascii="仿宋_GB2312" w:eastAsia="仿宋_GB2312" w:cs="Times New Roman" w:hAnsiTheme="minorEastAsia"/>
          <w:sz w:val="32"/>
          <w:szCs w:val="32"/>
          <w:u w:color="000000"/>
          <w:lang w:eastAsia="zh-CN"/>
        </w:rPr>
        <w:t>：</w:t>
      </w: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区机关服务中心</w:t>
      </w:r>
      <w:r>
        <w:rPr>
          <w:rFonts w:hint="default" w:ascii="仿宋_GB2312" w:eastAsia="仿宋_GB2312" w:cs="DengXian-Regular"/>
          <w:sz w:val="32"/>
          <w:szCs w:val="32"/>
          <w:lang w:val="en-US" w:eastAsia="zh-CN"/>
        </w:rPr>
        <w:t>2022</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456.26</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0</w:t>
      </w:r>
      <w:r>
        <w:rPr>
          <w:rFonts w:hint="eastAsia" w:ascii="仿宋_GB2312" w:eastAsia="仿宋_GB2312" w:cs="DengXian-Regular"/>
          <w:sz w:val="32"/>
          <w:szCs w:val="32"/>
        </w:rPr>
        <w:t>。</w:t>
      </w:r>
    </w:p>
    <w:p w14:paraId="7A8AD78B">
      <w:pPr>
        <w:numPr>
          <w:ilvl w:val="0"/>
          <w:numId w:val="0"/>
        </w:numPr>
        <w:spacing w:after="0" w:line="360" w:lineRule="auto"/>
        <w:ind w:right="396" w:rightChars="180"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rPr>
        <w:t>5.项目资金使用率方面</w:t>
      </w:r>
      <w:r>
        <w:rPr>
          <w:rFonts w:hint="eastAsia" w:ascii="仿宋_GB2312" w:eastAsia="仿宋_GB2312" w:cs="Times New Roman" w:hAnsiTheme="minorEastAsia"/>
          <w:sz w:val="32"/>
          <w:szCs w:val="32"/>
          <w:u w:color="000000"/>
          <w:lang w:eastAsia="zh-CN"/>
        </w:rPr>
        <w:t>：</w:t>
      </w:r>
      <w:r>
        <w:rPr>
          <w:rFonts w:hint="eastAsia" w:ascii="仿宋_GB2312" w:eastAsia="仿宋_GB2312" w:cs="DengXian-Regular"/>
          <w:sz w:val="32"/>
          <w:szCs w:val="32"/>
          <w:highlight w:val="none"/>
          <w:lang w:eastAsia="zh-CN"/>
        </w:rPr>
        <w:t>区机关服务中心</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年度预算收入的追加数为</w:t>
      </w:r>
      <w:r>
        <w:rPr>
          <w:rFonts w:hint="default" w:ascii="仿宋_GB2312" w:eastAsia="仿宋_GB2312" w:cs="DengXian-Regular"/>
          <w:sz w:val="32"/>
          <w:szCs w:val="32"/>
          <w:highlight w:val="none"/>
          <w:lang w:val="en-US"/>
        </w:rPr>
        <w:t>613.84</w:t>
      </w:r>
      <w:r>
        <w:rPr>
          <w:rFonts w:hint="eastAsia" w:ascii="仿宋_GB2312" w:eastAsia="仿宋_GB2312" w:cs="DengXian-Regular"/>
          <w:sz w:val="32"/>
          <w:szCs w:val="32"/>
          <w:highlight w:val="none"/>
        </w:rPr>
        <w:t>万元，年初预算数为</w:t>
      </w:r>
      <w:r>
        <w:rPr>
          <w:rFonts w:hint="default" w:ascii="仿宋_GB2312" w:eastAsia="仿宋_GB2312" w:cs="DengXian-Regular"/>
          <w:sz w:val="32"/>
          <w:szCs w:val="32"/>
          <w:highlight w:val="none"/>
          <w:lang w:val="en-US"/>
        </w:rPr>
        <w:t>202.34</w:t>
      </w:r>
      <w:r>
        <w:rPr>
          <w:rFonts w:hint="eastAsia" w:ascii="仿宋_GB2312" w:eastAsia="仿宋_GB2312" w:cs="DengXian-Regular"/>
          <w:sz w:val="32"/>
          <w:szCs w:val="32"/>
          <w:highlight w:val="none"/>
        </w:rPr>
        <w:t>万元，预算收入调整率为</w:t>
      </w:r>
      <w:r>
        <w:rPr>
          <w:rFonts w:hint="default" w:ascii="仿宋_GB2312" w:eastAsia="仿宋_GB2312" w:cs="DengXian-Regular"/>
          <w:sz w:val="32"/>
          <w:szCs w:val="32"/>
          <w:highlight w:val="none"/>
          <w:lang w:val="en-US"/>
        </w:rPr>
        <w:t>303.37</w:t>
      </w:r>
      <w:r>
        <w:rPr>
          <w:rFonts w:hint="eastAsia" w:ascii="仿宋_GB2312" w:eastAsia="仿宋_GB2312" w:cs="DengXian-Regular"/>
          <w:sz w:val="32"/>
          <w:szCs w:val="32"/>
          <w:highlight w:val="none"/>
        </w:rPr>
        <w:t>%。</w:t>
      </w:r>
      <w:r>
        <w:rPr>
          <w:rFonts w:hint="default" w:ascii="仿宋_GB2312" w:eastAsia="仿宋_GB2312" w:cs="Times New Roman" w:hAnsiTheme="minorEastAsia"/>
          <w:sz w:val="32"/>
          <w:szCs w:val="32"/>
          <w:u w:color="000000"/>
          <w:lang w:val="en-US" w:eastAsia="zh-CN"/>
        </w:rPr>
        <w:t>2022</w:t>
      </w:r>
      <w:r>
        <w:rPr>
          <w:rFonts w:hint="eastAsia" w:ascii="仿宋_GB2312" w:eastAsia="仿宋_GB2312" w:cs="Times New Roman" w:hAnsiTheme="minorEastAsia"/>
          <w:sz w:val="32"/>
          <w:szCs w:val="32"/>
          <w:u w:color="000000"/>
          <w:lang w:val="en-US" w:eastAsia="zh-CN"/>
        </w:rPr>
        <w:t>年追加预算项目较多，</w:t>
      </w:r>
      <w:r>
        <w:rPr>
          <w:rFonts w:hint="eastAsia" w:ascii="仿宋_GB2312" w:eastAsia="仿宋_GB2312" w:cs="DengXian-Regular"/>
          <w:sz w:val="32"/>
          <w:szCs w:val="32"/>
        </w:rPr>
        <w:t>做下一年度预算时，争取更精准些。</w:t>
      </w:r>
    </w:p>
    <w:p w14:paraId="48231CC4">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p>
    <w:p w14:paraId="295B42A8">
      <w:pPr>
        <w:spacing w:after="0" w:line="360" w:lineRule="auto"/>
        <w:jc w:val="both"/>
        <w:textAlignment w:val="baseline"/>
        <w:rPr>
          <w:rFonts w:hint="eastAsia" w:ascii="仿宋_GB2312" w:eastAsia="仿宋_GB2312" w:cs="Times New Roman" w:hAnsiTheme="minorEastAsia"/>
          <w:sz w:val="32"/>
          <w:szCs w:val="32"/>
          <w:u w:color="000000"/>
        </w:rPr>
      </w:pPr>
    </w:p>
    <w:bookmarkEnd w:id="75"/>
    <w:bookmarkEnd w:id="76"/>
    <w:p w14:paraId="0F2A560A">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机关服务中心</w:t>
      </w:r>
      <w:r>
        <w:rPr>
          <w:rFonts w:hint="eastAsia" w:ascii="仿宋_GB2312" w:eastAsia="仿宋_GB2312" w:cs="Times New Roman" w:hAnsiTheme="minorEastAsia"/>
          <w:sz w:val="32"/>
          <w:szCs w:val="32"/>
          <w:u w:color="000000"/>
        </w:rPr>
        <w:t>部门基本情况及主要职责</w:t>
      </w:r>
    </w:p>
    <w:p w14:paraId="5DD49D55">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机关服务中心</w:t>
      </w:r>
      <w:r>
        <w:rPr>
          <w:rFonts w:hint="eastAsia" w:ascii="仿宋_GB2312" w:eastAsia="仿宋_GB2312" w:cs="Times New Roman" w:hAnsiTheme="minorEastAsia"/>
          <w:sz w:val="32"/>
          <w:szCs w:val="32"/>
          <w:u w:color="000000"/>
        </w:rPr>
        <w:t>收支预算及决算明细表</w:t>
      </w:r>
    </w:p>
    <w:p w14:paraId="2AC79DFD">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14:paraId="46C5027F">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机关服务中心</w:t>
      </w:r>
      <w:r>
        <w:rPr>
          <w:rFonts w:hint="eastAsia" w:ascii="仿宋_GB2312" w:eastAsia="仿宋_GB2312" w:cs="Times New Roman" w:hAnsiTheme="minorEastAsia"/>
          <w:sz w:val="32"/>
          <w:szCs w:val="32"/>
          <w:u w:color="000000"/>
        </w:rPr>
        <w:t>工作活动绩效目标、绩效指标一览表</w:t>
      </w:r>
    </w:p>
    <w:p w14:paraId="4524E2A4">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0F6EC2C">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02FD37E">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4DD6386">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A243">
    <w:pPr>
      <w:pStyle w:val="14"/>
      <w:jc w:val="center"/>
    </w:pPr>
  </w:p>
  <w:p w14:paraId="1E2C50D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5722B">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5B8205F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4D1B"/>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1E5"/>
    <w:rsid w:val="001F2F0E"/>
    <w:rsid w:val="001F33AA"/>
    <w:rsid w:val="001F6236"/>
    <w:rsid w:val="00200051"/>
    <w:rsid w:val="00202D5A"/>
    <w:rsid w:val="00205F02"/>
    <w:rsid w:val="0021307B"/>
    <w:rsid w:val="002142B8"/>
    <w:rsid w:val="002161F4"/>
    <w:rsid w:val="0021638B"/>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07BB"/>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6A0B"/>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07624"/>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0C25"/>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27059"/>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0B05EC"/>
    <w:rsid w:val="011D4AE2"/>
    <w:rsid w:val="013B372B"/>
    <w:rsid w:val="015D77DE"/>
    <w:rsid w:val="016A251B"/>
    <w:rsid w:val="0181040D"/>
    <w:rsid w:val="01F65399"/>
    <w:rsid w:val="02223DEB"/>
    <w:rsid w:val="0235043C"/>
    <w:rsid w:val="023D07A7"/>
    <w:rsid w:val="025453E8"/>
    <w:rsid w:val="025645A4"/>
    <w:rsid w:val="026A1A9F"/>
    <w:rsid w:val="02817CDB"/>
    <w:rsid w:val="02837EAB"/>
    <w:rsid w:val="02FC678E"/>
    <w:rsid w:val="03226235"/>
    <w:rsid w:val="03226A0E"/>
    <w:rsid w:val="032E6459"/>
    <w:rsid w:val="03565359"/>
    <w:rsid w:val="036E4D73"/>
    <w:rsid w:val="03B76016"/>
    <w:rsid w:val="03D81E43"/>
    <w:rsid w:val="03E17167"/>
    <w:rsid w:val="04072917"/>
    <w:rsid w:val="04260169"/>
    <w:rsid w:val="04813C22"/>
    <w:rsid w:val="04B2606A"/>
    <w:rsid w:val="04CC4830"/>
    <w:rsid w:val="04D63E08"/>
    <w:rsid w:val="04ED7A50"/>
    <w:rsid w:val="050945F2"/>
    <w:rsid w:val="050A45E5"/>
    <w:rsid w:val="050E4034"/>
    <w:rsid w:val="05151DC3"/>
    <w:rsid w:val="051E4151"/>
    <w:rsid w:val="056228F2"/>
    <w:rsid w:val="05663D5D"/>
    <w:rsid w:val="056F4DC0"/>
    <w:rsid w:val="05941814"/>
    <w:rsid w:val="05943447"/>
    <w:rsid w:val="05AB3562"/>
    <w:rsid w:val="05CA1B8A"/>
    <w:rsid w:val="05CF2090"/>
    <w:rsid w:val="05E768CC"/>
    <w:rsid w:val="05F86FA8"/>
    <w:rsid w:val="0604017C"/>
    <w:rsid w:val="061576BB"/>
    <w:rsid w:val="06174B4A"/>
    <w:rsid w:val="0618200A"/>
    <w:rsid w:val="06302A43"/>
    <w:rsid w:val="06342461"/>
    <w:rsid w:val="065C2670"/>
    <w:rsid w:val="06677EA2"/>
    <w:rsid w:val="066E6FEC"/>
    <w:rsid w:val="067D11E4"/>
    <w:rsid w:val="06902BCC"/>
    <w:rsid w:val="06E87766"/>
    <w:rsid w:val="06F06056"/>
    <w:rsid w:val="07021FF9"/>
    <w:rsid w:val="071C7BC7"/>
    <w:rsid w:val="075A67A2"/>
    <w:rsid w:val="07667335"/>
    <w:rsid w:val="07896873"/>
    <w:rsid w:val="07EA1B52"/>
    <w:rsid w:val="07EC3F60"/>
    <w:rsid w:val="081F074E"/>
    <w:rsid w:val="08221412"/>
    <w:rsid w:val="082F2DC2"/>
    <w:rsid w:val="0840050B"/>
    <w:rsid w:val="084329DE"/>
    <w:rsid w:val="086D38AF"/>
    <w:rsid w:val="08992CD4"/>
    <w:rsid w:val="08C44882"/>
    <w:rsid w:val="08C51655"/>
    <w:rsid w:val="08C94E4D"/>
    <w:rsid w:val="090C0C0F"/>
    <w:rsid w:val="0915227D"/>
    <w:rsid w:val="09164C3B"/>
    <w:rsid w:val="091A004F"/>
    <w:rsid w:val="093325F3"/>
    <w:rsid w:val="099842FD"/>
    <w:rsid w:val="09997E7C"/>
    <w:rsid w:val="09CC4749"/>
    <w:rsid w:val="09F21125"/>
    <w:rsid w:val="0A3A2559"/>
    <w:rsid w:val="0A647B82"/>
    <w:rsid w:val="0A746EDB"/>
    <w:rsid w:val="0A805158"/>
    <w:rsid w:val="0A905AAA"/>
    <w:rsid w:val="0A976B18"/>
    <w:rsid w:val="0A9F71FE"/>
    <w:rsid w:val="0AF87126"/>
    <w:rsid w:val="0AFC1A9B"/>
    <w:rsid w:val="0B006075"/>
    <w:rsid w:val="0B123F21"/>
    <w:rsid w:val="0B4B1CD9"/>
    <w:rsid w:val="0B6E6C5D"/>
    <w:rsid w:val="0B793D12"/>
    <w:rsid w:val="0B7C07C5"/>
    <w:rsid w:val="0B9B2EBC"/>
    <w:rsid w:val="0B9B55D6"/>
    <w:rsid w:val="0BA309DB"/>
    <w:rsid w:val="0BA461CC"/>
    <w:rsid w:val="0BBA38D2"/>
    <w:rsid w:val="0BC90D6D"/>
    <w:rsid w:val="0BCB508B"/>
    <w:rsid w:val="0BE0203C"/>
    <w:rsid w:val="0BE05710"/>
    <w:rsid w:val="0C05471D"/>
    <w:rsid w:val="0C070B14"/>
    <w:rsid w:val="0C1A22A8"/>
    <w:rsid w:val="0C1C71AB"/>
    <w:rsid w:val="0C26236E"/>
    <w:rsid w:val="0C9040E5"/>
    <w:rsid w:val="0C9306BE"/>
    <w:rsid w:val="0CA75037"/>
    <w:rsid w:val="0CB05CD1"/>
    <w:rsid w:val="0CBD112A"/>
    <w:rsid w:val="0CCE51D2"/>
    <w:rsid w:val="0CD3694D"/>
    <w:rsid w:val="0D056BFD"/>
    <w:rsid w:val="0D1B39E9"/>
    <w:rsid w:val="0D4F3B3F"/>
    <w:rsid w:val="0D7A4A1E"/>
    <w:rsid w:val="0D823E4C"/>
    <w:rsid w:val="0D977F99"/>
    <w:rsid w:val="0DA72012"/>
    <w:rsid w:val="0DC8043B"/>
    <w:rsid w:val="0DCB2021"/>
    <w:rsid w:val="0E2663CC"/>
    <w:rsid w:val="0E3A01CC"/>
    <w:rsid w:val="0E461709"/>
    <w:rsid w:val="0E5E7845"/>
    <w:rsid w:val="0E9172D3"/>
    <w:rsid w:val="0EF1422C"/>
    <w:rsid w:val="0F1E79B2"/>
    <w:rsid w:val="0F3B23D4"/>
    <w:rsid w:val="0F3B3DD7"/>
    <w:rsid w:val="0F5500C8"/>
    <w:rsid w:val="0F5A3BC4"/>
    <w:rsid w:val="0F6B46C2"/>
    <w:rsid w:val="0F7C73EB"/>
    <w:rsid w:val="0F8532EC"/>
    <w:rsid w:val="10066D63"/>
    <w:rsid w:val="10367C89"/>
    <w:rsid w:val="10381912"/>
    <w:rsid w:val="10570CF6"/>
    <w:rsid w:val="107B6AE8"/>
    <w:rsid w:val="107E1BE7"/>
    <w:rsid w:val="10B33056"/>
    <w:rsid w:val="10FF3936"/>
    <w:rsid w:val="11022683"/>
    <w:rsid w:val="11195DC6"/>
    <w:rsid w:val="111A7017"/>
    <w:rsid w:val="11444CDA"/>
    <w:rsid w:val="11593A5D"/>
    <w:rsid w:val="115A70AD"/>
    <w:rsid w:val="116421D6"/>
    <w:rsid w:val="11781262"/>
    <w:rsid w:val="11D945D9"/>
    <w:rsid w:val="11EA1B00"/>
    <w:rsid w:val="11EA41C0"/>
    <w:rsid w:val="11F129A4"/>
    <w:rsid w:val="11FC20CD"/>
    <w:rsid w:val="121F5AC5"/>
    <w:rsid w:val="125037BB"/>
    <w:rsid w:val="12521250"/>
    <w:rsid w:val="12524B60"/>
    <w:rsid w:val="12551120"/>
    <w:rsid w:val="125B2E30"/>
    <w:rsid w:val="127E481C"/>
    <w:rsid w:val="12862D29"/>
    <w:rsid w:val="128A3801"/>
    <w:rsid w:val="12956C96"/>
    <w:rsid w:val="12E866AF"/>
    <w:rsid w:val="130C55D8"/>
    <w:rsid w:val="13244A23"/>
    <w:rsid w:val="135F0509"/>
    <w:rsid w:val="13EE6B6B"/>
    <w:rsid w:val="13F84AF5"/>
    <w:rsid w:val="14075619"/>
    <w:rsid w:val="14282269"/>
    <w:rsid w:val="142C4BE7"/>
    <w:rsid w:val="14317275"/>
    <w:rsid w:val="1472386E"/>
    <w:rsid w:val="14834290"/>
    <w:rsid w:val="148F0FC6"/>
    <w:rsid w:val="14A803CF"/>
    <w:rsid w:val="14E007F8"/>
    <w:rsid w:val="150E0699"/>
    <w:rsid w:val="151600A7"/>
    <w:rsid w:val="15351835"/>
    <w:rsid w:val="15566389"/>
    <w:rsid w:val="1587726A"/>
    <w:rsid w:val="158E290A"/>
    <w:rsid w:val="159F345A"/>
    <w:rsid w:val="15B256BC"/>
    <w:rsid w:val="15B76491"/>
    <w:rsid w:val="15D800CF"/>
    <w:rsid w:val="15E05E3F"/>
    <w:rsid w:val="15E43EF8"/>
    <w:rsid w:val="15FD6E6A"/>
    <w:rsid w:val="164E1FB9"/>
    <w:rsid w:val="164F016C"/>
    <w:rsid w:val="16734AF0"/>
    <w:rsid w:val="167D4916"/>
    <w:rsid w:val="16A81136"/>
    <w:rsid w:val="16AC4207"/>
    <w:rsid w:val="16E300DD"/>
    <w:rsid w:val="172A6A06"/>
    <w:rsid w:val="176D16D6"/>
    <w:rsid w:val="178A56FB"/>
    <w:rsid w:val="17A2348E"/>
    <w:rsid w:val="17A8647B"/>
    <w:rsid w:val="17A975C2"/>
    <w:rsid w:val="17CB3E35"/>
    <w:rsid w:val="18011554"/>
    <w:rsid w:val="181C15DE"/>
    <w:rsid w:val="18240C5E"/>
    <w:rsid w:val="18253B4C"/>
    <w:rsid w:val="18602F7E"/>
    <w:rsid w:val="18632A2C"/>
    <w:rsid w:val="18652104"/>
    <w:rsid w:val="186B0B6B"/>
    <w:rsid w:val="189F778D"/>
    <w:rsid w:val="18B867C3"/>
    <w:rsid w:val="18E508C3"/>
    <w:rsid w:val="190F1674"/>
    <w:rsid w:val="19132D2F"/>
    <w:rsid w:val="19210747"/>
    <w:rsid w:val="19312558"/>
    <w:rsid w:val="1933686B"/>
    <w:rsid w:val="19405F62"/>
    <w:rsid w:val="196E7CB2"/>
    <w:rsid w:val="198759D2"/>
    <w:rsid w:val="19AB1212"/>
    <w:rsid w:val="19BC70E6"/>
    <w:rsid w:val="19D72BB5"/>
    <w:rsid w:val="19E823E8"/>
    <w:rsid w:val="1A045A17"/>
    <w:rsid w:val="1AC83731"/>
    <w:rsid w:val="1ACC6680"/>
    <w:rsid w:val="1AD212BF"/>
    <w:rsid w:val="1AF900F3"/>
    <w:rsid w:val="1AFC6A2C"/>
    <w:rsid w:val="1B090BAE"/>
    <w:rsid w:val="1B357B87"/>
    <w:rsid w:val="1B722A27"/>
    <w:rsid w:val="1B812134"/>
    <w:rsid w:val="1B8F7998"/>
    <w:rsid w:val="1BD1065C"/>
    <w:rsid w:val="1BE0351A"/>
    <w:rsid w:val="1C120302"/>
    <w:rsid w:val="1C28288D"/>
    <w:rsid w:val="1C442FCB"/>
    <w:rsid w:val="1C532B00"/>
    <w:rsid w:val="1C6C5AF2"/>
    <w:rsid w:val="1C837149"/>
    <w:rsid w:val="1C842A87"/>
    <w:rsid w:val="1CAD496F"/>
    <w:rsid w:val="1CCC12C5"/>
    <w:rsid w:val="1D1277AE"/>
    <w:rsid w:val="1D1B1BAD"/>
    <w:rsid w:val="1D3345DF"/>
    <w:rsid w:val="1D401A6B"/>
    <w:rsid w:val="1D775046"/>
    <w:rsid w:val="1DB06ED3"/>
    <w:rsid w:val="1DC01490"/>
    <w:rsid w:val="1DC84B2D"/>
    <w:rsid w:val="1DCC5DA5"/>
    <w:rsid w:val="1DEA7B97"/>
    <w:rsid w:val="1DF579AA"/>
    <w:rsid w:val="1E3A5C06"/>
    <w:rsid w:val="1E742DAC"/>
    <w:rsid w:val="1E757367"/>
    <w:rsid w:val="1E8A015B"/>
    <w:rsid w:val="1EA00E4A"/>
    <w:rsid w:val="1EAB471A"/>
    <w:rsid w:val="1EE124B8"/>
    <w:rsid w:val="1EF45F8A"/>
    <w:rsid w:val="1F4F1109"/>
    <w:rsid w:val="1F6A0646"/>
    <w:rsid w:val="1F7E2EC2"/>
    <w:rsid w:val="1F9110DE"/>
    <w:rsid w:val="20342D17"/>
    <w:rsid w:val="20367490"/>
    <w:rsid w:val="20411704"/>
    <w:rsid w:val="206A0332"/>
    <w:rsid w:val="2091595B"/>
    <w:rsid w:val="20A7520C"/>
    <w:rsid w:val="20A778E9"/>
    <w:rsid w:val="20B05921"/>
    <w:rsid w:val="20B166C1"/>
    <w:rsid w:val="20F33276"/>
    <w:rsid w:val="20F51AC3"/>
    <w:rsid w:val="21065248"/>
    <w:rsid w:val="2128754A"/>
    <w:rsid w:val="214D45E0"/>
    <w:rsid w:val="21911736"/>
    <w:rsid w:val="219F1CB5"/>
    <w:rsid w:val="21AE6D2F"/>
    <w:rsid w:val="21C21552"/>
    <w:rsid w:val="21C3713A"/>
    <w:rsid w:val="21C73EE6"/>
    <w:rsid w:val="22390078"/>
    <w:rsid w:val="223A220A"/>
    <w:rsid w:val="228D47E1"/>
    <w:rsid w:val="22A93AEA"/>
    <w:rsid w:val="22FF26BB"/>
    <w:rsid w:val="232D270D"/>
    <w:rsid w:val="23313058"/>
    <w:rsid w:val="23323007"/>
    <w:rsid w:val="233A394F"/>
    <w:rsid w:val="233E590F"/>
    <w:rsid w:val="235D290A"/>
    <w:rsid w:val="239E5E9F"/>
    <w:rsid w:val="23AD0B14"/>
    <w:rsid w:val="23C2477B"/>
    <w:rsid w:val="23D23C04"/>
    <w:rsid w:val="23EB232A"/>
    <w:rsid w:val="241953BA"/>
    <w:rsid w:val="24DA6297"/>
    <w:rsid w:val="2526615A"/>
    <w:rsid w:val="252F3CBE"/>
    <w:rsid w:val="25484E9C"/>
    <w:rsid w:val="254A4148"/>
    <w:rsid w:val="25696221"/>
    <w:rsid w:val="25A93E5B"/>
    <w:rsid w:val="25BB5FE0"/>
    <w:rsid w:val="25DD71DD"/>
    <w:rsid w:val="25DF61B2"/>
    <w:rsid w:val="26233A27"/>
    <w:rsid w:val="265578A4"/>
    <w:rsid w:val="26694CDB"/>
    <w:rsid w:val="26746E84"/>
    <w:rsid w:val="26BB5C92"/>
    <w:rsid w:val="275108EA"/>
    <w:rsid w:val="275C11D0"/>
    <w:rsid w:val="276D371E"/>
    <w:rsid w:val="277A2A5B"/>
    <w:rsid w:val="27AC1F87"/>
    <w:rsid w:val="27B97741"/>
    <w:rsid w:val="27BE2B06"/>
    <w:rsid w:val="27FB7A5E"/>
    <w:rsid w:val="281C7AEB"/>
    <w:rsid w:val="282C171E"/>
    <w:rsid w:val="2849297F"/>
    <w:rsid w:val="284F6C1D"/>
    <w:rsid w:val="286241BD"/>
    <w:rsid w:val="287E382A"/>
    <w:rsid w:val="28864D74"/>
    <w:rsid w:val="28987D82"/>
    <w:rsid w:val="28A54F60"/>
    <w:rsid w:val="28DB5FCC"/>
    <w:rsid w:val="28DF64C3"/>
    <w:rsid w:val="28E81876"/>
    <w:rsid w:val="290864A4"/>
    <w:rsid w:val="291549DD"/>
    <w:rsid w:val="291D0167"/>
    <w:rsid w:val="2936596A"/>
    <w:rsid w:val="297514D8"/>
    <w:rsid w:val="2997006D"/>
    <w:rsid w:val="29AC5EF0"/>
    <w:rsid w:val="29D76B4D"/>
    <w:rsid w:val="2A057B39"/>
    <w:rsid w:val="2A0A70E6"/>
    <w:rsid w:val="2A485F55"/>
    <w:rsid w:val="2A7E4813"/>
    <w:rsid w:val="2A854B81"/>
    <w:rsid w:val="2ABA3478"/>
    <w:rsid w:val="2AD765AC"/>
    <w:rsid w:val="2B040631"/>
    <w:rsid w:val="2B0B5AF1"/>
    <w:rsid w:val="2B2774CE"/>
    <w:rsid w:val="2B73250A"/>
    <w:rsid w:val="2B793244"/>
    <w:rsid w:val="2B856FFB"/>
    <w:rsid w:val="2B885ADA"/>
    <w:rsid w:val="2B9363F9"/>
    <w:rsid w:val="2B961B5B"/>
    <w:rsid w:val="2BED2040"/>
    <w:rsid w:val="2C094BA0"/>
    <w:rsid w:val="2C0B0F0C"/>
    <w:rsid w:val="2C60205D"/>
    <w:rsid w:val="2C6C4AAB"/>
    <w:rsid w:val="2C8F5C68"/>
    <w:rsid w:val="2C96340C"/>
    <w:rsid w:val="2CAC7716"/>
    <w:rsid w:val="2CAD317E"/>
    <w:rsid w:val="2CC97424"/>
    <w:rsid w:val="2CE920C9"/>
    <w:rsid w:val="2CEF7F8B"/>
    <w:rsid w:val="2D0B17D2"/>
    <w:rsid w:val="2D2725F0"/>
    <w:rsid w:val="2D297BE9"/>
    <w:rsid w:val="2D345768"/>
    <w:rsid w:val="2D5E5B99"/>
    <w:rsid w:val="2D637F44"/>
    <w:rsid w:val="2D73679B"/>
    <w:rsid w:val="2D827C9A"/>
    <w:rsid w:val="2DAB622D"/>
    <w:rsid w:val="2DB570BC"/>
    <w:rsid w:val="2DC6299E"/>
    <w:rsid w:val="2DD75FA8"/>
    <w:rsid w:val="2DF443B5"/>
    <w:rsid w:val="2E5D0FA5"/>
    <w:rsid w:val="2E660922"/>
    <w:rsid w:val="2E994608"/>
    <w:rsid w:val="2E9C375A"/>
    <w:rsid w:val="2EA60EE0"/>
    <w:rsid w:val="2ED8262F"/>
    <w:rsid w:val="2F1D30A8"/>
    <w:rsid w:val="2F242CBD"/>
    <w:rsid w:val="2F4F5973"/>
    <w:rsid w:val="2F913F49"/>
    <w:rsid w:val="2F9F6125"/>
    <w:rsid w:val="2FB34058"/>
    <w:rsid w:val="2FEA210E"/>
    <w:rsid w:val="2FF0479B"/>
    <w:rsid w:val="2FFA16E4"/>
    <w:rsid w:val="300C74C4"/>
    <w:rsid w:val="302B4B5D"/>
    <w:rsid w:val="304B3830"/>
    <w:rsid w:val="30620086"/>
    <w:rsid w:val="3069480E"/>
    <w:rsid w:val="307D5A91"/>
    <w:rsid w:val="30876DDC"/>
    <w:rsid w:val="30893FF1"/>
    <w:rsid w:val="30C03C77"/>
    <w:rsid w:val="30C7610E"/>
    <w:rsid w:val="30D919A5"/>
    <w:rsid w:val="30F25B09"/>
    <w:rsid w:val="311D412D"/>
    <w:rsid w:val="313D1123"/>
    <w:rsid w:val="3145497D"/>
    <w:rsid w:val="31794AE2"/>
    <w:rsid w:val="317B20C5"/>
    <w:rsid w:val="31907463"/>
    <w:rsid w:val="31FB2E6C"/>
    <w:rsid w:val="324C215D"/>
    <w:rsid w:val="328A3833"/>
    <w:rsid w:val="32A33E31"/>
    <w:rsid w:val="32D048D8"/>
    <w:rsid w:val="32D3622F"/>
    <w:rsid w:val="32D63CF2"/>
    <w:rsid w:val="32F26097"/>
    <w:rsid w:val="32F57C92"/>
    <w:rsid w:val="33182319"/>
    <w:rsid w:val="33212958"/>
    <w:rsid w:val="33273867"/>
    <w:rsid w:val="3341799D"/>
    <w:rsid w:val="335A16F2"/>
    <w:rsid w:val="337A399F"/>
    <w:rsid w:val="337F2EFA"/>
    <w:rsid w:val="338D5FF9"/>
    <w:rsid w:val="339029A7"/>
    <w:rsid w:val="33CC5FD9"/>
    <w:rsid w:val="33D6580A"/>
    <w:rsid w:val="3414060E"/>
    <w:rsid w:val="3428044B"/>
    <w:rsid w:val="343F40D2"/>
    <w:rsid w:val="344F3126"/>
    <w:rsid w:val="34697607"/>
    <w:rsid w:val="346F6214"/>
    <w:rsid w:val="34717C2A"/>
    <w:rsid w:val="34797FB3"/>
    <w:rsid w:val="348256FE"/>
    <w:rsid w:val="34DC6FBF"/>
    <w:rsid w:val="351519AC"/>
    <w:rsid w:val="351B6099"/>
    <w:rsid w:val="351E4799"/>
    <w:rsid w:val="352019FA"/>
    <w:rsid w:val="35731520"/>
    <w:rsid w:val="357F6EA8"/>
    <w:rsid w:val="35B95E49"/>
    <w:rsid w:val="35C40826"/>
    <w:rsid w:val="35D67B33"/>
    <w:rsid w:val="35F436C6"/>
    <w:rsid w:val="36037C49"/>
    <w:rsid w:val="36044A72"/>
    <w:rsid w:val="360778A0"/>
    <w:rsid w:val="36B00CC6"/>
    <w:rsid w:val="36B804EA"/>
    <w:rsid w:val="37096A80"/>
    <w:rsid w:val="371766EB"/>
    <w:rsid w:val="371B4260"/>
    <w:rsid w:val="3728049C"/>
    <w:rsid w:val="3742543A"/>
    <w:rsid w:val="37905D99"/>
    <w:rsid w:val="37917570"/>
    <w:rsid w:val="37BC555A"/>
    <w:rsid w:val="37CD3E9A"/>
    <w:rsid w:val="37D03480"/>
    <w:rsid w:val="37D87189"/>
    <w:rsid w:val="37E87EA7"/>
    <w:rsid w:val="37F761BE"/>
    <w:rsid w:val="38063814"/>
    <w:rsid w:val="380B1A51"/>
    <w:rsid w:val="382056BC"/>
    <w:rsid w:val="38260F3F"/>
    <w:rsid w:val="382F26A9"/>
    <w:rsid w:val="385972E9"/>
    <w:rsid w:val="38AB6B19"/>
    <w:rsid w:val="38AE68B2"/>
    <w:rsid w:val="39035D73"/>
    <w:rsid w:val="39144BF9"/>
    <w:rsid w:val="391B4575"/>
    <w:rsid w:val="39236305"/>
    <w:rsid w:val="392C5A11"/>
    <w:rsid w:val="397D1814"/>
    <w:rsid w:val="3991694F"/>
    <w:rsid w:val="39940DB8"/>
    <w:rsid w:val="39A067AD"/>
    <w:rsid w:val="39BB354D"/>
    <w:rsid w:val="39DA3998"/>
    <w:rsid w:val="39DD4E63"/>
    <w:rsid w:val="39F44A60"/>
    <w:rsid w:val="3A096C45"/>
    <w:rsid w:val="3A4E0CA7"/>
    <w:rsid w:val="3A554019"/>
    <w:rsid w:val="3A571850"/>
    <w:rsid w:val="3A5F4AF2"/>
    <w:rsid w:val="3A8018D4"/>
    <w:rsid w:val="3A960842"/>
    <w:rsid w:val="3B0C2667"/>
    <w:rsid w:val="3B1A6BFB"/>
    <w:rsid w:val="3B3315C9"/>
    <w:rsid w:val="3B3666AA"/>
    <w:rsid w:val="3B371629"/>
    <w:rsid w:val="3B5D03F9"/>
    <w:rsid w:val="3B993630"/>
    <w:rsid w:val="3B9C69ED"/>
    <w:rsid w:val="3BB82C52"/>
    <w:rsid w:val="3BCA0C0B"/>
    <w:rsid w:val="3C020168"/>
    <w:rsid w:val="3C075E40"/>
    <w:rsid w:val="3C0F314C"/>
    <w:rsid w:val="3C17750E"/>
    <w:rsid w:val="3C3E6314"/>
    <w:rsid w:val="3C463C07"/>
    <w:rsid w:val="3C5B6A73"/>
    <w:rsid w:val="3C76490C"/>
    <w:rsid w:val="3C792A29"/>
    <w:rsid w:val="3C8400FD"/>
    <w:rsid w:val="3C8D5215"/>
    <w:rsid w:val="3C9A02CC"/>
    <w:rsid w:val="3CAF78F1"/>
    <w:rsid w:val="3CB96E1E"/>
    <w:rsid w:val="3CBC0B6C"/>
    <w:rsid w:val="3D2C7955"/>
    <w:rsid w:val="3D314E26"/>
    <w:rsid w:val="3D504919"/>
    <w:rsid w:val="3D576D92"/>
    <w:rsid w:val="3D580911"/>
    <w:rsid w:val="3D5913A2"/>
    <w:rsid w:val="3DF260C2"/>
    <w:rsid w:val="3E280724"/>
    <w:rsid w:val="3E2A1310"/>
    <w:rsid w:val="3E2A5A13"/>
    <w:rsid w:val="3E324820"/>
    <w:rsid w:val="3E38656B"/>
    <w:rsid w:val="3E5D1305"/>
    <w:rsid w:val="3E63304A"/>
    <w:rsid w:val="3E6A5C1B"/>
    <w:rsid w:val="3E7429C0"/>
    <w:rsid w:val="3E951BD3"/>
    <w:rsid w:val="3EB51026"/>
    <w:rsid w:val="3EB91E59"/>
    <w:rsid w:val="3EBC4301"/>
    <w:rsid w:val="3EE66014"/>
    <w:rsid w:val="3EFB147F"/>
    <w:rsid w:val="3F1A1B9F"/>
    <w:rsid w:val="3F306E0C"/>
    <w:rsid w:val="3F445F39"/>
    <w:rsid w:val="3F656685"/>
    <w:rsid w:val="3FA23A80"/>
    <w:rsid w:val="3FA52460"/>
    <w:rsid w:val="3FAE3351"/>
    <w:rsid w:val="3FB00A08"/>
    <w:rsid w:val="3FB75DF9"/>
    <w:rsid w:val="3FBD07ED"/>
    <w:rsid w:val="3FDF0FD0"/>
    <w:rsid w:val="3FFB5643"/>
    <w:rsid w:val="40891C43"/>
    <w:rsid w:val="40A645C6"/>
    <w:rsid w:val="40AF368A"/>
    <w:rsid w:val="40BC3766"/>
    <w:rsid w:val="41692C3D"/>
    <w:rsid w:val="416C56EF"/>
    <w:rsid w:val="418368ED"/>
    <w:rsid w:val="41A01008"/>
    <w:rsid w:val="41EB54A5"/>
    <w:rsid w:val="421536BD"/>
    <w:rsid w:val="422E2EAB"/>
    <w:rsid w:val="423F284F"/>
    <w:rsid w:val="425C4B36"/>
    <w:rsid w:val="425C64FC"/>
    <w:rsid w:val="42712B8F"/>
    <w:rsid w:val="427210D6"/>
    <w:rsid w:val="4278675D"/>
    <w:rsid w:val="42874152"/>
    <w:rsid w:val="43086C6C"/>
    <w:rsid w:val="431F105C"/>
    <w:rsid w:val="43DB449A"/>
    <w:rsid w:val="43F003B4"/>
    <w:rsid w:val="44024BFC"/>
    <w:rsid w:val="44125F6E"/>
    <w:rsid w:val="445B33CD"/>
    <w:rsid w:val="446458DA"/>
    <w:rsid w:val="446645C4"/>
    <w:rsid w:val="4468157C"/>
    <w:rsid w:val="448729EB"/>
    <w:rsid w:val="448C7A8E"/>
    <w:rsid w:val="44B13145"/>
    <w:rsid w:val="44DE7602"/>
    <w:rsid w:val="44E00C2F"/>
    <w:rsid w:val="44F12828"/>
    <w:rsid w:val="453F4EE8"/>
    <w:rsid w:val="45481263"/>
    <w:rsid w:val="455275E9"/>
    <w:rsid w:val="45574ADD"/>
    <w:rsid w:val="457E0C0E"/>
    <w:rsid w:val="45A27895"/>
    <w:rsid w:val="45BC60AB"/>
    <w:rsid w:val="45BF695E"/>
    <w:rsid w:val="45CE0CE9"/>
    <w:rsid w:val="460B5BB5"/>
    <w:rsid w:val="46192225"/>
    <w:rsid w:val="461E4CB3"/>
    <w:rsid w:val="462E042F"/>
    <w:rsid w:val="4654463C"/>
    <w:rsid w:val="46781AB9"/>
    <w:rsid w:val="467B5078"/>
    <w:rsid w:val="469D1E1F"/>
    <w:rsid w:val="469F0DE9"/>
    <w:rsid w:val="46B31058"/>
    <w:rsid w:val="46BC0B78"/>
    <w:rsid w:val="46BD5641"/>
    <w:rsid w:val="4703453A"/>
    <w:rsid w:val="47235CCC"/>
    <w:rsid w:val="47401AE3"/>
    <w:rsid w:val="476D280A"/>
    <w:rsid w:val="477537FE"/>
    <w:rsid w:val="4776561F"/>
    <w:rsid w:val="47847F9B"/>
    <w:rsid w:val="47950D0B"/>
    <w:rsid w:val="47B6276E"/>
    <w:rsid w:val="47D7714D"/>
    <w:rsid w:val="47E90E32"/>
    <w:rsid w:val="482A2656"/>
    <w:rsid w:val="483D3482"/>
    <w:rsid w:val="487D2D99"/>
    <w:rsid w:val="487D5A17"/>
    <w:rsid w:val="4881509B"/>
    <w:rsid w:val="48BF662A"/>
    <w:rsid w:val="48C13519"/>
    <w:rsid w:val="48CA305E"/>
    <w:rsid w:val="491D1161"/>
    <w:rsid w:val="4945471C"/>
    <w:rsid w:val="4955664A"/>
    <w:rsid w:val="495D533E"/>
    <w:rsid w:val="495E528F"/>
    <w:rsid w:val="49862BE1"/>
    <w:rsid w:val="49C23604"/>
    <w:rsid w:val="49C630C5"/>
    <w:rsid w:val="49E77348"/>
    <w:rsid w:val="49F106A1"/>
    <w:rsid w:val="4A336B25"/>
    <w:rsid w:val="4A6500D9"/>
    <w:rsid w:val="4A860FA5"/>
    <w:rsid w:val="4A91113E"/>
    <w:rsid w:val="4AAD266D"/>
    <w:rsid w:val="4ABC560D"/>
    <w:rsid w:val="4B1C260D"/>
    <w:rsid w:val="4B1F2690"/>
    <w:rsid w:val="4B3D04AC"/>
    <w:rsid w:val="4B4D56DB"/>
    <w:rsid w:val="4B877C60"/>
    <w:rsid w:val="4B8C23D8"/>
    <w:rsid w:val="4B9F7BC8"/>
    <w:rsid w:val="4BC907B0"/>
    <w:rsid w:val="4BCB58DC"/>
    <w:rsid w:val="4BE54116"/>
    <w:rsid w:val="4BE87F26"/>
    <w:rsid w:val="4C081E20"/>
    <w:rsid w:val="4C1045D8"/>
    <w:rsid w:val="4C246A3C"/>
    <w:rsid w:val="4C3974A1"/>
    <w:rsid w:val="4C3E38B4"/>
    <w:rsid w:val="4C4D743A"/>
    <w:rsid w:val="4C561056"/>
    <w:rsid w:val="4C6D1374"/>
    <w:rsid w:val="4C807EC3"/>
    <w:rsid w:val="4C991B33"/>
    <w:rsid w:val="4CA60FF8"/>
    <w:rsid w:val="4CAB5FBA"/>
    <w:rsid w:val="4CDC25C4"/>
    <w:rsid w:val="4CE74E85"/>
    <w:rsid w:val="4D074777"/>
    <w:rsid w:val="4D0863D7"/>
    <w:rsid w:val="4D1B111D"/>
    <w:rsid w:val="4D2A1AAB"/>
    <w:rsid w:val="4DBA0025"/>
    <w:rsid w:val="4DBE15DE"/>
    <w:rsid w:val="4DD03196"/>
    <w:rsid w:val="4DD10128"/>
    <w:rsid w:val="4DFF45BC"/>
    <w:rsid w:val="4E037F07"/>
    <w:rsid w:val="4E61428A"/>
    <w:rsid w:val="4E7B705D"/>
    <w:rsid w:val="4E7D763F"/>
    <w:rsid w:val="4E923265"/>
    <w:rsid w:val="4EBF2070"/>
    <w:rsid w:val="4EC348A8"/>
    <w:rsid w:val="4EC70379"/>
    <w:rsid w:val="4ECB455C"/>
    <w:rsid w:val="4ECF4260"/>
    <w:rsid w:val="4EF16D21"/>
    <w:rsid w:val="4F151527"/>
    <w:rsid w:val="4F4E6BEF"/>
    <w:rsid w:val="4F673594"/>
    <w:rsid w:val="4F6745C5"/>
    <w:rsid w:val="4F6F59E9"/>
    <w:rsid w:val="4F751E54"/>
    <w:rsid w:val="4FA9510C"/>
    <w:rsid w:val="4FCE3AA5"/>
    <w:rsid w:val="4FD47D5F"/>
    <w:rsid w:val="4FE70635"/>
    <w:rsid w:val="4FF96B7C"/>
    <w:rsid w:val="503628B0"/>
    <w:rsid w:val="504006FF"/>
    <w:rsid w:val="50456B76"/>
    <w:rsid w:val="504B2C7E"/>
    <w:rsid w:val="504C11DC"/>
    <w:rsid w:val="505430F2"/>
    <w:rsid w:val="506F3E94"/>
    <w:rsid w:val="50877DD7"/>
    <w:rsid w:val="50891C17"/>
    <w:rsid w:val="509D3232"/>
    <w:rsid w:val="50AE0A53"/>
    <w:rsid w:val="50C771B2"/>
    <w:rsid w:val="51166513"/>
    <w:rsid w:val="51393D24"/>
    <w:rsid w:val="514769D0"/>
    <w:rsid w:val="516D63F0"/>
    <w:rsid w:val="519F7B9D"/>
    <w:rsid w:val="51BB19B6"/>
    <w:rsid w:val="51D8264D"/>
    <w:rsid w:val="51DF3A29"/>
    <w:rsid w:val="520E7D39"/>
    <w:rsid w:val="524E60DD"/>
    <w:rsid w:val="525B1058"/>
    <w:rsid w:val="526616D9"/>
    <w:rsid w:val="527310FD"/>
    <w:rsid w:val="52C145B3"/>
    <w:rsid w:val="52CE4B0A"/>
    <w:rsid w:val="52CF252D"/>
    <w:rsid w:val="53000B73"/>
    <w:rsid w:val="532C19FA"/>
    <w:rsid w:val="536C046F"/>
    <w:rsid w:val="53777260"/>
    <w:rsid w:val="53BD324D"/>
    <w:rsid w:val="53DA3FDB"/>
    <w:rsid w:val="544858EC"/>
    <w:rsid w:val="545250B9"/>
    <w:rsid w:val="54B52F23"/>
    <w:rsid w:val="54BC175A"/>
    <w:rsid w:val="54D20FB9"/>
    <w:rsid w:val="54DA6FDB"/>
    <w:rsid w:val="54F57C0A"/>
    <w:rsid w:val="55052D1F"/>
    <w:rsid w:val="55493141"/>
    <w:rsid w:val="555D0614"/>
    <w:rsid w:val="557D01CC"/>
    <w:rsid w:val="559025B5"/>
    <w:rsid w:val="55B5206A"/>
    <w:rsid w:val="55BD4EEF"/>
    <w:rsid w:val="55BE6F35"/>
    <w:rsid w:val="55C316BE"/>
    <w:rsid w:val="55C51D6B"/>
    <w:rsid w:val="55E639E4"/>
    <w:rsid w:val="55F360FB"/>
    <w:rsid w:val="562C62AF"/>
    <w:rsid w:val="562F4A45"/>
    <w:rsid w:val="56AB5747"/>
    <w:rsid w:val="56AC1955"/>
    <w:rsid w:val="570D2670"/>
    <w:rsid w:val="571710BC"/>
    <w:rsid w:val="57211A15"/>
    <w:rsid w:val="57466A30"/>
    <w:rsid w:val="576C752E"/>
    <w:rsid w:val="57A2538B"/>
    <w:rsid w:val="57A95268"/>
    <w:rsid w:val="57C33104"/>
    <w:rsid w:val="57D1203F"/>
    <w:rsid w:val="57E7750E"/>
    <w:rsid w:val="58035440"/>
    <w:rsid w:val="580502E1"/>
    <w:rsid w:val="582C3304"/>
    <w:rsid w:val="583C290B"/>
    <w:rsid w:val="583E683E"/>
    <w:rsid w:val="584263FC"/>
    <w:rsid w:val="58AA248A"/>
    <w:rsid w:val="58B73D99"/>
    <w:rsid w:val="58FC431A"/>
    <w:rsid w:val="59025312"/>
    <w:rsid w:val="592757C1"/>
    <w:rsid w:val="592E668F"/>
    <w:rsid w:val="594D3210"/>
    <w:rsid w:val="59A820EC"/>
    <w:rsid w:val="59C34A4E"/>
    <w:rsid w:val="59C853F3"/>
    <w:rsid w:val="59FD2621"/>
    <w:rsid w:val="5A097D45"/>
    <w:rsid w:val="5A0B5512"/>
    <w:rsid w:val="5A232744"/>
    <w:rsid w:val="5A244147"/>
    <w:rsid w:val="5A516F40"/>
    <w:rsid w:val="5A812EB5"/>
    <w:rsid w:val="5A8248BC"/>
    <w:rsid w:val="5A8E433F"/>
    <w:rsid w:val="5A9174CA"/>
    <w:rsid w:val="5AA50A23"/>
    <w:rsid w:val="5AB95B47"/>
    <w:rsid w:val="5ACC5639"/>
    <w:rsid w:val="5AD86C47"/>
    <w:rsid w:val="5AFE0937"/>
    <w:rsid w:val="5B022AFF"/>
    <w:rsid w:val="5B1C238B"/>
    <w:rsid w:val="5B514C64"/>
    <w:rsid w:val="5B75781D"/>
    <w:rsid w:val="5B7C5E97"/>
    <w:rsid w:val="5BB72396"/>
    <w:rsid w:val="5BBE323B"/>
    <w:rsid w:val="5BC0130B"/>
    <w:rsid w:val="5BDA2541"/>
    <w:rsid w:val="5BF0337F"/>
    <w:rsid w:val="5BFA029F"/>
    <w:rsid w:val="5C2B76D1"/>
    <w:rsid w:val="5C612C72"/>
    <w:rsid w:val="5C721080"/>
    <w:rsid w:val="5C7675D1"/>
    <w:rsid w:val="5C7B0A4E"/>
    <w:rsid w:val="5C7F377C"/>
    <w:rsid w:val="5C8E70AE"/>
    <w:rsid w:val="5C9700DF"/>
    <w:rsid w:val="5CC96F24"/>
    <w:rsid w:val="5CCD0FBC"/>
    <w:rsid w:val="5CFF5AEE"/>
    <w:rsid w:val="5D4A1A3F"/>
    <w:rsid w:val="5D5260D6"/>
    <w:rsid w:val="5DB26FAD"/>
    <w:rsid w:val="5DC823A3"/>
    <w:rsid w:val="5DFC53C6"/>
    <w:rsid w:val="5E246E5A"/>
    <w:rsid w:val="5E4106DA"/>
    <w:rsid w:val="5E4B362D"/>
    <w:rsid w:val="5E4B3828"/>
    <w:rsid w:val="5E544EDD"/>
    <w:rsid w:val="5E7E2DA5"/>
    <w:rsid w:val="5E9A5412"/>
    <w:rsid w:val="5EA07519"/>
    <w:rsid w:val="5EBF7135"/>
    <w:rsid w:val="5EC32979"/>
    <w:rsid w:val="5ECA6191"/>
    <w:rsid w:val="5EEC0866"/>
    <w:rsid w:val="5EFC5263"/>
    <w:rsid w:val="5F2B51D9"/>
    <w:rsid w:val="5F3415CA"/>
    <w:rsid w:val="5F37440C"/>
    <w:rsid w:val="5F3B2286"/>
    <w:rsid w:val="5F446C30"/>
    <w:rsid w:val="5F4C671C"/>
    <w:rsid w:val="5F5207AC"/>
    <w:rsid w:val="5F54569F"/>
    <w:rsid w:val="5FC46F52"/>
    <w:rsid w:val="5FD84E5E"/>
    <w:rsid w:val="5FDA4BA5"/>
    <w:rsid w:val="5FE332E9"/>
    <w:rsid w:val="6021211E"/>
    <w:rsid w:val="602E63FF"/>
    <w:rsid w:val="6059546A"/>
    <w:rsid w:val="608E2095"/>
    <w:rsid w:val="609E7926"/>
    <w:rsid w:val="60CA0770"/>
    <w:rsid w:val="60CC769A"/>
    <w:rsid w:val="60F3280A"/>
    <w:rsid w:val="60F52E7F"/>
    <w:rsid w:val="61301C4C"/>
    <w:rsid w:val="613B4DFD"/>
    <w:rsid w:val="615A0826"/>
    <w:rsid w:val="616E5025"/>
    <w:rsid w:val="617F48C2"/>
    <w:rsid w:val="61996D15"/>
    <w:rsid w:val="61CE43C9"/>
    <w:rsid w:val="62031B7A"/>
    <w:rsid w:val="62117B48"/>
    <w:rsid w:val="6233066F"/>
    <w:rsid w:val="625714F8"/>
    <w:rsid w:val="625A5F88"/>
    <w:rsid w:val="62771246"/>
    <w:rsid w:val="62AF2B34"/>
    <w:rsid w:val="62BC3A93"/>
    <w:rsid w:val="62D7081D"/>
    <w:rsid w:val="62DA6332"/>
    <w:rsid w:val="63687194"/>
    <w:rsid w:val="63883525"/>
    <w:rsid w:val="638E50BC"/>
    <w:rsid w:val="6482052F"/>
    <w:rsid w:val="648A3D8A"/>
    <w:rsid w:val="64B55981"/>
    <w:rsid w:val="64D27A6F"/>
    <w:rsid w:val="64F24EB2"/>
    <w:rsid w:val="64F74ED7"/>
    <w:rsid w:val="65621F55"/>
    <w:rsid w:val="65701278"/>
    <w:rsid w:val="65765688"/>
    <w:rsid w:val="65A40D91"/>
    <w:rsid w:val="65A97C3E"/>
    <w:rsid w:val="65AB29EB"/>
    <w:rsid w:val="65B564C0"/>
    <w:rsid w:val="66235BC0"/>
    <w:rsid w:val="663761B2"/>
    <w:rsid w:val="66B06F30"/>
    <w:rsid w:val="66D14688"/>
    <w:rsid w:val="66E865C4"/>
    <w:rsid w:val="66F55A6B"/>
    <w:rsid w:val="671342AC"/>
    <w:rsid w:val="672A109B"/>
    <w:rsid w:val="67327F2E"/>
    <w:rsid w:val="67355C79"/>
    <w:rsid w:val="67433A76"/>
    <w:rsid w:val="674609A7"/>
    <w:rsid w:val="67465B30"/>
    <w:rsid w:val="6785175A"/>
    <w:rsid w:val="67917AB5"/>
    <w:rsid w:val="679C004D"/>
    <w:rsid w:val="67AC3447"/>
    <w:rsid w:val="67BF60D0"/>
    <w:rsid w:val="67C722FE"/>
    <w:rsid w:val="67D800AE"/>
    <w:rsid w:val="680726BF"/>
    <w:rsid w:val="68082611"/>
    <w:rsid w:val="680B3ABB"/>
    <w:rsid w:val="682314FC"/>
    <w:rsid w:val="688C533B"/>
    <w:rsid w:val="688F1715"/>
    <w:rsid w:val="689D4315"/>
    <w:rsid w:val="68A454A8"/>
    <w:rsid w:val="68CB4211"/>
    <w:rsid w:val="68F24B6D"/>
    <w:rsid w:val="692F0DD2"/>
    <w:rsid w:val="692F6DB1"/>
    <w:rsid w:val="696B16A5"/>
    <w:rsid w:val="69772905"/>
    <w:rsid w:val="698F657A"/>
    <w:rsid w:val="69B90A93"/>
    <w:rsid w:val="6A1F4742"/>
    <w:rsid w:val="6A2627F5"/>
    <w:rsid w:val="6A360EF4"/>
    <w:rsid w:val="6A4B44EE"/>
    <w:rsid w:val="6A6744F9"/>
    <w:rsid w:val="6A736A2C"/>
    <w:rsid w:val="6AC4173D"/>
    <w:rsid w:val="6B3E6A34"/>
    <w:rsid w:val="6B3F6E7C"/>
    <w:rsid w:val="6B4F76A1"/>
    <w:rsid w:val="6B8A4A40"/>
    <w:rsid w:val="6BB6746F"/>
    <w:rsid w:val="6BFD03AE"/>
    <w:rsid w:val="6BFF6077"/>
    <w:rsid w:val="6C2308EC"/>
    <w:rsid w:val="6C655F2E"/>
    <w:rsid w:val="6C716AB7"/>
    <w:rsid w:val="6C76708F"/>
    <w:rsid w:val="6C866725"/>
    <w:rsid w:val="6C867767"/>
    <w:rsid w:val="6C895815"/>
    <w:rsid w:val="6CA34648"/>
    <w:rsid w:val="6CC67323"/>
    <w:rsid w:val="6CE15157"/>
    <w:rsid w:val="6D031FFE"/>
    <w:rsid w:val="6D161FE8"/>
    <w:rsid w:val="6D197070"/>
    <w:rsid w:val="6D334EF6"/>
    <w:rsid w:val="6D344FDD"/>
    <w:rsid w:val="6D3635AF"/>
    <w:rsid w:val="6D407872"/>
    <w:rsid w:val="6D865CB4"/>
    <w:rsid w:val="6D870368"/>
    <w:rsid w:val="6D8B681A"/>
    <w:rsid w:val="6D926250"/>
    <w:rsid w:val="6D9E0791"/>
    <w:rsid w:val="6DA16079"/>
    <w:rsid w:val="6DA16440"/>
    <w:rsid w:val="6DAB0C1B"/>
    <w:rsid w:val="6DEA745F"/>
    <w:rsid w:val="6DEF74D5"/>
    <w:rsid w:val="6DF953FB"/>
    <w:rsid w:val="6E045FE1"/>
    <w:rsid w:val="6E1057EF"/>
    <w:rsid w:val="6E2E56A1"/>
    <w:rsid w:val="6E4E1F5D"/>
    <w:rsid w:val="6E90145A"/>
    <w:rsid w:val="6E9856D0"/>
    <w:rsid w:val="6EB840FC"/>
    <w:rsid w:val="6EBE6BEA"/>
    <w:rsid w:val="6EE72A63"/>
    <w:rsid w:val="6EE920DC"/>
    <w:rsid w:val="6EF66C39"/>
    <w:rsid w:val="6EFA322F"/>
    <w:rsid w:val="6F0B29A8"/>
    <w:rsid w:val="6F1C13EA"/>
    <w:rsid w:val="6F2F08F1"/>
    <w:rsid w:val="6F377C99"/>
    <w:rsid w:val="6F7E7DE2"/>
    <w:rsid w:val="6F8900FA"/>
    <w:rsid w:val="6FA15A29"/>
    <w:rsid w:val="6FA345FC"/>
    <w:rsid w:val="6FAA433E"/>
    <w:rsid w:val="6FF345B0"/>
    <w:rsid w:val="701B17AE"/>
    <w:rsid w:val="703453D9"/>
    <w:rsid w:val="70445BAB"/>
    <w:rsid w:val="704C0AE3"/>
    <w:rsid w:val="704C210D"/>
    <w:rsid w:val="704F1D50"/>
    <w:rsid w:val="7062369D"/>
    <w:rsid w:val="707E3D56"/>
    <w:rsid w:val="70BE2E6A"/>
    <w:rsid w:val="70CB1676"/>
    <w:rsid w:val="70D04B89"/>
    <w:rsid w:val="70D8666D"/>
    <w:rsid w:val="70F82977"/>
    <w:rsid w:val="711203ED"/>
    <w:rsid w:val="711C1874"/>
    <w:rsid w:val="712A76BE"/>
    <w:rsid w:val="714A042A"/>
    <w:rsid w:val="715A3E58"/>
    <w:rsid w:val="716D6D00"/>
    <w:rsid w:val="71761A1D"/>
    <w:rsid w:val="71825C84"/>
    <w:rsid w:val="71836E98"/>
    <w:rsid w:val="719901C6"/>
    <w:rsid w:val="71A35E90"/>
    <w:rsid w:val="71B131C3"/>
    <w:rsid w:val="71BE09AF"/>
    <w:rsid w:val="71C2769D"/>
    <w:rsid w:val="71CC5821"/>
    <w:rsid w:val="71F26BCA"/>
    <w:rsid w:val="71F331D2"/>
    <w:rsid w:val="72051599"/>
    <w:rsid w:val="720542F1"/>
    <w:rsid w:val="722406A3"/>
    <w:rsid w:val="72380013"/>
    <w:rsid w:val="72416D05"/>
    <w:rsid w:val="7243105D"/>
    <w:rsid w:val="724A1DE4"/>
    <w:rsid w:val="72540D30"/>
    <w:rsid w:val="72706C0F"/>
    <w:rsid w:val="727D04B0"/>
    <w:rsid w:val="72952F0C"/>
    <w:rsid w:val="73090C42"/>
    <w:rsid w:val="731C1C8D"/>
    <w:rsid w:val="731F632F"/>
    <w:rsid w:val="73426C39"/>
    <w:rsid w:val="73592474"/>
    <w:rsid w:val="73594771"/>
    <w:rsid w:val="7375416F"/>
    <w:rsid w:val="737854F0"/>
    <w:rsid w:val="737B3464"/>
    <w:rsid w:val="737B5D40"/>
    <w:rsid w:val="739167AB"/>
    <w:rsid w:val="739E5143"/>
    <w:rsid w:val="73B471F7"/>
    <w:rsid w:val="740B0453"/>
    <w:rsid w:val="740F0E4D"/>
    <w:rsid w:val="74596193"/>
    <w:rsid w:val="7469799F"/>
    <w:rsid w:val="74747448"/>
    <w:rsid w:val="748813C8"/>
    <w:rsid w:val="74A66F51"/>
    <w:rsid w:val="74D51124"/>
    <w:rsid w:val="74D5436C"/>
    <w:rsid w:val="74E24705"/>
    <w:rsid w:val="74EB0956"/>
    <w:rsid w:val="74FF57F0"/>
    <w:rsid w:val="750506F3"/>
    <w:rsid w:val="752D0857"/>
    <w:rsid w:val="75715970"/>
    <w:rsid w:val="75754837"/>
    <w:rsid w:val="758944AE"/>
    <w:rsid w:val="758C4507"/>
    <w:rsid w:val="75935703"/>
    <w:rsid w:val="75AA1A6C"/>
    <w:rsid w:val="75C91B2A"/>
    <w:rsid w:val="763B4A19"/>
    <w:rsid w:val="766C2632"/>
    <w:rsid w:val="767569A5"/>
    <w:rsid w:val="768C28BF"/>
    <w:rsid w:val="76BF7E3A"/>
    <w:rsid w:val="76C0735A"/>
    <w:rsid w:val="76C90A9D"/>
    <w:rsid w:val="76DE39EB"/>
    <w:rsid w:val="77162F4B"/>
    <w:rsid w:val="774B42DA"/>
    <w:rsid w:val="775B0BB0"/>
    <w:rsid w:val="778C2777"/>
    <w:rsid w:val="77A925B6"/>
    <w:rsid w:val="77B46CEF"/>
    <w:rsid w:val="77CC2AC5"/>
    <w:rsid w:val="781955B2"/>
    <w:rsid w:val="78505A9F"/>
    <w:rsid w:val="78681FDA"/>
    <w:rsid w:val="786A5852"/>
    <w:rsid w:val="7875130A"/>
    <w:rsid w:val="78AC0F28"/>
    <w:rsid w:val="78AD7E4B"/>
    <w:rsid w:val="78C72188"/>
    <w:rsid w:val="78E37698"/>
    <w:rsid w:val="790D27D2"/>
    <w:rsid w:val="790F6506"/>
    <w:rsid w:val="7922758B"/>
    <w:rsid w:val="79542605"/>
    <w:rsid w:val="79766799"/>
    <w:rsid w:val="79B255D2"/>
    <w:rsid w:val="79B45BBB"/>
    <w:rsid w:val="79D0307E"/>
    <w:rsid w:val="79D80698"/>
    <w:rsid w:val="79DE121D"/>
    <w:rsid w:val="79E249A2"/>
    <w:rsid w:val="79EC36A6"/>
    <w:rsid w:val="79F41061"/>
    <w:rsid w:val="7A5C7B4D"/>
    <w:rsid w:val="7A867937"/>
    <w:rsid w:val="7AF27EE4"/>
    <w:rsid w:val="7B107DC5"/>
    <w:rsid w:val="7B1F1C18"/>
    <w:rsid w:val="7B387938"/>
    <w:rsid w:val="7B932E51"/>
    <w:rsid w:val="7BAF6C52"/>
    <w:rsid w:val="7BDB6AF5"/>
    <w:rsid w:val="7BE14296"/>
    <w:rsid w:val="7BEE1777"/>
    <w:rsid w:val="7BEF5630"/>
    <w:rsid w:val="7BF035FE"/>
    <w:rsid w:val="7C341C52"/>
    <w:rsid w:val="7C6C78E2"/>
    <w:rsid w:val="7C6D70D9"/>
    <w:rsid w:val="7C792FC9"/>
    <w:rsid w:val="7CB76543"/>
    <w:rsid w:val="7D033238"/>
    <w:rsid w:val="7D2B3322"/>
    <w:rsid w:val="7D2F6ABF"/>
    <w:rsid w:val="7D49294E"/>
    <w:rsid w:val="7D50024E"/>
    <w:rsid w:val="7D637EF4"/>
    <w:rsid w:val="7D767C43"/>
    <w:rsid w:val="7D7B125A"/>
    <w:rsid w:val="7DB32BF9"/>
    <w:rsid w:val="7DFE186D"/>
    <w:rsid w:val="7E2C0803"/>
    <w:rsid w:val="7E341B98"/>
    <w:rsid w:val="7E51328E"/>
    <w:rsid w:val="7E714581"/>
    <w:rsid w:val="7EDF017E"/>
    <w:rsid w:val="7EE32E9C"/>
    <w:rsid w:val="7F14576E"/>
    <w:rsid w:val="7F404C38"/>
    <w:rsid w:val="7F563368"/>
    <w:rsid w:val="7FB7357D"/>
    <w:rsid w:val="7FB86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4180;&#24180;&#24180;\2023&#24180;\&#36130;&#25919;&#23616;\&#39044;&#31639;&#32929;\2022&#24180;&#24230;&#37096;&#38376;&#25972;&#20307;&#25903;&#20986;&#32489;&#25928;&#33258;&#35780;&#24037;&#20316;-&#19978;&#25253;\2022&#26426;&#20851;&#26381;&#21153;&#20013;&#24515;&#37096;&#38376;&#32489;&#25928;&#35780;&#20215;\430-&#22270;&#349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24180;&#24180;&#24180;\2023&#24180;\&#36130;&#25919;&#23616;\&#39044;&#31639;&#32929;\2022&#24180;&#24230;&#37096;&#38376;&#25972;&#20307;&#25903;&#20986;&#32489;&#25928;&#33258;&#35780;&#24037;&#20316;-&#19978;&#25253;\2022&#26426;&#20851;&#26381;&#21153;&#20013;&#24515;&#37096;&#38376;&#32489;&#25928;&#35780;&#20215;\430-&#22270;&#34920;(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24180;&#24180;&#24180;\2023&#24180;\&#36130;&#25919;&#23616;\&#39044;&#31639;&#32929;\2022&#24180;&#24230;&#37096;&#38376;&#25972;&#20307;&#25903;&#20986;&#32489;&#25928;&#33258;&#35780;&#24037;&#20316;-&#19978;&#25253;\2022&#26426;&#20851;&#26381;&#21153;&#20013;&#24515;&#37096;&#38376;&#32489;&#25928;&#35780;&#20215;\430-&#22270;&#34920;(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24180;&#24180;&#24180;\2023&#24180;\&#36130;&#25919;&#23616;\&#39044;&#31639;&#32929;\2022&#24180;&#24230;&#37096;&#38376;&#25972;&#20307;&#25903;&#20986;&#32489;&#25928;&#33258;&#35780;&#24037;&#20316;-&#19978;&#25253;\2022&#26426;&#20851;&#26381;&#21153;&#20013;&#24515;&#37096;&#38376;&#32489;&#25928;&#35780;&#20215;\430-&#22270;&#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rPr>
              <a:t>2022</a:t>
            </a:r>
            <a:r>
              <a:rPr lang="zh-CN" altLang="en-US" sz="1400" b="0">
                <a:latin typeface="仿宋" panose="02010609060101010101" charset="-122"/>
                <a:ea typeface="仿宋" panose="02010609060101010101" charset="-122"/>
              </a:rPr>
              <a:t>年决算收入结构图 </a:t>
            </a:r>
            <a:endParaRPr lang="zh-CN" altLang="en-US" sz="1400" b="0">
              <a:latin typeface="仿宋" panose="02010609060101010101" charset="-122"/>
              <a:ea typeface="仿宋" panose="02010609060101010101" charset="-122"/>
            </a:endParaRPr>
          </a:p>
        </c:rich>
      </c:tx>
      <c:layout/>
      <c:overlay val="0"/>
    </c:title>
    <c:autoTitleDeleted val="0"/>
    <c:plotArea>
      <c:layout>
        <c:manualLayout>
          <c:layoutTarget val="inner"/>
          <c:xMode val="edge"/>
          <c:yMode val="edge"/>
          <c:x val="0.106977128685588"/>
          <c:y val="0.208427835051546"/>
          <c:w val="0.445456048498209"/>
          <c:h val="0.694398625429553"/>
        </c:manualLayout>
      </c:layout>
      <c:pieChart>
        <c:varyColors val="1"/>
        <c:ser>
          <c:idx val="0"/>
          <c:order val="0"/>
          <c:tx>
            <c:strRef>
              <c:f>'[430-图表(1).xlsx]单位决算收入结构图'!$B$1:$B$2</c:f>
              <c:strCache>
                <c:ptCount val="1"/>
                <c:pt idx="0">
                  <c:v>2020年决算收入结构图 金额</c:v>
                </c:pt>
              </c:strCache>
            </c:strRef>
          </c:tx>
          <c:explosion val="0"/>
          <c:dPt>
            <c:idx val="0"/>
            <c:bubble3D val="0"/>
          </c:dPt>
          <c:dPt>
            <c:idx val="1"/>
            <c:bubble3D val="0"/>
            <c:explosion val="1"/>
          </c:dPt>
          <c:dPt>
            <c:idx val="2"/>
            <c:bubble3D val="0"/>
          </c:dPt>
          <c:dPt>
            <c:idx val="3"/>
            <c:bubble3D val="0"/>
          </c:dPt>
          <c:dLbls>
            <c:dLbl>
              <c:idx val="0"/>
              <c:layout>
                <c:manualLayout>
                  <c:x val="-0.0427177378713284"/>
                  <c:y val="-0.29111986755588"/>
                </c:manualLayout>
              </c:layout>
              <c:tx>
                <c:rich>
                  <a:bodyPr rot="0" spcFirstLastPara="0" vertOverflow="ellipsis" vert="horz" wrap="square" lIns="38100" tIns="19050" rIns="38100" bIns="19050" anchor="ctr" anchorCtr="1"/>
                  <a:lstStyle/>
                  <a:p>
                    <a:pPr>
                      <a:defRPr lang="zh-CN" altLang="en-US" sz="1000" b="0" i="0" u="none" strike="noStrike" kern="1200" baseline="0">
                        <a:solidFill>
                          <a:sysClr val="windowText" lastClr="000000"/>
                        </a:solidFill>
                        <a:latin typeface="+mn-lt"/>
                        <a:ea typeface="+mn-ea"/>
                        <a:cs typeface="+mn-cs"/>
                      </a:defRPr>
                    </a:pPr>
                    <a:r>
                      <a:rPr lang="en-US" altLang="zh-CN" sz="1000" b="0" i="0" u="none" strike="noStrike" kern="1200" baseline="0">
                        <a:solidFill>
                          <a:sysClr val="windowText" lastClr="000000"/>
                        </a:solidFill>
                        <a:latin typeface="+mn-lt"/>
                        <a:ea typeface="+mn-ea"/>
                        <a:cs typeface="+mn-cs"/>
                      </a:rPr>
                      <a:t>1561.23</a:t>
                    </a:r>
                    <a:r>
                      <a:rPr lang="zh-CN" altLang="en-US"/>
                      <a:t>，</a:t>
                    </a:r>
                    <a:r>
                      <a:rPr lang="en-US" altLang="zh-CN"/>
                      <a:t>95.25%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68812039106971"/>
                  <c:y val="0.0269103121899091"/>
                </c:manualLayout>
              </c:layout>
              <c:tx>
                <c:rich>
                  <a:bodyPr rot="0" spcFirstLastPara="0" vertOverflow="ellipsis" vert="horz" wrap="square" lIns="38100" tIns="19050" rIns="38100" bIns="19050" anchor="ctr" anchorCtr="1"/>
                  <a:lstStyle/>
                  <a:p>
                    <a:pPr>
                      <a:defRPr lang="zh-CN" altLang="en-US" sz="1000" b="0" i="0" u="none" strike="noStrike" kern="1200" baseline="0">
                        <a:solidFill>
                          <a:sysClr val="windowText" lastClr="000000"/>
                        </a:solidFill>
                        <a:latin typeface="+mn-lt"/>
                        <a:ea typeface="+mn-ea"/>
                        <a:cs typeface="+mn-cs"/>
                      </a:defRPr>
                    </a:pPr>
                    <a:r>
                      <a:rPr lang="en-US" altLang="zh-CN" sz="1000" b="0" i="0" u="none" strike="noStrike" kern="1200" baseline="0">
                        <a:solidFill>
                          <a:sysClr val="windowText" lastClr="000000"/>
                        </a:solidFill>
                        <a:latin typeface="+mn-lt"/>
                        <a:ea typeface="+mn-ea"/>
                        <a:cs typeface="+mn-cs"/>
                      </a:rPr>
                      <a:t>11.32</a:t>
                    </a:r>
                    <a:r>
                      <a:rPr lang="en-US" altLang="zh-CN"/>
                      <a:t>,  0.69%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04401184934405"/>
                      <c:h val="0.120444444444444"/>
                    </c:manualLayout>
                  </c15:layout>
                </c:ext>
              </c:extLst>
            </c:dLbl>
            <c:dLbl>
              <c:idx val="2"/>
              <c:layout>
                <c:manualLayout>
                  <c:x val="-0.14776519941871"/>
                  <c:y val="0.0192704307865954"/>
                </c:manualLayout>
              </c:layout>
              <c:tx>
                <c:rich>
                  <a:bodyPr rot="0" spcFirstLastPara="0" vertOverflow="ellipsis" vert="horz" wrap="square" lIns="38100" tIns="19050" rIns="38100" bIns="19050" anchor="ctr" anchorCtr="1"/>
                  <a:lstStyle/>
                  <a:p>
                    <a:pPr>
                      <a:defRPr lang="zh-CN" altLang="en-US" sz="1000" b="0" i="0" u="none" strike="noStrike" kern="1200" baseline="0">
                        <a:solidFill>
                          <a:sysClr val="windowText" lastClr="000000"/>
                        </a:solidFill>
                        <a:latin typeface="+mn-lt"/>
                        <a:ea typeface="+mn-ea"/>
                        <a:cs typeface="+mn-cs"/>
                      </a:defRPr>
                    </a:pPr>
                    <a:r>
                      <a:rPr lang="en-US" altLang="zh-CN" sz="1000" b="0" i="0" u="none" strike="noStrike" kern="1200" baseline="0">
                        <a:solidFill>
                          <a:sysClr val="windowText" lastClr="000000"/>
                        </a:solidFill>
                        <a:latin typeface="+mn-lt"/>
                        <a:ea typeface="+mn-ea"/>
                        <a:cs typeface="+mn-cs"/>
                      </a:rPr>
                      <a:t>60.03</a:t>
                    </a:r>
                    <a:r>
                      <a:rPr lang="zh-CN" altLang="en-US"/>
                      <a:t>，</a:t>
                    </a:r>
                    <a:r>
                      <a:rPr lang="en-US" altLang="zh-CN"/>
                      <a:t>3.66%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delete val="1"/>
            </c:dLbl>
            <c:spPr>
              <a:noFill/>
              <a:ln>
                <a:noFill/>
              </a:ln>
              <a:effectLst/>
            </c:spPr>
            <c:txPr>
              <a:bodyPr rot="0" spcFirstLastPara="0" vertOverflow="ellipsis" vert="horz" wrap="square" lIns="38100" tIns="19050" rIns="38100" bIns="19050" anchor="ctr" anchorCtr="1"/>
              <a:lstStyle/>
              <a:p>
                <a:pPr algn="ctr">
                  <a:defRPr lang="zh-CN" altLang="en-US" sz="1000" b="0" i="0" u="none" strike="noStrike" kern="1200" baseline="0">
                    <a:solidFill>
                      <a:sysClr val="windowText" lastClr="000000"/>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'[430-图表(1).xlsx]单位决算收入结构图'!$A$3:$A$6</c:f>
              <c:strCache>
                <c:ptCount val="4"/>
                <c:pt idx="0">
                  <c:v>公共安全支出</c:v>
                </c:pt>
                <c:pt idx="1">
                  <c:v>社会保障和就业支出</c:v>
                </c:pt>
                <c:pt idx="2">
                  <c:v>医疗卫生与计划生育支出</c:v>
                </c:pt>
                <c:pt idx="3">
                  <c:v>住房保障支出</c:v>
                </c:pt>
              </c:strCache>
            </c:strRef>
          </c:cat>
          <c:val>
            <c:numRef>
              <c:f>'[430-图表(1).xlsx]单位决算收入结构图'!$B$3:$B$6</c:f>
              <c:numCache>
                <c:formatCode>General</c:formatCode>
                <c:ptCount val="4"/>
                <c:pt idx="0">
                  <c:v>1561.23</c:v>
                </c:pt>
                <c:pt idx="1">
                  <c:v>60.03</c:v>
                </c:pt>
                <c:pt idx="2">
                  <c:v>6.51</c:v>
                </c:pt>
                <c:pt idx="3">
                  <c:v>11.32</c:v>
                </c:pt>
              </c:numCache>
            </c:numRef>
          </c:val>
        </c:ser>
        <c:ser>
          <c:idx val="1"/>
          <c:order val="1"/>
          <c:tx>
            <c:strRef>
              <c:f>'[430-图表(1).xlsx]单位决算收入结构图'!$C$1:$C$2</c:f>
              <c:strCache>
                <c:ptCount val="1"/>
                <c:pt idx="0">
                  <c:v>2020年决算收入结构图 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'[430-图表(1).xlsx]单位决算收入结构图'!$A$3:$A$6</c:f>
              <c:strCache>
                <c:ptCount val="4"/>
                <c:pt idx="0">
                  <c:v>公共安全支出</c:v>
                </c:pt>
                <c:pt idx="1">
                  <c:v>社会保障和就业支出</c:v>
                </c:pt>
                <c:pt idx="2">
                  <c:v>医疗卫生与计划生育支出</c:v>
                </c:pt>
                <c:pt idx="3">
                  <c:v>住房保障支出</c:v>
                </c:pt>
              </c:strCache>
            </c:strRef>
          </c:cat>
          <c:val>
            <c:numRef>
              <c:f>'[430-图表(1).xlsx]单位决算收入结构图'!$C$3:$C$6</c:f>
              <c:numCache>
                <c:formatCode>0.00%</c:formatCode>
                <c:ptCount val="4"/>
                <c:pt idx="0">
                  <c:v>0.952498032444832</c:v>
                </c:pt>
                <c:pt idx="1">
                  <c:v>0.0366239803793568</c:v>
                </c:pt>
                <c:pt idx="2">
                  <c:v>0.00397171601315364</c:v>
                </c:pt>
                <c:pt idx="3">
                  <c:v>0.00690627116265733</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21526308365073"/>
          <c:y val="0.37"/>
          <c:w val="0.321342925659472"/>
          <c:h val="0.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d7b2e02-9b32-40ba-8349-6542546262ca}"/>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1"/>
          <c:y val="0.240666731473381"/>
          <c:w val="0.686193569553806"/>
          <c:h val="0.430705421081624"/>
        </c:manualLayout>
      </c:layout>
      <c:barChart>
        <c:barDir val="col"/>
        <c:grouping val="clustered"/>
        <c:varyColors val="0"/>
        <c:ser>
          <c:idx val="0"/>
          <c:order val="0"/>
          <c:tx>
            <c:strRef>
              <c:f>"预算"</c:f>
              <c:strCache>
                <c:ptCount val="1"/>
                <c:pt idx="0">
                  <c:v>预算</c:v>
                </c:pt>
              </c:strCache>
            </c:strRef>
          </c:tx>
          <c:invertIfNegative val="0"/>
          <c:dLbls>
            <c:dLbl>
              <c:idx val="1"/>
              <c:layout>
                <c:manualLayout>
                  <c:x val="-0.03690036900369"/>
                  <c:y val="-0.002489110143123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450184501845"/>
                  <c:y val="-0.002489110143123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3210332103321"/>
                  <c:y val="-0.002489110143123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'[430-图表(1).xlsx]预算收入与决算收入对比图'!$B$5:$B$8</c:f>
              <c:strCache>
                <c:ptCount val="4"/>
                <c:pt idx="0">
                  <c:v>公共安全支出</c:v>
                </c:pt>
                <c:pt idx="1">
                  <c:v>社会保障和就业支出</c:v>
                </c:pt>
                <c:pt idx="2">
                  <c:v>医疗卫生与计划生育支出</c:v>
                </c:pt>
                <c:pt idx="3">
                  <c:v>住房保障支出</c:v>
                </c:pt>
              </c:strCache>
            </c:strRef>
          </c:cat>
          <c:val>
            <c:numRef>
              <c:f>'[430-图表(1).xlsx]预算收入与决算收入对比图'!$C$5:$C$8</c:f>
              <c:numCache>
                <c:formatCode>0.00_ </c:formatCode>
                <c:ptCount val="4"/>
                <c:pt idx="0">
                  <c:v>989.75</c:v>
                </c:pt>
                <c:pt idx="1">
                  <c:v>14.88</c:v>
                </c:pt>
                <c:pt idx="2">
                  <c:v>12.37</c:v>
                </c:pt>
                <c:pt idx="3">
                  <c:v>10.24</c:v>
                </c:pt>
              </c:numCache>
            </c:numRef>
          </c:val>
        </c:ser>
        <c:ser>
          <c:idx val="1"/>
          <c:order val="1"/>
          <c:tx>
            <c:strRef>
              <c:f>"决算"</c:f>
              <c:strCache>
                <c:ptCount val="1"/>
                <c:pt idx="0">
                  <c:v>决算</c:v>
                </c:pt>
              </c:strCache>
            </c:strRef>
          </c:tx>
          <c:invertIfNegative val="0"/>
          <c:dLbls>
            <c:dLbl>
              <c:idx val="2"/>
              <c:layout>
                <c:manualLayout>
                  <c:x val="0.00922509225092251"/>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'[430-图表(1).xlsx]预算收入与决算收入对比图'!$B$5:$B$8</c:f>
              <c:strCache>
                <c:ptCount val="4"/>
                <c:pt idx="0">
                  <c:v>公共安全支出</c:v>
                </c:pt>
                <c:pt idx="1">
                  <c:v>社会保障和就业支出</c:v>
                </c:pt>
                <c:pt idx="2">
                  <c:v>医疗卫生与计划生育支出</c:v>
                </c:pt>
                <c:pt idx="3">
                  <c:v>住房保障支出</c:v>
                </c:pt>
              </c:strCache>
            </c:strRef>
          </c:cat>
          <c:val>
            <c:numRef>
              <c:f>'[430-图表(1).xlsx]预算收入与决算收入对比图'!$D$5:$D$8</c:f>
              <c:numCache>
                <c:formatCode>0.00_ </c:formatCode>
                <c:ptCount val="4"/>
                <c:pt idx="0">
                  <c:v>1561.233565</c:v>
                </c:pt>
                <c:pt idx="1">
                  <c:v>60.030703</c:v>
                </c:pt>
                <c:pt idx="2">
                  <c:v>6.505042</c:v>
                </c:pt>
                <c:pt idx="3">
                  <c:v>11.3193</c:v>
                </c:pt>
              </c:numCache>
            </c:numRef>
          </c:val>
        </c:ser>
        <c:dLbls>
          <c:showLegendKey val="0"/>
          <c:showVal val="0"/>
          <c:showCatName val="0"/>
          <c:showSerName val="0"/>
          <c:showPercent val="0"/>
          <c:showBubbleSize val="0"/>
        </c:dLbls>
        <c:gapWidth val="150"/>
        <c:axId val="102240256"/>
        <c:axId val="102241792"/>
      </c:barChart>
      <c:catAx>
        <c:axId val="1022402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241792"/>
        <c:crosses val="autoZero"/>
        <c:auto val="1"/>
        <c:lblAlgn val="ctr"/>
        <c:lblOffset val="100"/>
        <c:noMultiLvlLbl val="0"/>
      </c:catAx>
      <c:valAx>
        <c:axId val="102241792"/>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240256"/>
        <c:crosses val="autoZero"/>
        <c:crossBetween val="between"/>
      </c:valAx>
    </c:plotArea>
    <c:legend>
      <c:legendPos val="r"/>
      <c:layout>
        <c:manualLayout>
          <c:xMode val="edge"/>
          <c:yMode val="edge"/>
          <c:x val="0.814916254976037"/>
          <c:y val="0.467532043505649"/>
          <c:w val="0.102308404395509"/>
          <c:h val="0.1602029978810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5044bf6-b267-463d-a523-8dae24b6e117}"/>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2</a:t>
            </a:r>
            <a:r>
              <a:t>年决算支出结构图 金额</a:t>
            </a:r>
          </a:p>
        </c:rich>
      </c:tx>
      <c:layout/>
      <c:overlay val="0"/>
    </c:title>
    <c:autoTitleDeleted val="0"/>
    <c:plotArea>
      <c:layout/>
      <c:pieChart>
        <c:varyColors val="1"/>
        <c:ser>
          <c:idx val="0"/>
          <c:order val="0"/>
          <c:tx>
            <c:strRef>
              <c:f>'[430-图表(1).xlsx]单位决算支出结构图 '!$B$1:$B$2</c:f>
              <c:strCache>
                <c:ptCount val="1"/>
                <c:pt idx="0">
                  <c:v>2020年决算支出结构图 金额</c:v>
                </c:pt>
              </c:strCache>
            </c:strRef>
          </c:tx>
          <c:explosion val="0"/>
          <c:dPt>
            <c:idx val="0"/>
            <c:bubble3D val="0"/>
          </c:dPt>
          <c:dPt>
            <c:idx val="1"/>
            <c:bubble3D val="0"/>
          </c:dPt>
          <c:dPt>
            <c:idx val="2"/>
            <c:bubble3D val="0"/>
          </c:dPt>
          <c:dPt>
            <c:idx val="3"/>
            <c:bubble3D val="0"/>
          </c:dPt>
          <c:dLbls>
            <c:dLbl>
              <c:idx val="0"/>
              <c:layout>
                <c:manualLayout>
                  <c:x val="-0.019002585046927"/>
                  <c:y val="-0.18007895777961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1561.23     95.25 %</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6832587637792"/>
                  <c:y val="0.042666666666666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11.32  0.69%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2288051911412"/>
                      <c:h val="0.074"/>
                    </c:manualLayout>
                  </c15:layout>
                </c:ext>
              </c:extLst>
            </c:dLbl>
            <c:dLbl>
              <c:idx val="2"/>
              <c:layout>
                <c:manualLayout>
                  <c:x val="-0.0235668480005811"/>
                  <c:y val="-0.013537742869121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6.51</a:t>
                    </a:r>
                    <a:r>
                      <a:t> </a:t>
                    </a:r>
                    <a:r>
                      <a:rPr lang="en-US" altLang="zh-CN"/>
                      <a:t>0.40%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89025250387925"/>
                      <c:h val="0.064"/>
                    </c:manualLayout>
                  </c15:layout>
                </c:ext>
              </c:extLst>
            </c:dLbl>
            <c:dLbl>
              <c:idx val="3"/>
              <c:layout>
                <c:manualLayout>
                  <c:x val="-0.139056566851705"/>
                  <c:y val="0.040922883503954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60.03  3.66%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'[430-图表(1).xlsx]单位决算支出结构图 '!$A$3:$A$6</c:f>
              <c:strCache>
                <c:ptCount val="4"/>
                <c:pt idx="0">
                  <c:v>公共安全支出</c:v>
                </c:pt>
                <c:pt idx="1">
                  <c:v>社会保障和就业支出</c:v>
                </c:pt>
                <c:pt idx="2">
                  <c:v>医疗卫生与计划生育支出</c:v>
                </c:pt>
                <c:pt idx="3">
                  <c:v>住房保障支出</c:v>
                </c:pt>
              </c:strCache>
            </c:strRef>
          </c:cat>
          <c:val>
            <c:numRef>
              <c:f>'[430-图表(1).xlsx]单位决算支出结构图 '!$B$3:$B$6</c:f>
              <c:numCache>
                <c:formatCode>0.00_ </c:formatCode>
                <c:ptCount val="4"/>
                <c:pt idx="0">
                  <c:v>1561.233565</c:v>
                </c:pt>
                <c:pt idx="1">
                  <c:v>60.030703</c:v>
                </c:pt>
                <c:pt idx="2">
                  <c:v>6.505042</c:v>
                </c:pt>
                <c:pt idx="3">
                  <c:v>11.3193</c:v>
                </c:pt>
              </c:numCache>
            </c:numRef>
          </c:val>
        </c:ser>
        <c:ser>
          <c:idx val="1"/>
          <c:order val="1"/>
          <c:tx>
            <c:strRef>
              <c:f>'[430-图表(1).xlsx]单位决算支出结构图 '!$C$1:$C$2</c:f>
              <c:strCache>
                <c:ptCount val="1"/>
                <c:pt idx="0">
                  <c:v>2020年决算支出结构图 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'[430-图表(1).xlsx]单位决算支出结构图 '!$A$3:$A$6</c:f>
              <c:strCache>
                <c:ptCount val="4"/>
                <c:pt idx="0">
                  <c:v>公共安全支出</c:v>
                </c:pt>
                <c:pt idx="1">
                  <c:v>社会保障和就业支出</c:v>
                </c:pt>
                <c:pt idx="2">
                  <c:v>医疗卫生与计划生育支出</c:v>
                </c:pt>
                <c:pt idx="3">
                  <c:v>住房保障支出</c:v>
                </c:pt>
              </c:strCache>
            </c:strRef>
          </c:cat>
          <c:val>
            <c:numRef>
              <c:f>'[430-图表(1).xlsx]单位决算支出结构图 '!$C$3:$C$6</c:f>
              <c:numCache>
                <c:formatCode>0.00%</c:formatCode>
                <c:ptCount val="4"/>
                <c:pt idx="0">
                  <c:v>0.952501015183066</c:v>
                </c:pt>
                <c:pt idx="1">
                  <c:v>0.0366244403345589</c:v>
                </c:pt>
                <c:pt idx="2">
                  <c:v>0.00396869452957763</c:v>
                </c:pt>
                <c:pt idx="3">
                  <c:v>0.00690584995279785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16c1cb9f-da97-4921-b10a-53df0979cb58}"/>
      </c:ext>
    </c:extLst>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09"/>
          <c:y val="0.240666731473381"/>
          <c:w val="0.686193569553806"/>
          <c:h val="0.430705421081624"/>
        </c:manualLayout>
      </c:layout>
      <c:barChart>
        <c:barDir val="col"/>
        <c:grouping val="clustered"/>
        <c:varyColors val="0"/>
        <c:ser>
          <c:idx val="0"/>
          <c:order val="0"/>
          <c:tx>
            <c:strRef>
              <c:f>"预算"</c:f>
              <c:strCache>
                <c:ptCount val="1"/>
                <c:pt idx="0">
                  <c:v>预算</c:v>
                </c:pt>
              </c:strCache>
            </c:strRef>
          </c:tx>
          <c:invertIfNegative val="0"/>
          <c:dLbls>
            <c:dLbl>
              <c:idx val="2"/>
              <c:layout>
                <c:manualLayout>
                  <c:x val="-0.020295202952029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605166051660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'[430-图表(1).xlsx]预算支出预决算支出对比图'!$B$5:$B$8</c:f>
              <c:strCache>
                <c:ptCount val="4"/>
                <c:pt idx="0">
                  <c:v>公共安全支出</c:v>
                </c:pt>
                <c:pt idx="1">
                  <c:v>社会保障和就业支出</c:v>
                </c:pt>
                <c:pt idx="2">
                  <c:v>医疗卫生与计划生育支出</c:v>
                </c:pt>
                <c:pt idx="3">
                  <c:v>住房保障支出</c:v>
                </c:pt>
              </c:strCache>
            </c:strRef>
          </c:cat>
          <c:val>
            <c:numRef>
              <c:f>'[430-图表(1).xlsx]预算支出预决算支出对比图'!$C$5:$C$8</c:f>
              <c:numCache>
                <c:formatCode>General</c:formatCode>
                <c:ptCount val="4"/>
                <c:pt idx="0">
                  <c:v>989.75</c:v>
                </c:pt>
                <c:pt idx="1" c:formatCode="#,##0.00">
                  <c:v>14.88</c:v>
                </c:pt>
                <c:pt idx="2" c:formatCode="#,##0.00">
                  <c:v>12.37</c:v>
                </c:pt>
                <c:pt idx="3" c:formatCode="#,##0.00">
                  <c:v>10.24</c:v>
                </c:pt>
              </c:numCache>
            </c:numRef>
          </c:val>
        </c:ser>
        <c:ser>
          <c:idx val="1"/>
          <c:order val="1"/>
          <c:tx>
            <c:strRef>
              <c:f>"决算"</c:f>
              <c:strCache>
                <c:ptCount val="1"/>
                <c:pt idx="0">
                  <c:v>决算</c:v>
                </c:pt>
              </c:strCache>
            </c:strRef>
          </c:tx>
          <c:invertIfNegative val="0"/>
          <c:dLbls>
            <c:dLbl>
              <c:idx val="0"/>
              <c:layout>
                <c:manualLayout>
                  <c:x val="0.014760147601476"/>
                  <c:y val="-0.004978220286247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14022140221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583025830258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'[430-图表(1).xlsx]预算支出预决算支出对比图'!$B$5:$B$8</c:f>
              <c:strCache>
                <c:ptCount val="4"/>
                <c:pt idx="0">
                  <c:v>公共安全支出</c:v>
                </c:pt>
                <c:pt idx="1">
                  <c:v>社会保障和就业支出</c:v>
                </c:pt>
                <c:pt idx="2">
                  <c:v>医疗卫生与计划生育支出</c:v>
                </c:pt>
                <c:pt idx="3">
                  <c:v>住房保障支出</c:v>
                </c:pt>
              </c:strCache>
            </c:strRef>
          </c:cat>
          <c:val>
            <c:numRef>
              <c:f>'[430-图表(1).xlsx]预算支出预决算支出对比图'!$D$5:$D$8</c:f>
              <c:numCache>
                <c:formatCode>0.00_ </c:formatCode>
                <c:ptCount val="4"/>
                <c:pt idx="0">
                  <c:v>1561.233565</c:v>
                </c:pt>
                <c:pt idx="1">
                  <c:v>60.030703</c:v>
                </c:pt>
                <c:pt idx="2">
                  <c:v>6.505042</c:v>
                </c:pt>
                <c:pt idx="3">
                  <c:v>11.3193</c:v>
                </c:pt>
              </c:numCache>
            </c:numRef>
          </c:val>
        </c:ser>
        <c:dLbls>
          <c:showLegendKey val="0"/>
          <c:showVal val="0"/>
          <c:showCatName val="0"/>
          <c:showSerName val="0"/>
          <c:showPercent val="0"/>
          <c:showBubbleSize val="0"/>
        </c:dLbls>
        <c:gapWidth val="150"/>
        <c:axId val="102377344"/>
        <c:axId val="102378880"/>
      </c:barChart>
      <c:catAx>
        <c:axId val="102377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378880"/>
        <c:crosses val="autoZero"/>
        <c:auto val="1"/>
        <c:lblAlgn val="ctr"/>
        <c:lblOffset val="100"/>
        <c:noMultiLvlLbl val="0"/>
      </c:catAx>
      <c:valAx>
        <c:axId val="102378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377344"/>
        <c:crosses val="autoZero"/>
        <c:crossBetween val="between"/>
      </c:valAx>
    </c:plotArea>
    <c:legend>
      <c:legendPos val="r"/>
      <c:layout>
        <c:manualLayout>
          <c:xMode val="edge"/>
          <c:yMode val="edge"/>
          <c:x val="0.814916254976037"/>
          <c:y val="0.467532043505649"/>
          <c:w val="0.102308404395509"/>
          <c:h val="0.1602029978810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5210ca5-f46a-4c8f-a521-bec7e42065a0}"/>
      </c:ext>
    </c:extLst>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0.73599</cdr:x>
      <cdr:y>0.18831</cdr:y>
    </cdr:from>
    <cdr:to>
      <cdr:x>0.94394</cdr:x>
      <cdr:y>0.26623</cdr:y>
    </cdr:to>
    <cdr:sp>
      <cdr:nvSpPr>
        <cdr:cNvPr id="2" name="矩形 1"/>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单位：万元</a:t>
          </a:r>
          <a:endParaRPr lang="zh-CN" altLang="en-US" sz="1000"/>
        </a:p>
      </cdr:txBody>
    </cdr:sp>
  </cdr:relSizeAnchor>
  <cdr:relSizeAnchor xmlns:cdr="http://schemas.openxmlformats.org/drawingml/2006/chartDrawing">
    <cdr:from>
      <cdr:x>0.73599</cdr:x>
      <cdr:y>0.18831</cdr:y>
    </cdr:from>
    <cdr:to>
      <cdr:x>0.94394</cdr:x>
      <cdr:y>0.26623</cdr:y>
    </cdr:to>
    <cdr:sp>
      <cdr:nvSpPr>
        <cdr:cNvPr id="3" name="矩形 2"/>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0.15833</cdr:x>
      <cdr:y>0.03448</cdr:y>
    </cdr:from>
    <cdr:to>
      <cdr:x>0.825</cdr:x>
      <cdr:y>0.13333</cdr:y>
    </cdr:to>
    <cdr:sp>
      <cdr:nvSpPr>
        <cdr:cNvPr id="2" name="矩形 1"/>
        <cdr:cNvSpPr/>
      </cdr:nvSpPr>
      <cdr:spPr xmlns:a="http://schemas.openxmlformats.org/drawingml/2006/main">
        <a:xfrm xmlns:a="http://schemas.openxmlformats.org/drawingml/2006/main">
          <a:off x="784224" y="104776"/>
          <a:ext cx="3302001" cy="300356"/>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400">
              <a:latin typeface="仿宋" panose="02010609060101010101" charset="-122"/>
              <a:ea typeface="仿宋" panose="02010609060101010101" charset="-122"/>
            </a:rPr>
            <a:t>2022</a:t>
          </a:r>
          <a:r>
            <a:rPr lang="zh-CN" altLang="en-US" sz="1400">
              <a:latin typeface="仿宋" panose="02010609060101010101" charset="-122"/>
              <a:ea typeface="仿宋" panose="02010609060101010101" charset="-122"/>
            </a:rPr>
            <a:t>年度预算收入与决算收入对比图</a:t>
          </a:r>
          <a:endParaRPr lang="zh-CN" altLang="en-US" sz="1400">
            <a:latin typeface="仿宋" panose="02010609060101010101" charset="-122"/>
            <a:ea typeface="仿宋" panose="02010609060101010101" charset="-122"/>
          </a:endParaRPr>
        </a:p>
      </cdr:txBody>
    </cdr:sp>
  </cdr:relSizeAnchor>
  <cdr:relSizeAnchor xmlns:cdr="http://schemas.openxmlformats.org/drawingml/2006/chartDrawing">
    <cdr:from>
      <cdr:x>0.80833</cdr:x>
      <cdr:y>0.1679</cdr:y>
    </cdr:from>
    <cdr:to>
      <cdr:x>0.96875</cdr:x>
      <cdr:y>0.22963</cdr:y>
    </cdr:to>
    <cdr:sp>
      <cdr:nvSpPr>
        <cdr:cNvPr id="3" name="矩形 2"/>
        <cdr:cNvSpPr/>
      </cdr:nvSpPr>
      <cdr:spPr xmlns:a="http://schemas.openxmlformats.org/drawingml/2006/main">
        <a:xfrm xmlns:a="http://schemas.openxmlformats.org/drawingml/2006/main">
          <a:off x="3695700" y="647701"/>
          <a:ext cx="733425" cy="2381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800"/>
            <a:t>单位：万元</a:t>
          </a:r>
          <a:endParaRPr lang="zh-CN" altLang="en-US" sz="800"/>
        </a:p>
      </cdr:txBody>
    </cdr:sp>
  </cdr:relSizeAnchor>
</c:userShapes>
</file>

<file path=word/drawings/drawing3.xml><?xml version="1.0" encoding="utf-8"?>
<c:userShapes xmlns:c="http://schemas.openxmlformats.org/drawingml/2006/chart">
  <cdr:relSizeAnchor xmlns:cdr="http://schemas.openxmlformats.org/drawingml/2006/chartDrawing">
    <cdr:from>
      <cdr:x>0.73599</cdr:x>
      <cdr:y>0.18831</cdr:y>
    </cdr:from>
    <cdr:to>
      <cdr:x>0.94394</cdr:x>
      <cdr:y>0.26623</cdr:y>
    </cdr:to>
    <cdr:sp>
      <cdr:nvSpPr>
        <cdr:cNvPr id="2" name="矩形 1"/>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0.15833</cdr:x>
      <cdr:y>0.03448</cdr:y>
    </cdr:from>
    <cdr:to>
      <cdr:x>0.825</cdr:x>
      <cdr:y>0.13333</cdr:y>
    </cdr:to>
    <cdr:sp>
      <cdr:nvSpPr>
        <cdr:cNvPr id="2" name="矩形 1"/>
        <cdr:cNvSpPr/>
      </cdr:nvSpPr>
      <cdr:spPr xmlns:a="http://schemas.openxmlformats.org/drawingml/2006/main">
        <a:xfrm xmlns:a="http://schemas.openxmlformats.org/drawingml/2006/main">
          <a:off x="784224" y="104776"/>
          <a:ext cx="3302001" cy="300356"/>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400">
              <a:latin typeface="仿宋" panose="02010609060101010101" charset="-122"/>
              <a:ea typeface="仿宋" panose="02010609060101010101" charset="-122"/>
            </a:rPr>
            <a:t>2022</a:t>
          </a:r>
          <a:r>
            <a:rPr lang="zh-CN" altLang="en-US" sz="1400">
              <a:latin typeface="仿宋" panose="02010609060101010101" charset="-122"/>
              <a:ea typeface="仿宋" panose="02010609060101010101" charset="-122"/>
            </a:rPr>
            <a:t>年预算支出与决算支出对比图</a:t>
          </a:r>
          <a:endParaRPr lang="zh-CN" altLang="en-US" sz="1400">
            <a:latin typeface="仿宋" panose="02010609060101010101" charset="-122"/>
            <a:ea typeface="仿宋" panose="02010609060101010101" charset="-122"/>
          </a:endParaRPr>
        </a:p>
      </cdr:txBody>
    </cdr:sp>
  </cdr:relSizeAnchor>
  <cdr:relSizeAnchor xmlns:cdr="http://schemas.openxmlformats.org/drawingml/2006/chartDrawing">
    <cdr:from>
      <cdr:x>0.80833</cdr:x>
      <cdr:y>0.1679</cdr:y>
    </cdr:from>
    <cdr:to>
      <cdr:x>0.96875</cdr:x>
      <cdr:y>0.22963</cdr:y>
    </cdr:to>
    <cdr:sp>
      <cdr:nvSpPr>
        <cdr:cNvPr id="3" name="矩形 2"/>
        <cdr:cNvSpPr/>
      </cdr:nvSpPr>
      <cdr:spPr xmlns:a="http://schemas.openxmlformats.org/drawingml/2006/main">
        <a:xfrm xmlns:a="http://schemas.openxmlformats.org/drawingml/2006/main">
          <a:off x="3695700" y="647701"/>
          <a:ext cx="733425" cy="2381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800"/>
            <a:t>单位：万元</a:t>
          </a:r>
          <a:endParaRPr lang="zh-CN" altLang="en-US" sz="8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13146</Words>
  <Characters>14551</Characters>
  <Lines>102</Lines>
  <Paragraphs>28</Paragraphs>
  <TotalTime>12</TotalTime>
  <ScaleCrop>false</ScaleCrop>
  <LinksUpToDate>false</LinksUpToDate>
  <CharactersWithSpaces>14717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WPS_1602455382</cp:lastModifiedBy>
  <cp:lastPrinted>2021-07-09T01:47:00Z</cp:lastPrinted>
  <dcterms:modified xsi:type="dcterms:W3CDTF">2025-05-13T08:04:43Z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eyJoZGlkIjoiNzFkY2NmM2RkMDVlYzQ2NzEyOTA2N2Y5ZDRjNWViNGIiLCJ1c2VySWQiOiIxMTMwMTY4NzY0In0=</vt:lpwstr>
  </property>
</Properties>
</file>