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187F1">
      <w:pPr>
        <w:widowControl w:val="0"/>
        <w:adjustRightInd/>
        <w:snapToGrid/>
        <w:spacing w:after="0" w:line="540" w:lineRule="exact"/>
        <w:rPr>
          <w:rFonts w:ascii="Times New Roman" w:hAnsi="Times New Roman" w:eastAsia="宋体" w:cs="Times New Roman"/>
          <w:bCs/>
          <w:color w:val="000000" w:themeColor="text1"/>
          <w:kern w:val="2"/>
          <w:sz w:val="32"/>
          <w:szCs w:val="32"/>
          <w14:textFill>
            <w14:solidFill>
              <w14:schemeClr w14:val="tx1"/>
            </w14:solidFill>
          </w14:textFill>
        </w:rPr>
      </w:pPr>
      <w:r>
        <w:rPr>
          <w:rFonts w:hint="eastAsia" w:ascii="Times New Roman" w:hAnsi="Times New Roman" w:eastAsia="宋体" w:cs="Times New Roman"/>
          <w:bCs/>
          <w:color w:val="000000" w:themeColor="text1"/>
          <w:kern w:val="2"/>
          <w:sz w:val="32"/>
          <w:szCs w:val="32"/>
          <w14:textFill>
            <w14:solidFill>
              <w14:schemeClr w14:val="tx1"/>
            </w14:solidFill>
          </w14:textFill>
        </w:rPr>
        <w:t>附件3：</w:t>
      </w:r>
    </w:p>
    <w:p w14:paraId="0B5E92C6">
      <w:pPr>
        <w:widowControl w:val="0"/>
        <w:adjustRightInd/>
        <w:snapToGrid/>
        <w:spacing w:after="0" w:line="540" w:lineRule="exact"/>
        <w:ind w:firstLine="1440" w:firstLineChars="200"/>
        <w:jc w:val="both"/>
        <w:rPr>
          <w:rFonts w:ascii="Times New Roman" w:hAnsi="Times New Roman" w:eastAsia="宋体" w:cs="Times New Roman"/>
          <w:bCs/>
          <w:color w:val="000000" w:themeColor="text1"/>
          <w:kern w:val="2"/>
          <w:sz w:val="72"/>
          <w:szCs w:val="24"/>
          <w14:textFill>
            <w14:solidFill>
              <w14:schemeClr w14:val="tx1"/>
            </w14:solidFill>
          </w14:textFill>
        </w:rPr>
      </w:pPr>
    </w:p>
    <w:p w14:paraId="573B6DE4">
      <w:pPr>
        <w:widowControl w:val="0"/>
        <w:adjustRightInd/>
        <w:snapToGrid/>
        <w:spacing w:after="0" w:line="480" w:lineRule="auto"/>
        <w:jc w:val="center"/>
        <w:rPr>
          <w:rFonts w:ascii="黑体" w:hAnsi="黑体" w:eastAsia="黑体" w:cs="Times New Roman"/>
          <w:bCs/>
          <w:color w:val="000000" w:themeColor="text1"/>
          <w:kern w:val="2"/>
          <w:sz w:val="44"/>
          <w:szCs w:val="44"/>
          <w14:textFill>
            <w14:solidFill>
              <w14:schemeClr w14:val="tx1"/>
            </w14:solidFill>
          </w14:textFill>
        </w:rPr>
      </w:pPr>
      <w:r>
        <w:rPr>
          <w:rFonts w:hint="eastAsia" w:ascii="黑体" w:hAnsi="黑体" w:eastAsia="黑体" w:cs="Times New Roman"/>
          <w:bCs/>
          <w:color w:val="000000" w:themeColor="text1"/>
          <w:kern w:val="2"/>
          <w:sz w:val="44"/>
          <w:szCs w:val="44"/>
          <w14:textFill>
            <w14:solidFill>
              <w14:schemeClr w14:val="tx1"/>
            </w14:solidFill>
          </w14:textFill>
        </w:rPr>
        <w:t>保定市徐水区</w:t>
      </w:r>
      <w:r>
        <w:rPr>
          <w:rFonts w:ascii="黑体" w:hAnsi="黑体" w:eastAsia="黑体" w:cs="Times New Roman"/>
          <w:bCs/>
          <w:color w:val="000000" w:themeColor="text1"/>
          <w:kern w:val="2"/>
          <w:sz w:val="44"/>
          <w:szCs w:val="44"/>
          <w14:textFill>
            <w14:solidFill>
              <w14:schemeClr w14:val="tx1"/>
            </w14:solidFill>
          </w14:textFill>
        </w:rPr>
        <w:t>机关服务中心</w:t>
      </w:r>
    </w:p>
    <w:p w14:paraId="79CEF253">
      <w:pPr>
        <w:widowControl w:val="0"/>
        <w:adjustRightInd/>
        <w:snapToGrid/>
        <w:spacing w:after="0" w:line="480" w:lineRule="auto"/>
        <w:jc w:val="center"/>
        <w:rPr>
          <w:rFonts w:ascii="黑体" w:hAnsi="黑体" w:eastAsia="黑体" w:cs="Times New Roman"/>
          <w:bCs/>
          <w:color w:val="000000" w:themeColor="text1"/>
          <w:kern w:val="2"/>
          <w:sz w:val="44"/>
          <w:szCs w:val="44"/>
          <w14:textFill>
            <w14:solidFill>
              <w14:schemeClr w14:val="tx1"/>
            </w14:solidFill>
          </w14:textFill>
        </w:rPr>
      </w:pPr>
      <w:r>
        <w:rPr>
          <w:rFonts w:hint="eastAsia" w:ascii="黑体" w:hAnsi="黑体" w:eastAsia="黑体" w:cs="Times New Roman"/>
          <w:bCs/>
          <w:color w:val="000000" w:themeColor="text1"/>
          <w:kern w:val="2"/>
          <w:sz w:val="44"/>
          <w:szCs w:val="44"/>
          <w14:textFill>
            <w14:solidFill>
              <w14:schemeClr w14:val="tx1"/>
            </w14:solidFill>
          </w14:textFill>
        </w:rPr>
        <w:t>2019年部门整体支出绩效评价自评报告</w:t>
      </w:r>
    </w:p>
    <w:p w14:paraId="15435978">
      <w:pPr>
        <w:widowControl w:val="0"/>
        <w:adjustRightInd/>
        <w:snapToGrid/>
        <w:spacing w:after="0" w:line="540" w:lineRule="exact"/>
        <w:ind w:firstLine="1440" w:firstLineChars="200"/>
        <w:jc w:val="both"/>
        <w:rPr>
          <w:rFonts w:ascii="Times New Roman" w:hAnsi="Times New Roman" w:eastAsia="宋体" w:cs="Times New Roman"/>
          <w:bCs/>
          <w:color w:val="000000" w:themeColor="text1"/>
          <w:kern w:val="2"/>
          <w:sz w:val="72"/>
          <w:szCs w:val="24"/>
          <w14:textFill>
            <w14:solidFill>
              <w14:schemeClr w14:val="tx1"/>
            </w14:solidFill>
          </w14:textFill>
        </w:rPr>
      </w:pPr>
    </w:p>
    <w:p w14:paraId="7CC8FD7B">
      <w:pPr>
        <w:widowControl w:val="0"/>
        <w:adjustRightInd/>
        <w:snapToGrid/>
        <w:spacing w:after="0" w:line="540" w:lineRule="exact"/>
        <w:ind w:firstLine="1440" w:firstLineChars="200"/>
        <w:jc w:val="both"/>
        <w:rPr>
          <w:rFonts w:ascii="Times New Roman" w:hAnsi="Times New Roman" w:eastAsia="宋体" w:cs="Times New Roman"/>
          <w:bCs/>
          <w:color w:val="000000" w:themeColor="text1"/>
          <w:kern w:val="2"/>
          <w:sz w:val="72"/>
          <w:szCs w:val="24"/>
          <w14:textFill>
            <w14:solidFill>
              <w14:schemeClr w14:val="tx1"/>
            </w14:solidFill>
          </w14:textFill>
        </w:rPr>
      </w:pPr>
    </w:p>
    <w:p w14:paraId="41A3222D">
      <w:pPr>
        <w:widowControl w:val="0"/>
        <w:adjustRightInd/>
        <w:snapToGrid/>
        <w:spacing w:after="0" w:line="540" w:lineRule="exact"/>
        <w:ind w:firstLine="1440" w:firstLineChars="200"/>
        <w:jc w:val="both"/>
        <w:rPr>
          <w:rFonts w:ascii="Times New Roman" w:hAnsi="Times New Roman" w:eastAsia="宋体" w:cs="Times New Roman"/>
          <w:bCs/>
          <w:color w:val="000000" w:themeColor="text1"/>
          <w:kern w:val="2"/>
          <w:sz w:val="72"/>
          <w:szCs w:val="24"/>
          <w14:textFill>
            <w14:solidFill>
              <w14:schemeClr w14:val="tx1"/>
            </w14:solidFill>
          </w14:textFill>
        </w:rPr>
      </w:pPr>
    </w:p>
    <w:p w14:paraId="4CD801A2">
      <w:pPr>
        <w:widowControl w:val="0"/>
        <w:adjustRightInd/>
        <w:snapToGrid/>
        <w:spacing w:after="0" w:line="540" w:lineRule="exact"/>
        <w:ind w:firstLine="1440" w:firstLineChars="200"/>
        <w:jc w:val="both"/>
        <w:rPr>
          <w:rFonts w:ascii="Times New Roman" w:hAnsi="Times New Roman" w:eastAsia="宋体" w:cs="Times New Roman"/>
          <w:bCs/>
          <w:color w:val="000000" w:themeColor="text1"/>
          <w:kern w:val="2"/>
          <w:sz w:val="72"/>
          <w:szCs w:val="24"/>
          <w14:textFill>
            <w14:solidFill>
              <w14:schemeClr w14:val="tx1"/>
            </w14:solidFill>
          </w14:textFill>
        </w:rPr>
      </w:pPr>
    </w:p>
    <w:p w14:paraId="28D94D84">
      <w:pPr>
        <w:widowControl w:val="0"/>
        <w:adjustRightInd/>
        <w:snapToGrid/>
        <w:spacing w:after="0" w:line="540" w:lineRule="exact"/>
        <w:ind w:firstLine="1440" w:firstLineChars="200"/>
        <w:jc w:val="both"/>
        <w:rPr>
          <w:rFonts w:ascii="Times New Roman" w:hAnsi="Times New Roman" w:eastAsia="宋体" w:cs="Times New Roman"/>
          <w:bCs/>
          <w:color w:val="000000" w:themeColor="text1"/>
          <w:kern w:val="2"/>
          <w:sz w:val="72"/>
          <w:szCs w:val="24"/>
          <w14:textFill>
            <w14:solidFill>
              <w14:schemeClr w14:val="tx1"/>
            </w14:solidFill>
          </w14:textFill>
        </w:rPr>
      </w:pPr>
    </w:p>
    <w:p w14:paraId="7C740CDD">
      <w:pPr>
        <w:widowControl w:val="0"/>
        <w:adjustRightInd/>
        <w:snapToGrid/>
        <w:spacing w:after="0" w:line="540" w:lineRule="exact"/>
        <w:ind w:firstLine="1440" w:firstLineChars="200"/>
        <w:jc w:val="both"/>
        <w:rPr>
          <w:rFonts w:ascii="Times New Roman" w:hAnsi="Times New Roman" w:eastAsia="宋体" w:cs="Times New Roman"/>
          <w:bCs/>
          <w:color w:val="000000" w:themeColor="text1"/>
          <w:kern w:val="2"/>
          <w:sz w:val="72"/>
          <w:szCs w:val="24"/>
          <w14:textFill>
            <w14:solidFill>
              <w14:schemeClr w14:val="tx1"/>
            </w14:solidFill>
          </w14:textFill>
        </w:rPr>
      </w:pPr>
    </w:p>
    <w:p w14:paraId="1E0413BD">
      <w:pPr>
        <w:widowControl w:val="0"/>
        <w:adjustRightInd/>
        <w:snapToGrid/>
        <w:spacing w:after="0" w:line="540" w:lineRule="exact"/>
        <w:ind w:firstLine="1440" w:firstLineChars="200"/>
        <w:jc w:val="both"/>
        <w:rPr>
          <w:rFonts w:ascii="Times New Roman" w:hAnsi="Times New Roman" w:eastAsia="宋体" w:cs="Times New Roman"/>
          <w:bCs/>
          <w:color w:val="000000" w:themeColor="text1"/>
          <w:kern w:val="2"/>
          <w:sz w:val="72"/>
          <w:szCs w:val="24"/>
          <w14:textFill>
            <w14:solidFill>
              <w14:schemeClr w14:val="tx1"/>
            </w14:solidFill>
          </w14:textFill>
        </w:rPr>
      </w:pPr>
    </w:p>
    <w:p w14:paraId="1EC9992A">
      <w:pPr>
        <w:widowControl w:val="0"/>
        <w:adjustRightInd/>
        <w:snapToGrid/>
        <w:spacing w:after="0" w:line="540" w:lineRule="exact"/>
        <w:ind w:firstLine="1440" w:firstLineChars="200"/>
        <w:jc w:val="both"/>
        <w:rPr>
          <w:rFonts w:ascii="Times New Roman" w:hAnsi="Times New Roman" w:eastAsia="宋体" w:cs="Times New Roman"/>
          <w:bCs/>
          <w:color w:val="000000" w:themeColor="text1"/>
          <w:kern w:val="2"/>
          <w:sz w:val="72"/>
          <w:szCs w:val="24"/>
          <w14:textFill>
            <w14:solidFill>
              <w14:schemeClr w14:val="tx1"/>
            </w14:solidFill>
          </w14:textFill>
        </w:rPr>
      </w:pPr>
    </w:p>
    <w:p w14:paraId="5AA2F154">
      <w:pPr>
        <w:widowControl w:val="0"/>
        <w:adjustRightInd/>
        <w:snapToGrid/>
        <w:spacing w:after="0" w:line="540" w:lineRule="exact"/>
        <w:ind w:firstLine="1440" w:firstLineChars="200"/>
        <w:jc w:val="both"/>
        <w:rPr>
          <w:rFonts w:ascii="Times New Roman" w:hAnsi="Times New Roman" w:eastAsia="宋体" w:cs="Times New Roman"/>
          <w:bCs/>
          <w:color w:val="000000" w:themeColor="text1"/>
          <w:kern w:val="2"/>
          <w:sz w:val="72"/>
          <w:szCs w:val="24"/>
          <w14:textFill>
            <w14:solidFill>
              <w14:schemeClr w14:val="tx1"/>
            </w14:solidFill>
          </w14:textFill>
        </w:rPr>
      </w:pPr>
    </w:p>
    <w:p w14:paraId="077A4077">
      <w:pPr>
        <w:widowControl w:val="0"/>
        <w:adjustRightInd/>
        <w:snapToGrid/>
        <w:spacing w:after="0" w:line="540" w:lineRule="exact"/>
        <w:ind w:firstLine="1440" w:firstLineChars="200"/>
        <w:jc w:val="both"/>
        <w:rPr>
          <w:rFonts w:ascii="Times New Roman" w:hAnsi="Times New Roman" w:eastAsia="宋体" w:cs="Times New Roman"/>
          <w:bCs/>
          <w:color w:val="000000" w:themeColor="text1"/>
          <w:kern w:val="2"/>
          <w:sz w:val="72"/>
          <w:szCs w:val="24"/>
          <w14:textFill>
            <w14:solidFill>
              <w14:schemeClr w14:val="tx1"/>
            </w14:solidFill>
          </w14:textFill>
        </w:rPr>
      </w:pPr>
    </w:p>
    <w:p w14:paraId="5639EC73">
      <w:pPr>
        <w:widowControl w:val="0"/>
        <w:adjustRightInd/>
        <w:snapToGrid/>
        <w:spacing w:after="0" w:line="540" w:lineRule="exact"/>
        <w:ind w:firstLine="1440" w:firstLineChars="200"/>
        <w:jc w:val="both"/>
        <w:rPr>
          <w:rFonts w:ascii="Times New Roman" w:hAnsi="Times New Roman" w:eastAsia="宋体" w:cs="Times New Roman"/>
          <w:bCs/>
          <w:color w:val="000000" w:themeColor="text1"/>
          <w:kern w:val="2"/>
          <w:sz w:val="72"/>
          <w:szCs w:val="24"/>
          <w14:textFill>
            <w14:solidFill>
              <w14:schemeClr w14:val="tx1"/>
            </w14:solidFill>
          </w14:textFill>
        </w:rPr>
      </w:pPr>
    </w:p>
    <w:p w14:paraId="585007FE">
      <w:pPr>
        <w:widowControl w:val="0"/>
        <w:adjustRightInd/>
        <w:snapToGrid/>
        <w:spacing w:after="0" w:line="540" w:lineRule="exact"/>
        <w:ind w:firstLine="1440" w:firstLineChars="200"/>
        <w:jc w:val="both"/>
        <w:rPr>
          <w:rFonts w:ascii="Times New Roman" w:hAnsi="Times New Roman" w:eastAsia="宋体" w:cs="Times New Roman"/>
          <w:bCs/>
          <w:color w:val="000000" w:themeColor="text1"/>
          <w:kern w:val="2"/>
          <w:sz w:val="72"/>
          <w:szCs w:val="24"/>
          <w14:textFill>
            <w14:solidFill>
              <w14:schemeClr w14:val="tx1"/>
            </w14:solidFill>
          </w14:textFill>
        </w:rPr>
      </w:pPr>
    </w:p>
    <w:p w14:paraId="3506384E">
      <w:pPr>
        <w:widowControl w:val="0"/>
        <w:adjustRightInd/>
        <w:snapToGrid/>
        <w:spacing w:after="0" w:line="540" w:lineRule="exact"/>
        <w:ind w:firstLine="1440" w:firstLineChars="200"/>
        <w:jc w:val="both"/>
        <w:rPr>
          <w:rFonts w:ascii="Times New Roman" w:hAnsi="Times New Roman" w:eastAsia="宋体" w:cs="Times New Roman"/>
          <w:bCs/>
          <w:color w:val="000000" w:themeColor="text1"/>
          <w:kern w:val="2"/>
          <w:sz w:val="72"/>
          <w:szCs w:val="24"/>
          <w14:textFill>
            <w14:solidFill>
              <w14:schemeClr w14:val="tx1"/>
            </w14:solidFill>
          </w14:textFill>
        </w:rPr>
      </w:pPr>
    </w:p>
    <w:p w14:paraId="43A169A9">
      <w:pPr>
        <w:widowControl w:val="0"/>
        <w:adjustRightInd/>
        <w:snapToGrid/>
        <w:spacing w:after="0" w:line="540" w:lineRule="exact"/>
        <w:ind w:firstLine="720" w:firstLineChars="200"/>
        <w:jc w:val="center"/>
        <w:rPr>
          <w:rFonts w:cs="Times New Roman" w:asciiTheme="minorEastAsia" w:hAnsiTheme="minorEastAsia" w:eastAsiaTheme="minorEastAsia"/>
          <w:bCs/>
          <w:color w:val="000000" w:themeColor="text1"/>
          <w:kern w:val="2"/>
          <w:sz w:val="36"/>
          <w:szCs w:val="36"/>
          <w14:textFill>
            <w14:solidFill>
              <w14:schemeClr w14:val="tx1"/>
            </w14:solidFill>
          </w14:textFill>
        </w:rPr>
      </w:pPr>
      <w:r>
        <w:rPr>
          <w:rFonts w:hint="eastAsia" w:cs="Times New Roman" w:asciiTheme="minorEastAsia" w:hAnsiTheme="minorEastAsia" w:eastAsiaTheme="minorEastAsia"/>
          <w:bCs/>
          <w:color w:val="000000" w:themeColor="text1"/>
          <w:kern w:val="2"/>
          <w:sz w:val="36"/>
          <w:szCs w:val="36"/>
          <w14:textFill>
            <w14:solidFill>
              <w14:schemeClr w14:val="tx1"/>
            </w14:solidFill>
          </w14:textFill>
        </w:rPr>
        <w:t>2020年</w:t>
      </w:r>
      <w:r>
        <w:rPr>
          <w:rFonts w:cs="Times New Roman" w:asciiTheme="minorEastAsia" w:hAnsiTheme="minorEastAsia" w:eastAsiaTheme="minorEastAsia"/>
          <w:bCs/>
          <w:color w:val="000000" w:themeColor="text1"/>
          <w:kern w:val="2"/>
          <w:sz w:val="36"/>
          <w:szCs w:val="36"/>
          <w14:textFill>
            <w14:solidFill>
              <w14:schemeClr w14:val="tx1"/>
            </w14:solidFill>
          </w14:textFill>
        </w:rPr>
        <w:t>8</w:t>
      </w:r>
      <w:r>
        <w:rPr>
          <w:rFonts w:hint="eastAsia" w:cs="Times New Roman" w:asciiTheme="minorEastAsia" w:hAnsiTheme="minorEastAsia" w:eastAsiaTheme="minorEastAsia"/>
          <w:bCs/>
          <w:color w:val="000000" w:themeColor="text1"/>
          <w:kern w:val="2"/>
          <w:sz w:val="36"/>
          <w:szCs w:val="36"/>
          <w14:textFill>
            <w14:solidFill>
              <w14:schemeClr w14:val="tx1"/>
            </w14:solidFill>
          </w14:textFill>
        </w:rPr>
        <w:t>月</w:t>
      </w:r>
    </w:p>
    <w:p w14:paraId="7E0166CA">
      <w:pPr>
        <w:widowControl w:val="0"/>
        <w:adjustRightInd/>
        <w:snapToGrid/>
        <w:spacing w:after="0" w:line="540" w:lineRule="exact"/>
        <w:ind w:firstLine="1440" w:firstLineChars="200"/>
        <w:jc w:val="both"/>
        <w:rPr>
          <w:rFonts w:ascii="Times New Roman" w:hAnsi="Times New Roman" w:eastAsia="宋体" w:cs="Times New Roman"/>
          <w:bCs/>
          <w:color w:val="000000" w:themeColor="text1"/>
          <w:kern w:val="2"/>
          <w:sz w:val="72"/>
          <w:szCs w:val="24"/>
          <w14:textFill>
            <w14:solidFill>
              <w14:schemeClr w14:val="tx1"/>
            </w14:solidFill>
          </w14:textFill>
        </w:rPr>
      </w:pPr>
    </w:p>
    <w:p w14:paraId="06785D3A">
      <w:pPr>
        <w:widowControl w:val="0"/>
        <w:adjustRightInd/>
        <w:snapToGrid/>
        <w:spacing w:after="0" w:line="540" w:lineRule="exact"/>
        <w:ind w:firstLine="1440" w:firstLineChars="200"/>
        <w:jc w:val="both"/>
        <w:rPr>
          <w:rFonts w:ascii="Times New Roman" w:hAnsi="Times New Roman" w:eastAsia="宋体" w:cs="Times New Roman"/>
          <w:bCs/>
          <w:color w:val="000000" w:themeColor="text1"/>
          <w:kern w:val="2"/>
          <w:sz w:val="72"/>
          <w:szCs w:val="24"/>
          <w14:textFill>
            <w14:solidFill>
              <w14:schemeClr w14:val="tx1"/>
            </w14:solidFill>
          </w14:textFill>
        </w:rPr>
      </w:pPr>
    </w:p>
    <w:p w14:paraId="316C085B">
      <w:pPr>
        <w:widowControl w:val="0"/>
        <w:adjustRightInd/>
        <w:snapToGrid/>
        <w:spacing w:after="0" w:line="540" w:lineRule="exact"/>
        <w:ind w:firstLine="1440" w:firstLineChars="200"/>
        <w:jc w:val="both"/>
        <w:rPr>
          <w:rFonts w:ascii="Times New Roman" w:hAnsi="Times New Roman" w:eastAsia="宋体" w:cs="Times New Roman"/>
          <w:bCs/>
          <w:color w:val="000000" w:themeColor="text1"/>
          <w:kern w:val="2"/>
          <w:sz w:val="72"/>
          <w:szCs w:val="24"/>
          <w14:textFill>
            <w14:solidFill>
              <w14:schemeClr w14:val="tx1"/>
            </w14:solidFill>
          </w14:textFill>
        </w:rPr>
      </w:pPr>
    </w:p>
    <w:sdt>
      <w:sdtPr>
        <w:rPr>
          <w:rFonts w:ascii="Tahoma" w:hAnsi="Tahoma" w:eastAsia="微软雅黑" w:cstheme="minorBidi"/>
          <w:b w:val="0"/>
          <w:bCs w:val="0"/>
          <w:color w:val="000000" w:themeColor="text1"/>
          <w:sz w:val="22"/>
          <w:szCs w:val="22"/>
          <w:lang w:val="zh-CN"/>
          <w14:textFill>
            <w14:solidFill>
              <w14:schemeClr w14:val="tx1"/>
            </w14:solidFill>
          </w14:textFill>
        </w:rPr>
        <w:id w:val="8905895"/>
        <w:docPartObj>
          <w:docPartGallery w:val="Table of Contents"/>
          <w:docPartUnique/>
        </w:docPartObj>
      </w:sdtPr>
      <w:sdtEndPr>
        <w:rPr>
          <w:rFonts w:ascii="Tahoma" w:hAnsi="Tahoma" w:eastAsia="微软雅黑" w:cstheme="minorBidi"/>
          <w:b w:val="0"/>
          <w:bCs w:val="0"/>
          <w:color w:val="000000" w:themeColor="text1"/>
          <w:sz w:val="22"/>
          <w:szCs w:val="22"/>
          <w:lang w:val="en-US"/>
          <w14:textFill>
            <w14:solidFill>
              <w14:schemeClr w14:val="tx1"/>
            </w14:solidFill>
          </w14:textFill>
        </w:rPr>
      </w:sdtEndPr>
      <w:sdtContent>
        <w:p w14:paraId="1523A827">
          <w:pPr>
            <w:pStyle w:val="71"/>
            <w:ind w:firstLine="440" w:firstLineChars="200"/>
            <w:jc w:val="center"/>
            <w:rPr>
              <w:color w:val="000000" w:themeColor="text1"/>
              <w:sz w:val="44"/>
              <w:szCs w:val="44"/>
              <w:lang w:val="zh-CN"/>
              <w14:textFill>
                <w14:solidFill>
                  <w14:schemeClr w14:val="tx1"/>
                </w14:solidFill>
              </w14:textFill>
            </w:rPr>
          </w:pPr>
          <w:r>
            <w:rPr>
              <w:color w:val="000000" w:themeColor="text1"/>
              <w:sz w:val="44"/>
              <w:szCs w:val="44"/>
              <w:lang w:val="zh-CN"/>
              <w14:textFill>
                <w14:solidFill>
                  <w14:schemeClr w14:val="tx1"/>
                </w14:solidFill>
              </w14:textFill>
            </w:rPr>
            <w:t>目</w:t>
          </w:r>
          <w:r>
            <w:rPr>
              <w:rFonts w:hint="eastAsia"/>
              <w:color w:val="000000" w:themeColor="text1"/>
              <w:sz w:val="44"/>
              <w:szCs w:val="44"/>
              <w:lang w:val="zh-CN"/>
              <w14:textFill>
                <w14:solidFill>
                  <w14:schemeClr w14:val="tx1"/>
                </w14:solidFill>
              </w14:textFill>
            </w:rPr>
            <w:t xml:space="preserve">    </w:t>
          </w:r>
          <w:r>
            <w:rPr>
              <w:color w:val="000000" w:themeColor="text1"/>
              <w:sz w:val="44"/>
              <w:szCs w:val="44"/>
              <w:lang w:val="zh-CN"/>
              <w14:textFill>
                <w14:solidFill>
                  <w14:schemeClr w14:val="tx1"/>
                </w14:solidFill>
              </w14:textFill>
            </w:rPr>
            <w:t>录</w:t>
          </w:r>
        </w:p>
        <w:p w14:paraId="4738F7B9">
          <w:pPr>
            <w:pStyle w:val="18"/>
            <w:tabs>
              <w:tab w:val="right" w:leader="dot" w:pos="8312"/>
            </w:tabs>
            <w:spacing w:line="312" w:lineRule="auto"/>
            <w:ind w:left="0" w:leftChars="0"/>
            <w:rPr>
              <w:rFonts w:asciiTheme="majorEastAsia" w:hAnsiTheme="majorEastAsia" w:eastAsiaTheme="majorEastAsia" w:cstheme="majorEastAsia"/>
              <w:b/>
              <w:bCs/>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fldChar w:fldCharType="begin"/>
          </w:r>
          <w:r>
            <w:rPr>
              <w:rFonts w:asciiTheme="minorEastAsia" w:hAnsiTheme="minorEastAsia" w:eastAsiaTheme="minorEastAsia"/>
              <w:color w:val="000000" w:themeColor="text1"/>
              <w:sz w:val="24"/>
              <w14:textFill>
                <w14:solidFill>
                  <w14:schemeClr w14:val="tx1"/>
                </w14:solidFill>
              </w14:textFill>
            </w:rPr>
            <w:instrText xml:space="preserve"> TOC \o "1-3" \h \z \u </w:instrText>
          </w:r>
          <w:r>
            <w:rPr>
              <w:rFonts w:asciiTheme="minorEastAsia" w:hAnsiTheme="minorEastAsia" w:eastAsiaTheme="minorEastAsia"/>
              <w:color w:val="000000" w:themeColor="text1"/>
              <w:sz w:val="24"/>
              <w14:textFill>
                <w14:solidFill>
                  <w14:schemeClr w14:val="tx1"/>
                </w14:solidFill>
              </w14:textFill>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color w:val="000000" w:themeColor="text1"/>
              <w:sz w:val="24"/>
              <w14:textFill>
                <w14:solidFill>
                  <w14:schemeClr w14:val="tx1"/>
                </w14:solidFill>
              </w14:textFill>
            </w:rPr>
            <w:t>第一部分   摘  要</w:t>
          </w:r>
          <w:r>
            <w:rPr>
              <w:rFonts w:hint="eastAsia" w:asciiTheme="majorEastAsia" w:hAnsiTheme="majorEastAsia" w:eastAsiaTheme="majorEastAsia" w:cstheme="majorEastAsia"/>
              <w:b/>
              <w:bCs/>
              <w:color w:val="000000" w:themeColor="text1"/>
              <w:sz w:val="24"/>
              <w14:textFill>
                <w14:solidFill>
                  <w14:schemeClr w14:val="tx1"/>
                </w14:solidFill>
              </w14:textFill>
            </w:rPr>
            <w:tab/>
          </w:r>
          <w:r>
            <w:rPr>
              <w:rFonts w:hint="eastAsia" w:asciiTheme="majorEastAsia" w:hAnsiTheme="majorEastAsia" w:eastAsiaTheme="majorEastAsia" w:cstheme="majorEastAsia"/>
              <w:b/>
              <w:bCs/>
              <w:color w:val="000000" w:themeColor="text1"/>
              <w:sz w:val="24"/>
              <w14:textFill>
                <w14:solidFill>
                  <w14:schemeClr w14:val="tx1"/>
                </w14:solidFill>
              </w14:textFill>
            </w:rPr>
            <w:fldChar w:fldCharType="begin"/>
          </w:r>
          <w:r>
            <w:rPr>
              <w:rFonts w:hint="eastAsia" w:asciiTheme="majorEastAsia" w:hAnsiTheme="majorEastAsia" w:eastAsiaTheme="majorEastAsia" w:cstheme="majorEastAsia"/>
              <w:b/>
              <w:bCs/>
              <w:color w:val="000000" w:themeColor="text1"/>
              <w:sz w:val="24"/>
              <w14:textFill>
                <w14:solidFill>
                  <w14:schemeClr w14:val="tx1"/>
                </w14:solidFill>
              </w14:textFill>
            </w:rPr>
            <w:instrText xml:space="preserve"> PAGEREF _Toc25184 </w:instrText>
          </w:r>
          <w:r>
            <w:rPr>
              <w:rFonts w:hint="eastAsia" w:asciiTheme="majorEastAsia" w:hAnsiTheme="majorEastAsia" w:eastAsiaTheme="majorEastAsia" w:cstheme="majorEastAsia"/>
              <w:b/>
              <w:bCs/>
              <w:color w:val="000000" w:themeColor="text1"/>
              <w:sz w:val="24"/>
              <w14:textFill>
                <w14:solidFill>
                  <w14:schemeClr w14:val="tx1"/>
                </w14:solidFill>
              </w14:textFill>
            </w:rPr>
            <w:fldChar w:fldCharType="separate"/>
          </w:r>
          <w:r>
            <w:rPr>
              <w:rFonts w:asciiTheme="majorEastAsia" w:hAnsiTheme="majorEastAsia" w:eastAsiaTheme="majorEastAsia" w:cstheme="majorEastAsia"/>
              <w:b/>
              <w:bCs/>
              <w:color w:val="000000" w:themeColor="text1"/>
              <w:sz w:val="24"/>
              <w14:textFill>
                <w14:solidFill>
                  <w14:schemeClr w14:val="tx1"/>
                </w14:solidFill>
              </w14:textFill>
            </w:rPr>
            <w:t>1</w:t>
          </w:r>
          <w:r>
            <w:rPr>
              <w:rFonts w:hint="eastAsia" w:asciiTheme="majorEastAsia" w:hAnsiTheme="majorEastAsia" w:eastAsiaTheme="majorEastAsia" w:cstheme="majorEastAsia"/>
              <w:b/>
              <w:bCs/>
              <w:color w:val="000000" w:themeColor="text1"/>
              <w:sz w:val="24"/>
              <w14:textFill>
                <w14:solidFill>
                  <w14:schemeClr w14:val="tx1"/>
                </w14:solidFill>
              </w14:textFill>
            </w:rPr>
            <w:fldChar w:fldCharType="end"/>
          </w:r>
          <w:r>
            <w:rPr>
              <w:rFonts w:hint="eastAsia" w:asciiTheme="majorEastAsia" w:hAnsiTheme="majorEastAsia" w:eastAsiaTheme="majorEastAsia" w:cstheme="majorEastAsia"/>
              <w:b/>
              <w:bCs/>
              <w:color w:val="000000" w:themeColor="text1"/>
              <w:sz w:val="24"/>
              <w14:textFill>
                <w14:solidFill>
                  <w14:schemeClr w14:val="tx1"/>
                </w14:solidFill>
              </w14:textFill>
            </w:rPr>
            <w:fldChar w:fldCharType="end"/>
          </w:r>
        </w:p>
        <w:p w14:paraId="6D14D0CA">
          <w:pPr>
            <w:pStyle w:val="18"/>
            <w:tabs>
              <w:tab w:val="right" w:leader="dot" w:pos="8312"/>
            </w:tabs>
            <w:spacing w:line="312" w:lineRule="auto"/>
            <w:ind w:left="0" w:leftChars="0"/>
            <w:rPr>
              <w:rFonts w:asciiTheme="majorEastAsia" w:hAnsiTheme="majorEastAsia" w:eastAsiaTheme="majorEastAsia" w:cstheme="majorEastAsia"/>
              <w:color w:val="000000" w:themeColor="text1"/>
              <w:sz w:val="24"/>
              <w14:textFill>
                <w14:solidFill>
                  <w14:schemeClr w14:val="tx1"/>
                </w14:solidFill>
              </w14:textFill>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color w:val="000000" w:themeColor="text1"/>
              <w:sz w:val="24"/>
              <w14:textFill>
                <w14:solidFill>
                  <w14:schemeClr w14:val="tx1"/>
                </w14:solidFill>
              </w14:textFill>
            </w:rPr>
            <w:t>第二部分   绩效评价报告</w:t>
          </w:r>
          <w:r>
            <w:rPr>
              <w:rFonts w:hint="eastAsia" w:asciiTheme="majorEastAsia" w:hAnsiTheme="majorEastAsia" w:eastAsiaTheme="majorEastAsia" w:cstheme="majorEastAsia"/>
              <w:b/>
              <w:bCs/>
              <w:color w:val="000000" w:themeColor="text1"/>
              <w:sz w:val="24"/>
              <w14:textFill>
                <w14:solidFill>
                  <w14:schemeClr w14:val="tx1"/>
                </w14:solidFill>
              </w14:textFill>
            </w:rPr>
            <w:tab/>
          </w:r>
          <w:r>
            <w:rPr>
              <w:rFonts w:asciiTheme="majorEastAsia" w:hAnsiTheme="majorEastAsia" w:eastAsiaTheme="majorEastAsia" w:cstheme="majorEastAsia"/>
              <w:b/>
              <w:bCs/>
              <w:color w:val="000000" w:themeColor="text1"/>
              <w:sz w:val="24"/>
              <w14:textFill>
                <w14:solidFill>
                  <w14:schemeClr w14:val="tx1"/>
                </w14:solidFill>
              </w14:textFill>
            </w:rPr>
            <w:t>5</w:t>
          </w:r>
          <w:r>
            <w:rPr>
              <w:rFonts w:asciiTheme="majorEastAsia" w:hAnsiTheme="majorEastAsia" w:eastAsiaTheme="majorEastAsia" w:cstheme="majorEastAsia"/>
              <w:b/>
              <w:bCs/>
              <w:color w:val="000000" w:themeColor="text1"/>
              <w:sz w:val="24"/>
              <w14:textFill>
                <w14:solidFill>
                  <w14:schemeClr w14:val="tx1"/>
                </w14:solidFill>
              </w14:textFill>
            </w:rPr>
            <w:fldChar w:fldCharType="end"/>
          </w:r>
        </w:p>
        <w:p w14:paraId="238C4132">
          <w:pPr>
            <w:pStyle w:val="18"/>
            <w:tabs>
              <w:tab w:val="right" w:leader="dot" w:pos="8312"/>
            </w:tabs>
            <w:spacing w:line="312" w:lineRule="auto"/>
            <w:ind w:left="0" w:leftChars="0"/>
            <w:rPr>
              <w:rFonts w:asciiTheme="majorEastAsia" w:hAnsiTheme="majorEastAsia" w:eastAsiaTheme="majorEastAsia" w:cstheme="majorEastAsia"/>
              <w:b/>
              <w:bCs/>
              <w:color w:val="000000" w:themeColor="text1"/>
              <w:sz w:val="24"/>
              <w14:textFill>
                <w14:solidFill>
                  <w14:schemeClr w14:val="tx1"/>
                </w14:solidFill>
              </w14:textFill>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color w:val="000000" w:themeColor="text1"/>
              <w:sz w:val="24"/>
              <w14:textFill>
                <w14:solidFill>
                  <w14:schemeClr w14:val="tx1"/>
                </w14:solidFill>
              </w14:textFill>
            </w:rPr>
            <w:t>一、保定市徐水区机关服务中心基本情况</w:t>
          </w:r>
          <w:r>
            <w:rPr>
              <w:rFonts w:hint="eastAsia" w:asciiTheme="majorEastAsia" w:hAnsiTheme="majorEastAsia" w:eastAsiaTheme="majorEastAsia" w:cstheme="majorEastAsia"/>
              <w:b/>
              <w:bCs/>
              <w:color w:val="000000" w:themeColor="text1"/>
              <w:sz w:val="24"/>
              <w14:textFill>
                <w14:solidFill>
                  <w14:schemeClr w14:val="tx1"/>
                </w14:solidFill>
              </w14:textFill>
            </w:rPr>
            <w:tab/>
          </w:r>
          <w:r>
            <w:rPr>
              <w:rFonts w:hint="eastAsia" w:asciiTheme="majorEastAsia" w:hAnsiTheme="majorEastAsia" w:eastAsiaTheme="majorEastAsia" w:cstheme="majorEastAsia"/>
              <w:b/>
              <w:bCs/>
              <w:color w:val="000000" w:themeColor="text1"/>
              <w:sz w:val="24"/>
              <w14:textFill>
                <w14:solidFill>
                  <w14:schemeClr w14:val="tx1"/>
                </w14:solidFill>
              </w14:textFill>
            </w:rPr>
            <w:fldChar w:fldCharType="begin"/>
          </w:r>
          <w:r>
            <w:rPr>
              <w:rFonts w:hint="eastAsia" w:asciiTheme="majorEastAsia" w:hAnsiTheme="majorEastAsia" w:eastAsiaTheme="majorEastAsia" w:cstheme="majorEastAsia"/>
              <w:b/>
              <w:bCs/>
              <w:color w:val="000000" w:themeColor="text1"/>
              <w:sz w:val="24"/>
              <w14:textFill>
                <w14:solidFill>
                  <w14:schemeClr w14:val="tx1"/>
                </w14:solidFill>
              </w14:textFill>
            </w:rPr>
            <w:instrText xml:space="preserve"> PAGEREF _Toc427 </w:instrText>
          </w:r>
          <w:r>
            <w:rPr>
              <w:rFonts w:hint="eastAsia" w:asciiTheme="majorEastAsia" w:hAnsiTheme="majorEastAsia" w:eastAsiaTheme="majorEastAsia" w:cstheme="majorEastAsia"/>
              <w:b/>
              <w:bCs/>
              <w:color w:val="000000" w:themeColor="text1"/>
              <w:sz w:val="24"/>
              <w14:textFill>
                <w14:solidFill>
                  <w14:schemeClr w14:val="tx1"/>
                </w14:solidFill>
              </w14:textFill>
            </w:rPr>
            <w:fldChar w:fldCharType="separate"/>
          </w:r>
          <w:r>
            <w:rPr>
              <w:rFonts w:asciiTheme="majorEastAsia" w:hAnsiTheme="majorEastAsia" w:eastAsiaTheme="majorEastAsia" w:cstheme="majorEastAsia"/>
              <w:b/>
              <w:bCs/>
              <w:color w:val="000000" w:themeColor="text1"/>
              <w:sz w:val="24"/>
              <w14:textFill>
                <w14:solidFill>
                  <w14:schemeClr w14:val="tx1"/>
                </w14:solidFill>
              </w14:textFill>
            </w:rPr>
            <w:t>5</w:t>
          </w:r>
          <w:r>
            <w:rPr>
              <w:rFonts w:hint="eastAsia" w:asciiTheme="majorEastAsia" w:hAnsiTheme="majorEastAsia" w:eastAsiaTheme="majorEastAsia" w:cstheme="majorEastAsia"/>
              <w:b/>
              <w:bCs/>
              <w:color w:val="000000" w:themeColor="text1"/>
              <w:sz w:val="24"/>
              <w14:textFill>
                <w14:solidFill>
                  <w14:schemeClr w14:val="tx1"/>
                </w14:solidFill>
              </w14:textFill>
            </w:rPr>
            <w:fldChar w:fldCharType="end"/>
          </w:r>
          <w:r>
            <w:rPr>
              <w:rFonts w:hint="eastAsia" w:asciiTheme="majorEastAsia" w:hAnsiTheme="majorEastAsia" w:eastAsiaTheme="majorEastAsia" w:cstheme="majorEastAsia"/>
              <w:b/>
              <w:bCs/>
              <w:color w:val="000000" w:themeColor="text1"/>
              <w:sz w:val="24"/>
              <w14:textFill>
                <w14:solidFill>
                  <w14:schemeClr w14:val="tx1"/>
                </w14:solidFill>
              </w14:textFill>
            </w:rPr>
            <w:fldChar w:fldCharType="end"/>
          </w:r>
        </w:p>
        <w:p w14:paraId="0B1984AD">
          <w:pPr>
            <w:pStyle w:val="11"/>
            <w:tabs>
              <w:tab w:val="right" w:leader="dot" w:pos="8312"/>
            </w:tabs>
            <w:spacing w:line="312" w:lineRule="auto"/>
            <w:ind w:left="0" w:leftChars="0" w:firstLine="280" w:firstLineChars="100"/>
            <w:rPr>
              <w:rFonts w:asciiTheme="majorEastAsia" w:hAnsiTheme="majorEastAsia" w:eastAsiaTheme="majorEastAsia" w:cstheme="majorEastAsia"/>
              <w:color w:val="000000" w:themeColor="text1"/>
              <w:sz w:val="24"/>
              <w14:textFill>
                <w14:solidFill>
                  <w14:schemeClr w14:val="tx1"/>
                </w14:solidFill>
              </w14:textFill>
            </w:rPr>
          </w:pPr>
          <w:r>
            <w:fldChar w:fldCharType="begin"/>
          </w:r>
          <w:r>
            <w:instrText xml:space="preserve"> HYPERLINK \l "_Toc11473" </w:instrText>
          </w:r>
          <w:r>
            <w:fldChar w:fldCharType="separate"/>
          </w:r>
          <w:r>
            <w:rPr>
              <w:rFonts w:hint="eastAsia" w:asciiTheme="majorEastAsia" w:hAnsiTheme="majorEastAsia" w:eastAsiaTheme="majorEastAsia" w:cstheme="majorEastAsia"/>
              <w:color w:val="000000" w:themeColor="text1"/>
              <w:sz w:val="24"/>
              <w14:textFill>
                <w14:solidFill>
                  <w14:schemeClr w14:val="tx1"/>
                </w14:solidFill>
              </w14:textFill>
            </w:rPr>
            <w:t>（一）部门职责和工作活动</w:t>
          </w:r>
          <w:r>
            <w:rPr>
              <w:rFonts w:hint="eastAsia" w:asciiTheme="majorEastAsia" w:hAnsiTheme="majorEastAsia" w:eastAsiaTheme="majorEastAsia" w:cstheme="majorEastAsia"/>
              <w:color w:val="000000" w:themeColor="text1"/>
              <w:sz w:val="24"/>
              <w14:textFill>
                <w14:solidFill>
                  <w14:schemeClr w14:val="tx1"/>
                </w14:solidFill>
              </w14:textFill>
            </w:rPr>
            <w:tab/>
          </w:r>
          <w:r>
            <w:rPr>
              <w:rFonts w:hint="eastAsia" w:asciiTheme="majorEastAsia" w:hAnsiTheme="majorEastAsia" w:eastAsiaTheme="majorEastAsia" w:cstheme="majorEastAsia"/>
              <w:color w:val="000000" w:themeColor="text1"/>
              <w:sz w:val="24"/>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4"/>
              <w14:textFill>
                <w14:solidFill>
                  <w14:schemeClr w14:val="tx1"/>
                </w14:solidFill>
              </w14:textFill>
            </w:rPr>
            <w:instrText xml:space="preserve"> PAGEREF _Toc11473 </w:instrText>
          </w:r>
          <w:r>
            <w:rPr>
              <w:rFonts w:hint="eastAsia" w:asciiTheme="majorEastAsia" w:hAnsiTheme="majorEastAsia" w:eastAsiaTheme="majorEastAsia" w:cstheme="majorEastAsia"/>
              <w:color w:val="000000" w:themeColor="text1"/>
              <w:sz w:val="24"/>
              <w14:textFill>
                <w14:solidFill>
                  <w14:schemeClr w14:val="tx1"/>
                </w14:solidFill>
              </w14:textFill>
            </w:rPr>
            <w:fldChar w:fldCharType="separate"/>
          </w:r>
          <w:r>
            <w:rPr>
              <w:rFonts w:asciiTheme="majorEastAsia" w:hAnsiTheme="majorEastAsia" w:eastAsiaTheme="majorEastAsia" w:cstheme="majorEastAsia"/>
              <w:color w:val="000000" w:themeColor="text1"/>
              <w:sz w:val="24"/>
              <w14:textFill>
                <w14:solidFill>
                  <w14:schemeClr w14:val="tx1"/>
                </w14:solidFill>
              </w14:textFill>
            </w:rPr>
            <w:t>5</w:t>
          </w:r>
          <w:r>
            <w:rPr>
              <w:rFonts w:hint="eastAsia" w:asciiTheme="majorEastAsia" w:hAnsiTheme="majorEastAsia" w:eastAsiaTheme="majorEastAsia" w:cstheme="majorEastAsia"/>
              <w:color w:val="000000" w:themeColor="text1"/>
              <w:sz w:val="24"/>
              <w14:textFill>
                <w14:solidFill>
                  <w14:schemeClr w14:val="tx1"/>
                </w14:solidFill>
              </w14:textFill>
            </w:rPr>
            <w:fldChar w:fldCharType="end"/>
          </w:r>
          <w:r>
            <w:rPr>
              <w:rFonts w:hint="eastAsia" w:asciiTheme="majorEastAsia" w:hAnsiTheme="majorEastAsia" w:eastAsiaTheme="majorEastAsia" w:cstheme="majorEastAsia"/>
              <w:color w:val="000000" w:themeColor="text1"/>
              <w:sz w:val="24"/>
              <w14:textFill>
                <w14:solidFill>
                  <w14:schemeClr w14:val="tx1"/>
                </w14:solidFill>
              </w14:textFill>
            </w:rPr>
            <w:fldChar w:fldCharType="end"/>
          </w:r>
        </w:p>
        <w:p w14:paraId="0467429B">
          <w:pPr>
            <w:pStyle w:val="11"/>
            <w:tabs>
              <w:tab w:val="right" w:leader="dot" w:pos="8312"/>
            </w:tabs>
            <w:spacing w:line="312" w:lineRule="auto"/>
            <w:ind w:left="0" w:leftChars="0" w:firstLine="280" w:firstLineChars="100"/>
            <w:rPr>
              <w:rFonts w:asciiTheme="majorEastAsia" w:hAnsiTheme="majorEastAsia" w:eastAsiaTheme="majorEastAsia" w:cstheme="majorEastAsia"/>
              <w:color w:val="000000" w:themeColor="text1"/>
              <w:sz w:val="24"/>
              <w14:textFill>
                <w14:solidFill>
                  <w14:schemeClr w14:val="tx1"/>
                </w14:solidFill>
              </w14:textFill>
            </w:rPr>
          </w:pPr>
          <w:r>
            <w:fldChar w:fldCharType="begin"/>
          </w:r>
          <w:r>
            <w:instrText xml:space="preserve"> HYPERLINK \l "_Toc7075" </w:instrText>
          </w:r>
          <w:r>
            <w:fldChar w:fldCharType="separate"/>
          </w:r>
          <w:r>
            <w:rPr>
              <w:rFonts w:hint="eastAsia" w:asciiTheme="majorEastAsia" w:hAnsiTheme="majorEastAsia" w:eastAsiaTheme="majorEastAsia" w:cstheme="majorEastAsia"/>
              <w:color w:val="000000" w:themeColor="text1"/>
              <w:sz w:val="24"/>
              <w14:textFill>
                <w14:solidFill>
                  <w14:schemeClr w14:val="tx1"/>
                </w14:solidFill>
              </w14:textFill>
            </w:rPr>
            <w:t>（二）部门年度发展规划总体目标和职责分类绩效目标</w:t>
          </w:r>
          <w:r>
            <w:rPr>
              <w:rFonts w:hint="eastAsia" w:asciiTheme="majorEastAsia" w:hAnsiTheme="majorEastAsia" w:eastAsiaTheme="majorEastAsia" w:cstheme="majorEastAsia"/>
              <w:color w:val="000000" w:themeColor="text1"/>
              <w:sz w:val="24"/>
              <w14:textFill>
                <w14:solidFill>
                  <w14:schemeClr w14:val="tx1"/>
                </w14:solidFill>
              </w14:textFill>
            </w:rPr>
            <w:tab/>
          </w:r>
          <w:r>
            <w:rPr>
              <w:rFonts w:asciiTheme="majorEastAsia" w:hAnsiTheme="majorEastAsia" w:eastAsiaTheme="majorEastAsia" w:cstheme="majorEastAsia"/>
              <w:color w:val="000000" w:themeColor="text1"/>
              <w:sz w:val="24"/>
              <w14:textFill>
                <w14:solidFill>
                  <w14:schemeClr w14:val="tx1"/>
                </w14:solidFill>
              </w14:textFill>
            </w:rPr>
            <w:t>6</w:t>
          </w:r>
          <w:r>
            <w:rPr>
              <w:rFonts w:asciiTheme="majorEastAsia" w:hAnsiTheme="majorEastAsia" w:eastAsiaTheme="majorEastAsia" w:cstheme="majorEastAsia"/>
              <w:color w:val="000000" w:themeColor="text1"/>
              <w:sz w:val="24"/>
              <w14:textFill>
                <w14:solidFill>
                  <w14:schemeClr w14:val="tx1"/>
                </w14:solidFill>
              </w14:textFill>
            </w:rPr>
            <w:fldChar w:fldCharType="end"/>
          </w:r>
        </w:p>
        <w:p w14:paraId="782902C2">
          <w:pPr>
            <w:pStyle w:val="11"/>
            <w:tabs>
              <w:tab w:val="right" w:leader="dot" w:pos="8312"/>
            </w:tabs>
            <w:spacing w:line="312" w:lineRule="auto"/>
            <w:ind w:left="0" w:leftChars="0" w:firstLine="280" w:firstLineChars="100"/>
            <w:rPr>
              <w:rFonts w:asciiTheme="majorEastAsia" w:hAnsiTheme="majorEastAsia" w:eastAsiaTheme="majorEastAsia" w:cstheme="majorEastAsia"/>
              <w:color w:val="000000" w:themeColor="text1"/>
              <w:sz w:val="24"/>
              <w14:textFill>
                <w14:solidFill>
                  <w14:schemeClr w14:val="tx1"/>
                </w14:solidFill>
              </w14:textFill>
            </w:rPr>
          </w:pPr>
          <w:r>
            <w:fldChar w:fldCharType="begin"/>
          </w:r>
          <w:r>
            <w:instrText xml:space="preserve"> HYPERLINK \l "_Toc1678" </w:instrText>
          </w:r>
          <w:r>
            <w:fldChar w:fldCharType="separate"/>
          </w:r>
          <w:r>
            <w:rPr>
              <w:rFonts w:hint="eastAsia" w:asciiTheme="majorEastAsia" w:hAnsiTheme="majorEastAsia" w:eastAsiaTheme="majorEastAsia" w:cstheme="majorEastAsia"/>
              <w:color w:val="000000" w:themeColor="text1"/>
              <w:sz w:val="24"/>
              <w14:textFill>
                <w14:solidFill>
                  <w14:schemeClr w14:val="tx1"/>
                </w14:solidFill>
              </w14:textFill>
            </w:rPr>
            <w:t>（三）部门预算收入及决算收入</w:t>
          </w:r>
          <w:r>
            <w:rPr>
              <w:rFonts w:hint="eastAsia" w:asciiTheme="majorEastAsia" w:hAnsiTheme="majorEastAsia" w:eastAsiaTheme="majorEastAsia" w:cstheme="majorEastAsia"/>
              <w:color w:val="000000" w:themeColor="text1"/>
              <w:sz w:val="24"/>
              <w14:textFill>
                <w14:solidFill>
                  <w14:schemeClr w14:val="tx1"/>
                </w14:solidFill>
              </w14:textFill>
            </w:rPr>
            <w:tab/>
          </w:r>
          <w:r>
            <w:rPr>
              <w:rFonts w:asciiTheme="majorEastAsia" w:hAnsiTheme="majorEastAsia" w:eastAsiaTheme="majorEastAsia" w:cstheme="majorEastAsia"/>
              <w:color w:val="000000" w:themeColor="text1"/>
              <w:sz w:val="24"/>
              <w14:textFill>
                <w14:solidFill>
                  <w14:schemeClr w14:val="tx1"/>
                </w14:solidFill>
              </w14:textFill>
            </w:rPr>
            <w:t>7</w:t>
          </w:r>
          <w:r>
            <w:rPr>
              <w:rFonts w:asciiTheme="majorEastAsia" w:hAnsiTheme="majorEastAsia" w:eastAsiaTheme="majorEastAsia" w:cstheme="majorEastAsia"/>
              <w:color w:val="000000" w:themeColor="text1"/>
              <w:sz w:val="24"/>
              <w14:textFill>
                <w14:solidFill>
                  <w14:schemeClr w14:val="tx1"/>
                </w14:solidFill>
              </w14:textFill>
            </w:rPr>
            <w:fldChar w:fldCharType="end"/>
          </w:r>
        </w:p>
        <w:p w14:paraId="0BD40132">
          <w:pPr>
            <w:pStyle w:val="11"/>
            <w:tabs>
              <w:tab w:val="right" w:leader="dot" w:pos="8312"/>
            </w:tabs>
            <w:spacing w:line="312" w:lineRule="auto"/>
            <w:ind w:left="0" w:leftChars="0" w:firstLine="280" w:firstLineChars="100"/>
            <w:rPr>
              <w:rFonts w:asciiTheme="majorEastAsia" w:hAnsiTheme="majorEastAsia" w:eastAsiaTheme="majorEastAsia" w:cstheme="majorEastAsia"/>
              <w:color w:val="000000" w:themeColor="text1"/>
              <w:sz w:val="24"/>
              <w14:textFill>
                <w14:solidFill>
                  <w14:schemeClr w14:val="tx1"/>
                </w14:solidFill>
              </w14:textFill>
            </w:rPr>
          </w:pPr>
          <w:r>
            <w:fldChar w:fldCharType="begin"/>
          </w:r>
          <w:r>
            <w:instrText xml:space="preserve"> HYPERLINK \l "_Toc18197" </w:instrText>
          </w:r>
          <w:r>
            <w:fldChar w:fldCharType="separate"/>
          </w:r>
          <w:r>
            <w:rPr>
              <w:rFonts w:hint="eastAsia" w:asciiTheme="majorEastAsia" w:hAnsiTheme="majorEastAsia" w:eastAsiaTheme="majorEastAsia" w:cstheme="majorEastAsia"/>
              <w:color w:val="000000" w:themeColor="text1"/>
              <w:sz w:val="24"/>
              <w14:textFill>
                <w14:solidFill>
                  <w14:schemeClr w14:val="tx1"/>
                </w14:solidFill>
              </w14:textFill>
            </w:rPr>
            <w:t>（四）预算支出及决算支出</w:t>
          </w:r>
          <w:r>
            <w:rPr>
              <w:rFonts w:hint="eastAsia" w:asciiTheme="majorEastAsia" w:hAnsiTheme="majorEastAsia" w:eastAsiaTheme="majorEastAsia" w:cstheme="majorEastAsia"/>
              <w:color w:val="000000" w:themeColor="text1"/>
              <w:sz w:val="24"/>
              <w14:textFill>
                <w14:solidFill>
                  <w14:schemeClr w14:val="tx1"/>
                </w14:solidFill>
              </w14:textFill>
            </w:rPr>
            <w:tab/>
          </w:r>
          <w:r>
            <w:rPr>
              <w:rFonts w:hint="eastAsia" w:asciiTheme="majorEastAsia" w:hAnsiTheme="majorEastAsia" w:eastAsiaTheme="majorEastAsia" w:cstheme="majorEastAsia"/>
              <w:color w:val="000000" w:themeColor="text1"/>
              <w:sz w:val="24"/>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4"/>
              <w14:textFill>
                <w14:solidFill>
                  <w14:schemeClr w14:val="tx1"/>
                </w14:solidFill>
              </w14:textFill>
            </w:rPr>
            <w:instrText xml:space="preserve"> PAGEREF _Toc18197 </w:instrText>
          </w:r>
          <w:r>
            <w:rPr>
              <w:rFonts w:hint="eastAsia" w:asciiTheme="majorEastAsia" w:hAnsiTheme="majorEastAsia" w:eastAsiaTheme="majorEastAsia" w:cstheme="majorEastAsia"/>
              <w:color w:val="000000" w:themeColor="text1"/>
              <w:sz w:val="24"/>
              <w14:textFill>
                <w14:solidFill>
                  <w14:schemeClr w14:val="tx1"/>
                </w14:solidFill>
              </w14:textFill>
            </w:rPr>
            <w:fldChar w:fldCharType="separate"/>
          </w:r>
          <w:r>
            <w:rPr>
              <w:rFonts w:asciiTheme="majorEastAsia" w:hAnsiTheme="majorEastAsia" w:eastAsiaTheme="majorEastAsia" w:cstheme="majorEastAsia"/>
              <w:color w:val="000000" w:themeColor="text1"/>
              <w:sz w:val="24"/>
              <w14:textFill>
                <w14:solidFill>
                  <w14:schemeClr w14:val="tx1"/>
                </w14:solidFill>
              </w14:textFill>
            </w:rPr>
            <w:t>8</w:t>
          </w:r>
          <w:r>
            <w:rPr>
              <w:rFonts w:hint="eastAsia" w:asciiTheme="majorEastAsia" w:hAnsiTheme="majorEastAsia" w:eastAsiaTheme="majorEastAsia" w:cstheme="majorEastAsia"/>
              <w:color w:val="000000" w:themeColor="text1"/>
              <w:sz w:val="24"/>
              <w14:textFill>
                <w14:solidFill>
                  <w14:schemeClr w14:val="tx1"/>
                </w14:solidFill>
              </w14:textFill>
            </w:rPr>
            <w:fldChar w:fldCharType="end"/>
          </w:r>
          <w:r>
            <w:rPr>
              <w:rFonts w:hint="eastAsia" w:asciiTheme="majorEastAsia" w:hAnsiTheme="majorEastAsia" w:eastAsiaTheme="majorEastAsia" w:cstheme="majorEastAsia"/>
              <w:color w:val="000000" w:themeColor="text1"/>
              <w:sz w:val="24"/>
              <w14:textFill>
                <w14:solidFill>
                  <w14:schemeClr w14:val="tx1"/>
                </w14:solidFill>
              </w14:textFill>
            </w:rPr>
            <w:fldChar w:fldCharType="end"/>
          </w:r>
        </w:p>
        <w:p w14:paraId="7D736516">
          <w:pPr>
            <w:pStyle w:val="11"/>
            <w:tabs>
              <w:tab w:val="right" w:leader="dot" w:pos="8312"/>
            </w:tabs>
            <w:spacing w:line="312" w:lineRule="auto"/>
            <w:ind w:left="0" w:leftChars="0" w:firstLine="280" w:firstLineChars="100"/>
            <w:rPr>
              <w:rFonts w:asciiTheme="majorEastAsia" w:hAnsiTheme="majorEastAsia" w:eastAsiaTheme="majorEastAsia" w:cstheme="majorEastAsia"/>
              <w:color w:val="000000" w:themeColor="text1"/>
              <w:sz w:val="24"/>
              <w14:textFill>
                <w14:solidFill>
                  <w14:schemeClr w14:val="tx1"/>
                </w14:solidFill>
              </w14:textFill>
            </w:rPr>
          </w:pPr>
          <w:r>
            <w:fldChar w:fldCharType="begin"/>
          </w:r>
          <w:r>
            <w:instrText xml:space="preserve"> HYPERLINK \l "_Toc19291" </w:instrText>
          </w:r>
          <w:r>
            <w:fldChar w:fldCharType="separate"/>
          </w:r>
          <w:r>
            <w:rPr>
              <w:rFonts w:hint="eastAsia" w:asciiTheme="majorEastAsia" w:hAnsiTheme="majorEastAsia" w:eastAsiaTheme="majorEastAsia" w:cstheme="majorEastAsia"/>
              <w:color w:val="000000" w:themeColor="text1"/>
              <w:sz w:val="24"/>
              <w14:textFill>
                <w14:solidFill>
                  <w14:schemeClr w14:val="tx1"/>
                </w14:solidFill>
              </w14:textFill>
            </w:rPr>
            <w:t>（五）“三公”经费预算安排及支出情况</w:t>
          </w:r>
          <w:r>
            <w:rPr>
              <w:rFonts w:hint="eastAsia" w:asciiTheme="majorEastAsia" w:hAnsiTheme="majorEastAsia" w:eastAsiaTheme="majorEastAsia" w:cstheme="majorEastAsia"/>
              <w:color w:val="000000" w:themeColor="text1"/>
              <w:sz w:val="24"/>
              <w14:textFill>
                <w14:solidFill>
                  <w14:schemeClr w14:val="tx1"/>
                </w14:solidFill>
              </w14:textFill>
            </w:rPr>
            <w:tab/>
          </w:r>
          <w:r>
            <w:rPr>
              <w:rFonts w:hint="eastAsia" w:asciiTheme="majorEastAsia" w:hAnsiTheme="majorEastAsia" w:eastAsiaTheme="majorEastAsia" w:cstheme="majorEastAsia"/>
              <w:color w:val="000000" w:themeColor="text1"/>
              <w:sz w:val="24"/>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4"/>
              <w14:textFill>
                <w14:solidFill>
                  <w14:schemeClr w14:val="tx1"/>
                </w14:solidFill>
              </w14:textFill>
            </w:rPr>
            <w:instrText xml:space="preserve"> PAGEREF _Toc19291 </w:instrText>
          </w:r>
          <w:r>
            <w:rPr>
              <w:rFonts w:hint="eastAsia" w:asciiTheme="majorEastAsia" w:hAnsiTheme="majorEastAsia" w:eastAsiaTheme="majorEastAsia" w:cstheme="majorEastAsia"/>
              <w:color w:val="000000" w:themeColor="text1"/>
              <w:sz w:val="24"/>
              <w14:textFill>
                <w14:solidFill>
                  <w14:schemeClr w14:val="tx1"/>
                </w14:solidFill>
              </w14:textFill>
            </w:rPr>
            <w:fldChar w:fldCharType="separate"/>
          </w:r>
          <w:r>
            <w:rPr>
              <w:rFonts w:asciiTheme="majorEastAsia" w:hAnsiTheme="majorEastAsia" w:eastAsiaTheme="majorEastAsia" w:cstheme="majorEastAsia"/>
              <w:color w:val="000000" w:themeColor="text1"/>
              <w:sz w:val="24"/>
              <w14:textFill>
                <w14:solidFill>
                  <w14:schemeClr w14:val="tx1"/>
                </w14:solidFill>
              </w14:textFill>
            </w:rPr>
            <w:t>9</w:t>
          </w:r>
          <w:r>
            <w:rPr>
              <w:rFonts w:hint="eastAsia" w:asciiTheme="majorEastAsia" w:hAnsiTheme="majorEastAsia" w:eastAsiaTheme="majorEastAsia" w:cstheme="majorEastAsia"/>
              <w:color w:val="000000" w:themeColor="text1"/>
              <w:sz w:val="24"/>
              <w14:textFill>
                <w14:solidFill>
                  <w14:schemeClr w14:val="tx1"/>
                </w14:solidFill>
              </w14:textFill>
            </w:rPr>
            <w:fldChar w:fldCharType="end"/>
          </w:r>
          <w:r>
            <w:rPr>
              <w:rFonts w:hint="eastAsia" w:asciiTheme="majorEastAsia" w:hAnsiTheme="majorEastAsia" w:eastAsiaTheme="majorEastAsia" w:cstheme="majorEastAsia"/>
              <w:color w:val="000000" w:themeColor="text1"/>
              <w:sz w:val="24"/>
              <w14:textFill>
                <w14:solidFill>
                  <w14:schemeClr w14:val="tx1"/>
                </w14:solidFill>
              </w14:textFill>
            </w:rPr>
            <w:fldChar w:fldCharType="end"/>
          </w:r>
        </w:p>
        <w:p w14:paraId="62CB8762">
          <w:pPr>
            <w:pStyle w:val="18"/>
            <w:tabs>
              <w:tab w:val="right" w:leader="dot" w:pos="8312"/>
            </w:tabs>
            <w:spacing w:line="312" w:lineRule="auto"/>
            <w:ind w:left="0" w:leftChars="0"/>
            <w:rPr>
              <w:rFonts w:asciiTheme="majorEastAsia" w:hAnsiTheme="majorEastAsia" w:eastAsiaTheme="majorEastAsia" w:cstheme="majorEastAsia"/>
              <w:b/>
              <w:bCs/>
              <w:color w:val="000000" w:themeColor="text1"/>
              <w:sz w:val="24"/>
              <w14:textFill>
                <w14:solidFill>
                  <w14:schemeClr w14:val="tx1"/>
                </w14:solidFill>
              </w14:textFill>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color w:val="000000" w:themeColor="text1"/>
              <w:sz w:val="24"/>
              <w14:textFill>
                <w14:solidFill>
                  <w14:schemeClr w14:val="tx1"/>
                </w14:solidFill>
              </w14:textFill>
            </w:rPr>
            <w:t>二、部门整体支出绩效评价指标体系设定情况</w:t>
          </w:r>
          <w:r>
            <w:rPr>
              <w:rFonts w:hint="eastAsia" w:asciiTheme="majorEastAsia" w:hAnsiTheme="majorEastAsia" w:eastAsiaTheme="majorEastAsia" w:cstheme="majorEastAsia"/>
              <w:b/>
              <w:bCs/>
              <w:color w:val="000000" w:themeColor="text1"/>
              <w:sz w:val="24"/>
              <w14:textFill>
                <w14:solidFill>
                  <w14:schemeClr w14:val="tx1"/>
                </w14:solidFill>
              </w14:textFill>
            </w:rPr>
            <w:tab/>
          </w:r>
          <w:r>
            <w:rPr>
              <w:rFonts w:hint="eastAsia" w:asciiTheme="majorEastAsia" w:hAnsiTheme="majorEastAsia" w:eastAsiaTheme="majorEastAsia" w:cstheme="majorEastAsia"/>
              <w:b/>
              <w:bCs/>
              <w:color w:val="000000" w:themeColor="text1"/>
              <w:sz w:val="24"/>
              <w14:textFill>
                <w14:solidFill>
                  <w14:schemeClr w14:val="tx1"/>
                </w14:solidFill>
              </w14:textFill>
            </w:rPr>
            <w:fldChar w:fldCharType="begin"/>
          </w:r>
          <w:r>
            <w:rPr>
              <w:rFonts w:hint="eastAsia" w:asciiTheme="majorEastAsia" w:hAnsiTheme="majorEastAsia" w:eastAsiaTheme="majorEastAsia" w:cstheme="majorEastAsia"/>
              <w:b/>
              <w:bCs/>
              <w:color w:val="000000" w:themeColor="text1"/>
              <w:sz w:val="24"/>
              <w14:textFill>
                <w14:solidFill>
                  <w14:schemeClr w14:val="tx1"/>
                </w14:solidFill>
              </w14:textFill>
            </w:rPr>
            <w:instrText xml:space="preserve"> PAGEREF _Toc20454 </w:instrText>
          </w:r>
          <w:r>
            <w:rPr>
              <w:rFonts w:hint="eastAsia" w:asciiTheme="majorEastAsia" w:hAnsiTheme="majorEastAsia" w:eastAsiaTheme="majorEastAsia" w:cstheme="majorEastAsia"/>
              <w:b/>
              <w:bCs/>
              <w:color w:val="000000" w:themeColor="text1"/>
              <w:sz w:val="24"/>
              <w14:textFill>
                <w14:solidFill>
                  <w14:schemeClr w14:val="tx1"/>
                </w14:solidFill>
              </w14:textFill>
            </w:rPr>
            <w:fldChar w:fldCharType="separate"/>
          </w:r>
          <w:r>
            <w:rPr>
              <w:rFonts w:asciiTheme="majorEastAsia" w:hAnsiTheme="majorEastAsia" w:eastAsiaTheme="majorEastAsia" w:cstheme="majorEastAsia"/>
              <w:b/>
              <w:bCs/>
              <w:color w:val="000000" w:themeColor="text1"/>
              <w:sz w:val="24"/>
              <w14:textFill>
                <w14:solidFill>
                  <w14:schemeClr w14:val="tx1"/>
                </w14:solidFill>
              </w14:textFill>
            </w:rPr>
            <w:t>10</w:t>
          </w:r>
          <w:r>
            <w:rPr>
              <w:rFonts w:hint="eastAsia" w:asciiTheme="majorEastAsia" w:hAnsiTheme="majorEastAsia" w:eastAsiaTheme="majorEastAsia" w:cstheme="majorEastAsia"/>
              <w:b/>
              <w:bCs/>
              <w:color w:val="000000" w:themeColor="text1"/>
              <w:sz w:val="24"/>
              <w14:textFill>
                <w14:solidFill>
                  <w14:schemeClr w14:val="tx1"/>
                </w14:solidFill>
              </w14:textFill>
            </w:rPr>
            <w:fldChar w:fldCharType="end"/>
          </w:r>
          <w:r>
            <w:rPr>
              <w:rFonts w:hint="eastAsia" w:asciiTheme="majorEastAsia" w:hAnsiTheme="majorEastAsia" w:eastAsiaTheme="majorEastAsia" w:cstheme="majorEastAsia"/>
              <w:b/>
              <w:bCs/>
              <w:color w:val="000000" w:themeColor="text1"/>
              <w:sz w:val="24"/>
              <w14:textFill>
                <w14:solidFill>
                  <w14:schemeClr w14:val="tx1"/>
                </w14:solidFill>
              </w14:textFill>
            </w:rPr>
            <w:fldChar w:fldCharType="end"/>
          </w:r>
        </w:p>
        <w:p w14:paraId="4E5F557F">
          <w:pPr>
            <w:pStyle w:val="18"/>
            <w:tabs>
              <w:tab w:val="right" w:leader="dot" w:pos="8312"/>
            </w:tabs>
            <w:spacing w:line="312" w:lineRule="auto"/>
            <w:ind w:left="0" w:leftChars="0" w:firstLine="300" w:firstLineChars="100"/>
            <w:rPr>
              <w:rFonts w:asciiTheme="majorEastAsia" w:hAnsiTheme="majorEastAsia" w:eastAsiaTheme="majorEastAsia" w:cstheme="majorEastAsia"/>
              <w:color w:val="000000" w:themeColor="text1"/>
              <w:sz w:val="24"/>
              <w14:textFill>
                <w14:solidFill>
                  <w14:schemeClr w14:val="tx1"/>
                </w14:solidFill>
              </w14:textFill>
            </w:rPr>
          </w:pPr>
          <w:r>
            <w:fldChar w:fldCharType="begin"/>
          </w:r>
          <w:r>
            <w:instrText xml:space="preserve"> HYPERLINK \l "_Toc9569" </w:instrText>
          </w:r>
          <w:r>
            <w:fldChar w:fldCharType="separate"/>
          </w:r>
          <w:r>
            <w:rPr>
              <w:rFonts w:hint="eastAsia" w:asciiTheme="majorEastAsia" w:hAnsiTheme="majorEastAsia" w:eastAsiaTheme="majorEastAsia" w:cstheme="majorEastAsia"/>
              <w:color w:val="000000" w:themeColor="text1"/>
              <w:sz w:val="24"/>
              <w14:textFill>
                <w14:solidFill>
                  <w14:schemeClr w14:val="tx1"/>
                </w14:solidFill>
              </w14:textFill>
            </w:rPr>
            <w:t>（一）投入</w:t>
          </w:r>
          <w:r>
            <w:rPr>
              <w:rFonts w:hint="eastAsia" w:asciiTheme="majorEastAsia" w:hAnsiTheme="majorEastAsia" w:eastAsiaTheme="majorEastAsia" w:cstheme="majorEastAsia"/>
              <w:color w:val="000000" w:themeColor="text1"/>
              <w:sz w:val="24"/>
              <w14:textFill>
                <w14:solidFill>
                  <w14:schemeClr w14:val="tx1"/>
                </w14:solidFill>
              </w14:textFill>
            </w:rPr>
            <w:tab/>
          </w:r>
          <w:r>
            <w:rPr>
              <w:rFonts w:hint="eastAsia" w:asciiTheme="majorEastAsia" w:hAnsiTheme="majorEastAsia" w:eastAsiaTheme="majorEastAsia" w:cstheme="majorEastAsia"/>
              <w:color w:val="000000" w:themeColor="text1"/>
              <w:sz w:val="24"/>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4"/>
              <w14:textFill>
                <w14:solidFill>
                  <w14:schemeClr w14:val="tx1"/>
                </w14:solidFill>
              </w14:textFill>
            </w:rPr>
            <w:instrText xml:space="preserve"> PAGEREF _Toc9569 </w:instrText>
          </w:r>
          <w:r>
            <w:rPr>
              <w:rFonts w:hint="eastAsia" w:asciiTheme="majorEastAsia" w:hAnsiTheme="majorEastAsia" w:eastAsiaTheme="majorEastAsia" w:cstheme="majorEastAsia"/>
              <w:color w:val="000000" w:themeColor="text1"/>
              <w:sz w:val="24"/>
              <w14:textFill>
                <w14:solidFill>
                  <w14:schemeClr w14:val="tx1"/>
                </w14:solidFill>
              </w14:textFill>
            </w:rPr>
            <w:fldChar w:fldCharType="separate"/>
          </w:r>
          <w:r>
            <w:rPr>
              <w:rFonts w:asciiTheme="majorEastAsia" w:hAnsiTheme="majorEastAsia" w:eastAsiaTheme="majorEastAsia" w:cstheme="majorEastAsia"/>
              <w:color w:val="000000" w:themeColor="text1"/>
              <w:sz w:val="24"/>
              <w14:textFill>
                <w14:solidFill>
                  <w14:schemeClr w14:val="tx1"/>
                </w14:solidFill>
              </w14:textFill>
            </w:rPr>
            <w:t>10</w:t>
          </w:r>
          <w:r>
            <w:rPr>
              <w:rFonts w:hint="eastAsia" w:asciiTheme="majorEastAsia" w:hAnsiTheme="majorEastAsia" w:eastAsiaTheme="majorEastAsia" w:cstheme="majorEastAsia"/>
              <w:color w:val="000000" w:themeColor="text1"/>
              <w:sz w:val="24"/>
              <w14:textFill>
                <w14:solidFill>
                  <w14:schemeClr w14:val="tx1"/>
                </w14:solidFill>
              </w14:textFill>
            </w:rPr>
            <w:fldChar w:fldCharType="end"/>
          </w:r>
          <w:r>
            <w:rPr>
              <w:rFonts w:hint="eastAsia" w:asciiTheme="majorEastAsia" w:hAnsiTheme="majorEastAsia" w:eastAsiaTheme="majorEastAsia" w:cstheme="majorEastAsia"/>
              <w:color w:val="000000" w:themeColor="text1"/>
              <w:sz w:val="24"/>
              <w14:textFill>
                <w14:solidFill>
                  <w14:schemeClr w14:val="tx1"/>
                </w14:solidFill>
              </w14:textFill>
            </w:rPr>
            <w:fldChar w:fldCharType="end"/>
          </w:r>
        </w:p>
        <w:p w14:paraId="4993A0CA">
          <w:pPr>
            <w:pStyle w:val="11"/>
            <w:tabs>
              <w:tab w:val="right" w:leader="dot" w:pos="8312"/>
            </w:tabs>
            <w:spacing w:line="312" w:lineRule="auto"/>
            <w:ind w:left="0" w:leftChars="0" w:firstLine="280" w:firstLineChars="100"/>
            <w:rPr>
              <w:rFonts w:asciiTheme="majorEastAsia" w:hAnsiTheme="majorEastAsia" w:eastAsiaTheme="majorEastAsia" w:cstheme="majorEastAsia"/>
              <w:color w:val="000000" w:themeColor="text1"/>
              <w:sz w:val="24"/>
              <w14:textFill>
                <w14:solidFill>
                  <w14:schemeClr w14:val="tx1"/>
                </w14:solidFill>
              </w14:textFill>
            </w:rPr>
          </w:pPr>
          <w:r>
            <w:fldChar w:fldCharType="begin"/>
          </w:r>
          <w:r>
            <w:instrText xml:space="preserve"> HYPERLINK \l "_Toc30221" </w:instrText>
          </w:r>
          <w:r>
            <w:fldChar w:fldCharType="separate"/>
          </w:r>
          <w:r>
            <w:rPr>
              <w:rFonts w:hint="eastAsia" w:asciiTheme="majorEastAsia" w:hAnsiTheme="majorEastAsia" w:eastAsiaTheme="majorEastAsia" w:cstheme="majorEastAsia"/>
              <w:color w:val="000000" w:themeColor="text1"/>
              <w:sz w:val="24"/>
              <w14:textFill>
                <w14:solidFill>
                  <w14:schemeClr w14:val="tx1"/>
                </w14:solidFill>
              </w14:textFill>
            </w:rPr>
            <w:t>（二）过程</w:t>
          </w:r>
          <w:r>
            <w:rPr>
              <w:rFonts w:hint="eastAsia" w:asciiTheme="majorEastAsia" w:hAnsiTheme="majorEastAsia" w:eastAsiaTheme="majorEastAsia" w:cstheme="majorEastAsia"/>
              <w:color w:val="000000" w:themeColor="text1"/>
              <w:sz w:val="24"/>
              <w14:textFill>
                <w14:solidFill>
                  <w14:schemeClr w14:val="tx1"/>
                </w14:solidFill>
              </w14:textFill>
            </w:rPr>
            <w:tab/>
          </w:r>
          <w:r>
            <w:rPr>
              <w:rFonts w:hint="eastAsia" w:asciiTheme="majorEastAsia" w:hAnsiTheme="majorEastAsia" w:eastAsiaTheme="majorEastAsia" w:cstheme="majorEastAsia"/>
              <w:color w:val="000000" w:themeColor="text1"/>
              <w:sz w:val="24"/>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4"/>
              <w14:textFill>
                <w14:solidFill>
                  <w14:schemeClr w14:val="tx1"/>
                </w14:solidFill>
              </w14:textFill>
            </w:rPr>
            <w:instrText xml:space="preserve"> PAGEREF _Toc30221 </w:instrText>
          </w:r>
          <w:r>
            <w:rPr>
              <w:rFonts w:hint="eastAsia" w:asciiTheme="majorEastAsia" w:hAnsiTheme="majorEastAsia" w:eastAsiaTheme="majorEastAsia" w:cstheme="majorEastAsia"/>
              <w:color w:val="000000" w:themeColor="text1"/>
              <w:sz w:val="24"/>
              <w14:textFill>
                <w14:solidFill>
                  <w14:schemeClr w14:val="tx1"/>
                </w14:solidFill>
              </w14:textFill>
            </w:rPr>
            <w:fldChar w:fldCharType="separate"/>
          </w:r>
          <w:r>
            <w:rPr>
              <w:rFonts w:asciiTheme="majorEastAsia" w:hAnsiTheme="majorEastAsia" w:eastAsiaTheme="majorEastAsia" w:cstheme="majorEastAsia"/>
              <w:color w:val="000000" w:themeColor="text1"/>
              <w:sz w:val="24"/>
              <w14:textFill>
                <w14:solidFill>
                  <w14:schemeClr w14:val="tx1"/>
                </w14:solidFill>
              </w14:textFill>
            </w:rPr>
            <w:t>11</w:t>
          </w:r>
          <w:r>
            <w:rPr>
              <w:rFonts w:hint="eastAsia" w:asciiTheme="majorEastAsia" w:hAnsiTheme="majorEastAsia" w:eastAsiaTheme="majorEastAsia" w:cstheme="majorEastAsia"/>
              <w:color w:val="000000" w:themeColor="text1"/>
              <w:sz w:val="24"/>
              <w14:textFill>
                <w14:solidFill>
                  <w14:schemeClr w14:val="tx1"/>
                </w14:solidFill>
              </w14:textFill>
            </w:rPr>
            <w:fldChar w:fldCharType="end"/>
          </w:r>
          <w:r>
            <w:rPr>
              <w:rFonts w:hint="eastAsia" w:asciiTheme="majorEastAsia" w:hAnsiTheme="majorEastAsia" w:eastAsiaTheme="majorEastAsia" w:cstheme="majorEastAsia"/>
              <w:color w:val="000000" w:themeColor="text1"/>
              <w:sz w:val="24"/>
              <w14:textFill>
                <w14:solidFill>
                  <w14:schemeClr w14:val="tx1"/>
                </w14:solidFill>
              </w14:textFill>
            </w:rPr>
            <w:fldChar w:fldCharType="end"/>
          </w:r>
        </w:p>
        <w:p w14:paraId="0283474D">
          <w:pPr>
            <w:pStyle w:val="11"/>
            <w:tabs>
              <w:tab w:val="right" w:leader="dot" w:pos="8312"/>
            </w:tabs>
            <w:spacing w:line="312" w:lineRule="auto"/>
            <w:ind w:left="0" w:leftChars="0" w:firstLine="280" w:firstLineChars="100"/>
            <w:rPr>
              <w:rFonts w:asciiTheme="majorEastAsia" w:hAnsiTheme="majorEastAsia" w:eastAsiaTheme="majorEastAsia" w:cstheme="majorEastAsia"/>
              <w:color w:val="000000" w:themeColor="text1"/>
              <w:sz w:val="24"/>
              <w14:textFill>
                <w14:solidFill>
                  <w14:schemeClr w14:val="tx1"/>
                </w14:solidFill>
              </w14:textFill>
            </w:rPr>
          </w:pPr>
          <w:r>
            <w:fldChar w:fldCharType="begin"/>
          </w:r>
          <w:r>
            <w:instrText xml:space="preserve"> HYPERLINK \l "_Toc24932" </w:instrText>
          </w:r>
          <w:r>
            <w:fldChar w:fldCharType="separate"/>
          </w:r>
          <w:r>
            <w:rPr>
              <w:rFonts w:hint="eastAsia" w:asciiTheme="majorEastAsia" w:hAnsiTheme="majorEastAsia" w:eastAsiaTheme="majorEastAsia" w:cstheme="majorEastAsia"/>
              <w:color w:val="000000" w:themeColor="text1"/>
              <w:sz w:val="24"/>
              <w14:textFill>
                <w14:solidFill>
                  <w14:schemeClr w14:val="tx1"/>
                </w14:solidFill>
              </w14:textFill>
            </w:rPr>
            <w:t>（三）产出</w:t>
          </w:r>
          <w:r>
            <w:rPr>
              <w:rFonts w:hint="eastAsia" w:asciiTheme="majorEastAsia" w:hAnsiTheme="majorEastAsia" w:eastAsiaTheme="majorEastAsia" w:cstheme="majorEastAsia"/>
              <w:color w:val="000000" w:themeColor="text1"/>
              <w:sz w:val="24"/>
              <w14:textFill>
                <w14:solidFill>
                  <w14:schemeClr w14:val="tx1"/>
                </w14:solidFill>
              </w14:textFill>
            </w:rPr>
            <w:tab/>
          </w:r>
          <w:r>
            <w:rPr>
              <w:rFonts w:hint="eastAsia" w:asciiTheme="majorEastAsia" w:hAnsiTheme="majorEastAsia" w:eastAsiaTheme="majorEastAsia" w:cstheme="majorEastAsia"/>
              <w:color w:val="000000" w:themeColor="text1"/>
              <w:sz w:val="24"/>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4"/>
              <w14:textFill>
                <w14:solidFill>
                  <w14:schemeClr w14:val="tx1"/>
                </w14:solidFill>
              </w14:textFill>
            </w:rPr>
            <w:instrText xml:space="preserve"> PAGEREF _Toc24932 </w:instrText>
          </w:r>
          <w:r>
            <w:rPr>
              <w:rFonts w:hint="eastAsia" w:asciiTheme="majorEastAsia" w:hAnsiTheme="majorEastAsia" w:eastAsiaTheme="majorEastAsia" w:cstheme="majorEastAsia"/>
              <w:color w:val="000000" w:themeColor="text1"/>
              <w:sz w:val="24"/>
              <w14:textFill>
                <w14:solidFill>
                  <w14:schemeClr w14:val="tx1"/>
                </w14:solidFill>
              </w14:textFill>
            </w:rPr>
            <w:fldChar w:fldCharType="separate"/>
          </w:r>
          <w:r>
            <w:rPr>
              <w:rFonts w:asciiTheme="majorEastAsia" w:hAnsiTheme="majorEastAsia" w:eastAsiaTheme="majorEastAsia" w:cstheme="majorEastAsia"/>
              <w:color w:val="000000" w:themeColor="text1"/>
              <w:sz w:val="24"/>
              <w14:textFill>
                <w14:solidFill>
                  <w14:schemeClr w14:val="tx1"/>
                </w14:solidFill>
              </w14:textFill>
            </w:rPr>
            <w:t>11</w:t>
          </w:r>
          <w:r>
            <w:rPr>
              <w:rFonts w:hint="eastAsia" w:asciiTheme="majorEastAsia" w:hAnsiTheme="majorEastAsia" w:eastAsiaTheme="majorEastAsia" w:cstheme="majorEastAsia"/>
              <w:color w:val="000000" w:themeColor="text1"/>
              <w:sz w:val="24"/>
              <w14:textFill>
                <w14:solidFill>
                  <w14:schemeClr w14:val="tx1"/>
                </w14:solidFill>
              </w14:textFill>
            </w:rPr>
            <w:fldChar w:fldCharType="end"/>
          </w:r>
          <w:r>
            <w:rPr>
              <w:rFonts w:hint="eastAsia" w:asciiTheme="majorEastAsia" w:hAnsiTheme="majorEastAsia" w:eastAsiaTheme="majorEastAsia" w:cstheme="majorEastAsia"/>
              <w:color w:val="000000" w:themeColor="text1"/>
              <w:sz w:val="24"/>
              <w14:textFill>
                <w14:solidFill>
                  <w14:schemeClr w14:val="tx1"/>
                </w14:solidFill>
              </w14:textFill>
            </w:rPr>
            <w:fldChar w:fldCharType="end"/>
          </w:r>
        </w:p>
        <w:p w14:paraId="011C8332">
          <w:pPr>
            <w:pStyle w:val="11"/>
            <w:tabs>
              <w:tab w:val="right" w:leader="dot" w:pos="8312"/>
            </w:tabs>
            <w:spacing w:line="312" w:lineRule="auto"/>
            <w:ind w:left="0" w:leftChars="0" w:firstLine="280" w:firstLineChars="100"/>
            <w:rPr>
              <w:rFonts w:asciiTheme="majorEastAsia" w:hAnsiTheme="majorEastAsia" w:eastAsiaTheme="majorEastAsia" w:cstheme="majorEastAsia"/>
              <w:color w:val="000000" w:themeColor="text1"/>
              <w:sz w:val="24"/>
              <w14:textFill>
                <w14:solidFill>
                  <w14:schemeClr w14:val="tx1"/>
                </w14:solidFill>
              </w14:textFill>
            </w:rPr>
          </w:pPr>
          <w:r>
            <w:fldChar w:fldCharType="begin"/>
          </w:r>
          <w:r>
            <w:instrText xml:space="preserve"> HYPERLINK \l "_Toc21821" </w:instrText>
          </w:r>
          <w:r>
            <w:fldChar w:fldCharType="separate"/>
          </w:r>
          <w:r>
            <w:rPr>
              <w:rFonts w:hint="eastAsia" w:asciiTheme="majorEastAsia" w:hAnsiTheme="majorEastAsia" w:eastAsiaTheme="majorEastAsia" w:cstheme="majorEastAsia"/>
              <w:color w:val="000000" w:themeColor="text1"/>
              <w:sz w:val="24"/>
              <w14:textFill>
                <w14:solidFill>
                  <w14:schemeClr w14:val="tx1"/>
                </w14:solidFill>
              </w14:textFill>
            </w:rPr>
            <w:t>（四）效果</w:t>
          </w:r>
          <w:r>
            <w:rPr>
              <w:rFonts w:hint="eastAsia" w:asciiTheme="majorEastAsia" w:hAnsiTheme="majorEastAsia" w:eastAsiaTheme="majorEastAsia" w:cstheme="majorEastAsia"/>
              <w:color w:val="000000" w:themeColor="text1"/>
              <w:sz w:val="24"/>
              <w14:textFill>
                <w14:solidFill>
                  <w14:schemeClr w14:val="tx1"/>
                </w14:solidFill>
              </w14:textFill>
            </w:rPr>
            <w:tab/>
          </w:r>
          <w:r>
            <w:rPr>
              <w:rFonts w:hint="eastAsia" w:asciiTheme="majorEastAsia" w:hAnsiTheme="majorEastAsia" w:eastAsiaTheme="majorEastAsia" w:cstheme="majorEastAsia"/>
              <w:color w:val="000000" w:themeColor="text1"/>
              <w:sz w:val="24"/>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4"/>
              <w14:textFill>
                <w14:solidFill>
                  <w14:schemeClr w14:val="tx1"/>
                </w14:solidFill>
              </w14:textFill>
            </w:rPr>
            <w:instrText xml:space="preserve"> PAGEREF _Toc21821 </w:instrText>
          </w:r>
          <w:r>
            <w:rPr>
              <w:rFonts w:hint="eastAsia" w:asciiTheme="majorEastAsia" w:hAnsiTheme="majorEastAsia" w:eastAsiaTheme="majorEastAsia" w:cstheme="majorEastAsia"/>
              <w:color w:val="000000" w:themeColor="text1"/>
              <w:sz w:val="24"/>
              <w14:textFill>
                <w14:solidFill>
                  <w14:schemeClr w14:val="tx1"/>
                </w14:solidFill>
              </w14:textFill>
            </w:rPr>
            <w:fldChar w:fldCharType="separate"/>
          </w:r>
          <w:r>
            <w:rPr>
              <w:rFonts w:asciiTheme="majorEastAsia" w:hAnsiTheme="majorEastAsia" w:eastAsiaTheme="majorEastAsia" w:cstheme="majorEastAsia"/>
              <w:color w:val="000000" w:themeColor="text1"/>
              <w:sz w:val="24"/>
              <w14:textFill>
                <w14:solidFill>
                  <w14:schemeClr w14:val="tx1"/>
                </w14:solidFill>
              </w14:textFill>
            </w:rPr>
            <w:t>11</w:t>
          </w:r>
          <w:r>
            <w:rPr>
              <w:rFonts w:hint="eastAsia" w:asciiTheme="majorEastAsia" w:hAnsiTheme="majorEastAsia" w:eastAsiaTheme="majorEastAsia" w:cstheme="majorEastAsia"/>
              <w:color w:val="000000" w:themeColor="text1"/>
              <w:sz w:val="24"/>
              <w14:textFill>
                <w14:solidFill>
                  <w14:schemeClr w14:val="tx1"/>
                </w14:solidFill>
              </w14:textFill>
            </w:rPr>
            <w:fldChar w:fldCharType="end"/>
          </w:r>
          <w:r>
            <w:rPr>
              <w:rFonts w:hint="eastAsia" w:asciiTheme="majorEastAsia" w:hAnsiTheme="majorEastAsia" w:eastAsiaTheme="majorEastAsia" w:cstheme="majorEastAsia"/>
              <w:color w:val="000000" w:themeColor="text1"/>
              <w:sz w:val="24"/>
              <w14:textFill>
                <w14:solidFill>
                  <w14:schemeClr w14:val="tx1"/>
                </w14:solidFill>
              </w14:textFill>
            </w:rPr>
            <w:fldChar w:fldCharType="end"/>
          </w:r>
        </w:p>
        <w:p w14:paraId="7179C90D">
          <w:pPr>
            <w:pStyle w:val="18"/>
            <w:tabs>
              <w:tab w:val="right" w:leader="dot" w:pos="8312"/>
            </w:tabs>
            <w:spacing w:line="312" w:lineRule="auto"/>
            <w:ind w:left="0" w:leftChars="0"/>
            <w:rPr>
              <w:rFonts w:asciiTheme="majorEastAsia" w:hAnsiTheme="majorEastAsia" w:eastAsiaTheme="majorEastAsia" w:cstheme="majorEastAsia"/>
              <w:b/>
              <w:bCs/>
              <w:color w:val="000000" w:themeColor="text1"/>
              <w:sz w:val="24"/>
              <w14:textFill>
                <w14:solidFill>
                  <w14:schemeClr w14:val="tx1"/>
                </w14:solidFill>
              </w14:textFill>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color w:val="000000" w:themeColor="text1"/>
              <w:sz w:val="24"/>
              <w14:textFill>
                <w14:solidFill>
                  <w14:schemeClr w14:val="tx1"/>
                </w14:solidFill>
              </w14:textFill>
            </w:rPr>
            <w:t>三、综合绩效评价工作情况</w:t>
          </w:r>
          <w:r>
            <w:rPr>
              <w:rFonts w:hint="eastAsia" w:asciiTheme="majorEastAsia" w:hAnsiTheme="majorEastAsia" w:eastAsiaTheme="majorEastAsia" w:cstheme="majorEastAsia"/>
              <w:b/>
              <w:bCs/>
              <w:color w:val="000000" w:themeColor="text1"/>
              <w:sz w:val="24"/>
              <w14:textFill>
                <w14:solidFill>
                  <w14:schemeClr w14:val="tx1"/>
                </w14:solidFill>
              </w14:textFill>
            </w:rPr>
            <w:tab/>
          </w:r>
          <w:r>
            <w:rPr>
              <w:rFonts w:hint="eastAsia" w:asciiTheme="majorEastAsia" w:hAnsiTheme="majorEastAsia" w:eastAsiaTheme="majorEastAsia" w:cstheme="majorEastAsia"/>
              <w:b/>
              <w:bCs/>
              <w:color w:val="000000" w:themeColor="text1"/>
              <w:sz w:val="24"/>
              <w14:textFill>
                <w14:solidFill>
                  <w14:schemeClr w14:val="tx1"/>
                </w14:solidFill>
              </w14:textFill>
            </w:rPr>
            <w:fldChar w:fldCharType="begin"/>
          </w:r>
          <w:r>
            <w:rPr>
              <w:rFonts w:hint="eastAsia" w:asciiTheme="majorEastAsia" w:hAnsiTheme="majorEastAsia" w:eastAsiaTheme="majorEastAsia" w:cstheme="majorEastAsia"/>
              <w:b/>
              <w:bCs/>
              <w:color w:val="000000" w:themeColor="text1"/>
              <w:sz w:val="24"/>
              <w14:textFill>
                <w14:solidFill>
                  <w14:schemeClr w14:val="tx1"/>
                </w14:solidFill>
              </w14:textFill>
            </w:rPr>
            <w:instrText xml:space="preserve"> PAGEREF _Toc11842 </w:instrText>
          </w:r>
          <w:r>
            <w:rPr>
              <w:rFonts w:hint="eastAsia" w:asciiTheme="majorEastAsia" w:hAnsiTheme="majorEastAsia" w:eastAsiaTheme="majorEastAsia" w:cstheme="majorEastAsia"/>
              <w:b/>
              <w:bCs/>
              <w:color w:val="000000" w:themeColor="text1"/>
              <w:sz w:val="24"/>
              <w14:textFill>
                <w14:solidFill>
                  <w14:schemeClr w14:val="tx1"/>
                </w14:solidFill>
              </w14:textFill>
            </w:rPr>
            <w:fldChar w:fldCharType="separate"/>
          </w:r>
          <w:r>
            <w:rPr>
              <w:rFonts w:asciiTheme="majorEastAsia" w:hAnsiTheme="majorEastAsia" w:eastAsiaTheme="majorEastAsia" w:cstheme="majorEastAsia"/>
              <w:b/>
              <w:bCs/>
              <w:color w:val="000000" w:themeColor="text1"/>
              <w:sz w:val="24"/>
              <w14:textFill>
                <w14:solidFill>
                  <w14:schemeClr w14:val="tx1"/>
                </w14:solidFill>
              </w14:textFill>
            </w:rPr>
            <w:t>12</w:t>
          </w:r>
          <w:r>
            <w:rPr>
              <w:rFonts w:hint="eastAsia" w:asciiTheme="majorEastAsia" w:hAnsiTheme="majorEastAsia" w:eastAsiaTheme="majorEastAsia" w:cstheme="majorEastAsia"/>
              <w:b/>
              <w:bCs/>
              <w:color w:val="000000" w:themeColor="text1"/>
              <w:sz w:val="24"/>
              <w14:textFill>
                <w14:solidFill>
                  <w14:schemeClr w14:val="tx1"/>
                </w14:solidFill>
              </w14:textFill>
            </w:rPr>
            <w:fldChar w:fldCharType="end"/>
          </w:r>
          <w:r>
            <w:rPr>
              <w:rFonts w:hint="eastAsia" w:asciiTheme="majorEastAsia" w:hAnsiTheme="majorEastAsia" w:eastAsiaTheme="majorEastAsia" w:cstheme="majorEastAsia"/>
              <w:b/>
              <w:bCs/>
              <w:color w:val="000000" w:themeColor="text1"/>
              <w:sz w:val="24"/>
              <w14:textFill>
                <w14:solidFill>
                  <w14:schemeClr w14:val="tx1"/>
                </w14:solidFill>
              </w14:textFill>
            </w:rPr>
            <w:fldChar w:fldCharType="end"/>
          </w:r>
        </w:p>
        <w:p w14:paraId="6667D6A5">
          <w:pPr>
            <w:pStyle w:val="11"/>
            <w:tabs>
              <w:tab w:val="right" w:leader="dot" w:pos="8312"/>
            </w:tabs>
            <w:spacing w:line="312" w:lineRule="auto"/>
            <w:ind w:left="0" w:leftChars="0" w:firstLine="280" w:firstLineChars="100"/>
            <w:rPr>
              <w:rFonts w:asciiTheme="majorEastAsia" w:hAnsiTheme="majorEastAsia" w:eastAsiaTheme="majorEastAsia" w:cstheme="majorEastAsia"/>
              <w:color w:val="000000" w:themeColor="text1"/>
              <w:sz w:val="24"/>
              <w14:textFill>
                <w14:solidFill>
                  <w14:schemeClr w14:val="tx1"/>
                </w14:solidFill>
              </w14:textFill>
            </w:rPr>
          </w:pPr>
          <w:r>
            <w:fldChar w:fldCharType="begin"/>
          </w:r>
          <w:r>
            <w:instrText xml:space="preserve"> HYPERLINK \l "_Toc17138" </w:instrText>
          </w:r>
          <w:r>
            <w:fldChar w:fldCharType="separate"/>
          </w:r>
          <w:r>
            <w:rPr>
              <w:rFonts w:hint="eastAsia" w:asciiTheme="majorEastAsia" w:hAnsiTheme="majorEastAsia" w:eastAsiaTheme="majorEastAsia" w:cstheme="majorEastAsia"/>
              <w:color w:val="000000" w:themeColor="text1"/>
              <w:sz w:val="24"/>
              <w14:textFill>
                <w14:solidFill>
                  <w14:schemeClr w14:val="tx1"/>
                </w14:solidFill>
              </w14:textFill>
            </w:rPr>
            <w:t>（一）绩效评价目的</w:t>
          </w:r>
          <w:r>
            <w:rPr>
              <w:rFonts w:hint="eastAsia" w:asciiTheme="majorEastAsia" w:hAnsiTheme="majorEastAsia" w:eastAsiaTheme="majorEastAsia" w:cstheme="majorEastAsia"/>
              <w:color w:val="000000" w:themeColor="text1"/>
              <w:sz w:val="24"/>
              <w14:textFill>
                <w14:solidFill>
                  <w14:schemeClr w14:val="tx1"/>
                </w14:solidFill>
              </w14:textFill>
            </w:rPr>
            <w:tab/>
          </w:r>
          <w:r>
            <w:rPr>
              <w:rFonts w:hint="eastAsia" w:asciiTheme="majorEastAsia" w:hAnsiTheme="majorEastAsia" w:eastAsiaTheme="majorEastAsia" w:cstheme="majorEastAsia"/>
              <w:color w:val="000000" w:themeColor="text1"/>
              <w:sz w:val="24"/>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4"/>
              <w14:textFill>
                <w14:solidFill>
                  <w14:schemeClr w14:val="tx1"/>
                </w14:solidFill>
              </w14:textFill>
            </w:rPr>
            <w:instrText xml:space="preserve"> PAGEREF _Toc17138 </w:instrText>
          </w:r>
          <w:r>
            <w:rPr>
              <w:rFonts w:hint="eastAsia" w:asciiTheme="majorEastAsia" w:hAnsiTheme="majorEastAsia" w:eastAsiaTheme="majorEastAsia" w:cstheme="majorEastAsia"/>
              <w:color w:val="000000" w:themeColor="text1"/>
              <w:sz w:val="24"/>
              <w14:textFill>
                <w14:solidFill>
                  <w14:schemeClr w14:val="tx1"/>
                </w14:solidFill>
              </w14:textFill>
            </w:rPr>
            <w:fldChar w:fldCharType="separate"/>
          </w:r>
          <w:r>
            <w:rPr>
              <w:rFonts w:asciiTheme="majorEastAsia" w:hAnsiTheme="majorEastAsia" w:eastAsiaTheme="majorEastAsia" w:cstheme="majorEastAsia"/>
              <w:color w:val="000000" w:themeColor="text1"/>
              <w:sz w:val="24"/>
              <w14:textFill>
                <w14:solidFill>
                  <w14:schemeClr w14:val="tx1"/>
                </w14:solidFill>
              </w14:textFill>
            </w:rPr>
            <w:t>12</w:t>
          </w:r>
          <w:r>
            <w:rPr>
              <w:rFonts w:hint="eastAsia" w:asciiTheme="majorEastAsia" w:hAnsiTheme="majorEastAsia" w:eastAsiaTheme="majorEastAsia" w:cstheme="majorEastAsia"/>
              <w:color w:val="000000" w:themeColor="text1"/>
              <w:sz w:val="24"/>
              <w14:textFill>
                <w14:solidFill>
                  <w14:schemeClr w14:val="tx1"/>
                </w14:solidFill>
              </w14:textFill>
            </w:rPr>
            <w:fldChar w:fldCharType="end"/>
          </w:r>
          <w:r>
            <w:rPr>
              <w:rFonts w:hint="eastAsia" w:asciiTheme="majorEastAsia" w:hAnsiTheme="majorEastAsia" w:eastAsiaTheme="majorEastAsia" w:cstheme="majorEastAsia"/>
              <w:color w:val="000000" w:themeColor="text1"/>
              <w:sz w:val="24"/>
              <w14:textFill>
                <w14:solidFill>
                  <w14:schemeClr w14:val="tx1"/>
                </w14:solidFill>
              </w14:textFill>
            </w:rPr>
            <w:fldChar w:fldCharType="end"/>
          </w:r>
        </w:p>
        <w:p w14:paraId="2D76B20F">
          <w:pPr>
            <w:pStyle w:val="11"/>
            <w:tabs>
              <w:tab w:val="right" w:leader="dot" w:pos="8312"/>
            </w:tabs>
            <w:spacing w:line="312" w:lineRule="auto"/>
            <w:ind w:left="0" w:leftChars="0" w:firstLine="280" w:firstLineChars="100"/>
            <w:rPr>
              <w:rFonts w:asciiTheme="majorEastAsia" w:hAnsiTheme="majorEastAsia" w:eastAsiaTheme="majorEastAsia" w:cstheme="majorEastAsia"/>
              <w:color w:val="000000" w:themeColor="text1"/>
              <w:sz w:val="24"/>
              <w14:textFill>
                <w14:solidFill>
                  <w14:schemeClr w14:val="tx1"/>
                </w14:solidFill>
              </w14:textFill>
            </w:rPr>
          </w:pPr>
          <w:r>
            <w:fldChar w:fldCharType="begin"/>
          </w:r>
          <w:r>
            <w:instrText xml:space="preserve"> HYPERLINK \l "_Toc11607" </w:instrText>
          </w:r>
          <w:r>
            <w:fldChar w:fldCharType="separate"/>
          </w:r>
          <w:r>
            <w:rPr>
              <w:rFonts w:hint="eastAsia" w:asciiTheme="majorEastAsia" w:hAnsiTheme="majorEastAsia" w:eastAsiaTheme="majorEastAsia" w:cstheme="majorEastAsia"/>
              <w:color w:val="000000" w:themeColor="text1"/>
              <w:sz w:val="24"/>
              <w14:textFill>
                <w14:solidFill>
                  <w14:schemeClr w14:val="tx1"/>
                </w14:solidFill>
              </w14:textFill>
            </w:rPr>
            <w:t>（二）绩效评价依据</w:t>
          </w:r>
          <w:r>
            <w:rPr>
              <w:rFonts w:hint="eastAsia" w:asciiTheme="majorEastAsia" w:hAnsiTheme="majorEastAsia" w:eastAsiaTheme="majorEastAsia" w:cstheme="majorEastAsia"/>
              <w:color w:val="000000" w:themeColor="text1"/>
              <w:sz w:val="24"/>
              <w14:textFill>
                <w14:solidFill>
                  <w14:schemeClr w14:val="tx1"/>
                </w14:solidFill>
              </w14:textFill>
            </w:rPr>
            <w:tab/>
          </w:r>
          <w:r>
            <w:rPr>
              <w:rFonts w:hint="eastAsia" w:asciiTheme="majorEastAsia" w:hAnsiTheme="majorEastAsia" w:eastAsiaTheme="majorEastAsia" w:cstheme="majorEastAsia"/>
              <w:color w:val="000000" w:themeColor="text1"/>
              <w:sz w:val="24"/>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4"/>
              <w14:textFill>
                <w14:solidFill>
                  <w14:schemeClr w14:val="tx1"/>
                </w14:solidFill>
              </w14:textFill>
            </w:rPr>
            <w:instrText xml:space="preserve"> PAGEREF _Toc11607 </w:instrText>
          </w:r>
          <w:r>
            <w:rPr>
              <w:rFonts w:hint="eastAsia" w:asciiTheme="majorEastAsia" w:hAnsiTheme="majorEastAsia" w:eastAsiaTheme="majorEastAsia" w:cstheme="majorEastAsia"/>
              <w:color w:val="000000" w:themeColor="text1"/>
              <w:sz w:val="24"/>
              <w14:textFill>
                <w14:solidFill>
                  <w14:schemeClr w14:val="tx1"/>
                </w14:solidFill>
              </w14:textFill>
            </w:rPr>
            <w:fldChar w:fldCharType="separate"/>
          </w:r>
          <w:r>
            <w:rPr>
              <w:rFonts w:asciiTheme="majorEastAsia" w:hAnsiTheme="majorEastAsia" w:eastAsiaTheme="majorEastAsia" w:cstheme="majorEastAsia"/>
              <w:color w:val="000000" w:themeColor="text1"/>
              <w:sz w:val="24"/>
              <w14:textFill>
                <w14:solidFill>
                  <w14:schemeClr w14:val="tx1"/>
                </w14:solidFill>
              </w14:textFill>
            </w:rPr>
            <w:t>12</w:t>
          </w:r>
          <w:r>
            <w:rPr>
              <w:rFonts w:hint="eastAsia" w:asciiTheme="majorEastAsia" w:hAnsiTheme="majorEastAsia" w:eastAsiaTheme="majorEastAsia" w:cstheme="majorEastAsia"/>
              <w:color w:val="000000" w:themeColor="text1"/>
              <w:sz w:val="24"/>
              <w14:textFill>
                <w14:solidFill>
                  <w14:schemeClr w14:val="tx1"/>
                </w14:solidFill>
              </w14:textFill>
            </w:rPr>
            <w:fldChar w:fldCharType="end"/>
          </w:r>
          <w:r>
            <w:rPr>
              <w:rFonts w:hint="eastAsia" w:asciiTheme="majorEastAsia" w:hAnsiTheme="majorEastAsia" w:eastAsiaTheme="majorEastAsia" w:cstheme="majorEastAsia"/>
              <w:color w:val="000000" w:themeColor="text1"/>
              <w:sz w:val="24"/>
              <w14:textFill>
                <w14:solidFill>
                  <w14:schemeClr w14:val="tx1"/>
                </w14:solidFill>
              </w14:textFill>
            </w:rPr>
            <w:fldChar w:fldCharType="end"/>
          </w:r>
        </w:p>
        <w:p w14:paraId="7569439F">
          <w:pPr>
            <w:pStyle w:val="11"/>
            <w:tabs>
              <w:tab w:val="right" w:leader="dot" w:pos="8312"/>
            </w:tabs>
            <w:spacing w:line="312" w:lineRule="auto"/>
            <w:ind w:left="0" w:leftChars="0" w:firstLine="280" w:firstLineChars="100"/>
            <w:rPr>
              <w:rFonts w:asciiTheme="majorEastAsia" w:hAnsiTheme="majorEastAsia" w:eastAsiaTheme="majorEastAsia" w:cstheme="majorEastAsia"/>
              <w:color w:val="000000" w:themeColor="text1"/>
              <w:sz w:val="24"/>
              <w14:textFill>
                <w14:solidFill>
                  <w14:schemeClr w14:val="tx1"/>
                </w14:solidFill>
              </w14:textFill>
            </w:rPr>
          </w:pPr>
          <w:r>
            <w:fldChar w:fldCharType="begin"/>
          </w:r>
          <w:r>
            <w:instrText xml:space="preserve"> HYPERLINK \l "_Toc7609" </w:instrText>
          </w:r>
          <w:r>
            <w:fldChar w:fldCharType="separate"/>
          </w:r>
          <w:r>
            <w:rPr>
              <w:rFonts w:hint="eastAsia" w:asciiTheme="majorEastAsia" w:hAnsiTheme="majorEastAsia" w:eastAsiaTheme="majorEastAsia" w:cstheme="majorEastAsia"/>
              <w:color w:val="000000" w:themeColor="text1"/>
              <w:sz w:val="24"/>
              <w14:textFill>
                <w14:solidFill>
                  <w14:schemeClr w14:val="tx1"/>
                </w14:solidFill>
              </w14:textFill>
            </w:rPr>
            <w:t>（三）绩效评价内容</w:t>
          </w:r>
          <w:r>
            <w:rPr>
              <w:rFonts w:hint="eastAsia" w:asciiTheme="majorEastAsia" w:hAnsiTheme="majorEastAsia" w:eastAsiaTheme="majorEastAsia" w:cstheme="majorEastAsia"/>
              <w:color w:val="000000" w:themeColor="text1"/>
              <w:sz w:val="24"/>
              <w14:textFill>
                <w14:solidFill>
                  <w14:schemeClr w14:val="tx1"/>
                </w14:solidFill>
              </w14:textFill>
            </w:rPr>
            <w:tab/>
          </w:r>
          <w:r>
            <w:rPr>
              <w:rFonts w:hint="eastAsia" w:asciiTheme="majorEastAsia" w:hAnsiTheme="majorEastAsia" w:eastAsiaTheme="majorEastAsia" w:cstheme="majorEastAsia"/>
              <w:color w:val="000000" w:themeColor="text1"/>
              <w:sz w:val="24"/>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4"/>
              <w14:textFill>
                <w14:solidFill>
                  <w14:schemeClr w14:val="tx1"/>
                </w14:solidFill>
              </w14:textFill>
            </w:rPr>
            <w:instrText xml:space="preserve"> PAGEREF _Toc7609 </w:instrText>
          </w:r>
          <w:r>
            <w:rPr>
              <w:rFonts w:hint="eastAsia" w:asciiTheme="majorEastAsia" w:hAnsiTheme="majorEastAsia" w:eastAsiaTheme="majorEastAsia" w:cstheme="majorEastAsia"/>
              <w:color w:val="000000" w:themeColor="text1"/>
              <w:sz w:val="24"/>
              <w14:textFill>
                <w14:solidFill>
                  <w14:schemeClr w14:val="tx1"/>
                </w14:solidFill>
              </w14:textFill>
            </w:rPr>
            <w:fldChar w:fldCharType="separate"/>
          </w:r>
          <w:r>
            <w:rPr>
              <w:rFonts w:asciiTheme="majorEastAsia" w:hAnsiTheme="majorEastAsia" w:eastAsiaTheme="majorEastAsia" w:cstheme="majorEastAsia"/>
              <w:color w:val="000000" w:themeColor="text1"/>
              <w:sz w:val="24"/>
              <w14:textFill>
                <w14:solidFill>
                  <w14:schemeClr w14:val="tx1"/>
                </w14:solidFill>
              </w14:textFill>
            </w:rPr>
            <w:t>13</w:t>
          </w:r>
          <w:r>
            <w:rPr>
              <w:rFonts w:hint="eastAsia" w:asciiTheme="majorEastAsia" w:hAnsiTheme="majorEastAsia" w:eastAsiaTheme="majorEastAsia" w:cstheme="majorEastAsia"/>
              <w:color w:val="000000" w:themeColor="text1"/>
              <w:sz w:val="24"/>
              <w14:textFill>
                <w14:solidFill>
                  <w14:schemeClr w14:val="tx1"/>
                </w14:solidFill>
              </w14:textFill>
            </w:rPr>
            <w:fldChar w:fldCharType="end"/>
          </w:r>
          <w:r>
            <w:rPr>
              <w:rFonts w:hint="eastAsia" w:asciiTheme="majorEastAsia" w:hAnsiTheme="majorEastAsia" w:eastAsiaTheme="majorEastAsia" w:cstheme="majorEastAsia"/>
              <w:color w:val="000000" w:themeColor="text1"/>
              <w:sz w:val="24"/>
              <w14:textFill>
                <w14:solidFill>
                  <w14:schemeClr w14:val="tx1"/>
                </w14:solidFill>
              </w14:textFill>
            </w:rPr>
            <w:fldChar w:fldCharType="end"/>
          </w:r>
        </w:p>
        <w:p w14:paraId="5E8BDD8D">
          <w:pPr>
            <w:pStyle w:val="11"/>
            <w:tabs>
              <w:tab w:val="right" w:leader="dot" w:pos="8312"/>
            </w:tabs>
            <w:spacing w:line="312" w:lineRule="auto"/>
            <w:ind w:left="0" w:leftChars="0" w:firstLine="280" w:firstLineChars="100"/>
            <w:rPr>
              <w:rFonts w:asciiTheme="majorEastAsia" w:hAnsiTheme="majorEastAsia" w:eastAsiaTheme="majorEastAsia" w:cstheme="majorEastAsia"/>
              <w:color w:val="000000" w:themeColor="text1"/>
              <w:sz w:val="24"/>
              <w14:textFill>
                <w14:solidFill>
                  <w14:schemeClr w14:val="tx1"/>
                </w14:solidFill>
              </w14:textFill>
            </w:rPr>
          </w:pPr>
          <w:r>
            <w:fldChar w:fldCharType="begin"/>
          </w:r>
          <w:r>
            <w:instrText xml:space="preserve"> HYPERLINK \l "_Toc789" </w:instrText>
          </w:r>
          <w:r>
            <w:fldChar w:fldCharType="separate"/>
          </w:r>
          <w:r>
            <w:rPr>
              <w:rFonts w:hint="eastAsia" w:asciiTheme="majorEastAsia" w:hAnsiTheme="majorEastAsia" w:eastAsiaTheme="majorEastAsia" w:cstheme="majorEastAsia"/>
              <w:color w:val="000000" w:themeColor="text1"/>
              <w:sz w:val="24"/>
              <w14:textFill>
                <w14:solidFill>
                  <w14:schemeClr w14:val="tx1"/>
                </w14:solidFill>
              </w14:textFill>
            </w:rPr>
            <w:t>（四）绩效评价原则</w:t>
          </w:r>
          <w:r>
            <w:rPr>
              <w:rFonts w:hint="eastAsia" w:asciiTheme="majorEastAsia" w:hAnsiTheme="majorEastAsia" w:eastAsiaTheme="majorEastAsia" w:cstheme="majorEastAsia"/>
              <w:color w:val="000000" w:themeColor="text1"/>
              <w:sz w:val="24"/>
              <w14:textFill>
                <w14:solidFill>
                  <w14:schemeClr w14:val="tx1"/>
                </w14:solidFill>
              </w14:textFill>
            </w:rPr>
            <w:tab/>
          </w:r>
          <w:r>
            <w:rPr>
              <w:rFonts w:hint="eastAsia" w:asciiTheme="majorEastAsia" w:hAnsiTheme="majorEastAsia" w:eastAsiaTheme="majorEastAsia" w:cstheme="majorEastAsia"/>
              <w:color w:val="000000" w:themeColor="text1"/>
              <w:sz w:val="24"/>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4"/>
              <w14:textFill>
                <w14:solidFill>
                  <w14:schemeClr w14:val="tx1"/>
                </w14:solidFill>
              </w14:textFill>
            </w:rPr>
            <w:instrText xml:space="preserve"> PAGEREF _Toc789 </w:instrText>
          </w:r>
          <w:r>
            <w:rPr>
              <w:rFonts w:hint="eastAsia" w:asciiTheme="majorEastAsia" w:hAnsiTheme="majorEastAsia" w:eastAsiaTheme="majorEastAsia" w:cstheme="majorEastAsia"/>
              <w:color w:val="000000" w:themeColor="text1"/>
              <w:sz w:val="24"/>
              <w14:textFill>
                <w14:solidFill>
                  <w14:schemeClr w14:val="tx1"/>
                </w14:solidFill>
              </w14:textFill>
            </w:rPr>
            <w:fldChar w:fldCharType="separate"/>
          </w:r>
          <w:r>
            <w:rPr>
              <w:rFonts w:asciiTheme="majorEastAsia" w:hAnsiTheme="majorEastAsia" w:eastAsiaTheme="majorEastAsia" w:cstheme="majorEastAsia"/>
              <w:color w:val="000000" w:themeColor="text1"/>
              <w:sz w:val="24"/>
              <w14:textFill>
                <w14:solidFill>
                  <w14:schemeClr w14:val="tx1"/>
                </w14:solidFill>
              </w14:textFill>
            </w:rPr>
            <w:t>13</w:t>
          </w:r>
          <w:r>
            <w:rPr>
              <w:rFonts w:hint="eastAsia" w:asciiTheme="majorEastAsia" w:hAnsiTheme="majorEastAsia" w:eastAsiaTheme="majorEastAsia" w:cstheme="majorEastAsia"/>
              <w:color w:val="000000" w:themeColor="text1"/>
              <w:sz w:val="24"/>
              <w14:textFill>
                <w14:solidFill>
                  <w14:schemeClr w14:val="tx1"/>
                </w14:solidFill>
              </w14:textFill>
            </w:rPr>
            <w:fldChar w:fldCharType="end"/>
          </w:r>
          <w:r>
            <w:rPr>
              <w:rFonts w:hint="eastAsia" w:asciiTheme="majorEastAsia" w:hAnsiTheme="majorEastAsia" w:eastAsiaTheme="majorEastAsia" w:cstheme="majorEastAsia"/>
              <w:color w:val="000000" w:themeColor="text1"/>
              <w:sz w:val="24"/>
              <w14:textFill>
                <w14:solidFill>
                  <w14:schemeClr w14:val="tx1"/>
                </w14:solidFill>
              </w14:textFill>
            </w:rPr>
            <w:fldChar w:fldCharType="end"/>
          </w:r>
        </w:p>
        <w:p w14:paraId="718475C8">
          <w:pPr>
            <w:pStyle w:val="11"/>
            <w:tabs>
              <w:tab w:val="right" w:leader="dot" w:pos="8312"/>
            </w:tabs>
            <w:spacing w:line="312" w:lineRule="auto"/>
            <w:ind w:left="0" w:leftChars="0" w:firstLine="280" w:firstLineChars="100"/>
            <w:rPr>
              <w:rFonts w:asciiTheme="majorEastAsia" w:hAnsiTheme="majorEastAsia" w:eastAsiaTheme="majorEastAsia" w:cstheme="majorEastAsia"/>
              <w:color w:val="000000" w:themeColor="text1"/>
              <w:sz w:val="24"/>
              <w14:textFill>
                <w14:solidFill>
                  <w14:schemeClr w14:val="tx1"/>
                </w14:solidFill>
              </w14:textFill>
            </w:rPr>
          </w:pPr>
          <w:r>
            <w:fldChar w:fldCharType="begin"/>
          </w:r>
          <w:r>
            <w:instrText xml:space="preserve"> HYPERLINK \l "_Toc8171" </w:instrText>
          </w:r>
          <w:r>
            <w:fldChar w:fldCharType="separate"/>
          </w:r>
          <w:r>
            <w:rPr>
              <w:rFonts w:hint="eastAsia" w:asciiTheme="majorEastAsia" w:hAnsiTheme="majorEastAsia" w:eastAsiaTheme="majorEastAsia" w:cstheme="majorEastAsia"/>
              <w:color w:val="000000" w:themeColor="text1"/>
              <w:sz w:val="24"/>
              <w14:textFill>
                <w14:solidFill>
                  <w14:schemeClr w14:val="tx1"/>
                </w14:solidFill>
              </w14:textFill>
            </w:rPr>
            <w:t>（五）绩效评价方法</w:t>
          </w:r>
          <w:r>
            <w:rPr>
              <w:rFonts w:hint="eastAsia" w:asciiTheme="majorEastAsia" w:hAnsiTheme="majorEastAsia" w:eastAsiaTheme="majorEastAsia" w:cstheme="majorEastAsia"/>
              <w:color w:val="000000" w:themeColor="text1"/>
              <w:sz w:val="24"/>
              <w14:textFill>
                <w14:solidFill>
                  <w14:schemeClr w14:val="tx1"/>
                </w14:solidFill>
              </w14:textFill>
            </w:rPr>
            <w:tab/>
          </w:r>
          <w:r>
            <w:rPr>
              <w:rFonts w:hint="eastAsia" w:asciiTheme="majorEastAsia" w:hAnsiTheme="majorEastAsia" w:eastAsiaTheme="majorEastAsia" w:cstheme="majorEastAsia"/>
              <w:color w:val="000000" w:themeColor="text1"/>
              <w:sz w:val="24"/>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4"/>
              <w14:textFill>
                <w14:solidFill>
                  <w14:schemeClr w14:val="tx1"/>
                </w14:solidFill>
              </w14:textFill>
            </w:rPr>
            <w:instrText xml:space="preserve"> PAGEREF _Toc8171 </w:instrText>
          </w:r>
          <w:r>
            <w:rPr>
              <w:rFonts w:hint="eastAsia" w:asciiTheme="majorEastAsia" w:hAnsiTheme="majorEastAsia" w:eastAsiaTheme="majorEastAsia" w:cstheme="majorEastAsia"/>
              <w:color w:val="000000" w:themeColor="text1"/>
              <w:sz w:val="24"/>
              <w14:textFill>
                <w14:solidFill>
                  <w14:schemeClr w14:val="tx1"/>
                </w14:solidFill>
              </w14:textFill>
            </w:rPr>
            <w:fldChar w:fldCharType="separate"/>
          </w:r>
          <w:r>
            <w:rPr>
              <w:rFonts w:asciiTheme="majorEastAsia" w:hAnsiTheme="majorEastAsia" w:eastAsiaTheme="majorEastAsia" w:cstheme="majorEastAsia"/>
              <w:color w:val="000000" w:themeColor="text1"/>
              <w:sz w:val="24"/>
              <w14:textFill>
                <w14:solidFill>
                  <w14:schemeClr w14:val="tx1"/>
                </w14:solidFill>
              </w14:textFill>
            </w:rPr>
            <w:t>14</w:t>
          </w:r>
          <w:r>
            <w:rPr>
              <w:rFonts w:hint="eastAsia" w:asciiTheme="majorEastAsia" w:hAnsiTheme="majorEastAsia" w:eastAsiaTheme="majorEastAsia" w:cstheme="majorEastAsia"/>
              <w:color w:val="000000" w:themeColor="text1"/>
              <w:sz w:val="24"/>
              <w14:textFill>
                <w14:solidFill>
                  <w14:schemeClr w14:val="tx1"/>
                </w14:solidFill>
              </w14:textFill>
            </w:rPr>
            <w:fldChar w:fldCharType="end"/>
          </w:r>
          <w:r>
            <w:rPr>
              <w:rFonts w:hint="eastAsia" w:asciiTheme="majorEastAsia" w:hAnsiTheme="majorEastAsia" w:eastAsiaTheme="majorEastAsia" w:cstheme="majorEastAsia"/>
              <w:color w:val="000000" w:themeColor="text1"/>
              <w:sz w:val="24"/>
              <w14:textFill>
                <w14:solidFill>
                  <w14:schemeClr w14:val="tx1"/>
                </w14:solidFill>
              </w14:textFill>
            </w:rPr>
            <w:fldChar w:fldCharType="end"/>
          </w:r>
        </w:p>
        <w:p w14:paraId="53A2E1BF">
          <w:pPr>
            <w:pStyle w:val="11"/>
            <w:tabs>
              <w:tab w:val="right" w:leader="dot" w:pos="8312"/>
            </w:tabs>
            <w:spacing w:line="312" w:lineRule="auto"/>
            <w:ind w:left="0" w:leftChars="0" w:firstLine="280" w:firstLineChars="100"/>
            <w:rPr>
              <w:rFonts w:asciiTheme="majorEastAsia" w:hAnsiTheme="majorEastAsia" w:eastAsiaTheme="majorEastAsia" w:cstheme="majorEastAsia"/>
              <w:color w:val="000000" w:themeColor="text1"/>
              <w:sz w:val="24"/>
              <w14:textFill>
                <w14:solidFill>
                  <w14:schemeClr w14:val="tx1"/>
                </w14:solidFill>
              </w14:textFill>
            </w:rPr>
          </w:pPr>
          <w:r>
            <w:fldChar w:fldCharType="begin"/>
          </w:r>
          <w:r>
            <w:instrText xml:space="preserve"> HYPERLINK \l "_Toc20821" </w:instrText>
          </w:r>
          <w:r>
            <w:fldChar w:fldCharType="separate"/>
          </w:r>
          <w:r>
            <w:rPr>
              <w:rFonts w:hint="eastAsia" w:asciiTheme="majorEastAsia" w:hAnsiTheme="majorEastAsia" w:eastAsiaTheme="majorEastAsia" w:cstheme="majorEastAsia"/>
              <w:color w:val="000000" w:themeColor="text1"/>
              <w:sz w:val="24"/>
              <w14:textFill>
                <w14:solidFill>
                  <w14:schemeClr w14:val="tx1"/>
                </w14:solidFill>
              </w14:textFill>
            </w:rPr>
            <w:t>（六）绩效评价工作过程</w:t>
          </w:r>
          <w:r>
            <w:rPr>
              <w:rFonts w:hint="eastAsia" w:asciiTheme="majorEastAsia" w:hAnsiTheme="majorEastAsia" w:eastAsiaTheme="majorEastAsia" w:cstheme="majorEastAsia"/>
              <w:color w:val="000000" w:themeColor="text1"/>
              <w:sz w:val="24"/>
              <w14:textFill>
                <w14:solidFill>
                  <w14:schemeClr w14:val="tx1"/>
                </w14:solidFill>
              </w14:textFill>
            </w:rPr>
            <w:tab/>
          </w:r>
          <w:r>
            <w:rPr>
              <w:rFonts w:hint="eastAsia" w:asciiTheme="majorEastAsia" w:hAnsiTheme="majorEastAsia" w:eastAsiaTheme="majorEastAsia" w:cstheme="majorEastAsia"/>
              <w:color w:val="000000" w:themeColor="text1"/>
              <w:sz w:val="24"/>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4"/>
              <w14:textFill>
                <w14:solidFill>
                  <w14:schemeClr w14:val="tx1"/>
                </w14:solidFill>
              </w14:textFill>
            </w:rPr>
            <w:instrText xml:space="preserve"> PAGEREF _Toc20821 </w:instrText>
          </w:r>
          <w:r>
            <w:rPr>
              <w:rFonts w:hint="eastAsia" w:asciiTheme="majorEastAsia" w:hAnsiTheme="majorEastAsia" w:eastAsiaTheme="majorEastAsia" w:cstheme="majorEastAsia"/>
              <w:color w:val="000000" w:themeColor="text1"/>
              <w:sz w:val="24"/>
              <w14:textFill>
                <w14:solidFill>
                  <w14:schemeClr w14:val="tx1"/>
                </w14:solidFill>
              </w14:textFill>
            </w:rPr>
            <w:fldChar w:fldCharType="separate"/>
          </w:r>
          <w:r>
            <w:rPr>
              <w:rFonts w:asciiTheme="majorEastAsia" w:hAnsiTheme="majorEastAsia" w:eastAsiaTheme="majorEastAsia" w:cstheme="majorEastAsia"/>
              <w:color w:val="000000" w:themeColor="text1"/>
              <w:sz w:val="24"/>
              <w14:textFill>
                <w14:solidFill>
                  <w14:schemeClr w14:val="tx1"/>
                </w14:solidFill>
              </w14:textFill>
            </w:rPr>
            <w:t>14</w:t>
          </w:r>
          <w:r>
            <w:rPr>
              <w:rFonts w:hint="eastAsia" w:asciiTheme="majorEastAsia" w:hAnsiTheme="majorEastAsia" w:eastAsiaTheme="majorEastAsia" w:cstheme="majorEastAsia"/>
              <w:color w:val="000000" w:themeColor="text1"/>
              <w:sz w:val="24"/>
              <w14:textFill>
                <w14:solidFill>
                  <w14:schemeClr w14:val="tx1"/>
                </w14:solidFill>
              </w14:textFill>
            </w:rPr>
            <w:fldChar w:fldCharType="end"/>
          </w:r>
          <w:r>
            <w:rPr>
              <w:rFonts w:hint="eastAsia" w:asciiTheme="majorEastAsia" w:hAnsiTheme="majorEastAsia" w:eastAsiaTheme="majorEastAsia" w:cstheme="majorEastAsia"/>
              <w:color w:val="000000" w:themeColor="text1"/>
              <w:sz w:val="24"/>
              <w14:textFill>
                <w14:solidFill>
                  <w14:schemeClr w14:val="tx1"/>
                </w14:solidFill>
              </w14:textFill>
            </w:rPr>
            <w:fldChar w:fldCharType="end"/>
          </w:r>
        </w:p>
        <w:p w14:paraId="17AAA5A3">
          <w:pPr>
            <w:pStyle w:val="18"/>
            <w:tabs>
              <w:tab w:val="right" w:leader="dot" w:pos="8312"/>
            </w:tabs>
            <w:spacing w:line="312" w:lineRule="auto"/>
            <w:ind w:left="0" w:leftChars="0"/>
            <w:rPr>
              <w:rFonts w:asciiTheme="majorEastAsia" w:hAnsiTheme="majorEastAsia" w:eastAsiaTheme="majorEastAsia" w:cstheme="majorEastAsia"/>
              <w:b/>
              <w:bCs/>
              <w:color w:val="000000" w:themeColor="text1"/>
              <w:sz w:val="24"/>
              <w14:textFill>
                <w14:solidFill>
                  <w14:schemeClr w14:val="tx1"/>
                </w14:solidFill>
              </w14:textFill>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color w:val="000000" w:themeColor="text1"/>
              <w:sz w:val="24"/>
              <w14:textFill>
                <w14:solidFill>
                  <w14:schemeClr w14:val="tx1"/>
                </w14:solidFill>
              </w14:textFill>
            </w:rPr>
            <w:t>四、绩效评价评分情况</w:t>
          </w:r>
          <w:r>
            <w:rPr>
              <w:rFonts w:hint="eastAsia" w:asciiTheme="majorEastAsia" w:hAnsiTheme="majorEastAsia" w:eastAsiaTheme="majorEastAsia" w:cstheme="majorEastAsia"/>
              <w:b/>
              <w:bCs/>
              <w:color w:val="000000" w:themeColor="text1"/>
              <w:sz w:val="24"/>
              <w14:textFill>
                <w14:solidFill>
                  <w14:schemeClr w14:val="tx1"/>
                </w14:solidFill>
              </w14:textFill>
            </w:rPr>
            <w:tab/>
          </w:r>
          <w:r>
            <w:rPr>
              <w:rFonts w:hint="eastAsia" w:asciiTheme="majorEastAsia" w:hAnsiTheme="majorEastAsia" w:eastAsiaTheme="majorEastAsia" w:cstheme="majorEastAsia"/>
              <w:b/>
              <w:bCs/>
              <w:color w:val="000000" w:themeColor="text1"/>
              <w:sz w:val="24"/>
              <w14:textFill>
                <w14:solidFill>
                  <w14:schemeClr w14:val="tx1"/>
                </w14:solidFill>
              </w14:textFill>
            </w:rPr>
            <w:fldChar w:fldCharType="begin"/>
          </w:r>
          <w:r>
            <w:rPr>
              <w:rFonts w:hint="eastAsia" w:asciiTheme="majorEastAsia" w:hAnsiTheme="majorEastAsia" w:eastAsiaTheme="majorEastAsia" w:cstheme="majorEastAsia"/>
              <w:b/>
              <w:bCs/>
              <w:color w:val="000000" w:themeColor="text1"/>
              <w:sz w:val="24"/>
              <w14:textFill>
                <w14:solidFill>
                  <w14:schemeClr w14:val="tx1"/>
                </w14:solidFill>
              </w14:textFill>
            </w:rPr>
            <w:instrText xml:space="preserve"> PAGEREF _Toc6467 </w:instrText>
          </w:r>
          <w:r>
            <w:rPr>
              <w:rFonts w:hint="eastAsia" w:asciiTheme="majorEastAsia" w:hAnsiTheme="majorEastAsia" w:eastAsiaTheme="majorEastAsia" w:cstheme="majorEastAsia"/>
              <w:b/>
              <w:bCs/>
              <w:color w:val="000000" w:themeColor="text1"/>
              <w:sz w:val="24"/>
              <w14:textFill>
                <w14:solidFill>
                  <w14:schemeClr w14:val="tx1"/>
                </w14:solidFill>
              </w14:textFill>
            </w:rPr>
            <w:fldChar w:fldCharType="separate"/>
          </w:r>
          <w:r>
            <w:rPr>
              <w:rFonts w:asciiTheme="majorEastAsia" w:hAnsiTheme="majorEastAsia" w:eastAsiaTheme="majorEastAsia" w:cstheme="majorEastAsia"/>
              <w:b/>
              <w:bCs/>
              <w:color w:val="000000" w:themeColor="text1"/>
              <w:sz w:val="24"/>
              <w14:textFill>
                <w14:solidFill>
                  <w14:schemeClr w14:val="tx1"/>
                </w14:solidFill>
              </w14:textFill>
            </w:rPr>
            <w:t>15</w:t>
          </w:r>
          <w:r>
            <w:rPr>
              <w:rFonts w:hint="eastAsia" w:asciiTheme="majorEastAsia" w:hAnsiTheme="majorEastAsia" w:eastAsiaTheme="majorEastAsia" w:cstheme="majorEastAsia"/>
              <w:b/>
              <w:bCs/>
              <w:color w:val="000000" w:themeColor="text1"/>
              <w:sz w:val="24"/>
              <w14:textFill>
                <w14:solidFill>
                  <w14:schemeClr w14:val="tx1"/>
                </w14:solidFill>
              </w14:textFill>
            </w:rPr>
            <w:fldChar w:fldCharType="end"/>
          </w:r>
          <w:r>
            <w:rPr>
              <w:rFonts w:hint="eastAsia" w:asciiTheme="majorEastAsia" w:hAnsiTheme="majorEastAsia" w:eastAsiaTheme="majorEastAsia" w:cstheme="majorEastAsia"/>
              <w:b/>
              <w:bCs/>
              <w:color w:val="000000" w:themeColor="text1"/>
              <w:sz w:val="24"/>
              <w14:textFill>
                <w14:solidFill>
                  <w14:schemeClr w14:val="tx1"/>
                </w14:solidFill>
              </w14:textFill>
            </w:rPr>
            <w:fldChar w:fldCharType="end"/>
          </w:r>
        </w:p>
        <w:p w14:paraId="4D9A2AC8">
          <w:pPr>
            <w:pStyle w:val="11"/>
            <w:tabs>
              <w:tab w:val="right" w:leader="dot" w:pos="8312"/>
            </w:tabs>
            <w:spacing w:line="312" w:lineRule="auto"/>
            <w:ind w:left="0" w:leftChars="0" w:firstLine="280" w:firstLineChars="100"/>
            <w:rPr>
              <w:rFonts w:asciiTheme="majorEastAsia" w:hAnsiTheme="majorEastAsia" w:eastAsiaTheme="majorEastAsia" w:cstheme="majorEastAsia"/>
              <w:color w:val="000000" w:themeColor="text1"/>
              <w:sz w:val="24"/>
              <w14:textFill>
                <w14:solidFill>
                  <w14:schemeClr w14:val="tx1"/>
                </w14:solidFill>
              </w14:textFill>
            </w:rPr>
          </w:pPr>
          <w:r>
            <w:fldChar w:fldCharType="begin"/>
          </w:r>
          <w:r>
            <w:instrText xml:space="preserve"> HYPERLINK \l "_Toc4390" </w:instrText>
          </w:r>
          <w:r>
            <w:fldChar w:fldCharType="separate"/>
          </w:r>
          <w:r>
            <w:rPr>
              <w:rFonts w:hint="eastAsia" w:asciiTheme="majorEastAsia" w:hAnsiTheme="majorEastAsia" w:eastAsiaTheme="majorEastAsia" w:cstheme="majorEastAsia"/>
              <w:color w:val="000000" w:themeColor="text1"/>
              <w:sz w:val="24"/>
              <w14:textFill>
                <w14:solidFill>
                  <w14:schemeClr w14:val="tx1"/>
                </w14:solidFill>
              </w14:textFill>
            </w:rPr>
            <w:t>（一）投入</w:t>
          </w:r>
          <w:r>
            <w:rPr>
              <w:rFonts w:hint="eastAsia" w:asciiTheme="majorEastAsia" w:hAnsiTheme="majorEastAsia" w:eastAsiaTheme="majorEastAsia" w:cstheme="majorEastAsia"/>
              <w:color w:val="000000" w:themeColor="text1"/>
              <w:sz w:val="24"/>
              <w14:textFill>
                <w14:solidFill>
                  <w14:schemeClr w14:val="tx1"/>
                </w14:solidFill>
              </w14:textFill>
            </w:rPr>
            <w:tab/>
          </w:r>
          <w:r>
            <w:rPr>
              <w:rFonts w:hint="eastAsia" w:asciiTheme="majorEastAsia" w:hAnsiTheme="majorEastAsia" w:eastAsiaTheme="majorEastAsia" w:cstheme="majorEastAsia"/>
              <w:color w:val="000000" w:themeColor="text1"/>
              <w:sz w:val="24"/>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4"/>
              <w14:textFill>
                <w14:solidFill>
                  <w14:schemeClr w14:val="tx1"/>
                </w14:solidFill>
              </w14:textFill>
            </w:rPr>
            <w:instrText xml:space="preserve"> PAGEREF _Toc4390 </w:instrText>
          </w:r>
          <w:r>
            <w:rPr>
              <w:rFonts w:hint="eastAsia" w:asciiTheme="majorEastAsia" w:hAnsiTheme="majorEastAsia" w:eastAsiaTheme="majorEastAsia" w:cstheme="majorEastAsia"/>
              <w:color w:val="000000" w:themeColor="text1"/>
              <w:sz w:val="24"/>
              <w14:textFill>
                <w14:solidFill>
                  <w14:schemeClr w14:val="tx1"/>
                </w14:solidFill>
              </w14:textFill>
            </w:rPr>
            <w:fldChar w:fldCharType="separate"/>
          </w:r>
          <w:r>
            <w:rPr>
              <w:rFonts w:asciiTheme="majorEastAsia" w:hAnsiTheme="majorEastAsia" w:eastAsiaTheme="majorEastAsia" w:cstheme="majorEastAsia"/>
              <w:color w:val="000000" w:themeColor="text1"/>
              <w:sz w:val="24"/>
              <w14:textFill>
                <w14:solidFill>
                  <w14:schemeClr w14:val="tx1"/>
                </w14:solidFill>
              </w14:textFill>
            </w:rPr>
            <w:t>16</w:t>
          </w:r>
          <w:r>
            <w:rPr>
              <w:rFonts w:hint="eastAsia" w:asciiTheme="majorEastAsia" w:hAnsiTheme="majorEastAsia" w:eastAsiaTheme="majorEastAsia" w:cstheme="majorEastAsia"/>
              <w:color w:val="000000" w:themeColor="text1"/>
              <w:sz w:val="24"/>
              <w14:textFill>
                <w14:solidFill>
                  <w14:schemeClr w14:val="tx1"/>
                </w14:solidFill>
              </w14:textFill>
            </w:rPr>
            <w:fldChar w:fldCharType="end"/>
          </w:r>
          <w:r>
            <w:rPr>
              <w:rFonts w:hint="eastAsia" w:asciiTheme="majorEastAsia" w:hAnsiTheme="majorEastAsia" w:eastAsiaTheme="majorEastAsia" w:cstheme="majorEastAsia"/>
              <w:color w:val="000000" w:themeColor="text1"/>
              <w:sz w:val="24"/>
              <w14:textFill>
                <w14:solidFill>
                  <w14:schemeClr w14:val="tx1"/>
                </w14:solidFill>
              </w14:textFill>
            </w:rPr>
            <w:fldChar w:fldCharType="end"/>
          </w:r>
        </w:p>
        <w:p w14:paraId="5E664E0E">
          <w:pPr>
            <w:pStyle w:val="11"/>
            <w:tabs>
              <w:tab w:val="right" w:leader="dot" w:pos="8312"/>
            </w:tabs>
            <w:spacing w:line="312" w:lineRule="auto"/>
            <w:ind w:left="0" w:leftChars="0" w:firstLine="280" w:firstLineChars="100"/>
            <w:rPr>
              <w:rFonts w:asciiTheme="majorEastAsia" w:hAnsiTheme="majorEastAsia" w:eastAsiaTheme="majorEastAsia" w:cstheme="majorEastAsia"/>
              <w:color w:val="000000" w:themeColor="text1"/>
              <w:sz w:val="24"/>
              <w14:textFill>
                <w14:solidFill>
                  <w14:schemeClr w14:val="tx1"/>
                </w14:solidFill>
              </w14:textFill>
            </w:rPr>
          </w:pPr>
          <w:r>
            <w:fldChar w:fldCharType="begin"/>
          </w:r>
          <w:r>
            <w:instrText xml:space="preserve"> HYPERLINK \l "_Toc19940" </w:instrText>
          </w:r>
          <w:r>
            <w:fldChar w:fldCharType="separate"/>
          </w:r>
          <w:r>
            <w:rPr>
              <w:rFonts w:hint="eastAsia" w:asciiTheme="majorEastAsia" w:hAnsiTheme="majorEastAsia" w:eastAsiaTheme="majorEastAsia" w:cstheme="majorEastAsia"/>
              <w:color w:val="000000" w:themeColor="text1"/>
              <w:sz w:val="24"/>
              <w14:textFill>
                <w14:solidFill>
                  <w14:schemeClr w14:val="tx1"/>
                </w14:solidFill>
              </w14:textFill>
            </w:rPr>
            <w:t>（二）过程</w:t>
          </w:r>
          <w:r>
            <w:rPr>
              <w:rFonts w:hint="eastAsia" w:asciiTheme="majorEastAsia" w:hAnsiTheme="majorEastAsia" w:eastAsiaTheme="majorEastAsia" w:cstheme="majorEastAsia"/>
              <w:color w:val="000000" w:themeColor="text1"/>
              <w:sz w:val="24"/>
              <w14:textFill>
                <w14:solidFill>
                  <w14:schemeClr w14:val="tx1"/>
                </w14:solidFill>
              </w14:textFill>
            </w:rPr>
            <w:tab/>
          </w:r>
          <w:r>
            <w:rPr>
              <w:rFonts w:hint="eastAsia" w:asciiTheme="majorEastAsia" w:hAnsiTheme="majorEastAsia" w:eastAsiaTheme="majorEastAsia" w:cstheme="majorEastAsia"/>
              <w:color w:val="000000" w:themeColor="text1"/>
              <w:sz w:val="24"/>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4"/>
              <w14:textFill>
                <w14:solidFill>
                  <w14:schemeClr w14:val="tx1"/>
                </w14:solidFill>
              </w14:textFill>
            </w:rPr>
            <w:instrText xml:space="preserve"> PAGEREF _Toc19940 </w:instrText>
          </w:r>
          <w:r>
            <w:rPr>
              <w:rFonts w:hint="eastAsia" w:asciiTheme="majorEastAsia" w:hAnsiTheme="majorEastAsia" w:eastAsiaTheme="majorEastAsia" w:cstheme="majorEastAsia"/>
              <w:color w:val="000000" w:themeColor="text1"/>
              <w:sz w:val="24"/>
              <w14:textFill>
                <w14:solidFill>
                  <w14:schemeClr w14:val="tx1"/>
                </w14:solidFill>
              </w14:textFill>
            </w:rPr>
            <w:fldChar w:fldCharType="separate"/>
          </w:r>
          <w:r>
            <w:rPr>
              <w:rFonts w:asciiTheme="majorEastAsia" w:hAnsiTheme="majorEastAsia" w:eastAsiaTheme="majorEastAsia" w:cstheme="majorEastAsia"/>
              <w:color w:val="000000" w:themeColor="text1"/>
              <w:sz w:val="24"/>
              <w14:textFill>
                <w14:solidFill>
                  <w14:schemeClr w14:val="tx1"/>
                </w14:solidFill>
              </w14:textFill>
            </w:rPr>
            <w:t>19</w:t>
          </w:r>
          <w:r>
            <w:rPr>
              <w:rFonts w:hint="eastAsia" w:asciiTheme="majorEastAsia" w:hAnsiTheme="majorEastAsia" w:eastAsiaTheme="majorEastAsia" w:cstheme="majorEastAsia"/>
              <w:color w:val="000000" w:themeColor="text1"/>
              <w:sz w:val="24"/>
              <w14:textFill>
                <w14:solidFill>
                  <w14:schemeClr w14:val="tx1"/>
                </w14:solidFill>
              </w14:textFill>
            </w:rPr>
            <w:fldChar w:fldCharType="end"/>
          </w:r>
          <w:r>
            <w:rPr>
              <w:rFonts w:hint="eastAsia" w:asciiTheme="majorEastAsia" w:hAnsiTheme="majorEastAsia" w:eastAsiaTheme="majorEastAsia" w:cstheme="majorEastAsia"/>
              <w:color w:val="000000" w:themeColor="text1"/>
              <w:sz w:val="24"/>
              <w14:textFill>
                <w14:solidFill>
                  <w14:schemeClr w14:val="tx1"/>
                </w14:solidFill>
              </w14:textFill>
            </w:rPr>
            <w:fldChar w:fldCharType="end"/>
          </w:r>
        </w:p>
        <w:p w14:paraId="2C33B208">
          <w:pPr>
            <w:pStyle w:val="11"/>
            <w:tabs>
              <w:tab w:val="right" w:leader="dot" w:pos="8312"/>
            </w:tabs>
            <w:spacing w:line="312" w:lineRule="auto"/>
            <w:ind w:left="0" w:leftChars="0" w:firstLine="280" w:firstLineChars="100"/>
            <w:rPr>
              <w:rFonts w:asciiTheme="majorEastAsia" w:hAnsiTheme="majorEastAsia" w:eastAsiaTheme="majorEastAsia" w:cstheme="majorEastAsia"/>
              <w:color w:val="000000" w:themeColor="text1"/>
              <w:sz w:val="24"/>
              <w14:textFill>
                <w14:solidFill>
                  <w14:schemeClr w14:val="tx1"/>
                </w14:solidFill>
              </w14:textFill>
            </w:rPr>
          </w:pPr>
          <w:r>
            <w:fldChar w:fldCharType="begin"/>
          </w:r>
          <w:r>
            <w:instrText xml:space="preserve"> HYPERLINK \l "_Toc12330" </w:instrText>
          </w:r>
          <w:r>
            <w:fldChar w:fldCharType="separate"/>
          </w:r>
          <w:r>
            <w:rPr>
              <w:rFonts w:hint="eastAsia" w:asciiTheme="majorEastAsia" w:hAnsiTheme="majorEastAsia" w:eastAsiaTheme="majorEastAsia" w:cstheme="majorEastAsia"/>
              <w:color w:val="000000" w:themeColor="text1"/>
              <w:sz w:val="24"/>
              <w14:textFill>
                <w14:solidFill>
                  <w14:schemeClr w14:val="tx1"/>
                </w14:solidFill>
              </w14:textFill>
            </w:rPr>
            <w:t>（三）产出</w:t>
          </w:r>
          <w:r>
            <w:rPr>
              <w:rFonts w:hint="eastAsia" w:asciiTheme="majorEastAsia" w:hAnsiTheme="majorEastAsia" w:eastAsiaTheme="majorEastAsia" w:cstheme="majorEastAsia"/>
              <w:color w:val="000000" w:themeColor="text1"/>
              <w:sz w:val="24"/>
              <w14:textFill>
                <w14:solidFill>
                  <w14:schemeClr w14:val="tx1"/>
                </w14:solidFill>
              </w14:textFill>
            </w:rPr>
            <w:tab/>
          </w:r>
          <w:r>
            <w:rPr>
              <w:rFonts w:hint="eastAsia" w:asciiTheme="majorEastAsia" w:hAnsiTheme="majorEastAsia" w:eastAsiaTheme="majorEastAsia" w:cstheme="majorEastAsia"/>
              <w:color w:val="000000" w:themeColor="text1"/>
              <w:sz w:val="24"/>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4"/>
              <w14:textFill>
                <w14:solidFill>
                  <w14:schemeClr w14:val="tx1"/>
                </w14:solidFill>
              </w14:textFill>
            </w:rPr>
            <w:instrText xml:space="preserve"> PAGEREF _Toc12330 </w:instrText>
          </w:r>
          <w:r>
            <w:rPr>
              <w:rFonts w:hint="eastAsia" w:asciiTheme="majorEastAsia" w:hAnsiTheme="majorEastAsia" w:eastAsiaTheme="majorEastAsia" w:cstheme="majorEastAsia"/>
              <w:color w:val="000000" w:themeColor="text1"/>
              <w:sz w:val="24"/>
              <w14:textFill>
                <w14:solidFill>
                  <w14:schemeClr w14:val="tx1"/>
                </w14:solidFill>
              </w14:textFill>
            </w:rPr>
            <w:fldChar w:fldCharType="separate"/>
          </w:r>
          <w:r>
            <w:rPr>
              <w:rFonts w:asciiTheme="majorEastAsia" w:hAnsiTheme="majorEastAsia" w:eastAsiaTheme="majorEastAsia" w:cstheme="majorEastAsia"/>
              <w:color w:val="000000" w:themeColor="text1"/>
              <w:sz w:val="24"/>
              <w14:textFill>
                <w14:solidFill>
                  <w14:schemeClr w14:val="tx1"/>
                </w14:solidFill>
              </w14:textFill>
            </w:rPr>
            <w:t>26</w:t>
          </w:r>
          <w:r>
            <w:rPr>
              <w:rFonts w:hint="eastAsia" w:asciiTheme="majorEastAsia" w:hAnsiTheme="majorEastAsia" w:eastAsiaTheme="majorEastAsia" w:cstheme="majorEastAsia"/>
              <w:color w:val="000000" w:themeColor="text1"/>
              <w:sz w:val="24"/>
              <w14:textFill>
                <w14:solidFill>
                  <w14:schemeClr w14:val="tx1"/>
                </w14:solidFill>
              </w14:textFill>
            </w:rPr>
            <w:fldChar w:fldCharType="end"/>
          </w:r>
          <w:r>
            <w:rPr>
              <w:rFonts w:hint="eastAsia" w:asciiTheme="majorEastAsia" w:hAnsiTheme="majorEastAsia" w:eastAsiaTheme="majorEastAsia" w:cstheme="majorEastAsia"/>
              <w:color w:val="000000" w:themeColor="text1"/>
              <w:sz w:val="24"/>
              <w14:textFill>
                <w14:solidFill>
                  <w14:schemeClr w14:val="tx1"/>
                </w14:solidFill>
              </w14:textFill>
            </w:rPr>
            <w:fldChar w:fldCharType="end"/>
          </w:r>
        </w:p>
        <w:p w14:paraId="149C16B6">
          <w:pPr>
            <w:pStyle w:val="11"/>
            <w:tabs>
              <w:tab w:val="right" w:leader="dot" w:pos="8312"/>
            </w:tabs>
            <w:spacing w:line="312" w:lineRule="auto"/>
            <w:ind w:left="0" w:leftChars="0" w:firstLine="280" w:firstLineChars="100"/>
            <w:rPr>
              <w:rFonts w:asciiTheme="majorEastAsia" w:hAnsiTheme="majorEastAsia" w:eastAsiaTheme="majorEastAsia" w:cstheme="majorEastAsia"/>
              <w:color w:val="000000" w:themeColor="text1"/>
              <w:sz w:val="24"/>
              <w14:textFill>
                <w14:solidFill>
                  <w14:schemeClr w14:val="tx1"/>
                </w14:solidFill>
              </w14:textFill>
            </w:rPr>
          </w:pPr>
          <w:r>
            <w:fldChar w:fldCharType="begin"/>
          </w:r>
          <w:r>
            <w:instrText xml:space="preserve"> HYPERLINK \l "_Toc28363" </w:instrText>
          </w:r>
          <w:r>
            <w:fldChar w:fldCharType="separate"/>
          </w:r>
          <w:r>
            <w:rPr>
              <w:rFonts w:hint="eastAsia" w:asciiTheme="majorEastAsia" w:hAnsiTheme="majorEastAsia" w:eastAsiaTheme="majorEastAsia" w:cstheme="majorEastAsia"/>
              <w:color w:val="000000" w:themeColor="text1"/>
              <w:sz w:val="24"/>
              <w14:textFill>
                <w14:solidFill>
                  <w14:schemeClr w14:val="tx1"/>
                </w14:solidFill>
              </w14:textFill>
            </w:rPr>
            <w:t>（四）效果</w:t>
          </w:r>
          <w:r>
            <w:rPr>
              <w:rFonts w:hint="eastAsia" w:asciiTheme="majorEastAsia" w:hAnsiTheme="majorEastAsia" w:eastAsiaTheme="majorEastAsia" w:cstheme="majorEastAsia"/>
              <w:color w:val="000000" w:themeColor="text1"/>
              <w:sz w:val="24"/>
              <w14:textFill>
                <w14:solidFill>
                  <w14:schemeClr w14:val="tx1"/>
                </w14:solidFill>
              </w14:textFill>
            </w:rPr>
            <w:tab/>
          </w:r>
          <w:r>
            <w:rPr>
              <w:rFonts w:hint="eastAsia" w:asciiTheme="majorEastAsia" w:hAnsiTheme="majorEastAsia" w:eastAsiaTheme="majorEastAsia" w:cstheme="majorEastAsia"/>
              <w:color w:val="000000" w:themeColor="text1"/>
              <w:sz w:val="24"/>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4"/>
              <w14:textFill>
                <w14:solidFill>
                  <w14:schemeClr w14:val="tx1"/>
                </w14:solidFill>
              </w14:textFill>
            </w:rPr>
            <w:instrText xml:space="preserve"> PAGEREF _Toc28363 </w:instrText>
          </w:r>
          <w:r>
            <w:rPr>
              <w:rFonts w:hint="eastAsia" w:asciiTheme="majorEastAsia" w:hAnsiTheme="majorEastAsia" w:eastAsiaTheme="majorEastAsia" w:cstheme="majorEastAsia"/>
              <w:color w:val="000000" w:themeColor="text1"/>
              <w:sz w:val="24"/>
              <w14:textFill>
                <w14:solidFill>
                  <w14:schemeClr w14:val="tx1"/>
                </w14:solidFill>
              </w14:textFill>
            </w:rPr>
            <w:fldChar w:fldCharType="separate"/>
          </w:r>
          <w:r>
            <w:rPr>
              <w:rFonts w:asciiTheme="majorEastAsia" w:hAnsiTheme="majorEastAsia" w:eastAsiaTheme="majorEastAsia" w:cstheme="majorEastAsia"/>
              <w:color w:val="000000" w:themeColor="text1"/>
              <w:sz w:val="24"/>
              <w14:textFill>
                <w14:solidFill>
                  <w14:schemeClr w14:val="tx1"/>
                </w14:solidFill>
              </w14:textFill>
            </w:rPr>
            <w:t>28</w:t>
          </w:r>
          <w:r>
            <w:rPr>
              <w:rFonts w:hint="eastAsia" w:asciiTheme="majorEastAsia" w:hAnsiTheme="majorEastAsia" w:eastAsiaTheme="majorEastAsia" w:cstheme="majorEastAsia"/>
              <w:color w:val="000000" w:themeColor="text1"/>
              <w:sz w:val="24"/>
              <w14:textFill>
                <w14:solidFill>
                  <w14:schemeClr w14:val="tx1"/>
                </w14:solidFill>
              </w14:textFill>
            </w:rPr>
            <w:fldChar w:fldCharType="end"/>
          </w:r>
          <w:r>
            <w:rPr>
              <w:rFonts w:hint="eastAsia" w:asciiTheme="majorEastAsia" w:hAnsiTheme="majorEastAsia" w:eastAsiaTheme="majorEastAsia" w:cstheme="majorEastAsia"/>
              <w:color w:val="000000" w:themeColor="text1"/>
              <w:sz w:val="24"/>
              <w14:textFill>
                <w14:solidFill>
                  <w14:schemeClr w14:val="tx1"/>
                </w14:solidFill>
              </w14:textFill>
            </w:rPr>
            <w:fldChar w:fldCharType="end"/>
          </w:r>
        </w:p>
        <w:p w14:paraId="04720203">
          <w:pPr>
            <w:pStyle w:val="18"/>
            <w:tabs>
              <w:tab w:val="right" w:leader="dot" w:pos="8312"/>
            </w:tabs>
            <w:spacing w:line="312" w:lineRule="auto"/>
            <w:ind w:left="0" w:leftChars="0"/>
            <w:rPr>
              <w:rFonts w:asciiTheme="majorEastAsia" w:hAnsiTheme="majorEastAsia" w:eastAsiaTheme="majorEastAsia" w:cstheme="majorEastAsia"/>
              <w:color w:val="000000" w:themeColor="text1"/>
              <w:sz w:val="24"/>
              <w14:textFill>
                <w14:solidFill>
                  <w14:schemeClr w14:val="tx1"/>
                </w14:solidFill>
              </w14:textFill>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color w:val="000000" w:themeColor="text1"/>
              <w:sz w:val="24"/>
              <w14:textFill>
                <w14:solidFill>
                  <w14:schemeClr w14:val="tx1"/>
                </w14:solidFill>
              </w14:textFill>
            </w:rPr>
            <w:t>五、绩效评价发现的问题</w:t>
          </w:r>
          <w:r>
            <w:rPr>
              <w:rFonts w:hint="eastAsia" w:asciiTheme="majorEastAsia" w:hAnsiTheme="majorEastAsia" w:eastAsiaTheme="majorEastAsia" w:cstheme="majorEastAsia"/>
              <w:b/>
              <w:bCs/>
              <w:color w:val="000000" w:themeColor="text1"/>
              <w:sz w:val="24"/>
              <w14:textFill>
                <w14:solidFill>
                  <w14:schemeClr w14:val="tx1"/>
                </w14:solidFill>
              </w14:textFill>
            </w:rPr>
            <w:tab/>
          </w:r>
          <w:r>
            <w:rPr>
              <w:rFonts w:hint="eastAsia" w:asciiTheme="majorEastAsia" w:hAnsiTheme="majorEastAsia" w:eastAsiaTheme="majorEastAsia" w:cstheme="majorEastAsia"/>
              <w:b/>
              <w:bCs/>
              <w:color w:val="000000" w:themeColor="text1"/>
              <w:sz w:val="24"/>
              <w14:textFill>
                <w14:solidFill>
                  <w14:schemeClr w14:val="tx1"/>
                </w14:solidFill>
              </w14:textFill>
            </w:rPr>
            <w:fldChar w:fldCharType="begin"/>
          </w:r>
          <w:r>
            <w:rPr>
              <w:rFonts w:hint="eastAsia" w:asciiTheme="majorEastAsia" w:hAnsiTheme="majorEastAsia" w:eastAsiaTheme="majorEastAsia" w:cstheme="majorEastAsia"/>
              <w:b/>
              <w:bCs/>
              <w:color w:val="000000" w:themeColor="text1"/>
              <w:sz w:val="24"/>
              <w14:textFill>
                <w14:solidFill>
                  <w14:schemeClr w14:val="tx1"/>
                </w14:solidFill>
              </w14:textFill>
            </w:rPr>
            <w:instrText xml:space="preserve"> PAGEREF _Toc13757 </w:instrText>
          </w:r>
          <w:r>
            <w:rPr>
              <w:rFonts w:hint="eastAsia" w:asciiTheme="majorEastAsia" w:hAnsiTheme="majorEastAsia" w:eastAsiaTheme="majorEastAsia" w:cstheme="majorEastAsia"/>
              <w:b/>
              <w:bCs/>
              <w:color w:val="000000" w:themeColor="text1"/>
              <w:sz w:val="24"/>
              <w14:textFill>
                <w14:solidFill>
                  <w14:schemeClr w14:val="tx1"/>
                </w14:solidFill>
              </w14:textFill>
            </w:rPr>
            <w:fldChar w:fldCharType="separate"/>
          </w:r>
          <w:r>
            <w:rPr>
              <w:rFonts w:asciiTheme="majorEastAsia" w:hAnsiTheme="majorEastAsia" w:eastAsiaTheme="majorEastAsia" w:cstheme="majorEastAsia"/>
              <w:b/>
              <w:bCs/>
              <w:color w:val="000000" w:themeColor="text1"/>
              <w:sz w:val="24"/>
              <w14:textFill>
                <w14:solidFill>
                  <w14:schemeClr w14:val="tx1"/>
                </w14:solidFill>
              </w14:textFill>
            </w:rPr>
            <w:t>29</w:t>
          </w:r>
          <w:r>
            <w:rPr>
              <w:rFonts w:hint="eastAsia" w:asciiTheme="majorEastAsia" w:hAnsiTheme="majorEastAsia" w:eastAsiaTheme="majorEastAsia" w:cstheme="majorEastAsia"/>
              <w:b/>
              <w:bCs/>
              <w:color w:val="000000" w:themeColor="text1"/>
              <w:sz w:val="24"/>
              <w14:textFill>
                <w14:solidFill>
                  <w14:schemeClr w14:val="tx1"/>
                </w14:solidFill>
              </w14:textFill>
            </w:rPr>
            <w:fldChar w:fldCharType="end"/>
          </w:r>
          <w:r>
            <w:rPr>
              <w:rFonts w:hint="eastAsia" w:asciiTheme="majorEastAsia" w:hAnsiTheme="majorEastAsia" w:eastAsiaTheme="majorEastAsia" w:cstheme="majorEastAsia"/>
              <w:b/>
              <w:bCs/>
              <w:color w:val="000000" w:themeColor="text1"/>
              <w:sz w:val="24"/>
              <w14:textFill>
                <w14:solidFill>
                  <w14:schemeClr w14:val="tx1"/>
                </w14:solidFill>
              </w14:textFill>
            </w:rPr>
            <w:fldChar w:fldCharType="end"/>
          </w:r>
        </w:p>
        <w:p w14:paraId="2BB3BF43">
          <w:pPr>
            <w:pStyle w:val="18"/>
            <w:tabs>
              <w:tab w:val="right" w:leader="dot" w:pos="8312"/>
            </w:tabs>
            <w:spacing w:line="312" w:lineRule="auto"/>
            <w:ind w:left="0" w:leftChars="0"/>
            <w:rPr>
              <w:b/>
              <w:bCs/>
              <w:color w:val="000000" w:themeColor="text1"/>
              <w14:textFill>
                <w14:solidFill>
                  <w14:schemeClr w14:val="tx1"/>
                </w14:solidFill>
              </w14:textFill>
            </w:rPr>
          </w:pPr>
          <w:r>
            <w:fldChar w:fldCharType="begin"/>
          </w:r>
          <w:r>
            <w:instrText xml:space="preserve"> HYPERLINK \l "_Toc20723" </w:instrText>
          </w:r>
          <w:r>
            <w:fldChar w:fldCharType="separate"/>
          </w:r>
          <w:r>
            <w:rPr>
              <w:rFonts w:hint="eastAsia" w:asciiTheme="majorEastAsia" w:hAnsiTheme="majorEastAsia" w:eastAsiaTheme="majorEastAsia" w:cstheme="majorEastAsia"/>
              <w:b/>
              <w:bCs/>
              <w:color w:val="000000" w:themeColor="text1"/>
              <w:sz w:val="24"/>
              <w14:textFill>
                <w14:solidFill>
                  <w14:schemeClr w14:val="tx1"/>
                </w14:solidFill>
              </w14:textFill>
            </w:rPr>
            <w:t>六、绩效评价意见及建议</w:t>
          </w:r>
          <w:r>
            <w:rPr>
              <w:rFonts w:hint="eastAsia" w:asciiTheme="majorEastAsia" w:hAnsiTheme="majorEastAsia" w:eastAsiaTheme="majorEastAsia" w:cstheme="majorEastAsia"/>
              <w:b/>
              <w:bCs/>
              <w:color w:val="000000" w:themeColor="text1"/>
              <w:sz w:val="24"/>
              <w14:textFill>
                <w14:solidFill>
                  <w14:schemeClr w14:val="tx1"/>
                </w14:solidFill>
              </w14:textFill>
            </w:rPr>
            <w:tab/>
          </w:r>
          <w:r>
            <w:rPr>
              <w:rFonts w:asciiTheme="majorEastAsia" w:hAnsiTheme="majorEastAsia" w:eastAsiaTheme="majorEastAsia" w:cstheme="majorEastAsia"/>
              <w:b/>
              <w:bCs/>
              <w:color w:val="000000" w:themeColor="text1"/>
              <w:sz w:val="24"/>
              <w14:textFill>
                <w14:solidFill>
                  <w14:schemeClr w14:val="tx1"/>
                </w14:solidFill>
              </w14:textFill>
            </w:rPr>
            <w:t>30</w:t>
          </w:r>
          <w:r>
            <w:rPr>
              <w:rFonts w:asciiTheme="majorEastAsia" w:hAnsiTheme="majorEastAsia" w:eastAsiaTheme="majorEastAsia" w:cstheme="majorEastAsia"/>
              <w:b/>
              <w:bCs/>
              <w:color w:val="000000" w:themeColor="text1"/>
              <w:sz w:val="24"/>
              <w14:textFill>
                <w14:solidFill>
                  <w14:schemeClr w14:val="tx1"/>
                </w14:solidFill>
              </w14:textFill>
            </w:rPr>
            <w:fldChar w:fldCharType="end"/>
          </w:r>
        </w:p>
        <w:p w14:paraId="76EBEE87">
          <w:pPr>
            <w:spacing w:line="312" w:lineRule="auto"/>
            <w:ind w:firstLine="440" w:firstLineChars="200"/>
            <w:jc w:val="both"/>
            <w:rPr>
              <w:color w:val="000000" w:themeColor="text1"/>
              <w14:textFill>
                <w14:solidFill>
                  <w14:schemeClr w14:val="tx1"/>
                </w14:solidFill>
              </w14:textFill>
            </w:rPr>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color w:val="000000" w:themeColor="text1"/>
              <w:szCs w:val="24"/>
              <w14:textFill>
                <w14:solidFill>
                  <w14:schemeClr w14:val="tx1"/>
                </w14:solidFill>
              </w14:textFill>
            </w:rPr>
            <w:fldChar w:fldCharType="end"/>
          </w:r>
        </w:p>
      </w:sdtContent>
    </w:sdt>
    <w:p w14:paraId="7AF169EB">
      <w:pPr>
        <w:pStyle w:val="3"/>
        <w:spacing w:line="540" w:lineRule="exact"/>
        <w:jc w:val="center"/>
        <w:rPr>
          <w:rFonts w:ascii="黑体" w:hAnsi="黑体"/>
          <w:b w:val="0"/>
          <w:color w:val="000000" w:themeColor="text1"/>
          <w14:textFill>
            <w14:solidFill>
              <w14:schemeClr w14:val="tx1"/>
            </w14:solidFill>
          </w14:textFill>
        </w:rPr>
      </w:pPr>
      <w:bookmarkStart w:id="0" w:name="_Toc25184"/>
      <w:r>
        <w:rPr>
          <w:rFonts w:hint="eastAsia" w:ascii="黑体" w:hAnsi="黑体"/>
          <w:b w:val="0"/>
          <w:color w:val="000000" w:themeColor="text1"/>
          <w14:textFill>
            <w14:solidFill>
              <w14:schemeClr w14:val="tx1"/>
            </w14:solidFill>
          </w14:textFill>
        </w:rPr>
        <w:t>第一部分   摘  要</w:t>
      </w:r>
      <w:bookmarkEnd w:id="0"/>
    </w:p>
    <w:p w14:paraId="677FF046"/>
    <w:p w14:paraId="558AC130">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2019年部门整体支出情况开展了绩效自评价工作。</w:t>
      </w:r>
    </w:p>
    <w:p w14:paraId="2603B142">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保定市徐水区机关服务中心为正科级事业单位，经费保障形式为财政拨款，下设</w:t>
      </w:r>
      <w:r>
        <w:rPr>
          <w:rFonts w:ascii="仿宋_GB2312" w:eastAsia="仿宋_GB2312" w:cs="DengXian-Regular"/>
          <w:color w:val="000000" w:themeColor="text1"/>
          <w:sz w:val="32"/>
          <w:szCs w:val="32"/>
          <w14:textFill>
            <w14:solidFill>
              <w14:schemeClr w14:val="tx1"/>
            </w14:solidFill>
          </w14:textFill>
        </w:rPr>
        <w:t>3</w:t>
      </w:r>
      <w:r>
        <w:rPr>
          <w:rFonts w:hint="eastAsia" w:ascii="仿宋_GB2312" w:eastAsia="仿宋_GB2312" w:cs="DengXian-Regular"/>
          <w:color w:val="000000" w:themeColor="text1"/>
          <w:sz w:val="32"/>
          <w:szCs w:val="32"/>
          <w14:textFill>
            <w14:solidFill>
              <w14:schemeClr w14:val="tx1"/>
            </w14:solidFill>
          </w14:textFill>
        </w:rPr>
        <w:t>个股室，分别为综合股、</w:t>
      </w:r>
      <w:r>
        <w:rPr>
          <w:rFonts w:ascii="仿宋_GB2312" w:eastAsia="仿宋_GB2312" w:cs="DengXian-Regular"/>
          <w:color w:val="000000" w:themeColor="text1"/>
          <w:sz w:val="32"/>
          <w:szCs w:val="32"/>
          <w14:textFill>
            <w14:solidFill>
              <w14:schemeClr w14:val="tx1"/>
            </w14:solidFill>
          </w14:textFill>
        </w:rPr>
        <w:t>保卫股</w:t>
      </w:r>
      <w:r>
        <w:rPr>
          <w:rFonts w:hint="eastAsia" w:ascii="仿宋_GB2312" w:eastAsia="仿宋_GB2312" w:cs="DengXian-Regular"/>
          <w:color w:val="000000" w:themeColor="text1"/>
          <w:sz w:val="32"/>
          <w:szCs w:val="32"/>
          <w14:textFill>
            <w14:solidFill>
              <w14:schemeClr w14:val="tx1"/>
            </w14:solidFill>
          </w14:textFill>
        </w:rPr>
        <w:t>，维修股</w:t>
      </w:r>
      <w:r>
        <w:rPr>
          <w:rFonts w:ascii="仿宋_GB2312" w:eastAsia="仿宋_GB2312" w:cs="DengXian-Regular"/>
          <w:color w:val="000000" w:themeColor="text1"/>
          <w:sz w:val="32"/>
          <w:szCs w:val="32"/>
          <w14:textFill>
            <w14:solidFill>
              <w14:schemeClr w14:val="tx1"/>
            </w14:solidFill>
          </w14:textFill>
        </w:rPr>
        <w:t>，</w:t>
      </w:r>
      <w:r>
        <w:rPr>
          <w:rFonts w:hint="eastAsia" w:ascii="仿宋_GB2312" w:eastAsia="仿宋_GB2312" w:cs="DengXian-Regular"/>
          <w:color w:val="000000" w:themeColor="text1"/>
          <w:sz w:val="32"/>
          <w:szCs w:val="32"/>
          <w14:textFill>
            <w14:solidFill>
              <w14:schemeClr w14:val="tx1"/>
            </w14:solidFill>
          </w14:textFill>
        </w:rPr>
        <w:t>要职责有：</w:t>
      </w:r>
    </w:p>
    <w:p w14:paraId="4B0BE5AF">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1、负责区委、区政府、人大、政协等机关和归属政府所有权的房产及设施的登记、分配、维修、改造和建设任务。</w:t>
      </w:r>
    </w:p>
    <w:p w14:paraId="73980508">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2、负责区委、区政府、人大、政协机关大院等单位的冬季取暖及所属锅炉和设备的保养、维修和使用。</w:t>
      </w:r>
    </w:p>
    <w:p w14:paraId="09497644">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3、负责区委、区政府、人大、政协机关大院的干部、职工就餐和开水供应。</w:t>
      </w:r>
    </w:p>
    <w:p w14:paraId="482E2D3F">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4、负责区委、区政府、人大、政协等机关的安全保卫、环境卫生、绿化、美化和形象建设。</w:t>
      </w:r>
    </w:p>
    <w:p w14:paraId="6CAE8322">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14:paraId="0494C06C">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评价工作经过了前期准备、绩效评价实施方案和指标体系制定、组织实施、绩效评价报告撰写四个阶段。</w:t>
      </w:r>
    </w:p>
    <w:p w14:paraId="2BF26F21">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徐水</w:t>
      </w:r>
      <w:r>
        <w:rPr>
          <w:rFonts w:ascii="仿宋_GB2312" w:eastAsia="仿宋_GB2312" w:cs="DengXian-Regular"/>
          <w:color w:val="000000" w:themeColor="text1"/>
          <w:sz w:val="32"/>
          <w:szCs w:val="32"/>
          <w14:textFill>
            <w14:solidFill>
              <w14:schemeClr w14:val="tx1"/>
            </w14:solidFill>
          </w14:textFill>
        </w:rPr>
        <w:t>区</w:t>
      </w:r>
      <w:r>
        <w:rPr>
          <w:rFonts w:hint="eastAsia" w:ascii="仿宋_GB2312" w:eastAsia="仿宋_GB2312" w:cs="DengXian-Regular"/>
          <w:color w:val="000000" w:themeColor="text1"/>
          <w:sz w:val="32"/>
          <w:szCs w:val="32"/>
          <w14:textFill>
            <w14:solidFill>
              <w14:schemeClr w14:val="tx1"/>
            </w14:solidFill>
          </w14:textFill>
        </w:rPr>
        <w:t>机关服务中心2019年部门整体支出绩效评价工作。</w:t>
      </w:r>
    </w:p>
    <w:p w14:paraId="7A6A2A22">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徐水区机关</w:t>
      </w:r>
      <w:r>
        <w:rPr>
          <w:rFonts w:ascii="仿宋_GB2312" w:eastAsia="仿宋_GB2312" w:cs="DengXian-Regular"/>
          <w:color w:val="000000" w:themeColor="text1"/>
          <w:sz w:val="32"/>
          <w:szCs w:val="32"/>
          <w14:textFill>
            <w14:solidFill>
              <w14:schemeClr w14:val="tx1"/>
            </w14:solidFill>
          </w14:textFill>
        </w:rPr>
        <w:t>服务中心</w:t>
      </w:r>
      <w:r>
        <w:rPr>
          <w:rFonts w:hint="eastAsia" w:ascii="仿宋_GB2312" w:eastAsia="仿宋_GB2312" w:cs="DengXian-Regular"/>
          <w:color w:val="000000" w:themeColor="text1"/>
          <w:sz w:val="32"/>
          <w:szCs w:val="32"/>
          <w14:textFill>
            <w14:solidFill>
              <w14:schemeClr w14:val="tx1"/>
            </w14:solidFill>
          </w14:textFill>
        </w:rPr>
        <w:t>2019年部门整体支出绩效评价指标体系共设置4个一级指标、7个二级指标、27个三级指标，从投入、过程、产出、效果四个方面对机关</w:t>
      </w:r>
      <w:r>
        <w:rPr>
          <w:rFonts w:ascii="仿宋_GB2312" w:eastAsia="仿宋_GB2312" w:cs="DengXian-Regular"/>
          <w:color w:val="000000" w:themeColor="text1"/>
          <w:sz w:val="32"/>
          <w:szCs w:val="32"/>
          <w14:textFill>
            <w14:solidFill>
              <w14:schemeClr w14:val="tx1"/>
            </w14:solidFill>
          </w14:textFill>
        </w:rPr>
        <w:t>服务中心</w:t>
      </w:r>
      <w:r>
        <w:rPr>
          <w:rFonts w:hint="eastAsia" w:ascii="仿宋_GB2312" w:eastAsia="仿宋_GB2312" w:cs="DengXian-Regular"/>
          <w:color w:val="000000" w:themeColor="text1"/>
          <w:sz w:val="32"/>
          <w:szCs w:val="32"/>
          <w14:textFill>
            <w14:solidFill>
              <w14:schemeClr w14:val="tx1"/>
            </w14:solidFill>
          </w14:textFill>
        </w:rPr>
        <w:t>部门整体支出情况评分定级。指标体系设定满分为100分，绩效评价分值≥90为“优”；80≤分值＜90为“良”；60≤分值＜80为“合格”；60分以下为“差”。</w:t>
      </w:r>
    </w:p>
    <w:p w14:paraId="7980A1DC">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徐水区机关</w:t>
      </w:r>
      <w:r>
        <w:rPr>
          <w:rFonts w:ascii="仿宋_GB2312" w:eastAsia="仿宋_GB2312" w:cs="DengXian-Regular"/>
          <w:color w:val="000000" w:themeColor="text1"/>
          <w:sz w:val="32"/>
          <w:szCs w:val="32"/>
          <w14:textFill>
            <w14:solidFill>
              <w14:schemeClr w14:val="tx1"/>
            </w14:solidFill>
          </w14:textFill>
        </w:rPr>
        <w:t>服务中心</w:t>
      </w:r>
      <w:r>
        <w:rPr>
          <w:rFonts w:hint="eastAsia" w:ascii="仿宋_GB2312" w:eastAsia="仿宋_GB2312" w:cs="DengXian-Regular"/>
          <w:color w:val="000000" w:themeColor="text1"/>
          <w:sz w:val="32"/>
          <w:szCs w:val="32"/>
          <w14:textFill>
            <w14:solidFill>
              <w14:schemeClr w14:val="tx1"/>
            </w14:solidFill>
          </w14:textFill>
        </w:rPr>
        <w:t>2019年部门整体支出综合评价得分为8</w:t>
      </w:r>
      <w:r>
        <w:rPr>
          <w:rFonts w:ascii="仿宋_GB2312" w:eastAsia="仿宋_GB2312" w:cs="DengXian-Regular"/>
          <w:color w:val="000000" w:themeColor="text1"/>
          <w:sz w:val="32"/>
          <w:szCs w:val="32"/>
          <w14:textFill>
            <w14:solidFill>
              <w14:schemeClr w14:val="tx1"/>
            </w14:solidFill>
          </w14:textFill>
        </w:rPr>
        <w:t>9.5</w:t>
      </w:r>
      <w:r>
        <w:rPr>
          <w:rFonts w:hint="eastAsia" w:ascii="仿宋_GB2312" w:eastAsia="仿宋_GB2312" w:cs="DengXian-Regular"/>
          <w:color w:val="000000" w:themeColor="text1"/>
          <w:sz w:val="32"/>
          <w:szCs w:val="32"/>
          <w14:textFill>
            <w14:solidFill>
              <w14:schemeClr w14:val="tx1"/>
            </w14:solidFill>
          </w14:textFill>
        </w:rPr>
        <w:t>分，评价等级为“良”。</w:t>
      </w:r>
    </w:p>
    <w:p w14:paraId="565D3316">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经评价，徐水区机关</w:t>
      </w:r>
      <w:r>
        <w:rPr>
          <w:rFonts w:ascii="仿宋_GB2312" w:eastAsia="仿宋_GB2312" w:cs="DengXian-Regular"/>
          <w:color w:val="000000" w:themeColor="text1"/>
          <w:sz w:val="32"/>
          <w:szCs w:val="32"/>
          <w14:textFill>
            <w14:solidFill>
              <w14:schemeClr w14:val="tx1"/>
            </w14:solidFill>
          </w14:textFill>
        </w:rPr>
        <w:t>服务中心</w:t>
      </w:r>
      <w:r>
        <w:rPr>
          <w:rFonts w:hint="eastAsia" w:ascii="仿宋_GB2312" w:eastAsia="仿宋_GB2312" w:cs="DengXian-Regular"/>
          <w:color w:val="000000" w:themeColor="text1"/>
          <w:sz w:val="32"/>
          <w:szCs w:val="32"/>
          <w14:textFill>
            <w14:solidFill>
              <w14:schemeClr w14:val="tx1"/>
            </w14:solidFill>
          </w14:textFill>
        </w:rPr>
        <w:t>2019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14:paraId="11999507">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通过本次绩效评价工作，发现我单位在以下几个方面存在一些不足之处，具体如下：</w:t>
      </w:r>
    </w:p>
    <w:p w14:paraId="31A150A6">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1.绩效指标方面</w:t>
      </w:r>
    </w:p>
    <w:p w14:paraId="199FF1F4">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2.预算决算比较</w:t>
      </w:r>
    </w:p>
    <w:p w14:paraId="55CF631C">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3.预算追加方面</w:t>
      </w:r>
    </w:p>
    <w:p w14:paraId="39888B2D">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4.政府采购方面</w:t>
      </w:r>
    </w:p>
    <w:p w14:paraId="2C7104DD">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5.项目资金使用率</w:t>
      </w:r>
    </w:p>
    <w:p w14:paraId="11454561">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6.部分基础数据信息方面</w:t>
      </w:r>
    </w:p>
    <w:p w14:paraId="188AB2CF">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针对此次绩效评价过程中发现的问题，我单位</w:t>
      </w:r>
      <w:r>
        <w:rPr>
          <w:rFonts w:ascii="仿宋_GB2312" w:eastAsia="仿宋_GB2312" w:cs="DengXian-Regular"/>
          <w:color w:val="000000" w:themeColor="text1"/>
          <w:sz w:val="32"/>
          <w:szCs w:val="32"/>
          <w14:textFill>
            <w14:solidFill>
              <w14:schemeClr w14:val="tx1"/>
            </w14:solidFill>
          </w14:textFill>
        </w:rPr>
        <w:t>将从以下几个方面</w:t>
      </w:r>
      <w:r>
        <w:rPr>
          <w:rFonts w:hint="eastAsia" w:ascii="仿宋_GB2312" w:eastAsia="仿宋_GB2312" w:cs="DengXian-Regular"/>
          <w:color w:val="000000" w:themeColor="text1"/>
          <w:sz w:val="32"/>
          <w:szCs w:val="32"/>
          <w14:textFill>
            <w14:solidFill>
              <w14:schemeClr w14:val="tx1"/>
            </w14:solidFill>
          </w14:textFill>
        </w:rPr>
        <w:t>加强</w:t>
      </w:r>
      <w:r>
        <w:rPr>
          <w:rFonts w:ascii="仿宋_GB2312" w:eastAsia="仿宋_GB2312" w:cs="DengXian-Regular"/>
          <w:color w:val="000000" w:themeColor="text1"/>
          <w:sz w:val="32"/>
          <w:szCs w:val="32"/>
          <w14:textFill>
            <w14:solidFill>
              <w14:schemeClr w14:val="tx1"/>
            </w14:solidFill>
          </w14:textFill>
        </w:rPr>
        <w:t>管理</w:t>
      </w:r>
      <w:r>
        <w:rPr>
          <w:rFonts w:hint="eastAsia" w:ascii="仿宋_GB2312" w:eastAsia="仿宋_GB2312" w:cs="DengXian-Regular"/>
          <w:color w:val="000000" w:themeColor="text1"/>
          <w:sz w:val="32"/>
          <w:szCs w:val="32"/>
          <w14:textFill>
            <w14:solidFill>
              <w14:schemeClr w14:val="tx1"/>
            </w14:solidFill>
          </w14:textFill>
        </w:rPr>
        <w:t>：</w:t>
      </w:r>
    </w:p>
    <w:p w14:paraId="06DCAE6B">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1.增强绩效指标设置的明确性</w:t>
      </w:r>
    </w:p>
    <w:p w14:paraId="782D458C">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工作活动、预算项目绩效指标应当清晰、可评价、可衡量。在设置职责活动绩效指标时，将绩效目标细化分解为具体的工作任务数，从而使绩效目标可量化，便于对目标实现情况进行考核。</w:t>
      </w:r>
    </w:p>
    <w:p w14:paraId="51530A60">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2.提高预算编制质量</w:t>
      </w:r>
    </w:p>
    <w:p w14:paraId="77EBD9F6">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部门预算编制工作要全面反映和体现部门职责，根据具体情况及时调整预算的编制，缩小预算与决算差额，减少中期预算追加，提高预算编制质量，发挥预算约束作用。</w:t>
      </w:r>
    </w:p>
    <w:p w14:paraId="19BA49C4">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3.强化政府采购执行</w:t>
      </w:r>
    </w:p>
    <w:p w14:paraId="7BF1867B">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严格按照《中华人民共和国政府采购法》及河北省2017年《政府采购集中采购目录和限额标准》的相关规定，执行政府采购，加快预算执行进度，提高政府采购效率。</w:t>
      </w:r>
      <w:bookmarkStart w:id="1" w:name="_Toc4346"/>
    </w:p>
    <w:p w14:paraId="27E40173">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4.提高项目资金使用率</w:t>
      </w:r>
    </w:p>
    <w:p w14:paraId="22888A28">
      <w:pPr>
        <w:spacing w:after="0" w:line="360" w:lineRule="auto"/>
        <w:ind w:firstLine="640" w:firstLineChars="200"/>
        <w:jc w:val="both"/>
        <w:textAlignment w:val="baseline"/>
        <w:rPr>
          <w:rFonts w:ascii="仿宋_GB2312" w:eastAsia="仿宋_GB2312" w:cs="Times New Roman" w:hAnsiTheme="minorEastAsia"/>
          <w:color w:val="000000" w:themeColor="text1"/>
          <w:sz w:val="32"/>
          <w:szCs w:val="32"/>
          <w:u w:color="000000"/>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徐水区机关</w:t>
      </w:r>
      <w:r>
        <w:rPr>
          <w:rFonts w:ascii="仿宋_GB2312" w:eastAsia="仿宋_GB2312" w:cs="DengXian-Regular"/>
          <w:color w:val="000000" w:themeColor="text1"/>
          <w:sz w:val="32"/>
          <w:szCs w:val="32"/>
          <w14:textFill>
            <w14:solidFill>
              <w14:schemeClr w14:val="tx1"/>
            </w14:solidFill>
          </w14:textFill>
        </w:rPr>
        <w:t>服务中心</w:t>
      </w:r>
      <w:r>
        <w:rPr>
          <w:rFonts w:hint="eastAsia" w:ascii="仿宋_GB2312" w:eastAsia="仿宋_GB2312" w:cs="Times New Roman" w:hAnsiTheme="minorEastAsia"/>
          <w:color w:val="000000" w:themeColor="text1"/>
          <w:sz w:val="32"/>
          <w:szCs w:val="32"/>
          <w:u w:color="000000"/>
          <w14:textFill>
            <w14:solidFill>
              <w14:schemeClr w14:val="tx1"/>
            </w14:solidFill>
          </w14:textFill>
        </w:rPr>
        <w:t>对项目资金进行梳理，督促项目进度和资金拨付进度，应拨付的资金及时拨付，不具备条件的资金及时收回。</w:t>
      </w:r>
      <w:r>
        <w:rPr>
          <w:rFonts w:ascii="仿宋_GB2312" w:eastAsia="仿宋_GB2312" w:cs="Times New Roman" w:hAnsiTheme="minorEastAsia"/>
          <w:color w:val="000000" w:themeColor="text1"/>
          <w:sz w:val="32"/>
          <w:szCs w:val="32"/>
          <w:u w:color="000000"/>
          <w14:textFill>
            <w14:solidFill>
              <w14:schemeClr w14:val="tx1"/>
            </w14:solidFill>
          </w14:textFill>
        </w:rPr>
        <w:t xml:space="preserve"> </w:t>
      </w:r>
    </w:p>
    <w:p w14:paraId="28304014">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5</w:t>
      </w:r>
      <w:r>
        <w:rPr>
          <w:rFonts w:ascii="仿宋_GB2312" w:eastAsia="仿宋_GB2312" w:cs="DengXian-Regular"/>
          <w:color w:val="000000" w:themeColor="text1"/>
          <w:sz w:val="32"/>
          <w:szCs w:val="32"/>
          <w14:textFill>
            <w14:solidFill>
              <w14:schemeClr w14:val="tx1"/>
            </w14:solidFill>
          </w14:textFill>
        </w:rPr>
        <w:t>.完善基础信息管理</w:t>
      </w:r>
    </w:p>
    <w:p w14:paraId="0C136A28">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ascii="仿宋_GB2312" w:eastAsia="仿宋_GB2312" w:cs="DengXian-Regular"/>
          <w:color w:val="000000" w:themeColor="text1"/>
          <w:sz w:val="32"/>
          <w:szCs w:val="32"/>
          <w14:textFill>
            <w14:solidFill>
              <w14:schemeClr w14:val="tx1"/>
            </w14:solidFill>
          </w14:textFill>
        </w:rPr>
        <w:t>严格按照档案管理的相关规定对基础数据信息档案资料及时归档保存，保证项目资料的完整性和可查阅性。</w:t>
      </w:r>
    </w:p>
    <w:p w14:paraId="6A73F437">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6.预算安排建议</w:t>
      </w:r>
    </w:p>
    <w:p w14:paraId="73583CE0">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人员经费方面：</w:t>
      </w:r>
      <w:r>
        <w:rPr>
          <w:rFonts w:ascii="仿宋_GB2312" w:eastAsia="仿宋_GB2312" w:cs="DengXian-Regular"/>
          <w:color w:val="000000" w:themeColor="text1"/>
          <w:sz w:val="32"/>
          <w:szCs w:val="32"/>
          <w14:textFill>
            <w14:solidFill>
              <w14:schemeClr w14:val="tx1"/>
            </w14:solidFill>
          </w14:textFill>
        </w:rPr>
        <w:t>建议2</w:t>
      </w:r>
      <w:r>
        <w:rPr>
          <w:rFonts w:hint="eastAsia" w:ascii="仿宋_GB2312" w:eastAsia="仿宋_GB2312" w:cs="DengXian-Regular"/>
          <w:color w:val="000000" w:themeColor="text1"/>
          <w:sz w:val="32"/>
          <w:szCs w:val="32"/>
          <w14:textFill>
            <w14:solidFill>
              <w14:schemeClr w14:val="tx1"/>
            </w14:solidFill>
          </w14:textFill>
        </w:rPr>
        <w:t>020</w:t>
      </w:r>
      <w:r>
        <w:rPr>
          <w:rFonts w:ascii="仿宋_GB2312" w:eastAsia="仿宋_GB2312" w:cs="DengXian-Regular"/>
          <w:color w:val="000000" w:themeColor="text1"/>
          <w:sz w:val="32"/>
          <w:szCs w:val="32"/>
          <w14:textFill>
            <w14:solidFill>
              <w14:schemeClr w14:val="tx1"/>
            </w14:solidFill>
          </w14:textFill>
        </w:rPr>
        <w:t>年预算根据</w:t>
      </w:r>
      <w:r>
        <w:rPr>
          <w:rFonts w:hint="eastAsia" w:ascii="仿宋_GB2312" w:eastAsia="仿宋_GB2312" w:cs="DengXian-Regular"/>
          <w:color w:val="000000" w:themeColor="text1"/>
          <w:sz w:val="32"/>
          <w:szCs w:val="32"/>
          <w14:textFill>
            <w14:solidFill>
              <w14:schemeClr w14:val="tx1"/>
            </w14:solidFill>
          </w14:textFill>
        </w:rPr>
        <w:t>2019年实际发生人员经费支出、人员数量和工资标准适当安排人员经费预算。</w:t>
      </w:r>
    </w:p>
    <w:p w14:paraId="431CBDDB">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项目资金方面：强化</w:t>
      </w:r>
      <w:r>
        <w:rPr>
          <w:rFonts w:ascii="仿宋_GB2312" w:eastAsia="仿宋_GB2312" w:cs="DengXian-Regular"/>
          <w:color w:val="000000" w:themeColor="text1"/>
          <w:sz w:val="32"/>
          <w:szCs w:val="32"/>
          <w14:textFill>
            <w14:solidFill>
              <w14:schemeClr w14:val="tx1"/>
            </w14:solidFill>
          </w14:textFill>
        </w:rPr>
        <w:t>年初项目预算</w:t>
      </w:r>
      <w:r>
        <w:rPr>
          <w:rFonts w:hint="eastAsia" w:ascii="仿宋_GB2312" w:eastAsia="仿宋_GB2312" w:cs="DengXian-Regular"/>
          <w:color w:val="000000" w:themeColor="text1"/>
          <w:sz w:val="32"/>
          <w:szCs w:val="32"/>
          <w14:textFill>
            <w14:solidFill>
              <w14:schemeClr w14:val="tx1"/>
            </w14:solidFill>
          </w14:textFill>
        </w:rPr>
        <w:t>管理</w:t>
      </w:r>
      <w:r>
        <w:rPr>
          <w:rFonts w:ascii="仿宋_GB2312" w:eastAsia="仿宋_GB2312" w:cs="DengXian-Regular"/>
          <w:color w:val="000000" w:themeColor="text1"/>
          <w:sz w:val="32"/>
          <w:szCs w:val="32"/>
          <w14:textFill>
            <w14:solidFill>
              <w14:schemeClr w14:val="tx1"/>
            </w14:solidFill>
          </w14:textFill>
        </w:rPr>
        <w:t>，减少年中追加项目数量。</w:t>
      </w:r>
    </w:p>
    <w:p w14:paraId="611FA4EF">
      <w:pPr>
        <w:pStyle w:val="3"/>
        <w:spacing w:line="540" w:lineRule="exact"/>
        <w:jc w:val="center"/>
        <w:rPr>
          <w:rFonts w:ascii="黑体" w:hAnsi="黑体"/>
          <w:b w:val="0"/>
          <w:color w:val="000000" w:themeColor="text1"/>
          <w14:textFill>
            <w14:solidFill>
              <w14:schemeClr w14:val="tx1"/>
            </w14:solidFill>
          </w14:textFill>
        </w:rPr>
      </w:pPr>
      <w:r>
        <w:rPr>
          <w:rFonts w:hint="eastAsia" w:ascii="黑体" w:hAnsi="黑体"/>
          <w:b w:val="0"/>
          <w:color w:val="000000" w:themeColor="text1"/>
          <w14:textFill>
            <w14:solidFill>
              <w14:schemeClr w14:val="tx1"/>
            </w14:solidFill>
          </w14:textFill>
        </w:rPr>
        <w:t>第二部分   绩效评价报告</w:t>
      </w:r>
      <w:bookmarkEnd w:id="1"/>
    </w:p>
    <w:p w14:paraId="334293D9">
      <w:pPr>
        <w:pStyle w:val="3"/>
        <w:spacing w:before="0" w:after="0" w:line="360" w:lineRule="auto"/>
        <w:ind w:firstLine="643" w:firstLineChars="200"/>
        <w:rPr>
          <w:rFonts w:ascii="楷体" w:hAnsi="楷体" w:eastAsia="楷体" w:cs="楷体"/>
          <w:color w:val="000000" w:themeColor="text1"/>
          <w14:textFill>
            <w14:solidFill>
              <w14:schemeClr w14:val="tx1"/>
            </w14:solidFill>
          </w14:textFill>
        </w:rPr>
      </w:pPr>
      <w:bookmarkStart w:id="2" w:name="_Toc427"/>
      <w:bookmarkStart w:id="3" w:name="_Toc492652763"/>
      <w:r>
        <w:rPr>
          <w:rFonts w:hint="eastAsia" w:ascii="楷体" w:hAnsi="楷体" w:eastAsia="楷体" w:cs="楷体"/>
          <w:color w:val="000000" w:themeColor="text1"/>
          <w14:textFill>
            <w14:solidFill>
              <w14:schemeClr w14:val="tx1"/>
            </w14:solidFill>
          </w14:textFill>
        </w:rPr>
        <w:t>一、保定市徐水区</w:t>
      </w:r>
      <w:r>
        <w:rPr>
          <w:rFonts w:ascii="楷体" w:hAnsi="楷体" w:eastAsia="楷体" w:cs="楷体"/>
          <w:color w:val="000000" w:themeColor="text1"/>
          <w14:textFill>
            <w14:solidFill>
              <w14:schemeClr w14:val="tx1"/>
            </w14:solidFill>
          </w14:textFill>
        </w:rPr>
        <w:t>机关服务中心</w:t>
      </w:r>
      <w:r>
        <w:rPr>
          <w:rFonts w:hint="eastAsia" w:ascii="楷体" w:hAnsi="楷体" w:eastAsia="楷体" w:cs="楷体"/>
          <w:color w:val="000000" w:themeColor="text1"/>
          <w14:textFill>
            <w14:solidFill>
              <w14:schemeClr w14:val="tx1"/>
            </w14:solidFill>
          </w14:textFill>
        </w:rPr>
        <w:t>基本情况</w:t>
      </w:r>
      <w:bookmarkEnd w:id="2"/>
      <w:bookmarkEnd w:id="3"/>
      <w:bookmarkStart w:id="4" w:name="_Toc492652764"/>
    </w:p>
    <w:p w14:paraId="2F7ECB74">
      <w:pPr>
        <w:pStyle w:val="4"/>
        <w:spacing w:before="0" w:after="0"/>
        <w:ind w:firstLine="643" w:firstLineChars="200"/>
        <w:jc w:val="both"/>
        <w:rPr>
          <w:rFonts w:ascii="仿宋_GB2312" w:hAnsi="Tahoma" w:cs="DengXian-Regular"/>
          <w:color w:val="000000" w:themeColor="text1"/>
          <w:sz w:val="32"/>
          <w14:textFill>
            <w14:solidFill>
              <w14:schemeClr w14:val="tx1"/>
            </w14:solidFill>
          </w14:textFill>
        </w:rPr>
      </w:pPr>
      <w:bookmarkStart w:id="5" w:name="_Toc11473"/>
      <w:r>
        <w:rPr>
          <w:rFonts w:hint="eastAsia" w:ascii="仿宋_GB2312" w:hAnsi="Tahoma" w:cs="DengXian-Regular"/>
          <w:color w:val="000000" w:themeColor="text1"/>
          <w:sz w:val="32"/>
          <w14:textFill>
            <w14:solidFill>
              <w14:schemeClr w14:val="tx1"/>
            </w14:solidFill>
          </w14:textFill>
        </w:rPr>
        <w:t>（一）部门职责和工作活动</w:t>
      </w:r>
      <w:bookmarkEnd w:id="4"/>
      <w:bookmarkEnd w:id="5"/>
    </w:p>
    <w:p w14:paraId="0CC5C329">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bookmarkStart w:id="6" w:name="_Toc465149499"/>
      <w:bookmarkStart w:id="7" w:name="_Toc492652765"/>
      <w:bookmarkStart w:id="8" w:name="_Toc7075"/>
      <w:r>
        <w:rPr>
          <w:rFonts w:hint="eastAsia" w:ascii="仿宋_GB2312" w:eastAsia="仿宋_GB2312" w:cs="DengXian-Regular"/>
          <w:color w:val="000000" w:themeColor="text1"/>
          <w:sz w:val="32"/>
          <w:szCs w:val="32"/>
          <w14:textFill>
            <w14:solidFill>
              <w14:schemeClr w14:val="tx1"/>
            </w14:solidFill>
          </w14:textFill>
        </w:rPr>
        <w:t>根据中共保定市徐水区委办公室、保定市徐水区人民政府办公室关于 印发《徐水</w:t>
      </w:r>
      <w:r>
        <w:rPr>
          <w:rFonts w:ascii="仿宋_GB2312" w:eastAsia="仿宋_GB2312" w:cs="DengXian-Regular"/>
          <w:color w:val="000000" w:themeColor="text1"/>
          <w:sz w:val="32"/>
          <w:szCs w:val="32"/>
          <w14:textFill>
            <w14:solidFill>
              <w14:schemeClr w14:val="tx1"/>
            </w14:solidFill>
          </w14:textFill>
        </w:rPr>
        <w:t>县机关服务</w:t>
      </w:r>
      <w:r>
        <w:rPr>
          <w:rFonts w:hint="eastAsia" w:ascii="仿宋_GB2312" w:eastAsia="仿宋_GB2312" w:cs="DengXian-Regular"/>
          <w:color w:val="000000" w:themeColor="text1"/>
          <w:sz w:val="32"/>
          <w:szCs w:val="32"/>
          <w14:textFill>
            <w14:solidFill>
              <w14:schemeClr w14:val="tx1"/>
            </w14:solidFill>
          </w14:textFill>
        </w:rPr>
        <w:t>中心</w:t>
      </w:r>
      <w:r>
        <w:rPr>
          <w:rFonts w:ascii="仿宋_GB2312" w:eastAsia="仿宋_GB2312" w:cs="DengXian-Regular"/>
          <w:color w:val="000000" w:themeColor="text1"/>
          <w:sz w:val="32"/>
          <w:szCs w:val="32"/>
          <w14:textFill>
            <w14:solidFill>
              <w14:schemeClr w14:val="tx1"/>
            </w14:solidFill>
          </w14:textFill>
        </w:rPr>
        <w:t>职能配置、内设机构和人员编制方案</w:t>
      </w:r>
      <w:r>
        <w:rPr>
          <w:rFonts w:hint="eastAsia" w:ascii="仿宋_GB2312" w:eastAsia="仿宋_GB2312" w:cs="DengXian-Regular"/>
          <w:color w:val="000000" w:themeColor="text1"/>
          <w:sz w:val="32"/>
          <w:szCs w:val="32"/>
          <w14:textFill>
            <w14:solidFill>
              <w14:schemeClr w14:val="tx1"/>
            </w14:solidFill>
          </w14:textFill>
        </w:rPr>
        <w:t>》的通知，区机关服务中心为区政府工作部门，正科级单位，下设</w:t>
      </w:r>
      <w:r>
        <w:rPr>
          <w:rFonts w:ascii="仿宋_GB2312" w:eastAsia="仿宋_GB2312" w:cs="DengXian-Regular"/>
          <w:color w:val="000000" w:themeColor="text1"/>
          <w:sz w:val="32"/>
          <w:szCs w:val="32"/>
          <w14:textFill>
            <w14:solidFill>
              <w14:schemeClr w14:val="tx1"/>
            </w14:solidFill>
          </w14:textFill>
        </w:rPr>
        <w:t>3</w:t>
      </w:r>
      <w:r>
        <w:rPr>
          <w:rFonts w:hint="eastAsia" w:ascii="仿宋_GB2312" w:eastAsia="仿宋_GB2312" w:cs="DengXian-Regular"/>
          <w:color w:val="000000" w:themeColor="text1"/>
          <w:sz w:val="32"/>
          <w:szCs w:val="32"/>
          <w14:textFill>
            <w14:solidFill>
              <w14:schemeClr w14:val="tx1"/>
            </w14:solidFill>
          </w14:textFill>
        </w:rPr>
        <w:t>个股室。根据绩效预算管理改革的相关要求，按照“部门职责—工作活动绩效目标”的层级设立了绩效预算架构，职责活动包括:</w:t>
      </w:r>
    </w:p>
    <w:p w14:paraId="498FBE01">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1、负责区委、区政府、人大、政协等机关和归属政府所有权的房产及设施的登记、分配、维修、改造和建设任务。</w:t>
      </w:r>
    </w:p>
    <w:p w14:paraId="69D9372A">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2、负责区委、区政府、人大、政协机关大院的冬季取暖及所属锅炉和设备的保养、维修和使用。</w:t>
      </w:r>
    </w:p>
    <w:p w14:paraId="2797A395">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3、负责区委、区政府、人大、政协机关大院的干部、职工就餐和开水供应。</w:t>
      </w:r>
    </w:p>
    <w:p w14:paraId="1BCF635C">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4、负责区委、区政府、人大、政协等机关的安全保卫、环境卫生、绿化、美化和形象建设</w:t>
      </w:r>
    </w:p>
    <w:p w14:paraId="24ED5E7D">
      <w:pPr>
        <w:pStyle w:val="4"/>
        <w:spacing w:before="0" w:after="0"/>
        <w:ind w:firstLine="643" w:firstLineChars="200"/>
        <w:jc w:val="both"/>
        <w:rPr>
          <w:rFonts w:ascii="仿宋_GB2312" w:hAnsi="Tahoma" w:cs="DengXian-Regular"/>
          <w:color w:val="000000" w:themeColor="text1"/>
          <w:sz w:val="32"/>
          <w14:textFill>
            <w14:solidFill>
              <w14:schemeClr w14:val="tx1"/>
            </w14:solidFill>
          </w14:textFill>
        </w:rPr>
      </w:pPr>
      <w:r>
        <w:rPr>
          <w:rFonts w:hint="eastAsia" w:ascii="仿宋_GB2312" w:hAnsi="Tahoma" w:cs="DengXian-Regular"/>
          <w:color w:val="000000" w:themeColor="text1"/>
          <w:sz w:val="32"/>
          <w14:textFill>
            <w14:solidFill>
              <w14:schemeClr w14:val="tx1"/>
            </w14:solidFill>
          </w14:textFill>
        </w:rPr>
        <w:t>（二）</w:t>
      </w:r>
      <w:bookmarkEnd w:id="6"/>
      <w:r>
        <w:rPr>
          <w:rFonts w:hint="eastAsia" w:ascii="仿宋_GB2312" w:hAnsi="Tahoma" w:cs="DengXian-Regular"/>
          <w:color w:val="000000" w:themeColor="text1"/>
          <w:sz w:val="32"/>
          <w14:textFill>
            <w14:solidFill>
              <w14:schemeClr w14:val="tx1"/>
            </w14:solidFill>
          </w14:textFill>
        </w:rPr>
        <w:t>部门年度发展规划总体目标和职责分类绩效目标</w:t>
      </w:r>
      <w:bookmarkEnd w:id="7"/>
      <w:bookmarkEnd w:id="8"/>
    </w:p>
    <w:p w14:paraId="46BAA5BE">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按照2019年绩效预算编制要求，徐水区机关</w:t>
      </w:r>
      <w:r>
        <w:rPr>
          <w:rFonts w:ascii="仿宋_GB2312" w:eastAsia="仿宋_GB2312" w:cs="DengXian-Regular"/>
          <w:color w:val="000000" w:themeColor="text1"/>
          <w:sz w:val="32"/>
          <w:szCs w:val="32"/>
          <w14:textFill>
            <w14:solidFill>
              <w14:schemeClr w14:val="tx1"/>
            </w14:solidFill>
          </w14:textFill>
        </w:rPr>
        <w:t>服务中心</w:t>
      </w:r>
      <w:r>
        <w:rPr>
          <w:rFonts w:hint="eastAsia" w:ascii="仿宋_GB2312" w:eastAsia="仿宋_GB2312" w:cs="DengXian-Regular"/>
          <w:color w:val="000000" w:themeColor="text1"/>
          <w:sz w:val="32"/>
          <w:szCs w:val="32"/>
          <w14:textFill>
            <w14:solidFill>
              <w14:schemeClr w14:val="tx1"/>
            </w14:solidFill>
          </w14:textFill>
        </w:rPr>
        <w:t>设置的年度发展规划总体目标为：</w:t>
      </w:r>
    </w:p>
    <w:p w14:paraId="3CB2E1FA">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徐水区机关服务中心主要负责机关后勤工作，2019年将按照区委、区政府要求，为区委、区政府、人大、政协等机关单位提供良好的后勤服务，确保机关安全，并负责环境卫生，美化、绿化和形象建设，推进机关院内办公环境改善。规范管理、合理使用区直房地产；加强区直住房改革保障管理工作；搞好区级住宅小区和统管住宅区维修服务；加强区直国有资产管理，维护国有资产安全；深入推进全区公共机构节能工作，降低运行成本，建设节约型机关。搞好各种服务保障,确保通信畅通、服务周到，促进全区机关事务管理工作科学发展。</w:t>
      </w:r>
    </w:p>
    <w:p w14:paraId="78642F3A">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职责分类绩效目标为：</w:t>
      </w:r>
    </w:p>
    <w:p w14:paraId="78CDD34E">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bookmarkStart w:id="9" w:name="_Toc1678"/>
      <w:bookmarkStart w:id="10" w:name="_Toc492652766"/>
      <w:bookmarkStart w:id="11" w:name="_Toc465149500"/>
      <w:r>
        <w:rPr>
          <w:rFonts w:hint="eastAsia" w:ascii="仿宋_GB2312" w:eastAsia="仿宋_GB2312" w:cs="DengXian-Regular"/>
          <w:color w:val="000000" w:themeColor="text1"/>
          <w:sz w:val="32"/>
          <w:szCs w:val="32"/>
          <w14:textFill>
            <w14:solidFill>
              <w14:schemeClr w14:val="tx1"/>
            </w14:solidFill>
          </w14:textFill>
        </w:rPr>
        <w:t>2019年我单位承担政务管理的职责，开展综合事务管理工作。通过此项工作促进全区机关事务管理工作科学发展，指导全区机关后勤工作；开展全区机关事务工作人员业务培训；指导、协调区直机关事业单位绿化、爱国卫生、交通安全、环境综合整治等社会事务。管理局机关网络建设、运转维护和电子政务；机关标准化建设、保密、档案以及政务接待、会务；办公楼物业管理和机关食堂管理；机关办公楼修缮、供水、供电、供暖以及机关环境绿化美化、卫生保洁、安全保卫；离退休干部慰问；党组织活动；机关事业单位财务管理工作及内部审计工作。</w:t>
      </w:r>
    </w:p>
    <w:p w14:paraId="153337F1">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1.</w:t>
      </w:r>
      <w:r>
        <w:rPr>
          <w:rFonts w:hint="eastAsia"/>
          <w:color w:val="000000" w:themeColor="text1"/>
          <w14:textFill>
            <w14:solidFill>
              <w14:schemeClr w14:val="tx1"/>
            </w14:solidFill>
          </w14:textFill>
        </w:rPr>
        <w:t xml:space="preserve"> </w:t>
      </w:r>
      <w:r>
        <w:rPr>
          <w:rFonts w:hint="eastAsia" w:ascii="仿宋_GB2312" w:eastAsia="仿宋_GB2312" w:cs="DengXian-Regular"/>
          <w:color w:val="000000" w:themeColor="text1"/>
          <w:sz w:val="32"/>
          <w:szCs w:val="32"/>
          <w14:textFill>
            <w14:solidFill>
              <w14:schemeClr w14:val="tx1"/>
            </w14:solidFill>
          </w14:textFill>
        </w:rPr>
        <w:t>综合事务管理工作服务对象人数。</w:t>
      </w:r>
    </w:p>
    <w:p w14:paraId="1DD0BEEC">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2.</w:t>
      </w:r>
      <w:r>
        <w:rPr>
          <w:rFonts w:hint="eastAsia"/>
          <w:color w:val="000000" w:themeColor="text1"/>
          <w14:textFill>
            <w14:solidFill>
              <w14:schemeClr w14:val="tx1"/>
            </w14:solidFill>
          </w14:textFill>
        </w:rPr>
        <w:t xml:space="preserve"> </w:t>
      </w:r>
      <w:r>
        <w:rPr>
          <w:rFonts w:hint="eastAsia" w:ascii="仿宋_GB2312" w:eastAsia="仿宋_GB2312" w:cs="DengXian-Regular"/>
          <w:color w:val="000000" w:themeColor="text1"/>
          <w:sz w:val="32"/>
          <w:szCs w:val="32"/>
          <w14:textFill>
            <w14:solidFill>
              <w14:schemeClr w14:val="tx1"/>
            </w14:solidFill>
          </w14:textFill>
        </w:rPr>
        <w:t>维持政府机关正常运转</w:t>
      </w:r>
      <w:r>
        <w:rPr>
          <w:rFonts w:ascii="仿宋_GB2312" w:eastAsia="仿宋_GB2312" w:cs="DengXian-Regular"/>
          <w:color w:val="000000" w:themeColor="text1"/>
          <w:sz w:val="32"/>
          <w:szCs w:val="32"/>
          <w14:textFill>
            <w14:solidFill>
              <w14:schemeClr w14:val="tx1"/>
            </w14:solidFill>
          </w14:textFill>
        </w:rPr>
        <w:t>工作</w:t>
      </w:r>
      <w:r>
        <w:rPr>
          <w:rFonts w:hint="eastAsia" w:ascii="仿宋_GB2312" w:eastAsia="仿宋_GB2312" w:cs="DengXian-Regular"/>
          <w:color w:val="000000" w:themeColor="text1"/>
          <w:sz w:val="32"/>
          <w:szCs w:val="32"/>
          <w14:textFill>
            <w14:solidFill>
              <w14:schemeClr w14:val="tx1"/>
            </w14:solidFill>
          </w14:textFill>
        </w:rPr>
        <w:t>。</w:t>
      </w:r>
    </w:p>
    <w:p w14:paraId="0C95E0D7">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3.</w:t>
      </w:r>
      <w:r>
        <w:rPr>
          <w:rFonts w:hint="eastAsia"/>
          <w:color w:val="000000" w:themeColor="text1"/>
          <w14:textFill>
            <w14:solidFill>
              <w14:schemeClr w14:val="tx1"/>
            </w14:solidFill>
          </w14:textFill>
        </w:rPr>
        <w:t xml:space="preserve"> </w:t>
      </w:r>
      <w:r>
        <w:rPr>
          <w:rFonts w:hint="eastAsia" w:ascii="仿宋_GB2312" w:eastAsia="仿宋_GB2312" w:cs="DengXian-Regular"/>
          <w:color w:val="000000" w:themeColor="text1"/>
          <w:sz w:val="32"/>
          <w:szCs w:val="32"/>
          <w14:textFill>
            <w14:solidFill>
              <w14:schemeClr w14:val="tx1"/>
            </w14:solidFill>
          </w14:textFill>
        </w:rPr>
        <w:t>落实公车改革相关工作完成率。</w:t>
      </w:r>
    </w:p>
    <w:p w14:paraId="7D03FCAE">
      <w:pPr>
        <w:spacing w:after="0" w:line="360" w:lineRule="auto"/>
        <w:ind w:firstLine="643"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b/>
          <w:bCs/>
          <w:color w:val="000000" w:themeColor="text1"/>
          <w:sz w:val="32"/>
          <w:szCs w:val="32"/>
          <w:u w:color="000000"/>
          <w14:textFill>
            <w14:solidFill>
              <w14:schemeClr w14:val="tx1"/>
            </w14:solidFill>
          </w14:textFill>
        </w:rPr>
        <w:t>（三）部门预算收入及决算收入</w:t>
      </w:r>
      <w:bookmarkEnd w:id="9"/>
    </w:p>
    <w:p w14:paraId="7097EC4F">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2019年区机关</w:t>
      </w:r>
      <w:r>
        <w:rPr>
          <w:rFonts w:ascii="仿宋_GB2312" w:eastAsia="仿宋_GB2312" w:cs="DengXian-Regular"/>
          <w:color w:val="000000" w:themeColor="text1"/>
          <w:sz w:val="32"/>
          <w:szCs w:val="32"/>
          <w14:textFill>
            <w14:solidFill>
              <w14:schemeClr w14:val="tx1"/>
            </w14:solidFill>
          </w14:textFill>
        </w:rPr>
        <w:t>服务中心</w:t>
      </w:r>
      <w:r>
        <w:rPr>
          <w:rFonts w:hint="eastAsia" w:ascii="仿宋_GB2312" w:eastAsia="仿宋_GB2312" w:cs="DengXian-Regular"/>
          <w:color w:val="000000" w:themeColor="text1"/>
          <w:sz w:val="32"/>
          <w:szCs w:val="32"/>
          <w14:textFill>
            <w14:solidFill>
              <w14:schemeClr w14:val="tx1"/>
            </w14:solidFill>
          </w14:textFill>
        </w:rPr>
        <w:t>预算收入</w:t>
      </w:r>
      <w:r>
        <w:rPr>
          <w:rFonts w:ascii="仿宋_GB2312" w:eastAsia="仿宋_GB2312" w:cs="DengXian-Regular"/>
          <w:color w:val="000000" w:themeColor="text1"/>
          <w:sz w:val="32"/>
          <w:szCs w:val="32"/>
          <w14:textFill>
            <w14:solidFill>
              <w14:schemeClr w14:val="tx1"/>
            </w14:solidFill>
          </w14:textFill>
        </w:rPr>
        <w:t>753.30</w:t>
      </w:r>
      <w:r>
        <w:rPr>
          <w:rFonts w:hint="eastAsia" w:ascii="仿宋_GB2312" w:eastAsia="仿宋_GB2312" w:cs="DengXian-Regular"/>
          <w:color w:val="000000" w:themeColor="text1"/>
          <w:sz w:val="32"/>
          <w:szCs w:val="32"/>
          <w14:textFill>
            <w14:solidFill>
              <w14:schemeClr w14:val="tx1"/>
            </w14:solidFill>
          </w14:textFill>
        </w:rPr>
        <w:t>万元，均为一般公共预算拨款，其中：财政拨款</w:t>
      </w:r>
      <w:r>
        <w:rPr>
          <w:rFonts w:ascii="仿宋_GB2312" w:eastAsia="仿宋_GB2312" w:cs="DengXian-Regular"/>
          <w:color w:val="000000" w:themeColor="text1"/>
          <w:sz w:val="32"/>
          <w:szCs w:val="32"/>
          <w14:textFill>
            <w14:solidFill>
              <w14:schemeClr w14:val="tx1"/>
            </w14:solidFill>
          </w14:textFill>
        </w:rPr>
        <w:t>753.30</w:t>
      </w:r>
      <w:r>
        <w:rPr>
          <w:rFonts w:hint="eastAsia" w:ascii="仿宋_GB2312" w:eastAsia="仿宋_GB2312" w:cs="DengXian-Regular"/>
          <w:color w:val="000000" w:themeColor="text1"/>
          <w:sz w:val="32"/>
          <w:szCs w:val="32"/>
          <w14:textFill>
            <w14:solidFill>
              <w14:schemeClr w14:val="tx1"/>
            </w14:solidFill>
          </w14:textFill>
        </w:rPr>
        <w:t>万元，中央财政提前通知转移支付</w:t>
      </w:r>
      <w:r>
        <w:rPr>
          <w:rFonts w:ascii="仿宋_GB2312" w:eastAsia="仿宋_GB2312" w:cs="DengXian-Regular"/>
          <w:color w:val="000000" w:themeColor="text1"/>
          <w:sz w:val="32"/>
          <w:szCs w:val="32"/>
          <w14:textFill>
            <w14:solidFill>
              <w14:schemeClr w14:val="tx1"/>
            </w14:solidFill>
          </w14:textFill>
        </w:rPr>
        <w:t>0</w:t>
      </w:r>
      <w:r>
        <w:rPr>
          <w:rFonts w:hint="eastAsia" w:ascii="仿宋_GB2312" w:eastAsia="仿宋_GB2312" w:cs="DengXian-Regular"/>
          <w:color w:val="000000" w:themeColor="text1"/>
          <w:sz w:val="32"/>
          <w:szCs w:val="32"/>
          <w14:textFill>
            <w14:solidFill>
              <w14:schemeClr w14:val="tx1"/>
            </w14:solidFill>
          </w14:textFill>
        </w:rPr>
        <w:t>万元。预算收入按功能分类包含：一般公共服务支出</w:t>
      </w:r>
      <w:r>
        <w:rPr>
          <w:rFonts w:ascii="仿宋_GB2312" w:eastAsia="仿宋_GB2312" w:cs="DengXian-Regular"/>
          <w:color w:val="000000" w:themeColor="text1"/>
          <w:sz w:val="32"/>
          <w:szCs w:val="32"/>
          <w14:textFill>
            <w14:solidFill>
              <w14:schemeClr w14:val="tx1"/>
            </w14:solidFill>
          </w14:textFill>
        </w:rPr>
        <w:t>664.19</w:t>
      </w:r>
      <w:r>
        <w:rPr>
          <w:rFonts w:hint="eastAsia" w:ascii="仿宋_GB2312" w:eastAsia="仿宋_GB2312" w:cs="DengXian-Regular"/>
          <w:color w:val="000000" w:themeColor="text1"/>
          <w:sz w:val="32"/>
          <w:szCs w:val="32"/>
          <w14:textFill>
            <w14:solidFill>
              <w14:schemeClr w14:val="tx1"/>
            </w14:solidFill>
          </w14:textFill>
        </w:rPr>
        <w:t>万元</w:t>
      </w:r>
      <w:r>
        <w:rPr>
          <w:rFonts w:ascii="仿宋_GB2312" w:eastAsia="仿宋_GB2312" w:cs="DengXian-Regular"/>
          <w:color w:val="000000" w:themeColor="text1"/>
          <w:sz w:val="32"/>
          <w:szCs w:val="32"/>
          <w14:textFill>
            <w14:solidFill>
              <w14:schemeClr w14:val="tx1"/>
            </w14:solidFill>
          </w14:textFill>
        </w:rPr>
        <w:t>，</w:t>
      </w:r>
      <w:r>
        <w:rPr>
          <w:rFonts w:hint="eastAsia" w:ascii="仿宋_GB2312" w:eastAsia="仿宋_GB2312" w:cs="DengXian-Regular"/>
          <w:color w:val="000000" w:themeColor="text1"/>
          <w:sz w:val="32"/>
          <w:szCs w:val="32"/>
          <w14:textFill>
            <w14:solidFill>
              <w14:schemeClr w14:val="tx1"/>
            </w14:solidFill>
          </w14:textFill>
        </w:rPr>
        <w:t>社会保障和就业支出</w:t>
      </w:r>
      <w:r>
        <w:rPr>
          <w:rFonts w:ascii="仿宋_GB2312" w:eastAsia="仿宋_GB2312" w:cs="DengXian-Regular"/>
          <w:color w:val="000000" w:themeColor="text1"/>
          <w:sz w:val="32"/>
          <w:szCs w:val="32"/>
          <w14:textFill>
            <w14:solidFill>
              <w14:schemeClr w14:val="tx1"/>
            </w14:solidFill>
          </w14:textFill>
        </w:rPr>
        <w:t>59.26</w:t>
      </w:r>
      <w:r>
        <w:rPr>
          <w:rFonts w:hint="eastAsia" w:ascii="仿宋_GB2312" w:eastAsia="仿宋_GB2312" w:cs="DengXian-Regular"/>
          <w:color w:val="000000" w:themeColor="text1"/>
          <w:sz w:val="32"/>
          <w:szCs w:val="32"/>
          <w14:textFill>
            <w14:solidFill>
              <w14:schemeClr w14:val="tx1"/>
            </w14:solidFill>
          </w14:textFill>
        </w:rPr>
        <w:t>万元，卫生</w:t>
      </w:r>
      <w:r>
        <w:rPr>
          <w:rFonts w:ascii="仿宋_GB2312" w:eastAsia="仿宋_GB2312" w:cs="DengXian-Regular"/>
          <w:color w:val="000000" w:themeColor="text1"/>
          <w:sz w:val="32"/>
          <w:szCs w:val="32"/>
          <w14:textFill>
            <w14:solidFill>
              <w14:schemeClr w14:val="tx1"/>
            </w14:solidFill>
          </w14:textFill>
        </w:rPr>
        <w:t>健康</w:t>
      </w:r>
      <w:r>
        <w:rPr>
          <w:rFonts w:hint="eastAsia" w:ascii="仿宋_GB2312" w:eastAsia="仿宋_GB2312" w:cs="DengXian-Regular"/>
          <w:color w:val="000000" w:themeColor="text1"/>
          <w:sz w:val="32"/>
          <w:szCs w:val="32"/>
          <w14:textFill>
            <w14:solidFill>
              <w14:schemeClr w14:val="tx1"/>
            </w14:solidFill>
          </w14:textFill>
        </w:rPr>
        <w:t>支出</w:t>
      </w:r>
      <w:r>
        <w:rPr>
          <w:rFonts w:ascii="仿宋_GB2312" w:eastAsia="仿宋_GB2312" w:cs="DengXian-Regular"/>
          <w:color w:val="000000" w:themeColor="text1"/>
          <w:sz w:val="32"/>
          <w:szCs w:val="32"/>
          <w14:textFill>
            <w14:solidFill>
              <w14:schemeClr w14:val="tx1"/>
            </w14:solidFill>
          </w14:textFill>
        </w:rPr>
        <w:t>14.26</w:t>
      </w:r>
      <w:r>
        <w:rPr>
          <w:rFonts w:hint="eastAsia" w:ascii="仿宋_GB2312" w:eastAsia="仿宋_GB2312" w:cs="DengXian-Regular"/>
          <w:color w:val="000000" w:themeColor="text1"/>
          <w:sz w:val="32"/>
          <w:szCs w:val="32"/>
          <w14:textFill>
            <w14:solidFill>
              <w14:schemeClr w14:val="tx1"/>
            </w14:solidFill>
          </w14:textFill>
        </w:rPr>
        <w:t>万元，住房保障支出</w:t>
      </w:r>
      <w:r>
        <w:rPr>
          <w:rFonts w:ascii="仿宋_GB2312" w:eastAsia="仿宋_GB2312" w:cs="DengXian-Regular"/>
          <w:color w:val="000000" w:themeColor="text1"/>
          <w:sz w:val="32"/>
          <w:szCs w:val="32"/>
          <w14:textFill>
            <w14:solidFill>
              <w14:schemeClr w14:val="tx1"/>
            </w14:solidFill>
          </w14:textFill>
        </w:rPr>
        <w:t>15.59</w:t>
      </w:r>
      <w:r>
        <w:rPr>
          <w:rFonts w:hint="eastAsia" w:ascii="仿宋_GB2312" w:eastAsia="仿宋_GB2312" w:cs="DengXian-Regular"/>
          <w:color w:val="000000" w:themeColor="text1"/>
          <w:sz w:val="32"/>
          <w:szCs w:val="32"/>
          <w14:textFill>
            <w14:solidFill>
              <w14:schemeClr w14:val="tx1"/>
            </w14:solidFill>
          </w14:textFill>
        </w:rPr>
        <w:t>万元。</w:t>
      </w:r>
    </w:p>
    <w:p w14:paraId="50C5D690">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2019年区机关</w:t>
      </w:r>
      <w:r>
        <w:rPr>
          <w:rFonts w:ascii="仿宋_GB2312" w:eastAsia="仿宋_GB2312" w:cs="DengXian-Regular"/>
          <w:color w:val="000000" w:themeColor="text1"/>
          <w:sz w:val="32"/>
          <w:szCs w:val="32"/>
          <w14:textFill>
            <w14:solidFill>
              <w14:schemeClr w14:val="tx1"/>
            </w14:solidFill>
          </w14:textFill>
        </w:rPr>
        <w:t>服务中心</w:t>
      </w:r>
      <w:r>
        <w:rPr>
          <w:rFonts w:hint="eastAsia" w:ascii="仿宋_GB2312" w:eastAsia="仿宋_GB2312" w:cs="DengXian-Regular"/>
          <w:color w:val="000000" w:themeColor="text1"/>
          <w:sz w:val="32"/>
          <w:szCs w:val="32"/>
          <w14:textFill>
            <w14:solidFill>
              <w14:schemeClr w14:val="tx1"/>
            </w14:solidFill>
          </w14:textFill>
        </w:rPr>
        <w:t>决算收入</w:t>
      </w:r>
      <w:r>
        <w:rPr>
          <w:rFonts w:ascii="仿宋_GB2312" w:eastAsia="仿宋_GB2312" w:cs="DengXian-Regular"/>
          <w:color w:val="000000" w:themeColor="text1"/>
          <w:sz w:val="32"/>
          <w:szCs w:val="32"/>
          <w14:textFill>
            <w14:solidFill>
              <w14:schemeClr w14:val="tx1"/>
            </w14:solidFill>
          </w14:textFill>
        </w:rPr>
        <w:t>806.01</w:t>
      </w:r>
      <w:r>
        <w:rPr>
          <w:rFonts w:hint="eastAsia" w:ascii="仿宋_GB2312" w:eastAsia="仿宋_GB2312" w:cs="DengXian-Regular"/>
          <w:color w:val="000000" w:themeColor="text1"/>
          <w:sz w:val="32"/>
          <w:szCs w:val="32"/>
          <w14:textFill>
            <w14:solidFill>
              <w14:schemeClr w14:val="tx1"/>
            </w14:solidFill>
          </w14:textFill>
        </w:rPr>
        <w:t>万元，其中：财政拨款收入</w:t>
      </w:r>
      <w:r>
        <w:rPr>
          <w:rFonts w:ascii="仿宋_GB2312" w:eastAsia="仿宋_GB2312" w:cs="DengXian-Regular"/>
          <w:color w:val="000000" w:themeColor="text1"/>
          <w:sz w:val="32"/>
          <w:szCs w:val="32"/>
          <w14:textFill>
            <w14:solidFill>
              <w14:schemeClr w14:val="tx1"/>
            </w14:solidFill>
          </w14:textFill>
        </w:rPr>
        <w:t>805.91</w:t>
      </w:r>
      <w:r>
        <w:rPr>
          <w:rFonts w:hint="eastAsia" w:ascii="仿宋_GB2312" w:eastAsia="仿宋_GB2312" w:cs="DengXian-Regular"/>
          <w:color w:val="000000" w:themeColor="text1"/>
          <w:sz w:val="32"/>
          <w:szCs w:val="32"/>
          <w14:textFill>
            <w14:solidFill>
              <w14:schemeClr w14:val="tx1"/>
            </w14:solidFill>
          </w14:textFill>
        </w:rPr>
        <w:t>万元，其他收入</w:t>
      </w:r>
      <w:r>
        <w:rPr>
          <w:rFonts w:ascii="仿宋_GB2312" w:eastAsia="仿宋_GB2312" w:cs="DengXian-Regular"/>
          <w:color w:val="000000" w:themeColor="text1"/>
          <w:sz w:val="32"/>
          <w:szCs w:val="32"/>
          <w14:textFill>
            <w14:solidFill>
              <w14:schemeClr w14:val="tx1"/>
            </w14:solidFill>
          </w14:textFill>
        </w:rPr>
        <w:t>0.10</w:t>
      </w:r>
      <w:r>
        <w:rPr>
          <w:rFonts w:hint="eastAsia" w:ascii="仿宋_GB2312" w:eastAsia="仿宋_GB2312" w:cs="DengXian-Regular"/>
          <w:color w:val="000000" w:themeColor="text1"/>
          <w:sz w:val="32"/>
          <w:szCs w:val="32"/>
          <w14:textFill>
            <w14:solidFill>
              <w14:schemeClr w14:val="tx1"/>
            </w14:solidFill>
          </w14:textFill>
        </w:rPr>
        <w:t>万元（全部为利息收入）。决算收入按功能分类包含：一般公共服务支出</w:t>
      </w:r>
      <w:r>
        <w:rPr>
          <w:rFonts w:ascii="仿宋_GB2312" w:eastAsia="仿宋_GB2312" w:cs="DengXian-Regular"/>
          <w:color w:val="000000" w:themeColor="text1"/>
          <w:sz w:val="32"/>
          <w:szCs w:val="32"/>
          <w14:textFill>
            <w14:solidFill>
              <w14:schemeClr w14:val="tx1"/>
            </w14:solidFill>
          </w14:textFill>
        </w:rPr>
        <w:t>624.30</w:t>
      </w:r>
      <w:r>
        <w:rPr>
          <w:rFonts w:hint="eastAsia" w:ascii="仿宋_GB2312" w:eastAsia="仿宋_GB2312" w:cs="DengXian-Regular"/>
          <w:color w:val="000000" w:themeColor="text1"/>
          <w:sz w:val="32"/>
          <w:szCs w:val="32"/>
          <w14:textFill>
            <w14:solidFill>
              <w14:schemeClr w14:val="tx1"/>
            </w14:solidFill>
          </w14:textFill>
        </w:rPr>
        <w:t>万元，占比</w:t>
      </w:r>
      <w:r>
        <w:rPr>
          <w:rFonts w:ascii="仿宋_GB2312" w:eastAsia="仿宋_GB2312" w:cs="DengXian-Regular"/>
          <w:color w:val="000000" w:themeColor="text1"/>
          <w:sz w:val="32"/>
          <w:szCs w:val="32"/>
          <w14:textFill>
            <w14:solidFill>
              <w14:schemeClr w14:val="tx1"/>
            </w14:solidFill>
          </w14:textFill>
        </w:rPr>
        <w:t>77.45</w:t>
      </w:r>
      <w:r>
        <w:rPr>
          <w:rFonts w:hint="eastAsia" w:ascii="仿宋_GB2312" w:eastAsia="仿宋_GB2312" w:cs="DengXian-Regular"/>
          <w:color w:val="000000" w:themeColor="text1"/>
          <w:sz w:val="32"/>
          <w:szCs w:val="32"/>
          <w14:textFill>
            <w14:solidFill>
              <w14:schemeClr w14:val="tx1"/>
            </w14:solidFill>
          </w14:textFill>
        </w:rPr>
        <w:t>%；社会保障和就业支出</w:t>
      </w:r>
      <w:r>
        <w:rPr>
          <w:rFonts w:ascii="仿宋_GB2312" w:eastAsia="仿宋_GB2312" w:cs="DengXian-Regular"/>
          <w:color w:val="000000" w:themeColor="text1"/>
          <w:sz w:val="32"/>
          <w:szCs w:val="32"/>
          <w14:textFill>
            <w14:solidFill>
              <w14:schemeClr w14:val="tx1"/>
            </w14:solidFill>
          </w14:textFill>
        </w:rPr>
        <w:t>158.35</w:t>
      </w:r>
      <w:r>
        <w:rPr>
          <w:rFonts w:hint="eastAsia" w:ascii="仿宋_GB2312" w:eastAsia="仿宋_GB2312" w:cs="DengXian-Regular"/>
          <w:color w:val="000000" w:themeColor="text1"/>
          <w:sz w:val="32"/>
          <w:szCs w:val="32"/>
          <w14:textFill>
            <w14:solidFill>
              <w14:schemeClr w14:val="tx1"/>
            </w14:solidFill>
          </w14:textFill>
        </w:rPr>
        <w:t>万元，占比</w:t>
      </w:r>
      <w:r>
        <w:rPr>
          <w:rFonts w:ascii="仿宋_GB2312" w:eastAsia="仿宋_GB2312" w:cs="DengXian-Regular"/>
          <w:color w:val="000000" w:themeColor="text1"/>
          <w:sz w:val="32"/>
          <w:szCs w:val="32"/>
          <w14:textFill>
            <w14:solidFill>
              <w14:schemeClr w14:val="tx1"/>
            </w14:solidFill>
          </w14:textFill>
        </w:rPr>
        <w:t>19.65</w:t>
      </w:r>
      <w:r>
        <w:rPr>
          <w:rFonts w:hint="eastAsia" w:ascii="仿宋_GB2312" w:eastAsia="仿宋_GB2312" w:cs="DengXian-Regular"/>
          <w:color w:val="000000" w:themeColor="text1"/>
          <w:sz w:val="32"/>
          <w:szCs w:val="32"/>
          <w14:textFill>
            <w14:solidFill>
              <w14:schemeClr w14:val="tx1"/>
            </w14:solidFill>
          </w14:textFill>
        </w:rPr>
        <w:t>%；卫生</w:t>
      </w:r>
      <w:r>
        <w:rPr>
          <w:rFonts w:ascii="仿宋_GB2312" w:eastAsia="仿宋_GB2312" w:cs="DengXian-Regular"/>
          <w:color w:val="000000" w:themeColor="text1"/>
          <w:sz w:val="32"/>
          <w:szCs w:val="32"/>
          <w14:textFill>
            <w14:solidFill>
              <w14:schemeClr w14:val="tx1"/>
            </w14:solidFill>
          </w14:textFill>
        </w:rPr>
        <w:t>健康</w:t>
      </w:r>
      <w:r>
        <w:rPr>
          <w:rFonts w:hint="eastAsia" w:ascii="仿宋_GB2312" w:eastAsia="仿宋_GB2312" w:cs="DengXian-Regular"/>
          <w:color w:val="000000" w:themeColor="text1"/>
          <w:sz w:val="32"/>
          <w:szCs w:val="32"/>
          <w:lang w:eastAsia="zh-CN"/>
          <w14:textFill>
            <w14:solidFill>
              <w14:schemeClr w14:val="tx1"/>
            </w14:solidFill>
          </w14:textFill>
        </w:rPr>
        <w:t>支出</w:t>
      </w:r>
      <w:r>
        <w:rPr>
          <w:rFonts w:ascii="仿宋_GB2312" w:eastAsia="仿宋_GB2312" w:cs="DengXian-Regular"/>
          <w:color w:val="000000" w:themeColor="text1"/>
          <w:sz w:val="32"/>
          <w:szCs w:val="32"/>
          <w14:textFill>
            <w14:solidFill>
              <w14:schemeClr w14:val="tx1"/>
            </w14:solidFill>
          </w14:textFill>
        </w:rPr>
        <w:t>7.97</w:t>
      </w:r>
      <w:r>
        <w:rPr>
          <w:rFonts w:hint="eastAsia" w:ascii="仿宋_GB2312" w:eastAsia="仿宋_GB2312" w:cs="DengXian-Regular"/>
          <w:color w:val="000000" w:themeColor="text1"/>
          <w:sz w:val="32"/>
          <w:szCs w:val="32"/>
          <w14:textFill>
            <w14:solidFill>
              <w14:schemeClr w14:val="tx1"/>
            </w14:solidFill>
          </w14:textFill>
        </w:rPr>
        <w:t>万元，占比</w:t>
      </w:r>
      <w:r>
        <w:rPr>
          <w:rFonts w:ascii="仿宋_GB2312" w:eastAsia="仿宋_GB2312" w:cs="DengXian-Regular"/>
          <w:color w:val="000000" w:themeColor="text1"/>
          <w:sz w:val="32"/>
          <w:szCs w:val="32"/>
          <w14:textFill>
            <w14:solidFill>
              <w14:schemeClr w14:val="tx1"/>
            </w14:solidFill>
          </w14:textFill>
        </w:rPr>
        <w:t>0.99</w:t>
      </w:r>
      <w:r>
        <w:rPr>
          <w:rFonts w:hint="eastAsia" w:ascii="仿宋_GB2312" w:eastAsia="仿宋_GB2312" w:cs="DengXian-Regular"/>
          <w:color w:val="000000" w:themeColor="text1"/>
          <w:sz w:val="32"/>
          <w:szCs w:val="32"/>
          <w14:textFill>
            <w14:solidFill>
              <w14:schemeClr w14:val="tx1"/>
            </w14:solidFill>
          </w14:textFill>
        </w:rPr>
        <w:t>%；住房保障支出</w:t>
      </w:r>
      <w:r>
        <w:rPr>
          <w:rFonts w:ascii="仿宋_GB2312" w:eastAsia="仿宋_GB2312" w:cs="DengXian-Regular"/>
          <w:color w:val="000000" w:themeColor="text1"/>
          <w:sz w:val="32"/>
          <w:szCs w:val="32"/>
          <w14:textFill>
            <w14:solidFill>
              <w14:schemeClr w14:val="tx1"/>
            </w14:solidFill>
          </w14:textFill>
        </w:rPr>
        <w:t>15.3</w:t>
      </w:r>
      <w:r>
        <w:rPr>
          <w:rFonts w:hint="eastAsia" w:ascii="仿宋_GB2312" w:eastAsia="仿宋_GB2312" w:cs="DengXian-Regular"/>
          <w:color w:val="000000" w:themeColor="text1"/>
          <w:sz w:val="32"/>
          <w:szCs w:val="32"/>
          <w14:textFill>
            <w14:solidFill>
              <w14:schemeClr w14:val="tx1"/>
            </w14:solidFill>
          </w14:textFill>
        </w:rPr>
        <w:t>9万元，占比</w:t>
      </w:r>
      <w:r>
        <w:rPr>
          <w:rFonts w:ascii="仿宋_GB2312" w:eastAsia="仿宋_GB2312" w:cs="DengXian-Regular"/>
          <w:color w:val="000000" w:themeColor="text1"/>
          <w:sz w:val="32"/>
          <w:szCs w:val="32"/>
          <w14:textFill>
            <w14:solidFill>
              <w14:schemeClr w14:val="tx1"/>
            </w14:solidFill>
          </w14:textFill>
        </w:rPr>
        <w:t>1.91</w:t>
      </w:r>
      <w:r>
        <w:rPr>
          <w:rFonts w:hint="eastAsia" w:ascii="仿宋_GB2312" w:eastAsia="仿宋_GB2312" w:cs="DengXian-Regular"/>
          <w:color w:val="000000" w:themeColor="text1"/>
          <w:sz w:val="32"/>
          <w:szCs w:val="32"/>
          <w14:textFill>
            <w14:solidFill>
              <w14:schemeClr w14:val="tx1"/>
            </w14:solidFill>
          </w14:textFill>
        </w:rPr>
        <w:t>%。具体决算收入详见附件。</w:t>
      </w:r>
    </w:p>
    <w:p w14:paraId="6126BC4F">
      <w:pPr>
        <w:spacing w:after="0" w:line="360" w:lineRule="auto"/>
        <w:ind w:firstLine="640" w:firstLineChars="200"/>
        <w:jc w:val="both"/>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徐水区机关</w:t>
      </w:r>
      <w:r>
        <w:rPr>
          <w:rFonts w:ascii="仿宋_GB2312" w:eastAsia="仿宋_GB2312" w:cs="DengXian-Regular"/>
          <w:color w:val="000000" w:themeColor="text1"/>
          <w:sz w:val="32"/>
          <w:szCs w:val="32"/>
          <w14:textFill>
            <w14:solidFill>
              <w14:schemeClr w14:val="tx1"/>
            </w14:solidFill>
          </w14:textFill>
        </w:rPr>
        <w:t>服务中心</w:t>
      </w:r>
      <w:r>
        <w:rPr>
          <w:rFonts w:hint="eastAsia" w:ascii="仿宋_GB2312" w:eastAsia="仿宋_GB2312" w:cs="DengXian-Regular"/>
          <w:color w:val="000000" w:themeColor="text1"/>
          <w:sz w:val="32"/>
          <w:szCs w:val="32"/>
          <w14:textFill>
            <w14:solidFill>
              <w14:schemeClr w14:val="tx1"/>
            </w14:solidFill>
          </w14:textFill>
        </w:rPr>
        <w:t>一般公共预算财政拨款决算收入比年初预算增加</w:t>
      </w:r>
      <w:r>
        <w:rPr>
          <w:rFonts w:ascii="仿宋_GB2312" w:eastAsia="仿宋_GB2312" w:cs="DengXian-Regular"/>
          <w:color w:val="000000" w:themeColor="text1"/>
          <w:sz w:val="32"/>
          <w:szCs w:val="32"/>
          <w14:textFill>
            <w14:solidFill>
              <w14:schemeClr w14:val="tx1"/>
            </w14:solidFill>
          </w14:textFill>
        </w:rPr>
        <w:t>805.91</w:t>
      </w:r>
      <w:r>
        <w:rPr>
          <w:rFonts w:hint="eastAsia" w:ascii="仿宋_GB2312" w:eastAsia="仿宋_GB2312" w:cs="DengXian-Regular"/>
          <w:color w:val="000000" w:themeColor="text1"/>
          <w:sz w:val="32"/>
          <w:szCs w:val="32"/>
          <w14:textFill>
            <w14:solidFill>
              <w14:schemeClr w14:val="tx1"/>
            </w14:solidFill>
          </w14:textFill>
        </w:rPr>
        <w:t>万元，完成年初预算的</w:t>
      </w:r>
      <w:r>
        <w:rPr>
          <w:rFonts w:ascii="仿宋_GB2312" w:eastAsia="仿宋_GB2312" w:cs="DengXian-Regular"/>
          <w:color w:val="000000" w:themeColor="text1"/>
          <w:sz w:val="32"/>
          <w:szCs w:val="32"/>
          <w14:textFill>
            <w14:solidFill>
              <w14:schemeClr w14:val="tx1"/>
            </w14:solidFill>
          </w14:textFill>
        </w:rPr>
        <w:t>106.98</w:t>
      </w:r>
      <w:r>
        <w:rPr>
          <w:rFonts w:hint="eastAsia" w:ascii="仿宋_GB2312" w:eastAsia="仿宋_GB2312" w:cs="DengXian-Regular"/>
          <w:color w:val="000000" w:themeColor="text1"/>
          <w:sz w:val="32"/>
          <w:szCs w:val="32"/>
          <w14:textFill>
            <w14:solidFill>
              <w14:schemeClr w14:val="tx1"/>
            </w14:solidFill>
          </w14:textFill>
        </w:rPr>
        <w:t>%。决算收入大于预算收入的主要原因是项目经费增加。</w:t>
      </w:r>
      <w:bookmarkStart w:id="12" w:name="_Toc18197"/>
    </w:p>
    <w:p w14:paraId="40E629E0">
      <w:pPr>
        <w:pStyle w:val="4"/>
        <w:spacing w:before="0" w:after="0"/>
        <w:jc w:val="both"/>
        <w:rPr>
          <w:rFonts w:ascii="仿宋_GB2312" w:hAnsiTheme="minorEastAsia"/>
          <w:color w:val="000000" w:themeColor="text1"/>
          <w:sz w:val="32"/>
          <w14:textFill>
            <w14:solidFill>
              <w14:schemeClr w14:val="tx1"/>
            </w14:solidFill>
          </w14:textFill>
        </w:rPr>
      </w:pPr>
      <w:r>
        <w:rPr>
          <w:rFonts w:hint="eastAsia" w:ascii="仿宋_GB2312" w:hAnsiTheme="minorEastAsia"/>
          <w:color w:val="000000" w:themeColor="text1"/>
          <w:sz w:val="32"/>
          <w14:textFill>
            <w14:solidFill>
              <w14:schemeClr w14:val="tx1"/>
            </w14:solidFill>
          </w14:textFill>
        </w:rPr>
        <w:t>（四）预算支出及决算</w:t>
      </w:r>
      <w:bookmarkEnd w:id="10"/>
      <w:bookmarkEnd w:id="11"/>
      <w:r>
        <w:rPr>
          <w:rFonts w:hint="eastAsia" w:ascii="仿宋_GB2312" w:hAnsiTheme="minorEastAsia"/>
          <w:color w:val="000000" w:themeColor="text1"/>
          <w:sz w:val="32"/>
          <w14:textFill>
            <w14:solidFill>
              <w14:schemeClr w14:val="tx1"/>
            </w14:solidFill>
          </w14:textFill>
        </w:rPr>
        <w:t>支出</w:t>
      </w:r>
      <w:bookmarkEnd w:id="12"/>
    </w:p>
    <w:p w14:paraId="6A0D815E">
      <w:pPr>
        <w:spacing w:after="0" w:line="360" w:lineRule="auto"/>
        <w:ind w:firstLine="640" w:firstLineChars="200"/>
        <w:jc w:val="both"/>
        <w:rPr>
          <w:rFonts w:ascii="仿宋_GB2312" w:eastAsia="仿宋_GB2312" w:cs="Times New Roman" w:hAnsiTheme="minorEastAsia"/>
          <w:color w:val="000000" w:themeColor="text1"/>
          <w:sz w:val="32"/>
          <w:szCs w:val="32"/>
          <w:u w:color="000000"/>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2019年度区机关</w:t>
      </w:r>
      <w:r>
        <w:rPr>
          <w:rFonts w:ascii="仿宋_GB2312" w:eastAsia="仿宋_GB2312" w:cs="DengXian-Regular"/>
          <w:color w:val="000000" w:themeColor="text1"/>
          <w:sz w:val="32"/>
          <w:szCs w:val="32"/>
          <w14:textFill>
            <w14:solidFill>
              <w14:schemeClr w14:val="tx1"/>
            </w14:solidFill>
          </w14:textFill>
        </w:rPr>
        <w:t>服务中心</w:t>
      </w:r>
      <w:r>
        <w:rPr>
          <w:rFonts w:hint="eastAsia" w:ascii="仿宋_GB2312" w:eastAsia="仿宋_GB2312" w:cs="Times New Roman" w:hAnsiTheme="minorEastAsia"/>
          <w:color w:val="000000" w:themeColor="text1"/>
          <w:sz w:val="32"/>
          <w:szCs w:val="32"/>
          <w:u w:color="000000"/>
          <w14:textFill>
            <w14:solidFill>
              <w14:schemeClr w14:val="tx1"/>
            </w14:solidFill>
          </w14:textFill>
        </w:rPr>
        <w:t>预算支出安排</w:t>
      </w:r>
      <w:r>
        <w:rPr>
          <w:rFonts w:ascii="仿宋_GB2312" w:eastAsia="仿宋_GB2312" w:cs="Times New Roman" w:hAnsiTheme="minorEastAsia"/>
          <w:color w:val="000000" w:themeColor="text1"/>
          <w:sz w:val="32"/>
          <w:szCs w:val="32"/>
          <w:u w:color="000000"/>
          <w14:textFill>
            <w14:solidFill>
              <w14:schemeClr w14:val="tx1"/>
            </w14:solidFill>
          </w14:textFill>
        </w:rPr>
        <w:t>753.30</w:t>
      </w:r>
      <w:r>
        <w:rPr>
          <w:rFonts w:hint="eastAsia" w:ascii="仿宋_GB2312" w:eastAsia="仿宋_GB2312" w:cs="Times New Roman" w:hAnsiTheme="minorEastAsia"/>
          <w:color w:val="000000" w:themeColor="text1"/>
          <w:sz w:val="32"/>
          <w:szCs w:val="32"/>
          <w:u w:color="000000"/>
          <w14:textFill>
            <w14:solidFill>
              <w14:schemeClr w14:val="tx1"/>
            </w14:solidFill>
          </w14:textFill>
        </w:rPr>
        <w:t>万元，其中：基本支出</w:t>
      </w:r>
      <w:r>
        <w:rPr>
          <w:rFonts w:ascii="仿宋_GB2312" w:eastAsia="仿宋_GB2312" w:cs="Times New Roman" w:hAnsiTheme="minorEastAsia"/>
          <w:color w:val="000000" w:themeColor="text1"/>
          <w:sz w:val="32"/>
          <w:szCs w:val="32"/>
          <w:u w:color="000000"/>
          <w14:textFill>
            <w14:solidFill>
              <w14:schemeClr w14:val="tx1"/>
            </w14:solidFill>
          </w14:textFill>
        </w:rPr>
        <w:t>478.73</w:t>
      </w:r>
      <w:r>
        <w:rPr>
          <w:rFonts w:hint="eastAsia" w:ascii="仿宋_GB2312" w:eastAsia="仿宋_GB2312" w:cs="Times New Roman" w:hAnsiTheme="minorEastAsia"/>
          <w:color w:val="000000" w:themeColor="text1"/>
          <w:sz w:val="32"/>
          <w:szCs w:val="32"/>
          <w:u w:color="000000"/>
          <w14:textFill>
            <w14:solidFill>
              <w14:schemeClr w14:val="tx1"/>
            </w14:solidFill>
          </w14:textFill>
        </w:rPr>
        <w:t>万元，项目支出</w:t>
      </w:r>
      <w:r>
        <w:rPr>
          <w:rFonts w:ascii="仿宋_GB2312" w:eastAsia="仿宋_GB2312" w:cs="Times New Roman" w:hAnsiTheme="minorEastAsia"/>
          <w:color w:val="000000" w:themeColor="text1"/>
          <w:sz w:val="32"/>
          <w:szCs w:val="32"/>
          <w:u w:color="000000"/>
          <w14:textFill>
            <w14:solidFill>
              <w14:schemeClr w14:val="tx1"/>
            </w14:solidFill>
          </w14:textFill>
        </w:rPr>
        <w:t>274.57</w:t>
      </w:r>
      <w:r>
        <w:rPr>
          <w:rFonts w:hint="eastAsia" w:ascii="仿宋_GB2312" w:eastAsia="仿宋_GB2312" w:cs="Times New Roman" w:hAnsiTheme="minorEastAsia"/>
          <w:color w:val="000000" w:themeColor="text1"/>
          <w:sz w:val="32"/>
          <w:szCs w:val="32"/>
          <w:u w:color="000000"/>
          <w14:textFill>
            <w14:solidFill>
              <w14:schemeClr w14:val="tx1"/>
            </w14:solidFill>
          </w14:textFill>
        </w:rPr>
        <w:t>万元。预算支出按功能分类包含：</w:t>
      </w:r>
      <w:r>
        <w:rPr>
          <w:rFonts w:hint="eastAsia" w:ascii="仿宋_GB2312" w:eastAsia="仿宋_GB2312" w:cs="DengXian-Regular"/>
          <w:color w:val="000000" w:themeColor="text1"/>
          <w:sz w:val="32"/>
          <w:szCs w:val="32"/>
          <w14:textFill>
            <w14:solidFill>
              <w14:schemeClr w14:val="tx1"/>
            </w14:solidFill>
          </w14:textFill>
        </w:rPr>
        <w:t>一般公共服务支出</w:t>
      </w:r>
      <w:r>
        <w:rPr>
          <w:rFonts w:ascii="仿宋_GB2312" w:eastAsia="仿宋_GB2312" w:cs="DengXian-Regular"/>
          <w:color w:val="000000" w:themeColor="text1"/>
          <w:sz w:val="32"/>
          <w:szCs w:val="32"/>
          <w14:textFill>
            <w14:solidFill>
              <w14:schemeClr w14:val="tx1"/>
            </w14:solidFill>
          </w14:textFill>
        </w:rPr>
        <w:t>664.19</w:t>
      </w:r>
      <w:r>
        <w:rPr>
          <w:rFonts w:hint="eastAsia" w:ascii="仿宋_GB2312" w:eastAsia="仿宋_GB2312" w:cs="DengXian-Regular"/>
          <w:color w:val="000000" w:themeColor="text1"/>
          <w:sz w:val="32"/>
          <w:szCs w:val="32"/>
          <w14:textFill>
            <w14:solidFill>
              <w14:schemeClr w14:val="tx1"/>
            </w14:solidFill>
          </w14:textFill>
        </w:rPr>
        <w:t>万元</w:t>
      </w:r>
      <w:r>
        <w:rPr>
          <w:rFonts w:ascii="仿宋_GB2312" w:eastAsia="仿宋_GB2312" w:cs="DengXian-Regular"/>
          <w:color w:val="000000" w:themeColor="text1"/>
          <w:sz w:val="32"/>
          <w:szCs w:val="32"/>
          <w14:textFill>
            <w14:solidFill>
              <w14:schemeClr w14:val="tx1"/>
            </w14:solidFill>
          </w14:textFill>
        </w:rPr>
        <w:t>，</w:t>
      </w:r>
      <w:r>
        <w:rPr>
          <w:rFonts w:hint="eastAsia" w:ascii="仿宋_GB2312" w:eastAsia="仿宋_GB2312" w:cs="DengXian-Regular"/>
          <w:color w:val="000000" w:themeColor="text1"/>
          <w:sz w:val="32"/>
          <w:szCs w:val="32"/>
          <w14:textFill>
            <w14:solidFill>
              <w14:schemeClr w14:val="tx1"/>
            </w14:solidFill>
          </w14:textFill>
        </w:rPr>
        <w:t>社会保障和就业支出</w:t>
      </w:r>
      <w:r>
        <w:rPr>
          <w:rFonts w:ascii="仿宋_GB2312" w:eastAsia="仿宋_GB2312" w:cs="DengXian-Regular"/>
          <w:color w:val="000000" w:themeColor="text1"/>
          <w:sz w:val="32"/>
          <w:szCs w:val="32"/>
          <w14:textFill>
            <w14:solidFill>
              <w14:schemeClr w14:val="tx1"/>
            </w14:solidFill>
          </w14:textFill>
        </w:rPr>
        <w:t>59.26</w:t>
      </w:r>
      <w:r>
        <w:rPr>
          <w:rFonts w:hint="eastAsia" w:ascii="仿宋_GB2312" w:eastAsia="仿宋_GB2312" w:cs="DengXian-Regular"/>
          <w:color w:val="000000" w:themeColor="text1"/>
          <w:sz w:val="32"/>
          <w:szCs w:val="32"/>
          <w14:textFill>
            <w14:solidFill>
              <w14:schemeClr w14:val="tx1"/>
            </w14:solidFill>
          </w14:textFill>
        </w:rPr>
        <w:t>万元，卫生</w:t>
      </w:r>
      <w:r>
        <w:rPr>
          <w:rFonts w:ascii="仿宋_GB2312" w:eastAsia="仿宋_GB2312" w:cs="DengXian-Regular"/>
          <w:color w:val="000000" w:themeColor="text1"/>
          <w:sz w:val="32"/>
          <w:szCs w:val="32"/>
          <w14:textFill>
            <w14:solidFill>
              <w14:schemeClr w14:val="tx1"/>
            </w14:solidFill>
          </w14:textFill>
        </w:rPr>
        <w:t>健康</w:t>
      </w:r>
      <w:r>
        <w:rPr>
          <w:rFonts w:hint="eastAsia" w:ascii="仿宋_GB2312" w:eastAsia="仿宋_GB2312" w:cs="DengXian-Regular"/>
          <w:color w:val="000000" w:themeColor="text1"/>
          <w:sz w:val="32"/>
          <w:szCs w:val="32"/>
          <w14:textFill>
            <w14:solidFill>
              <w14:schemeClr w14:val="tx1"/>
            </w14:solidFill>
          </w14:textFill>
        </w:rPr>
        <w:t>支出</w:t>
      </w:r>
      <w:r>
        <w:rPr>
          <w:rFonts w:ascii="仿宋_GB2312" w:eastAsia="仿宋_GB2312" w:cs="DengXian-Regular"/>
          <w:color w:val="000000" w:themeColor="text1"/>
          <w:sz w:val="32"/>
          <w:szCs w:val="32"/>
          <w14:textFill>
            <w14:solidFill>
              <w14:schemeClr w14:val="tx1"/>
            </w14:solidFill>
          </w14:textFill>
        </w:rPr>
        <w:t>14.26</w:t>
      </w:r>
      <w:r>
        <w:rPr>
          <w:rFonts w:hint="eastAsia" w:ascii="仿宋_GB2312" w:eastAsia="仿宋_GB2312" w:cs="DengXian-Regular"/>
          <w:color w:val="000000" w:themeColor="text1"/>
          <w:sz w:val="32"/>
          <w:szCs w:val="32"/>
          <w14:textFill>
            <w14:solidFill>
              <w14:schemeClr w14:val="tx1"/>
            </w14:solidFill>
          </w14:textFill>
        </w:rPr>
        <w:t>万元，住房保障支出</w:t>
      </w:r>
      <w:r>
        <w:rPr>
          <w:rFonts w:ascii="仿宋_GB2312" w:eastAsia="仿宋_GB2312" w:cs="DengXian-Regular"/>
          <w:color w:val="000000" w:themeColor="text1"/>
          <w:sz w:val="32"/>
          <w:szCs w:val="32"/>
          <w14:textFill>
            <w14:solidFill>
              <w14:schemeClr w14:val="tx1"/>
            </w14:solidFill>
          </w14:textFill>
        </w:rPr>
        <w:t>15.59</w:t>
      </w:r>
      <w:r>
        <w:rPr>
          <w:rFonts w:hint="eastAsia" w:ascii="仿宋_GB2312" w:eastAsia="仿宋_GB2312" w:cs="DengXian-Regular"/>
          <w:color w:val="000000" w:themeColor="text1"/>
          <w:sz w:val="32"/>
          <w:szCs w:val="32"/>
          <w14:textFill>
            <w14:solidFill>
              <w14:schemeClr w14:val="tx1"/>
            </w14:solidFill>
          </w14:textFill>
        </w:rPr>
        <w:t>万元。</w:t>
      </w:r>
      <w:r>
        <w:rPr>
          <w:rFonts w:hint="eastAsia" w:ascii="仿宋_GB2312" w:eastAsia="仿宋_GB2312" w:cs="Times New Roman" w:hAnsiTheme="minorEastAsia"/>
          <w:color w:val="000000" w:themeColor="text1"/>
          <w:sz w:val="32"/>
          <w:szCs w:val="32"/>
          <w:u w:color="000000"/>
          <w14:textFill>
            <w14:solidFill>
              <w14:schemeClr w14:val="tx1"/>
            </w14:solidFill>
          </w14:textFill>
        </w:rPr>
        <w:t>具体预算支出详见附件2。</w:t>
      </w:r>
    </w:p>
    <w:p w14:paraId="7BEE68CF">
      <w:pPr>
        <w:spacing w:after="0" w:line="360" w:lineRule="auto"/>
        <w:ind w:firstLine="640" w:firstLineChars="200"/>
        <w:jc w:val="both"/>
        <w:rPr>
          <w:rFonts w:ascii="仿宋_GB2312" w:eastAsia="仿宋_GB2312" w:cs="Times New Roman" w:hAnsiTheme="minorEastAsia"/>
          <w:color w:val="000000" w:themeColor="text1"/>
          <w:sz w:val="32"/>
          <w:szCs w:val="32"/>
          <w:u w:color="000000"/>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2019年度区机关</w:t>
      </w:r>
      <w:r>
        <w:rPr>
          <w:rFonts w:ascii="仿宋_GB2312" w:eastAsia="仿宋_GB2312" w:cs="DengXian-Regular"/>
          <w:color w:val="000000" w:themeColor="text1"/>
          <w:sz w:val="32"/>
          <w:szCs w:val="32"/>
          <w14:textFill>
            <w14:solidFill>
              <w14:schemeClr w14:val="tx1"/>
            </w14:solidFill>
          </w14:textFill>
        </w:rPr>
        <w:t>服务中心</w:t>
      </w:r>
      <w:r>
        <w:rPr>
          <w:rFonts w:hint="eastAsia" w:ascii="仿宋_GB2312" w:eastAsia="仿宋_GB2312" w:cs="DengXian-Regular"/>
          <w:color w:val="000000" w:themeColor="text1"/>
          <w:sz w:val="32"/>
          <w:szCs w:val="32"/>
          <w14:textFill>
            <w14:solidFill>
              <w14:schemeClr w14:val="tx1"/>
            </w14:solidFill>
          </w14:textFill>
        </w:rPr>
        <w:t>单位</w:t>
      </w:r>
      <w:r>
        <w:rPr>
          <w:rFonts w:hint="eastAsia" w:ascii="仿宋_GB2312" w:eastAsia="仿宋_GB2312" w:cs="Times New Roman" w:hAnsiTheme="minorEastAsia"/>
          <w:color w:val="000000" w:themeColor="text1"/>
          <w:sz w:val="32"/>
          <w:szCs w:val="32"/>
          <w:u w:color="000000"/>
          <w14:textFill>
            <w14:solidFill>
              <w14:schemeClr w14:val="tx1"/>
            </w14:solidFill>
          </w14:textFill>
        </w:rPr>
        <w:t>决算支出为</w:t>
      </w:r>
      <w:r>
        <w:rPr>
          <w:rFonts w:ascii="仿宋_GB2312" w:eastAsia="仿宋_GB2312" w:cs="DengXian-Regular"/>
          <w:color w:val="000000" w:themeColor="text1"/>
          <w:sz w:val="32"/>
          <w:szCs w:val="32"/>
          <w14:textFill>
            <w14:solidFill>
              <w14:schemeClr w14:val="tx1"/>
            </w14:solidFill>
          </w14:textFill>
        </w:rPr>
        <w:t>821.53</w:t>
      </w:r>
      <w:r>
        <w:rPr>
          <w:rFonts w:hint="eastAsia" w:ascii="仿宋_GB2312" w:eastAsia="仿宋_GB2312" w:cs="Times New Roman" w:hAnsiTheme="minorEastAsia"/>
          <w:color w:val="000000" w:themeColor="text1"/>
          <w:sz w:val="32"/>
          <w:szCs w:val="32"/>
          <w:u w:color="000000"/>
          <w14:textFill>
            <w14:solidFill>
              <w14:schemeClr w14:val="tx1"/>
            </w14:solidFill>
          </w14:textFill>
        </w:rPr>
        <w:t>万元，其中：基本支出</w:t>
      </w:r>
      <w:r>
        <w:rPr>
          <w:rFonts w:ascii="仿宋_GB2312" w:eastAsia="仿宋_GB2312" w:cs="DengXian-Regular"/>
          <w:color w:val="000000" w:themeColor="text1"/>
          <w:sz w:val="32"/>
          <w:szCs w:val="32"/>
          <w14:textFill>
            <w14:solidFill>
              <w14:schemeClr w14:val="tx1"/>
            </w14:solidFill>
          </w14:textFill>
        </w:rPr>
        <w:t>466.26</w:t>
      </w:r>
      <w:r>
        <w:rPr>
          <w:rFonts w:hint="eastAsia" w:ascii="仿宋_GB2312" w:eastAsia="仿宋_GB2312" w:cs="Times New Roman" w:hAnsiTheme="minorEastAsia"/>
          <w:color w:val="000000" w:themeColor="text1"/>
          <w:sz w:val="32"/>
          <w:szCs w:val="32"/>
          <w:u w:color="000000"/>
          <w14:textFill>
            <w14:solidFill>
              <w14:schemeClr w14:val="tx1"/>
            </w14:solidFill>
          </w14:textFill>
        </w:rPr>
        <w:t>万元，项目支出</w:t>
      </w:r>
      <w:r>
        <w:rPr>
          <w:rFonts w:ascii="仿宋_GB2312" w:eastAsia="仿宋_GB2312" w:cs="DengXian-Regular"/>
          <w:color w:val="000000" w:themeColor="text1"/>
          <w:sz w:val="32"/>
          <w:szCs w:val="32"/>
          <w14:textFill>
            <w14:solidFill>
              <w14:schemeClr w14:val="tx1"/>
            </w14:solidFill>
          </w14:textFill>
        </w:rPr>
        <w:t>355.27</w:t>
      </w:r>
      <w:r>
        <w:rPr>
          <w:rFonts w:hint="eastAsia" w:ascii="仿宋_GB2312" w:eastAsia="仿宋_GB2312" w:cs="Times New Roman" w:hAnsiTheme="minorEastAsia"/>
          <w:color w:val="000000" w:themeColor="text1"/>
          <w:sz w:val="32"/>
          <w:szCs w:val="32"/>
          <w:u w:color="000000"/>
          <w14:textFill>
            <w14:solidFill>
              <w14:schemeClr w14:val="tx1"/>
            </w14:solidFill>
          </w14:textFill>
        </w:rPr>
        <w:t>万元。决算支出按功能分类包含：</w:t>
      </w:r>
      <w:r>
        <w:rPr>
          <w:rFonts w:hint="eastAsia" w:ascii="仿宋_GB2312" w:eastAsia="仿宋_GB2312" w:cs="DengXian-Regular"/>
          <w:color w:val="000000" w:themeColor="text1"/>
          <w:sz w:val="32"/>
          <w:szCs w:val="32"/>
          <w14:textFill>
            <w14:solidFill>
              <w14:schemeClr w14:val="tx1"/>
            </w14:solidFill>
          </w14:textFill>
        </w:rPr>
        <w:t>一般公共服务支出</w:t>
      </w:r>
      <w:r>
        <w:rPr>
          <w:rFonts w:ascii="仿宋_GB2312" w:eastAsia="仿宋_GB2312" w:cs="DengXian-Regular"/>
          <w:color w:val="000000" w:themeColor="text1"/>
          <w:sz w:val="32"/>
          <w:szCs w:val="32"/>
          <w14:textFill>
            <w14:solidFill>
              <w14:schemeClr w14:val="tx1"/>
            </w14:solidFill>
          </w14:textFill>
        </w:rPr>
        <w:t>639.79</w:t>
      </w:r>
      <w:r>
        <w:rPr>
          <w:rFonts w:hint="eastAsia" w:ascii="仿宋_GB2312" w:eastAsia="仿宋_GB2312" w:cs="DengXian-Regular"/>
          <w:color w:val="000000" w:themeColor="text1"/>
          <w:sz w:val="32"/>
          <w:szCs w:val="32"/>
          <w14:textFill>
            <w14:solidFill>
              <w14:schemeClr w14:val="tx1"/>
            </w14:solidFill>
          </w14:textFill>
        </w:rPr>
        <w:t>万元，占</w:t>
      </w:r>
      <w:r>
        <w:rPr>
          <w:rFonts w:ascii="仿宋_GB2312" w:eastAsia="仿宋_GB2312" w:cs="DengXian-Regular"/>
          <w:color w:val="000000" w:themeColor="text1"/>
          <w:sz w:val="32"/>
          <w:szCs w:val="32"/>
          <w14:textFill>
            <w14:solidFill>
              <w14:schemeClr w14:val="tx1"/>
            </w14:solidFill>
          </w14:textFill>
        </w:rPr>
        <w:t>77.88</w:t>
      </w:r>
      <w:r>
        <w:rPr>
          <w:rFonts w:hint="eastAsia" w:ascii="仿宋_GB2312" w:eastAsia="仿宋_GB2312" w:cs="DengXian-Regular"/>
          <w:color w:val="000000" w:themeColor="text1"/>
          <w:sz w:val="32"/>
          <w:szCs w:val="32"/>
          <w14:textFill>
            <w14:solidFill>
              <w14:schemeClr w14:val="tx1"/>
            </w14:solidFill>
          </w14:textFill>
        </w:rPr>
        <w:t xml:space="preserve">%；社会保障和就业支出 </w:t>
      </w:r>
      <w:r>
        <w:rPr>
          <w:rFonts w:ascii="仿宋_GB2312" w:eastAsia="仿宋_GB2312" w:cs="DengXian-Regular"/>
          <w:color w:val="000000" w:themeColor="text1"/>
          <w:sz w:val="32"/>
          <w:szCs w:val="32"/>
          <w14:textFill>
            <w14:solidFill>
              <w14:schemeClr w14:val="tx1"/>
            </w14:solidFill>
          </w14:textFill>
        </w:rPr>
        <w:t>158.38</w:t>
      </w:r>
      <w:r>
        <w:rPr>
          <w:rFonts w:hint="eastAsia" w:ascii="仿宋_GB2312" w:eastAsia="仿宋_GB2312" w:cs="DengXian-Regular"/>
          <w:color w:val="000000" w:themeColor="text1"/>
          <w:sz w:val="32"/>
          <w:szCs w:val="32"/>
          <w14:textFill>
            <w14:solidFill>
              <w14:schemeClr w14:val="tx1"/>
            </w14:solidFill>
          </w14:textFill>
        </w:rPr>
        <w:t>万元，占</w:t>
      </w:r>
      <w:r>
        <w:rPr>
          <w:rFonts w:ascii="仿宋_GB2312" w:eastAsia="仿宋_GB2312" w:cs="DengXian-Regular"/>
          <w:color w:val="000000" w:themeColor="text1"/>
          <w:sz w:val="32"/>
          <w:szCs w:val="32"/>
          <w14:textFill>
            <w14:solidFill>
              <w14:schemeClr w14:val="tx1"/>
            </w14:solidFill>
          </w14:textFill>
        </w:rPr>
        <w:t>19.28</w:t>
      </w:r>
      <w:r>
        <w:rPr>
          <w:rFonts w:hint="eastAsia" w:ascii="仿宋_GB2312" w:eastAsia="仿宋_GB2312" w:cs="DengXian-Regular"/>
          <w:color w:val="000000" w:themeColor="text1"/>
          <w:sz w:val="32"/>
          <w:szCs w:val="32"/>
          <w14:textFill>
            <w14:solidFill>
              <w14:schemeClr w14:val="tx1"/>
            </w14:solidFill>
          </w14:textFill>
        </w:rPr>
        <w:t>%；住房保障支出</w:t>
      </w:r>
      <w:r>
        <w:rPr>
          <w:rFonts w:ascii="仿宋_GB2312" w:eastAsia="仿宋_GB2312" w:cs="DengXian-Regular"/>
          <w:color w:val="000000" w:themeColor="text1"/>
          <w:sz w:val="32"/>
          <w:szCs w:val="32"/>
          <w14:textFill>
            <w14:solidFill>
              <w14:schemeClr w14:val="tx1"/>
            </w14:solidFill>
          </w14:textFill>
        </w:rPr>
        <w:t>15.39</w:t>
      </w:r>
      <w:r>
        <w:rPr>
          <w:rFonts w:hint="eastAsia" w:ascii="仿宋_GB2312" w:eastAsia="仿宋_GB2312" w:cs="DengXian-Regular"/>
          <w:color w:val="000000" w:themeColor="text1"/>
          <w:sz w:val="32"/>
          <w:szCs w:val="32"/>
          <w14:textFill>
            <w14:solidFill>
              <w14:schemeClr w14:val="tx1"/>
            </w14:solidFill>
          </w14:textFill>
        </w:rPr>
        <w:t>万元，占</w:t>
      </w:r>
      <w:r>
        <w:rPr>
          <w:rFonts w:ascii="仿宋_GB2312" w:eastAsia="仿宋_GB2312" w:cs="DengXian-Regular"/>
          <w:color w:val="000000" w:themeColor="text1"/>
          <w:sz w:val="32"/>
          <w:szCs w:val="32"/>
          <w14:textFill>
            <w14:solidFill>
              <w14:schemeClr w14:val="tx1"/>
            </w14:solidFill>
          </w14:textFill>
        </w:rPr>
        <w:t>1.87</w:t>
      </w:r>
      <w:r>
        <w:rPr>
          <w:rFonts w:hint="eastAsia" w:ascii="仿宋_GB2312" w:eastAsia="仿宋_GB2312" w:cs="DengXian-Regular"/>
          <w:color w:val="000000" w:themeColor="text1"/>
          <w:sz w:val="32"/>
          <w:szCs w:val="32"/>
          <w14:textFill>
            <w14:solidFill>
              <w14:schemeClr w14:val="tx1"/>
            </w14:solidFill>
          </w14:textFill>
        </w:rPr>
        <w:t>%;卫生健康</w:t>
      </w:r>
      <w:r>
        <w:rPr>
          <w:rFonts w:ascii="仿宋_GB2312" w:eastAsia="仿宋_GB2312" w:cs="DengXian-Regular"/>
          <w:color w:val="000000" w:themeColor="text1"/>
          <w:sz w:val="32"/>
          <w:szCs w:val="32"/>
          <w14:textFill>
            <w14:solidFill>
              <w14:schemeClr w14:val="tx1"/>
            </w14:solidFill>
          </w14:textFill>
        </w:rPr>
        <w:t>支出7.97</w:t>
      </w:r>
      <w:r>
        <w:rPr>
          <w:rFonts w:hint="eastAsia" w:ascii="仿宋_GB2312" w:eastAsia="仿宋_GB2312" w:cs="DengXian-Regular"/>
          <w:color w:val="000000" w:themeColor="text1"/>
          <w:sz w:val="32"/>
          <w:szCs w:val="32"/>
          <w14:textFill>
            <w14:solidFill>
              <w14:schemeClr w14:val="tx1"/>
            </w14:solidFill>
          </w14:textFill>
        </w:rPr>
        <w:t xml:space="preserve">万元，占 </w:t>
      </w:r>
      <w:r>
        <w:rPr>
          <w:rFonts w:ascii="仿宋_GB2312" w:eastAsia="仿宋_GB2312" w:cs="DengXian-Regular"/>
          <w:color w:val="000000" w:themeColor="text1"/>
          <w:sz w:val="32"/>
          <w:szCs w:val="32"/>
          <w14:textFill>
            <w14:solidFill>
              <w14:schemeClr w14:val="tx1"/>
            </w14:solidFill>
          </w14:textFill>
        </w:rPr>
        <w:t>0.97</w:t>
      </w:r>
      <w:r>
        <w:rPr>
          <w:rFonts w:hint="eastAsia" w:ascii="仿宋_GB2312" w:eastAsia="仿宋_GB2312" w:cs="DengXian-Regular"/>
          <w:color w:val="000000" w:themeColor="text1"/>
          <w:sz w:val="32"/>
          <w:szCs w:val="32"/>
          <w14:textFill>
            <w14:solidFill>
              <w14:schemeClr w14:val="tx1"/>
            </w14:solidFill>
          </w14:textFill>
        </w:rPr>
        <w:t>%；</w:t>
      </w:r>
      <w:r>
        <w:rPr>
          <w:rFonts w:hint="eastAsia" w:ascii="仿宋_GB2312" w:eastAsia="仿宋_GB2312" w:cs="Times New Roman" w:hAnsiTheme="minorEastAsia"/>
          <w:color w:val="000000" w:themeColor="text1"/>
          <w:sz w:val="32"/>
          <w:szCs w:val="32"/>
          <w:u w:color="000000"/>
          <w14:textFill>
            <w14:solidFill>
              <w14:schemeClr w14:val="tx1"/>
            </w14:solidFill>
          </w14:textFill>
        </w:rPr>
        <w:t>。具体决算支出详见附件2。</w:t>
      </w:r>
    </w:p>
    <w:p w14:paraId="29A887CC">
      <w:pPr>
        <w:spacing w:after="0" w:line="360" w:lineRule="auto"/>
        <w:ind w:firstLine="640" w:firstLineChars="200"/>
        <w:jc w:val="both"/>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财政拨款决算支出比年初预算增加56.93万元。决算支出完成年初预算的107.56%。</w:t>
      </w:r>
      <w:r>
        <w:rPr>
          <w:rFonts w:hint="eastAsia" w:ascii="仿宋_GB2312" w:eastAsia="仿宋_GB2312" w:cs="Times New Roman" w:hAnsiTheme="minorEastAsia"/>
          <w:color w:val="000000" w:themeColor="text1"/>
          <w:sz w:val="32"/>
          <w:szCs w:val="32"/>
          <w:u w:color="000000"/>
          <w14:textFill>
            <w14:solidFill>
              <w14:schemeClr w14:val="tx1"/>
            </w14:solidFill>
          </w14:textFill>
        </w:rPr>
        <w:t>决算支出大于预算支出的</w:t>
      </w:r>
      <w:r>
        <w:rPr>
          <w:rFonts w:hint="eastAsia" w:ascii="仿宋_GB2312" w:eastAsia="仿宋_GB2312" w:cs="DengXian-Regular"/>
          <w:color w:val="000000" w:themeColor="text1"/>
          <w:sz w:val="32"/>
          <w:szCs w:val="32"/>
          <w14:textFill>
            <w14:solidFill>
              <w14:schemeClr w14:val="tx1"/>
            </w14:solidFill>
          </w14:textFill>
        </w:rPr>
        <w:t>主要原因是项目经费增加</w:t>
      </w:r>
    </w:p>
    <w:p w14:paraId="21044212">
      <w:pPr>
        <w:spacing w:after="0" w:line="360" w:lineRule="auto"/>
        <w:ind w:firstLine="640" w:firstLineChars="200"/>
        <w:jc w:val="both"/>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徐水区机关</w:t>
      </w:r>
      <w:r>
        <w:rPr>
          <w:rFonts w:ascii="仿宋_GB2312" w:eastAsia="仿宋_GB2312" w:cs="DengXian-Regular"/>
          <w:color w:val="000000" w:themeColor="text1"/>
          <w:sz w:val="32"/>
          <w:szCs w:val="32"/>
          <w14:textFill>
            <w14:solidFill>
              <w14:schemeClr w14:val="tx1"/>
            </w14:solidFill>
          </w14:textFill>
        </w:rPr>
        <w:t>服务中心</w:t>
      </w:r>
      <w:r>
        <w:rPr>
          <w:rFonts w:hint="eastAsia" w:ascii="仿宋_GB2312" w:eastAsia="仿宋_GB2312" w:cs="DengXian-Regular"/>
          <w:color w:val="000000" w:themeColor="text1"/>
          <w:sz w:val="32"/>
          <w:szCs w:val="32"/>
          <w14:textFill>
            <w14:solidFill>
              <w14:schemeClr w14:val="tx1"/>
            </w14:solidFill>
          </w14:textFill>
        </w:rPr>
        <w:t>2019年实际项目支出</w:t>
      </w:r>
      <w:r>
        <w:rPr>
          <w:rFonts w:ascii="仿宋_GB2312" w:eastAsia="仿宋_GB2312" w:cs="DengXian-Regular"/>
          <w:color w:val="000000" w:themeColor="text1"/>
          <w:sz w:val="32"/>
          <w:szCs w:val="32"/>
          <w14:textFill>
            <w14:solidFill>
              <w14:schemeClr w14:val="tx1"/>
            </w14:solidFill>
          </w14:textFill>
        </w:rPr>
        <w:t>355.27</w:t>
      </w:r>
      <w:r>
        <w:rPr>
          <w:rFonts w:hint="eastAsia" w:ascii="仿宋_GB2312" w:eastAsia="仿宋_GB2312" w:cs="DengXian-Regular"/>
          <w:color w:val="000000" w:themeColor="text1"/>
          <w:sz w:val="32"/>
          <w:szCs w:val="32"/>
          <w14:textFill>
            <w14:solidFill>
              <w14:schemeClr w14:val="tx1"/>
            </w14:solidFill>
          </w14:textFill>
        </w:rPr>
        <w:t>万元，决算报表中项目支出</w:t>
      </w:r>
      <w:r>
        <w:rPr>
          <w:rFonts w:ascii="仿宋_GB2312" w:eastAsia="仿宋_GB2312" w:cs="DengXian-Regular"/>
          <w:color w:val="000000" w:themeColor="text1"/>
          <w:sz w:val="32"/>
          <w:szCs w:val="32"/>
          <w14:textFill>
            <w14:solidFill>
              <w14:schemeClr w14:val="tx1"/>
            </w14:solidFill>
          </w14:textFill>
        </w:rPr>
        <w:t>355.27</w:t>
      </w:r>
      <w:r>
        <w:rPr>
          <w:rFonts w:hint="eastAsia" w:ascii="仿宋_GB2312" w:eastAsia="仿宋_GB2312" w:cs="DengXian-Regular"/>
          <w:color w:val="000000" w:themeColor="text1"/>
          <w:sz w:val="32"/>
          <w:szCs w:val="32"/>
          <w14:textFill>
            <w14:solidFill>
              <w14:schemeClr w14:val="tx1"/>
            </w14:solidFill>
          </w14:textFill>
        </w:rPr>
        <w:t>万元，实际支出与决算报表差</w:t>
      </w:r>
      <w:r>
        <w:rPr>
          <w:rFonts w:ascii="仿宋_GB2312" w:eastAsia="仿宋_GB2312" w:cs="DengXian-Regular"/>
          <w:color w:val="000000" w:themeColor="text1"/>
          <w:sz w:val="32"/>
          <w:szCs w:val="32"/>
          <w14:textFill>
            <w14:solidFill>
              <w14:schemeClr w14:val="tx1"/>
            </w14:solidFill>
          </w14:textFill>
        </w:rPr>
        <w:t>0</w:t>
      </w:r>
      <w:r>
        <w:rPr>
          <w:rFonts w:hint="eastAsia" w:ascii="仿宋_GB2312" w:eastAsia="仿宋_GB2312" w:cs="DengXian-Regular"/>
          <w:color w:val="000000" w:themeColor="text1"/>
          <w:sz w:val="32"/>
          <w:szCs w:val="32"/>
          <w14:textFill>
            <w14:solidFill>
              <w14:schemeClr w14:val="tx1"/>
            </w14:solidFill>
          </w14:textFill>
        </w:rPr>
        <w:t>万元。</w:t>
      </w:r>
      <w:r>
        <w:rPr>
          <w:rFonts w:ascii="仿宋_GB2312" w:eastAsia="仿宋_GB2312" w:cs="DengXian-Regular"/>
          <w:color w:val="000000" w:themeColor="text1"/>
          <w:sz w:val="32"/>
          <w:szCs w:val="32"/>
          <w14:textFill>
            <w14:solidFill>
              <w14:schemeClr w14:val="tx1"/>
            </w14:solidFill>
          </w14:textFill>
        </w:rPr>
        <w:t xml:space="preserve"> </w:t>
      </w:r>
    </w:p>
    <w:p w14:paraId="55130C45">
      <w:pPr>
        <w:pStyle w:val="4"/>
        <w:spacing w:before="0" w:after="0"/>
        <w:ind w:firstLine="643" w:firstLineChars="200"/>
        <w:jc w:val="both"/>
        <w:rPr>
          <w:rFonts w:ascii="仿宋_GB2312" w:hAnsi="Tahoma" w:cs="DengXian-Regular"/>
          <w:color w:val="000000" w:themeColor="text1"/>
          <w:sz w:val="32"/>
          <w14:textFill>
            <w14:solidFill>
              <w14:schemeClr w14:val="tx1"/>
            </w14:solidFill>
          </w14:textFill>
        </w:rPr>
      </w:pPr>
      <w:bookmarkStart w:id="13" w:name="_Toc19291"/>
      <w:bookmarkStart w:id="14" w:name="_Toc465149503"/>
      <w:bookmarkStart w:id="15" w:name="_Toc492652769"/>
      <w:r>
        <w:rPr>
          <w:rFonts w:hint="eastAsia" w:ascii="仿宋_GB2312" w:hAnsi="Tahoma" w:cs="DengXian-Regular"/>
          <w:color w:val="000000" w:themeColor="text1"/>
          <w:sz w:val="32"/>
          <w14:textFill>
            <w14:solidFill>
              <w14:schemeClr w14:val="tx1"/>
            </w14:solidFill>
          </w14:textFill>
        </w:rPr>
        <w:t>（五）“三公”经费预算安排及支出情况</w:t>
      </w:r>
      <w:bookmarkEnd w:id="13"/>
      <w:bookmarkEnd w:id="14"/>
      <w:bookmarkEnd w:id="15"/>
    </w:p>
    <w:p w14:paraId="440A96DE">
      <w:pPr>
        <w:spacing w:after="0" w:line="360" w:lineRule="auto"/>
        <w:ind w:firstLine="640" w:firstLineChars="200"/>
        <w:jc w:val="both"/>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2019年机关</w:t>
      </w:r>
      <w:r>
        <w:rPr>
          <w:rFonts w:ascii="仿宋_GB2312" w:eastAsia="仿宋_GB2312" w:cs="DengXian-Regular"/>
          <w:color w:val="000000" w:themeColor="text1"/>
          <w:sz w:val="32"/>
          <w:szCs w:val="32"/>
          <w14:textFill>
            <w14:solidFill>
              <w14:schemeClr w14:val="tx1"/>
            </w14:solidFill>
          </w14:textFill>
        </w:rPr>
        <w:t>服务中心</w:t>
      </w:r>
      <w:r>
        <w:rPr>
          <w:rFonts w:hint="eastAsia" w:ascii="仿宋_GB2312" w:eastAsia="仿宋_GB2312" w:cs="DengXian-Regular"/>
          <w:color w:val="000000" w:themeColor="text1"/>
          <w:sz w:val="32"/>
          <w:szCs w:val="32"/>
          <w14:textFill>
            <w14:solidFill>
              <w14:schemeClr w14:val="tx1"/>
            </w14:solidFill>
          </w14:textFill>
        </w:rPr>
        <w:t>“三公”经费预算</w:t>
      </w:r>
      <w:r>
        <w:rPr>
          <w:rFonts w:ascii="仿宋_GB2312" w:eastAsia="仿宋_GB2312" w:cs="DengXian-Regular"/>
          <w:color w:val="000000" w:themeColor="text1"/>
          <w:sz w:val="32"/>
          <w:szCs w:val="32"/>
          <w14:textFill>
            <w14:solidFill>
              <w14:schemeClr w14:val="tx1"/>
            </w14:solidFill>
          </w14:textFill>
        </w:rPr>
        <w:t>6</w:t>
      </w:r>
      <w:r>
        <w:rPr>
          <w:rFonts w:hint="eastAsia" w:ascii="仿宋_GB2312" w:eastAsia="仿宋_GB2312" w:cs="DengXian-Regular"/>
          <w:color w:val="000000" w:themeColor="text1"/>
          <w:sz w:val="32"/>
          <w:szCs w:val="32"/>
          <w14:textFill>
            <w14:solidFill>
              <w14:schemeClr w14:val="tx1"/>
            </w14:solidFill>
          </w14:textFill>
        </w:rPr>
        <w:t>万元（公务用车运行维护费</w:t>
      </w:r>
      <w:r>
        <w:rPr>
          <w:rFonts w:ascii="仿宋_GB2312" w:eastAsia="仿宋_GB2312" w:cs="DengXian-Regular"/>
          <w:color w:val="000000" w:themeColor="text1"/>
          <w:sz w:val="32"/>
          <w:szCs w:val="32"/>
          <w14:textFill>
            <w14:solidFill>
              <w14:schemeClr w14:val="tx1"/>
            </w14:solidFill>
          </w14:textFill>
        </w:rPr>
        <w:t>6</w:t>
      </w:r>
      <w:r>
        <w:rPr>
          <w:rFonts w:hint="eastAsia" w:ascii="仿宋_GB2312" w:eastAsia="仿宋_GB2312" w:cs="DengXian-Regular"/>
          <w:color w:val="000000" w:themeColor="text1"/>
          <w:sz w:val="32"/>
          <w:szCs w:val="32"/>
          <w14:textFill>
            <w14:solidFill>
              <w14:schemeClr w14:val="tx1"/>
            </w14:solidFill>
          </w14:textFill>
        </w:rPr>
        <w:t>万元，公务接待费</w:t>
      </w:r>
      <w:r>
        <w:rPr>
          <w:rFonts w:ascii="仿宋_GB2312" w:eastAsia="仿宋_GB2312" w:cs="DengXian-Regular"/>
          <w:color w:val="000000" w:themeColor="text1"/>
          <w:sz w:val="32"/>
          <w:szCs w:val="32"/>
          <w14:textFill>
            <w14:solidFill>
              <w14:schemeClr w14:val="tx1"/>
            </w14:solidFill>
          </w14:textFill>
        </w:rPr>
        <w:t>0</w:t>
      </w:r>
      <w:r>
        <w:rPr>
          <w:rFonts w:hint="eastAsia" w:ascii="仿宋_GB2312" w:eastAsia="仿宋_GB2312" w:cs="DengXian-Regular"/>
          <w:color w:val="000000" w:themeColor="text1"/>
          <w:sz w:val="32"/>
          <w:szCs w:val="32"/>
          <w14:textFill>
            <w14:solidFill>
              <w14:schemeClr w14:val="tx1"/>
            </w14:solidFill>
          </w14:textFill>
        </w:rPr>
        <w:t>万元），实际支出</w:t>
      </w:r>
      <w:r>
        <w:rPr>
          <w:rFonts w:ascii="仿宋_GB2312" w:eastAsia="仿宋_GB2312" w:cs="DengXian-Regular"/>
          <w:color w:val="000000" w:themeColor="text1"/>
          <w:sz w:val="32"/>
          <w:szCs w:val="32"/>
          <w14:textFill>
            <w14:solidFill>
              <w14:schemeClr w14:val="tx1"/>
            </w14:solidFill>
          </w14:textFill>
        </w:rPr>
        <w:t>1.99</w:t>
      </w:r>
      <w:r>
        <w:rPr>
          <w:rFonts w:hint="eastAsia" w:ascii="仿宋_GB2312" w:eastAsia="仿宋_GB2312" w:cs="DengXian-Regular"/>
          <w:color w:val="000000" w:themeColor="text1"/>
          <w:sz w:val="32"/>
          <w:szCs w:val="32"/>
          <w14:textFill>
            <w14:solidFill>
              <w14:schemeClr w14:val="tx1"/>
            </w14:solidFill>
          </w14:textFill>
        </w:rPr>
        <w:t>万元（公务用车运行维护费</w:t>
      </w:r>
      <w:r>
        <w:rPr>
          <w:rFonts w:ascii="仿宋_GB2312" w:eastAsia="仿宋_GB2312" w:cs="DengXian-Regular"/>
          <w:color w:val="000000" w:themeColor="text1"/>
          <w:sz w:val="32"/>
          <w:szCs w:val="32"/>
          <w14:textFill>
            <w14:solidFill>
              <w14:schemeClr w14:val="tx1"/>
            </w14:solidFill>
          </w14:textFill>
        </w:rPr>
        <w:t>1.99</w:t>
      </w:r>
      <w:r>
        <w:rPr>
          <w:rFonts w:hint="eastAsia" w:ascii="仿宋_GB2312" w:eastAsia="仿宋_GB2312" w:cs="DengXian-Regular"/>
          <w:color w:val="000000" w:themeColor="text1"/>
          <w:sz w:val="32"/>
          <w:szCs w:val="32"/>
          <w14:textFill>
            <w14:solidFill>
              <w14:schemeClr w14:val="tx1"/>
            </w14:solidFill>
          </w14:textFill>
        </w:rPr>
        <w:t>万元，公务接待费</w:t>
      </w:r>
      <w:r>
        <w:rPr>
          <w:rFonts w:ascii="仿宋_GB2312" w:eastAsia="仿宋_GB2312" w:cs="DengXian-Regular"/>
          <w:color w:val="000000" w:themeColor="text1"/>
          <w:sz w:val="32"/>
          <w:szCs w:val="32"/>
          <w14:textFill>
            <w14:solidFill>
              <w14:schemeClr w14:val="tx1"/>
            </w14:solidFill>
          </w14:textFill>
        </w:rPr>
        <w:t>0</w:t>
      </w:r>
      <w:r>
        <w:rPr>
          <w:rFonts w:hint="eastAsia" w:ascii="仿宋_GB2312" w:eastAsia="仿宋_GB2312" w:cs="DengXian-Regular"/>
          <w:color w:val="000000" w:themeColor="text1"/>
          <w:sz w:val="32"/>
          <w:szCs w:val="32"/>
          <w14:textFill>
            <w14:solidFill>
              <w14:schemeClr w14:val="tx1"/>
            </w14:solidFill>
          </w14:textFill>
        </w:rPr>
        <w:t>万元），比预算减少</w:t>
      </w:r>
      <w:r>
        <w:rPr>
          <w:rFonts w:ascii="仿宋_GB2312" w:eastAsia="仿宋_GB2312" w:cs="DengXian-Regular"/>
          <w:color w:val="000000" w:themeColor="text1"/>
          <w:sz w:val="32"/>
          <w:szCs w:val="32"/>
          <w14:textFill>
            <w14:solidFill>
              <w14:schemeClr w14:val="tx1"/>
            </w14:solidFill>
          </w14:textFill>
        </w:rPr>
        <w:t>4.01</w:t>
      </w:r>
      <w:r>
        <w:rPr>
          <w:rFonts w:hint="eastAsia" w:ascii="仿宋_GB2312" w:eastAsia="仿宋_GB2312" w:cs="DengXian-Regular"/>
          <w:color w:val="000000" w:themeColor="text1"/>
          <w:sz w:val="32"/>
          <w:szCs w:val="32"/>
          <w14:textFill>
            <w14:solidFill>
              <w14:schemeClr w14:val="tx1"/>
            </w14:solidFill>
          </w14:textFill>
        </w:rPr>
        <w:t>万元，节约率6</w:t>
      </w:r>
      <w:r>
        <w:rPr>
          <w:rFonts w:ascii="仿宋_GB2312" w:eastAsia="仿宋_GB2312" w:cs="DengXian-Regular"/>
          <w:color w:val="000000" w:themeColor="text1"/>
          <w:sz w:val="32"/>
          <w:szCs w:val="32"/>
          <w14:textFill>
            <w14:solidFill>
              <w14:schemeClr w14:val="tx1"/>
            </w14:solidFill>
          </w14:textFill>
        </w:rPr>
        <w:t>6.83</w:t>
      </w:r>
      <w:r>
        <w:rPr>
          <w:rFonts w:hint="eastAsia" w:ascii="仿宋_GB2312" w:eastAsia="仿宋_GB2312" w:cs="DengXian-Regular"/>
          <w:color w:val="000000" w:themeColor="text1"/>
          <w:sz w:val="32"/>
          <w:szCs w:val="32"/>
          <w14:textFill>
            <w14:solidFill>
              <w14:schemeClr w14:val="tx1"/>
            </w14:solidFill>
          </w14:textFill>
        </w:rPr>
        <w:t>%。2019年“三公”经费预算数与2018年预算数相比增加</w:t>
      </w:r>
      <w:r>
        <w:rPr>
          <w:rFonts w:ascii="仿宋_GB2312" w:eastAsia="仿宋_GB2312" w:cs="DengXian-Regular"/>
          <w:color w:val="000000" w:themeColor="text1"/>
          <w:sz w:val="32"/>
          <w:szCs w:val="32"/>
          <w14:textFill>
            <w14:solidFill>
              <w14:schemeClr w14:val="tx1"/>
            </w14:solidFill>
          </w14:textFill>
        </w:rPr>
        <w:t>0</w:t>
      </w:r>
      <w:r>
        <w:rPr>
          <w:rFonts w:hint="eastAsia" w:ascii="仿宋_GB2312" w:eastAsia="仿宋_GB2312" w:cs="DengXian-Regular"/>
          <w:color w:val="000000" w:themeColor="text1"/>
          <w:sz w:val="32"/>
          <w:szCs w:val="32"/>
          <w14:textFill>
            <w14:solidFill>
              <w14:schemeClr w14:val="tx1"/>
            </w14:solidFill>
          </w14:textFill>
        </w:rPr>
        <w:t>万元，决算数与2018年实际支出相比，减少3.20万元。具体详见表1。</w:t>
      </w:r>
    </w:p>
    <w:p w14:paraId="4E425BFC">
      <w:pPr>
        <w:spacing w:after="0" w:line="360" w:lineRule="auto"/>
        <w:ind w:firstLine="643" w:firstLineChars="200"/>
        <w:jc w:val="both"/>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表1  区机关服务中心“三公”经费预算及决算明细表</w:t>
      </w:r>
    </w:p>
    <w:p w14:paraId="79B859A4">
      <w:pPr>
        <w:spacing w:after="0" w:line="540" w:lineRule="exact"/>
        <w:ind w:firstLine="640" w:firstLineChars="20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14:paraId="5599E55B">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1024A8">
            <w:pPr>
              <w:spacing w:after="0"/>
              <w:jc w:val="center"/>
              <w:textAlignment w:val="center"/>
              <w:rPr>
                <w:rFonts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86CA4F">
            <w:pPr>
              <w:spacing w:after="0"/>
              <w:jc w:val="center"/>
              <w:textAlignment w:val="center"/>
              <w:rPr>
                <w:rFonts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F64CD0">
            <w:pPr>
              <w:spacing w:after="0"/>
              <w:ind w:firstLine="422" w:firstLineChars="200"/>
              <w:jc w:val="center"/>
              <w:textAlignment w:val="center"/>
              <w:rPr>
                <w:rFonts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2018年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14:paraId="35EF18B7">
            <w:pPr>
              <w:spacing w:after="0"/>
              <w:ind w:firstLine="422" w:firstLineChars="200"/>
              <w:jc w:val="center"/>
              <w:textAlignment w:val="center"/>
              <w:rPr>
                <w:rFonts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2019年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E68A8">
            <w:pPr>
              <w:spacing w:after="0"/>
              <w:ind w:firstLine="422" w:firstLineChars="200"/>
              <w:jc w:val="center"/>
              <w:textAlignment w:val="center"/>
              <w:rPr>
                <w:rFonts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环比情况</w:t>
            </w:r>
          </w:p>
        </w:tc>
      </w:tr>
      <w:tr w14:paraId="3E7AB12F">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49ED67">
            <w:pPr>
              <w:spacing w:after="0"/>
              <w:ind w:firstLine="422" w:firstLineChars="200"/>
              <w:jc w:val="center"/>
              <w:rPr>
                <w:rFonts w:ascii="宋体" w:hAnsi="宋体" w:eastAsia="宋体" w:cs="宋体"/>
                <w:b/>
                <w:bCs/>
                <w:color w:val="000000" w:themeColor="text1"/>
                <w:sz w:val="21"/>
                <w:szCs w:val="21"/>
                <w14:textFill>
                  <w14:solidFill>
                    <w14:schemeClr w14:val="tx1"/>
                  </w14:solidFill>
                </w14:textFill>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3292D8">
            <w:pPr>
              <w:spacing w:after="0"/>
              <w:ind w:firstLine="422" w:firstLineChars="200"/>
              <w:jc w:val="center"/>
              <w:rPr>
                <w:rFonts w:ascii="宋体" w:hAnsi="宋体" w:eastAsia="宋体" w:cs="宋体"/>
                <w:b/>
                <w:bCs/>
                <w:color w:val="000000" w:themeColor="text1"/>
                <w:sz w:val="21"/>
                <w:szCs w:val="21"/>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41065F">
            <w:pPr>
              <w:spacing w:after="0"/>
              <w:jc w:val="center"/>
              <w:textAlignment w:val="center"/>
              <w:rPr>
                <w:rFonts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A81D048">
            <w:pPr>
              <w:spacing w:after="0"/>
              <w:jc w:val="center"/>
              <w:textAlignment w:val="center"/>
              <w:rPr>
                <w:rFonts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63C5497">
            <w:pPr>
              <w:spacing w:after="0"/>
              <w:jc w:val="center"/>
              <w:textAlignment w:val="center"/>
              <w:rPr>
                <w:rFonts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9A5CEED">
            <w:pPr>
              <w:spacing w:after="0"/>
              <w:jc w:val="center"/>
              <w:textAlignment w:val="center"/>
              <w:rPr>
                <w:rFonts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CEB1EE2">
            <w:pPr>
              <w:spacing w:after="0"/>
              <w:jc w:val="center"/>
              <w:textAlignment w:val="center"/>
              <w:rPr>
                <w:rFonts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7591DBF">
            <w:pPr>
              <w:spacing w:after="0"/>
              <w:jc w:val="center"/>
              <w:textAlignment w:val="center"/>
              <w:rPr>
                <w:rFonts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较上年支出增减金额</w:t>
            </w:r>
          </w:p>
        </w:tc>
      </w:tr>
      <w:tr w14:paraId="453E5344">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D1DB7">
            <w:pPr>
              <w:spacing w:after="0"/>
              <w:jc w:val="center"/>
              <w:textAlignment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14:paraId="1FEEBE87">
            <w:pPr>
              <w:spacing w:after="0"/>
              <w:jc w:val="center"/>
              <w:textAlignment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02A68">
            <w:pPr>
              <w:spacing w:after="0"/>
              <w:ind w:firstLine="420" w:firstLineChars="200"/>
              <w:textAlignment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E585D">
            <w:pPr>
              <w:spacing w:after="0"/>
              <w:ind w:firstLine="420" w:firstLineChars="200"/>
              <w:textAlignment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78A84">
            <w:pPr>
              <w:spacing w:after="0"/>
              <w:ind w:firstLine="420" w:firstLineChars="200"/>
              <w:textAlignment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B59E7">
            <w:pPr>
              <w:spacing w:after="0"/>
              <w:ind w:firstLine="420" w:firstLineChars="200"/>
              <w:textAlignment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1E814">
            <w:pPr>
              <w:spacing w:after="0"/>
              <w:ind w:firstLine="420" w:firstLineChars="200"/>
              <w:jc w:val="center"/>
              <w:textAlignment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72BD6">
            <w:pPr>
              <w:spacing w:after="0"/>
              <w:ind w:firstLine="420" w:firstLineChars="200"/>
              <w:textAlignment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w:t>
            </w:r>
          </w:p>
        </w:tc>
      </w:tr>
      <w:tr w14:paraId="07099841">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E8541">
            <w:pPr>
              <w:spacing w:after="0"/>
              <w:jc w:val="center"/>
              <w:textAlignment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8EABCEE">
            <w:pPr>
              <w:spacing w:after="0"/>
              <w:jc w:val="center"/>
              <w:textAlignment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04043">
            <w:pPr>
              <w:spacing w:after="0"/>
              <w:jc w:val="center"/>
              <w:textAlignment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asciiTheme="minorEastAsia" w:hAnsiTheme="minorEastAsia" w:eastAsiaTheme="minorEastAsia" w:cstheme="minorEastAsia"/>
                <w:color w:val="000000" w:themeColor="text1"/>
                <w:sz w:val="21"/>
                <w:szCs w:val="21"/>
                <w14:textFill>
                  <w14:solidFill>
                    <w14:schemeClr w14:val="tx1"/>
                  </w14:solidFill>
                </w14:textFill>
              </w:rPr>
              <w:t>6</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AB728">
            <w:pPr>
              <w:spacing w:after="0"/>
              <w:jc w:val="center"/>
              <w:textAlignment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5.19</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5483F">
            <w:pPr>
              <w:spacing w:after="0"/>
              <w:jc w:val="center"/>
              <w:textAlignment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asciiTheme="minorEastAsia" w:hAnsiTheme="minorEastAsia" w:eastAsiaTheme="minorEastAsia" w:cstheme="minorEastAsia"/>
                <w:color w:val="000000" w:themeColor="text1"/>
                <w:sz w:val="21"/>
                <w:szCs w:val="21"/>
                <w14:textFill>
                  <w14:solidFill>
                    <w14:schemeClr w14:val="tx1"/>
                  </w14:solidFill>
                </w14:textFill>
              </w:rPr>
              <w:t>6</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0A014">
            <w:pPr>
              <w:spacing w:after="0"/>
              <w:jc w:val="center"/>
              <w:textAlignment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asciiTheme="minorEastAsia" w:hAnsiTheme="minorEastAsia" w:eastAsiaTheme="minorEastAsia" w:cstheme="minorEastAsia"/>
                <w:color w:val="000000" w:themeColor="text1"/>
                <w:sz w:val="21"/>
                <w:szCs w:val="21"/>
                <w14:textFill>
                  <w14:solidFill>
                    <w14:schemeClr w14:val="tx1"/>
                  </w14:solidFill>
                </w14:textFill>
              </w:rPr>
              <w:t>1.99</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0DE8B">
            <w:pPr>
              <w:spacing w:after="0"/>
              <w:ind w:firstLine="420" w:firstLineChars="200"/>
              <w:jc w:val="center"/>
              <w:textAlignment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BF373">
            <w:pPr>
              <w:spacing w:after="0"/>
              <w:jc w:val="center"/>
              <w:textAlignment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asciiTheme="minorEastAsia" w:hAnsiTheme="minorEastAsia" w:eastAsiaTheme="minorEastAsia" w:cstheme="minorEastAsia"/>
                <w:color w:val="000000" w:themeColor="text1"/>
                <w:sz w:val="21"/>
                <w:szCs w:val="21"/>
                <w14:textFill>
                  <w14:solidFill>
                    <w14:schemeClr w14:val="tx1"/>
                  </w14:solidFill>
                </w14:textFill>
              </w:rPr>
              <w:t>-3.20</w:t>
            </w:r>
          </w:p>
        </w:tc>
      </w:tr>
      <w:tr w14:paraId="337F3CDE">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366BE">
            <w:pPr>
              <w:spacing w:after="0"/>
              <w:jc w:val="center"/>
              <w:textAlignment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EA90C">
            <w:pPr>
              <w:spacing w:after="0"/>
              <w:jc w:val="center"/>
              <w:textAlignment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E40A9">
            <w:pPr>
              <w:spacing w:after="0"/>
              <w:jc w:val="center"/>
              <w:textAlignment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8A6F3">
            <w:pPr>
              <w:spacing w:after="0"/>
              <w:jc w:val="center"/>
              <w:textAlignment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16CDC">
            <w:pPr>
              <w:spacing w:after="0"/>
              <w:jc w:val="center"/>
              <w:textAlignment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7AD52">
            <w:pPr>
              <w:spacing w:after="0"/>
              <w:jc w:val="center"/>
              <w:textAlignment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58FF3">
            <w:pPr>
              <w:spacing w:after="0"/>
              <w:ind w:firstLine="420" w:firstLineChars="200"/>
              <w:jc w:val="center"/>
              <w:textAlignment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asciiTheme="minorEastAsia" w:hAnsiTheme="minorEastAsia" w:eastAsiaTheme="minorEastAsia" w:cstheme="minorEastAsia"/>
                <w:color w:val="000000" w:themeColor="text1"/>
                <w:sz w:val="21"/>
                <w:szCs w:val="21"/>
                <w14:textFill>
                  <w14:solidFill>
                    <w14:schemeClr w14:val="tx1"/>
                  </w14:solidFill>
                </w14:textFill>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07571">
            <w:pPr>
              <w:spacing w:after="0"/>
              <w:jc w:val="center"/>
              <w:textAlignment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asciiTheme="minorEastAsia" w:hAnsiTheme="minorEastAsia" w:eastAsiaTheme="minorEastAsia" w:cstheme="minorEastAsia"/>
                <w:color w:val="000000" w:themeColor="text1"/>
                <w:sz w:val="21"/>
                <w:szCs w:val="21"/>
                <w14:textFill>
                  <w14:solidFill>
                    <w14:schemeClr w14:val="tx1"/>
                  </w14:solidFill>
                </w14:textFill>
              </w:rPr>
              <w:t>0</w:t>
            </w:r>
          </w:p>
        </w:tc>
      </w:tr>
      <w:tr w14:paraId="1685D6B2">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82E54">
            <w:pPr>
              <w:spacing w:after="0"/>
              <w:jc w:val="center"/>
              <w:textAlignment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AEB98B0">
            <w:pPr>
              <w:spacing w:after="0"/>
              <w:jc w:val="center"/>
              <w:textAlignment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46415">
            <w:pPr>
              <w:spacing w:after="0"/>
              <w:jc w:val="center"/>
              <w:textAlignment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asciiTheme="minorEastAsia" w:hAnsiTheme="minorEastAsia" w:eastAsiaTheme="minorEastAsia" w:cstheme="minorEastAsia"/>
                <w:color w:val="000000" w:themeColor="text1"/>
                <w:sz w:val="21"/>
                <w:szCs w:val="21"/>
                <w14:textFill>
                  <w14:solidFill>
                    <w14:schemeClr w14:val="tx1"/>
                  </w14:solidFill>
                </w14:textFill>
              </w:rPr>
              <w:t>6</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847AB">
            <w:pPr>
              <w:spacing w:after="0"/>
              <w:jc w:val="center"/>
              <w:textAlignment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asciiTheme="minorEastAsia" w:hAnsiTheme="minorEastAsia" w:eastAsiaTheme="minorEastAsia" w:cstheme="minorEastAsia"/>
                <w:color w:val="000000" w:themeColor="text1"/>
                <w:sz w:val="21"/>
                <w:szCs w:val="21"/>
                <w14:textFill>
                  <w14:solidFill>
                    <w14:schemeClr w14:val="tx1"/>
                  </w14:solidFill>
                </w14:textFill>
              </w:rPr>
              <w:t>5.19</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C216B">
            <w:pPr>
              <w:spacing w:after="0"/>
              <w:jc w:val="center"/>
              <w:textAlignment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asciiTheme="minorEastAsia" w:hAnsiTheme="minorEastAsia" w:eastAsiaTheme="minorEastAsia" w:cstheme="minorEastAsia"/>
                <w:color w:val="000000" w:themeColor="text1"/>
                <w:sz w:val="21"/>
                <w:szCs w:val="21"/>
                <w14:textFill>
                  <w14:solidFill>
                    <w14:schemeClr w14:val="tx1"/>
                  </w14:solidFill>
                </w14:textFill>
              </w:rPr>
              <w:t>6</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85E89">
            <w:pPr>
              <w:spacing w:after="0"/>
              <w:jc w:val="center"/>
              <w:textAlignment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asciiTheme="minorEastAsia" w:hAnsiTheme="minorEastAsia" w:eastAsiaTheme="minorEastAsia" w:cstheme="minorEastAsia"/>
                <w:color w:val="000000" w:themeColor="text1"/>
                <w:sz w:val="21"/>
                <w:szCs w:val="21"/>
                <w14:textFill>
                  <w14:solidFill>
                    <w14:schemeClr w14:val="tx1"/>
                  </w14:solidFill>
                </w14:textFill>
              </w:rPr>
              <w:t>1.99</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4241B">
            <w:pPr>
              <w:spacing w:after="0"/>
              <w:ind w:firstLine="420" w:firstLineChars="200"/>
              <w:jc w:val="center"/>
              <w:textAlignment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asciiTheme="minorEastAsia" w:hAnsiTheme="minorEastAsia" w:eastAsiaTheme="minorEastAsia" w:cstheme="minorEastAsia"/>
                <w:color w:val="000000" w:themeColor="text1"/>
                <w:sz w:val="21"/>
                <w:szCs w:val="21"/>
                <w14:textFill>
                  <w14:solidFill>
                    <w14:schemeClr w14:val="tx1"/>
                  </w14:solidFill>
                </w14:textFill>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C34D3">
            <w:pPr>
              <w:spacing w:after="0"/>
              <w:jc w:val="center"/>
              <w:textAlignment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asciiTheme="minorEastAsia" w:hAnsiTheme="minorEastAsia" w:eastAsiaTheme="minorEastAsia" w:cstheme="minorEastAsia"/>
                <w:color w:val="000000" w:themeColor="text1"/>
                <w:sz w:val="21"/>
                <w:szCs w:val="21"/>
                <w14:textFill>
                  <w14:solidFill>
                    <w14:schemeClr w14:val="tx1"/>
                  </w14:solidFill>
                </w14:textFill>
              </w:rPr>
              <w:t>-3.20</w:t>
            </w:r>
          </w:p>
        </w:tc>
      </w:tr>
    </w:tbl>
    <w:p w14:paraId="3ACC44D0">
      <w:pPr>
        <w:spacing w:after="0" w:line="360" w:lineRule="auto"/>
        <w:ind w:firstLine="640" w:firstLineChars="200"/>
        <w:jc w:val="both"/>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1、公务用车：2019年底区机关服务中心车辆合计</w:t>
      </w:r>
      <w:r>
        <w:rPr>
          <w:rFonts w:ascii="仿宋_GB2312" w:eastAsia="仿宋_GB2312" w:cs="DengXian-Regular"/>
          <w:color w:val="000000" w:themeColor="text1"/>
          <w:sz w:val="32"/>
          <w:szCs w:val="32"/>
          <w14:textFill>
            <w14:solidFill>
              <w14:schemeClr w14:val="tx1"/>
            </w14:solidFill>
          </w14:textFill>
        </w:rPr>
        <w:t>2</w:t>
      </w:r>
      <w:r>
        <w:rPr>
          <w:rFonts w:hint="eastAsia" w:ascii="仿宋_GB2312" w:eastAsia="仿宋_GB2312" w:cs="DengXian-Regular"/>
          <w:color w:val="000000" w:themeColor="text1"/>
          <w:sz w:val="32"/>
          <w:szCs w:val="32"/>
          <w14:textFill>
            <w14:solidFill>
              <w14:schemeClr w14:val="tx1"/>
            </w14:solidFill>
          </w14:textFill>
        </w:rPr>
        <w:t>辆，其中应急保障</w:t>
      </w:r>
      <w:r>
        <w:rPr>
          <w:rFonts w:ascii="仿宋_GB2312" w:eastAsia="仿宋_GB2312" w:cs="DengXian-Regular"/>
          <w:color w:val="000000" w:themeColor="text1"/>
          <w:sz w:val="32"/>
          <w:szCs w:val="32"/>
          <w14:textFill>
            <w14:solidFill>
              <w14:schemeClr w14:val="tx1"/>
            </w14:solidFill>
          </w14:textFill>
        </w:rPr>
        <w:t>用车</w:t>
      </w:r>
      <w:r>
        <w:rPr>
          <w:rFonts w:hint="eastAsia" w:ascii="仿宋_GB2312" w:eastAsia="仿宋_GB2312" w:cs="DengXian-Regular"/>
          <w:color w:val="000000" w:themeColor="text1"/>
          <w:sz w:val="32"/>
          <w:szCs w:val="32"/>
          <w14:textFill>
            <w14:solidFill>
              <w14:schemeClr w14:val="tx1"/>
            </w14:solidFill>
          </w14:textFill>
        </w:rPr>
        <w:t>用车</w:t>
      </w:r>
      <w:r>
        <w:rPr>
          <w:rFonts w:ascii="仿宋_GB2312" w:eastAsia="仿宋_GB2312" w:cs="DengXian-Regular"/>
          <w:color w:val="000000" w:themeColor="text1"/>
          <w:sz w:val="32"/>
          <w:szCs w:val="32"/>
          <w14:textFill>
            <w14:solidFill>
              <w14:schemeClr w14:val="tx1"/>
            </w14:solidFill>
          </w14:textFill>
        </w:rPr>
        <w:t>2</w:t>
      </w:r>
      <w:r>
        <w:rPr>
          <w:rFonts w:hint="eastAsia" w:ascii="仿宋_GB2312" w:eastAsia="仿宋_GB2312" w:cs="DengXian-Regular"/>
          <w:color w:val="000000" w:themeColor="text1"/>
          <w:sz w:val="32"/>
          <w:szCs w:val="32"/>
          <w14:textFill>
            <w14:solidFill>
              <w14:schemeClr w14:val="tx1"/>
            </w14:solidFill>
          </w14:textFill>
        </w:rPr>
        <w:t>辆，其他用车</w:t>
      </w:r>
      <w:r>
        <w:rPr>
          <w:rFonts w:ascii="仿宋_GB2312" w:eastAsia="仿宋_GB2312" w:cs="DengXian-Regular"/>
          <w:color w:val="000000" w:themeColor="text1"/>
          <w:sz w:val="32"/>
          <w:szCs w:val="32"/>
          <w14:textFill>
            <w14:solidFill>
              <w14:schemeClr w14:val="tx1"/>
            </w14:solidFill>
          </w14:textFill>
        </w:rPr>
        <w:t>0</w:t>
      </w:r>
      <w:r>
        <w:rPr>
          <w:rFonts w:hint="eastAsia" w:ascii="仿宋_GB2312" w:eastAsia="仿宋_GB2312" w:cs="DengXian-Regular"/>
          <w:color w:val="000000" w:themeColor="text1"/>
          <w:sz w:val="32"/>
          <w:szCs w:val="32"/>
          <w14:textFill>
            <w14:solidFill>
              <w14:schemeClr w14:val="tx1"/>
            </w14:solidFill>
          </w14:textFill>
        </w:rPr>
        <w:t>辆。2019年公务用车购置及运维费年初预算</w:t>
      </w:r>
      <w:r>
        <w:rPr>
          <w:rFonts w:ascii="仿宋_GB2312" w:eastAsia="仿宋_GB2312" w:cs="DengXian-Regular"/>
          <w:color w:val="000000" w:themeColor="text1"/>
          <w:sz w:val="32"/>
          <w:szCs w:val="32"/>
          <w14:textFill>
            <w14:solidFill>
              <w14:schemeClr w14:val="tx1"/>
            </w14:solidFill>
          </w14:textFill>
        </w:rPr>
        <w:t>6</w:t>
      </w:r>
      <w:r>
        <w:rPr>
          <w:rFonts w:hint="eastAsia" w:ascii="仿宋_GB2312" w:eastAsia="仿宋_GB2312" w:cs="DengXian-Regular"/>
          <w:color w:val="000000" w:themeColor="text1"/>
          <w:sz w:val="32"/>
          <w:szCs w:val="32"/>
          <w14:textFill>
            <w14:solidFill>
              <w14:schemeClr w14:val="tx1"/>
            </w14:solidFill>
          </w14:textFill>
        </w:rPr>
        <w:t>万元，实际支出</w:t>
      </w:r>
      <w:r>
        <w:rPr>
          <w:rFonts w:ascii="仿宋_GB2312" w:eastAsia="仿宋_GB2312" w:cs="DengXian-Regular"/>
          <w:color w:val="000000" w:themeColor="text1"/>
          <w:sz w:val="32"/>
          <w:szCs w:val="32"/>
          <w14:textFill>
            <w14:solidFill>
              <w14:schemeClr w14:val="tx1"/>
            </w14:solidFill>
          </w14:textFill>
        </w:rPr>
        <w:t>1.99</w:t>
      </w:r>
      <w:r>
        <w:rPr>
          <w:rFonts w:hint="eastAsia" w:ascii="仿宋_GB2312" w:eastAsia="仿宋_GB2312" w:cs="DengXian-Regular"/>
          <w:color w:val="000000" w:themeColor="text1"/>
          <w:sz w:val="32"/>
          <w:szCs w:val="32"/>
          <w14:textFill>
            <w14:solidFill>
              <w14:schemeClr w14:val="tx1"/>
            </w14:solidFill>
          </w14:textFill>
        </w:rPr>
        <w:t>万元。2019年预算数与2018年预算相比无变化，决算数与2018年实际支出相比，减少3.20万元。</w:t>
      </w:r>
    </w:p>
    <w:p w14:paraId="2A7BCFCD">
      <w:pPr>
        <w:spacing w:after="0" w:line="360" w:lineRule="auto"/>
        <w:ind w:firstLine="640" w:firstLineChars="200"/>
        <w:jc w:val="both"/>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2、公务接待：2019年区机关服务中心公务接待费预算</w:t>
      </w:r>
      <w:r>
        <w:rPr>
          <w:rFonts w:ascii="仿宋_GB2312" w:eastAsia="仿宋_GB2312" w:cs="DengXian-Regular"/>
          <w:color w:val="000000" w:themeColor="text1"/>
          <w:sz w:val="32"/>
          <w:szCs w:val="32"/>
          <w14:textFill>
            <w14:solidFill>
              <w14:schemeClr w14:val="tx1"/>
            </w14:solidFill>
          </w14:textFill>
        </w:rPr>
        <w:t>0</w:t>
      </w:r>
      <w:r>
        <w:rPr>
          <w:rFonts w:hint="eastAsia" w:ascii="仿宋_GB2312" w:eastAsia="仿宋_GB2312" w:cs="DengXian-Regular"/>
          <w:color w:val="000000" w:themeColor="text1"/>
          <w:sz w:val="32"/>
          <w:szCs w:val="32"/>
          <w14:textFill>
            <w14:solidFill>
              <w14:schemeClr w14:val="tx1"/>
            </w14:solidFill>
          </w14:textFill>
        </w:rPr>
        <w:t>万元，实际支出</w:t>
      </w:r>
      <w:r>
        <w:rPr>
          <w:rFonts w:ascii="仿宋_GB2312" w:eastAsia="仿宋_GB2312" w:cs="DengXian-Regular"/>
          <w:color w:val="000000" w:themeColor="text1"/>
          <w:sz w:val="32"/>
          <w:szCs w:val="32"/>
          <w14:textFill>
            <w14:solidFill>
              <w14:schemeClr w14:val="tx1"/>
            </w14:solidFill>
          </w14:textFill>
        </w:rPr>
        <w:t>0</w:t>
      </w:r>
      <w:r>
        <w:rPr>
          <w:rFonts w:hint="eastAsia" w:ascii="仿宋_GB2312" w:eastAsia="仿宋_GB2312" w:cs="DengXian-Regular"/>
          <w:color w:val="000000" w:themeColor="text1"/>
          <w:sz w:val="32"/>
          <w:szCs w:val="32"/>
          <w14:textFill>
            <w14:solidFill>
              <w14:schemeClr w14:val="tx1"/>
            </w14:solidFill>
          </w14:textFill>
        </w:rPr>
        <w:t>万元，比预算增加0万元，节约率</w:t>
      </w:r>
      <w:r>
        <w:rPr>
          <w:rFonts w:ascii="仿宋_GB2312" w:eastAsia="仿宋_GB2312" w:cs="DengXian-Regular"/>
          <w:color w:val="000000" w:themeColor="text1"/>
          <w:sz w:val="32"/>
          <w:szCs w:val="32"/>
          <w14:textFill>
            <w14:solidFill>
              <w14:schemeClr w14:val="tx1"/>
            </w14:solidFill>
          </w14:textFill>
        </w:rPr>
        <w:t>0</w:t>
      </w:r>
      <w:r>
        <w:rPr>
          <w:rFonts w:hint="eastAsia" w:ascii="仿宋_GB2312" w:eastAsia="仿宋_GB2312" w:cs="DengXian-Regular"/>
          <w:color w:val="000000" w:themeColor="text1"/>
          <w:sz w:val="32"/>
          <w:szCs w:val="32"/>
          <w14:textFill>
            <w14:solidFill>
              <w14:schemeClr w14:val="tx1"/>
            </w14:solidFill>
          </w14:textFill>
        </w:rPr>
        <w:t>。2019年预算数与2018年预算相比增加</w:t>
      </w:r>
      <w:r>
        <w:rPr>
          <w:rFonts w:ascii="仿宋_GB2312" w:eastAsia="仿宋_GB2312" w:cs="DengXian-Regular"/>
          <w:color w:val="000000" w:themeColor="text1"/>
          <w:sz w:val="32"/>
          <w:szCs w:val="32"/>
          <w14:textFill>
            <w14:solidFill>
              <w14:schemeClr w14:val="tx1"/>
            </w14:solidFill>
          </w14:textFill>
        </w:rPr>
        <w:t>0</w:t>
      </w:r>
      <w:r>
        <w:rPr>
          <w:rFonts w:hint="eastAsia" w:ascii="仿宋_GB2312" w:eastAsia="仿宋_GB2312" w:cs="DengXian-Regular"/>
          <w:color w:val="000000" w:themeColor="text1"/>
          <w:sz w:val="32"/>
          <w:szCs w:val="32"/>
          <w14:textFill>
            <w14:solidFill>
              <w14:schemeClr w14:val="tx1"/>
            </w14:solidFill>
          </w14:textFill>
        </w:rPr>
        <w:t>万元，决算数与2018年实际支出相比，增加</w:t>
      </w:r>
      <w:r>
        <w:rPr>
          <w:rFonts w:ascii="仿宋_GB2312" w:eastAsia="仿宋_GB2312" w:cs="DengXian-Regular"/>
          <w:color w:val="000000" w:themeColor="text1"/>
          <w:sz w:val="32"/>
          <w:szCs w:val="32"/>
          <w14:textFill>
            <w14:solidFill>
              <w14:schemeClr w14:val="tx1"/>
            </w14:solidFill>
          </w14:textFill>
        </w:rPr>
        <w:t>0</w:t>
      </w:r>
      <w:r>
        <w:rPr>
          <w:rFonts w:hint="eastAsia" w:ascii="仿宋_GB2312" w:eastAsia="仿宋_GB2312" w:cs="DengXian-Regular"/>
          <w:color w:val="000000" w:themeColor="text1"/>
          <w:sz w:val="32"/>
          <w:szCs w:val="32"/>
          <w14:textFill>
            <w14:solidFill>
              <w14:schemeClr w14:val="tx1"/>
            </w14:solidFill>
          </w14:textFill>
        </w:rPr>
        <w:t>万元。</w:t>
      </w:r>
    </w:p>
    <w:p w14:paraId="0880FDC6">
      <w:pPr>
        <w:pStyle w:val="3"/>
        <w:spacing w:before="0" w:after="0" w:line="360" w:lineRule="auto"/>
        <w:ind w:firstLine="643" w:firstLineChars="200"/>
        <w:rPr>
          <w:rFonts w:ascii="黑体" w:hAnsiTheme="minorEastAsia"/>
          <w:color w:val="000000" w:themeColor="text1"/>
          <w:u w:color="000000"/>
          <w14:textFill>
            <w14:solidFill>
              <w14:schemeClr w14:val="tx1"/>
            </w14:solidFill>
          </w14:textFill>
        </w:rPr>
      </w:pPr>
      <w:bookmarkStart w:id="16" w:name="_Toc492652770"/>
      <w:bookmarkStart w:id="17" w:name="_Toc20454"/>
      <w:bookmarkStart w:id="18" w:name="_Toc465149504"/>
      <w:r>
        <w:rPr>
          <w:rFonts w:hint="eastAsia" w:ascii="黑体"/>
          <w:color w:val="000000" w:themeColor="text1"/>
          <w14:textFill>
            <w14:solidFill>
              <w14:schemeClr w14:val="tx1"/>
            </w14:solidFill>
          </w14:textFill>
        </w:rPr>
        <w:t>二、部门整体支出绩效评价指标体系设定情况</w:t>
      </w:r>
      <w:bookmarkEnd w:id="16"/>
      <w:bookmarkEnd w:id="17"/>
    </w:p>
    <w:p w14:paraId="2208972D">
      <w:pPr>
        <w:spacing w:after="0" w:line="360" w:lineRule="auto"/>
        <w:ind w:firstLine="640" w:firstLineChars="200"/>
        <w:jc w:val="both"/>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根据绩效预算管理改革的有关政策和文件规定，绩效评价工作组以绩效预算架构为指导，以部门预算文本及相关资料为基础，制定了部门整体支出绩效评价指标体系。</w:t>
      </w:r>
    </w:p>
    <w:p w14:paraId="7816A2C2">
      <w:pPr>
        <w:spacing w:after="0" w:line="360" w:lineRule="auto"/>
        <w:ind w:firstLine="640" w:firstLineChars="200"/>
        <w:jc w:val="both"/>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部门整体支出绩效评价指标体系设置一级指标4个，二级指标7个，三级指标27个（详见附件3）。指标体系设定满分100分，绩效评价分值≥90为“优”；80≤分值＜90为“良”；60≤分值＜80为“中”；60分以下为“差”。评价指标体系具体构成如下：</w:t>
      </w:r>
      <w:bookmarkStart w:id="19" w:name="_Toc9569"/>
      <w:bookmarkStart w:id="20" w:name="_Toc492652771"/>
    </w:p>
    <w:p w14:paraId="70E8E54F">
      <w:pPr>
        <w:spacing w:after="0" w:line="360" w:lineRule="auto"/>
        <w:ind w:firstLine="643" w:firstLineChars="200"/>
        <w:jc w:val="both"/>
        <w:rPr>
          <w:rFonts w:ascii="楷体_GB2312" w:eastAsia="楷体_GB2312" w:cs="Times New Roman" w:hAnsiTheme="minorEastAsia"/>
          <w:b/>
          <w:bCs/>
          <w:color w:val="000000" w:themeColor="text1"/>
          <w:kern w:val="2"/>
          <w:sz w:val="32"/>
          <w:szCs w:val="32"/>
          <w:u w:color="000000"/>
          <w14:textFill>
            <w14:solidFill>
              <w14:schemeClr w14:val="tx1"/>
            </w14:solidFill>
          </w14:textFill>
        </w:rPr>
      </w:pPr>
      <w:r>
        <w:rPr>
          <w:rFonts w:hint="eastAsia" w:ascii="楷体_GB2312" w:eastAsia="楷体_GB2312" w:cs="Times New Roman" w:hAnsiTheme="minorEastAsia"/>
          <w:b/>
          <w:bCs/>
          <w:color w:val="000000" w:themeColor="text1"/>
          <w:kern w:val="2"/>
          <w:sz w:val="32"/>
          <w:szCs w:val="32"/>
          <w:u w:color="000000"/>
          <w14:textFill>
            <w14:solidFill>
              <w14:schemeClr w14:val="tx1"/>
            </w14:solidFill>
          </w14:textFill>
        </w:rPr>
        <w:t>（一）投入（12分）</w:t>
      </w:r>
      <w:bookmarkEnd w:id="19"/>
      <w:bookmarkEnd w:id="20"/>
    </w:p>
    <w:p w14:paraId="7E4C1546">
      <w:pPr>
        <w:spacing w:after="0" w:line="360" w:lineRule="auto"/>
        <w:ind w:firstLine="640" w:firstLineChars="200"/>
        <w:jc w:val="both"/>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主要反映绩效目标设定是否合理、科学，绩效指标的制定是否清晰、可衡量，预算编制是否完整，项目预算是否细化及在职人员控制情况。</w:t>
      </w:r>
    </w:p>
    <w:p w14:paraId="13ADBD67">
      <w:pPr>
        <w:spacing w:after="0" w:line="360" w:lineRule="auto"/>
        <w:ind w:firstLine="640" w:firstLineChars="200"/>
        <w:jc w:val="both"/>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投入指标指标分值为12分，下设2个二级指标：绩效目标设定和预算配置，6个三级指标：绩效目标合理性、绩效目标科学性、绩效指标明确性、预算编制完整性、项目预算细化率、在职人员控制率。</w:t>
      </w:r>
    </w:p>
    <w:p w14:paraId="2CC378DD">
      <w:pPr>
        <w:pStyle w:val="4"/>
        <w:spacing w:before="0" w:after="0"/>
        <w:ind w:firstLine="643" w:firstLineChars="200"/>
        <w:jc w:val="both"/>
        <w:rPr>
          <w:rFonts w:ascii="楷体" w:hAnsi="楷体" w:eastAsia="楷体"/>
          <w:color w:val="000000" w:themeColor="text1"/>
          <w:sz w:val="32"/>
          <w14:textFill>
            <w14:solidFill>
              <w14:schemeClr w14:val="tx1"/>
            </w14:solidFill>
          </w14:textFill>
        </w:rPr>
      </w:pPr>
      <w:bookmarkStart w:id="21" w:name="_Toc30221"/>
      <w:bookmarkStart w:id="22" w:name="_Toc492652772"/>
      <w:r>
        <w:rPr>
          <w:rFonts w:hint="eastAsia" w:ascii="楷体" w:hAnsi="楷体" w:eastAsia="楷体"/>
          <w:color w:val="000000" w:themeColor="text1"/>
          <w:kern w:val="2"/>
          <w:sz w:val="32"/>
          <w14:textFill>
            <w14:solidFill>
              <w14:schemeClr w14:val="tx1"/>
            </w14:solidFill>
          </w14:textFill>
        </w:rPr>
        <w:t>（二）过程（48分）</w:t>
      </w:r>
      <w:bookmarkEnd w:id="21"/>
      <w:bookmarkEnd w:id="22"/>
    </w:p>
    <w:p w14:paraId="166BBA41">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主要反映预算调整、收入及支出完成情况，“三公”经费、政府采购执行情况，财务管理是否规范、资金使用是否合规，决算真实性。</w:t>
      </w:r>
    </w:p>
    <w:p w14:paraId="401AFE0B">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14:paraId="0FB10D25">
      <w:pPr>
        <w:pStyle w:val="4"/>
        <w:spacing w:before="0" w:after="0"/>
        <w:ind w:firstLine="643" w:firstLineChars="200"/>
        <w:jc w:val="both"/>
        <w:rPr>
          <w:rFonts w:ascii="楷体" w:hAnsi="楷体" w:eastAsia="楷体"/>
          <w:color w:val="000000" w:themeColor="text1"/>
          <w:kern w:val="2"/>
          <w:sz w:val="32"/>
          <w14:textFill>
            <w14:solidFill>
              <w14:schemeClr w14:val="tx1"/>
            </w14:solidFill>
          </w14:textFill>
        </w:rPr>
      </w:pPr>
      <w:bookmarkStart w:id="23" w:name="_Toc492652773"/>
      <w:bookmarkStart w:id="24" w:name="_Toc24932"/>
      <w:r>
        <w:rPr>
          <w:rFonts w:hint="eastAsia" w:ascii="楷体" w:hAnsi="楷体" w:eastAsia="楷体"/>
          <w:color w:val="000000" w:themeColor="text1"/>
          <w:kern w:val="2"/>
          <w:sz w:val="32"/>
          <w14:textFill>
            <w14:solidFill>
              <w14:schemeClr w14:val="tx1"/>
            </w14:solidFill>
          </w14:textFill>
        </w:rPr>
        <w:t>（三）产出（25分）</w:t>
      </w:r>
      <w:bookmarkEnd w:id="23"/>
      <w:bookmarkEnd w:id="24"/>
    </w:p>
    <w:p w14:paraId="10F413D1">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bookmarkStart w:id="25" w:name="_Toc492652774"/>
      <w:r>
        <w:rPr>
          <w:rFonts w:hint="eastAsia" w:ascii="仿宋_GB2312" w:eastAsia="仿宋_GB2312" w:cs="DengXian-Regular"/>
          <w:color w:val="000000" w:themeColor="text1"/>
          <w:sz w:val="32"/>
          <w:szCs w:val="32"/>
          <w14:textFill>
            <w14:solidFill>
              <w14:schemeClr w14:val="tx1"/>
            </w14:solidFill>
          </w14:textFill>
        </w:rPr>
        <w:t>主要反映结转结余率，项目资金使用率</w:t>
      </w:r>
      <w:bookmarkStart w:id="80" w:name="_GoBack"/>
      <w:bookmarkEnd w:id="80"/>
      <w:r>
        <w:rPr>
          <w:rFonts w:hint="eastAsia" w:ascii="仿宋_GB2312" w:eastAsia="仿宋_GB2312" w:cs="DengXian-Regular"/>
          <w:color w:val="000000" w:themeColor="text1"/>
          <w:sz w:val="32"/>
          <w:szCs w:val="32"/>
          <w14:textFill>
            <w14:solidFill>
              <w14:schemeClr w14:val="tx1"/>
            </w14:solidFill>
          </w14:textFill>
        </w:rPr>
        <w:t>。</w:t>
      </w:r>
    </w:p>
    <w:p w14:paraId="1CB07783">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产出指标指标分值为25分，下设1个二级指标：责任履行，5个三级指标：结转结余率、项目资金使用率。</w:t>
      </w:r>
    </w:p>
    <w:p w14:paraId="7036A89F">
      <w:pPr>
        <w:pStyle w:val="4"/>
        <w:spacing w:before="0" w:after="0"/>
        <w:ind w:firstLine="643" w:firstLineChars="200"/>
        <w:jc w:val="both"/>
        <w:rPr>
          <w:rFonts w:ascii="楷体_GB2312" w:eastAsia="楷体_GB2312" w:hAnsiTheme="minorEastAsia"/>
          <w:color w:val="000000" w:themeColor="text1"/>
          <w:sz w:val="32"/>
          <w14:textFill>
            <w14:solidFill>
              <w14:schemeClr w14:val="tx1"/>
            </w14:solidFill>
          </w14:textFill>
        </w:rPr>
      </w:pPr>
      <w:bookmarkStart w:id="26" w:name="_Toc21821"/>
      <w:r>
        <w:rPr>
          <w:rFonts w:hint="eastAsia" w:ascii="楷体_GB2312" w:eastAsia="楷体_GB2312" w:hAnsiTheme="minorEastAsia"/>
          <w:color w:val="000000" w:themeColor="text1"/>
          <w:kern w:val="2"/>
          <w:sz w:val="32"/>
          <w14:textFill>
            <w14:solidFill>
              <w14:schemeClr w14:val="tx1"/>
            </w14:solidFill>
          </w14:textFill>
        </w:rPr>
        <w:t>（四）效果（15分）</w:t>
      </w:r>
      <w:bookmarkEnd w:id="25"/>
      <w:bookmarkEnd w:id="26"/>
    </w:p>
    <w:p w14:paraId="41D7336D">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bookmarkStart w:id="27" w:name="_Toc492652775"/>
      <w:r>
        <w:rPr>
          <w:rFonts w:hint="eastAsia" w:ascii="仿宋_GB2312" w:eastAsia="仿宋_GB2312" w:cs="DengXian-Regular"/>
          <w:color w:val="000000" w:themeColor="text1"/>
          <w:sz w:val="32"/>
          <w:szCs w:val="32"/>
          <w14:textFill>
            <w14:solidFill>
              <w14:schemeClr w14:val="tx1"/>
            </w14:solidFill>
          </w14:textFill>
        </w:rPr>
        <w:t>主要反映部门履行职责对社会发展所带来的直接或间接效益及社会公众或部门的服务对象对部门履职效果的满意程度。</w:t>
      </w:r>
    </w:p>
    <w:p w14:paraId="1ACC22AC">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效果指标指标分值15分，下设1个二级指标：履职效率，2个三级指标：部门整体效益和考核满意度。</w:t>
      </w:r>
    </w:p>
    <w:p w14:paraId="577DDB6D">
      <w:pPr>
        <w:pStyle w:val="3"/>
        <w:spacing w:before="0" w:after="0" w:line="360" w:lineRule="auto"/>
        <w:ind w:firstLine="643" w:firstLineChars="200"/>
        <w:rPr>
          <w:rFonts w:ascii="黑体"/>
          <w:color w:val="000000" w:themeColor="text1"/>
          <w14:textFill>
            <w14:solidFill>
              <w14:schemeClr w14:val="tx1"/>
            </w14:solidFill>
          </w14:textFill>
        </w:rPr>
      </w:pPr>
      <w:bookmarkStart w:id="28" w:name="_Toc11842"/>
      <w:r>
        <w:rPr>
          <w:rFonts w:hint="eastAsia" w:ascii="黑体"/>
          <w:color w:val="000000" w:themeColor="text1"/>
          <w14:textFill>
            <w14:solidFill>
              <w14:schemeClr w14:val="tx1"/>
            </w14:solidFill>
          </w14:textFill>
        </w:rPr>
        <w:t>三、综合绩效评价工作情况</w:t>
      </w:r>
      <w:bookmarkEnd w:id="18"/>
      <w:bookmarkEnd w:id="27"/>
      <w:bookmarkEnd w:id="28"/>
      <w:bookmarkStart w:id="29" w:name="_Toc492652776"/>
      <w:bookmarkStart w:id="30" w:name="_Toc465149505"/>
    </w:p>
    <w:p w14:paraId="6DED17C6">
      <w:pPr>
        <w:pStyle w:val="4"/>
        <w:spacing w:before="0" w:after="0"/>
        <w:ind w:firstLine="643" w:firstLineChars="200"/>
        <w:jc w:val="both"/>
        <w:rPr>
          <w:rFonts w:ascii="楷体_GB2312" w:eastAsia="楷体_GB2312" w:hAnsiTheme="minorEastAsia"/>
          <w:color w:val="000000" w:themeColor="text1"/>
          <w:sz w:val="32"/>
          <w14:textFill>
            <w14:solidFill>
              <w14:schemeClr w14:val="tx1"/>
            </w14:solidFill>
          </w14:textFill>
        </w:rPr>
      </w:pPr>
      <w:bookmarkStart w:id="31" w:name="_Toc17138"/>
      <w:r>
        <w:rPr>
          <w:rFonts w:hint="eastAsia" w:ascii="楷体_GB2312" w:eastAsia="楷体_GB2312" w:hAnsiTheme="minorEastAsia"/>
          <w:color w:val="000000" w:themeColor="text1"/>
          <w:kern w:val="2"/>
          <w:sz w:val="32"/>
          <w14:textFill>
            <w14:solidFill>
              <w14:schemeClr w14:val="tx1"/>
            </w14:solidFill>
          </w14:textFill>
        </w:rPr>
        <w:t>（一）绩效评价目的</w:t>
      </w:r>
      <w:bookmarkEnd w:id="29"/>
      <w:bookmarkEnd w:id="30"/>
      <w:bookmarkEnd w:id="31"/>
    </w:p>
    <w:p w14:paraId="12F1A05D">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bookmarkStart w:id="32" w:name="_Toc492652777"/>
      <w:bookmarkStart w:id="33" w:name="_Toc465149506"/>
      <w:r>
        <w:rPr>
          <w:rFonts w:hint="eastAsia" w:ascii="仿宋_GB2312" w:eastAsia="仿宋_GB2312" w:cs="DengXian-Regular"/>
          <w:color w:val="000000" w:themeColor="text1"/>
          <w:sz w:val="32"/>
          <w:szCs w:val="32"/>
          <w14:textFill>
            <w14:solidFill>
              <w14:schemeClr w14:val="tx1"/>
            </w14:solidFill>
          </w14:textFill>
        </w:rPr>
        <w:t>通过对区机关服务中心2019年部门整体支出绩效评价，了解部门整体资金预算情况、实际收支情况及结转结余情况；绩效目标和指标的设置及完成情况；部门履职对社会发展所带来的直接或间接影响及服务对象对部门履职效果的满意程度。</w:t>
      </w:r>
    </w:p>
    <w:p w14:paraId="06D005D7">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部门整体支出绩效评价工作促使相关部门根据绩效评价过程中发现的问题，及时整改并总结经验，提高部门管理水平，牢固树立预算绩效理念，强化部门支出责任，提高预算执行效率和财政资金使用效益。</w:t>
      </w:r>
    </w:p>
    <w:p w14:paraId="4AC3B628">
      <w:pPr>
        <w:pStyle w:val="4"/>
        <w:spacing w:before="0" w:after="0"/>
        <w:ind w:firstLine="643" w:firstLineChars="200"/>
        <w:jc w:val="both"/>
        <w:rPr>
          <w:rFonts w:ascii="楷体_GB2312" w:eastAsia="楷体_GB2312" w:hAnsiTheme="minorEastAsia"/>
          <w:color w:val="000000" w:themeColor="text1"/>
          <w:kern w:val="2"/>
          <w:sz w:val="32"/>
          <w14:textFill>
            <w14:solidFill>
              <w14:schemeClr w14:val="tx1"/>
            </w14:solidFill>
          </w14:textFill>
        </w:rPr>
      </w:pPr>
      <w:bookmarkStart w:id="34" w:name="_Toc11607"/>
      <w:r>
        <w:rPr>
          <w:rFonts w:hint="eastAsia" w:ascii="楷体_GB2312" w:eastAsia="楷体_GB2312" w:hAnsiTheme="minorEastAsia"/>
          <w:color w:val="000000" w:themeColor="text1"/>
          <w:kern w:val="2"/>
          <w:sz w:val="32"/>
          <w14:textFill>
            <w14:solidFill>
              <w14:schemeClr w14:val="tx1"/>
            </w14:solidFill>
          </w14:textFill>
        </w:rPr>
        <w:t>（二）绩效评价依据</w:t>
      </w:r>
      <w:bookmarkEnd w:id="32"/>
      <w:bookmarkEnd w:id="33"/>
      <w:bookmarkEnd w:id="34"/>
    </w:p>
    <w:p w14:paraId="05F2B409">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bookmarkStart w:id="35" w:name="_Toc465149507"/>
      <w:r>
        <w:rPr>
          <w:rFonts w:hint="eastAsia" w:ascii="仿宋_GB2312" w:eastAsia="仿宋_GB2312" w:cs="DengXian-Regular"/>
          <w:color w:val="000000" w:themeColor="text1"/>
          <w:sz w:val="32"/>
          <w:szCs w:val="32"/>
          <w14:textFill>
            <w14:solidFill>
              <w14:schemeClr w14:val="tx1"/>
            </w14:solidFill>
          </w14:textFill>
        </w:rPr>
        <w:t>1.</w:t>
      </w:r>
      <w:r>
        <w:rPr>
          <w:rFonts w:ascii="仿宋_GB2312" w:eastAsia="仿宋_GB2312" w:cs="DengXian-Regular"/>
          <w:color w:val="000000" w:themeColor="text1"/>
          <w:sz w:val="32"/>
          <w:szCs w:val="32"/>
          <w14:textFill>
            <w14:solidFill>
              <w14:schemeClr w14:val="tx1"/>
            </w14:solidFill>
          </w14:textFill>
        </w:rPr>
        <w:t>《中华人民共和国预算法》；</w:t>
      </w:r>
    </w:p>
    <w:p w14:paraId="280E233E">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2.中共中央国务院《关于全面实施预算绩效管理的意见》（中发〔2018〕34号）；</w:t>
      </w:r>
    </w:p>
    <w:p w14:paraId="6803E93B">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3.</w:t>
      </w:r>
      <w:r>
        <w:rPr>
          <w:rFonts w:ascii="仿宋_GB2312" w:eastAsia="仿宋_GB2312" w:cs="DengXian-Regular"/>
          <w:color w:val="000000" w:themeColor="text1"/>
          <w:sz w:val="32"/>
          <w:szCs w:val="32"/>
          <w14:textFill>
            <w14:solidFill>
              <w14:schemeClr w14:val="tx1"/>
            </w14:solidFill>
          </w14:textFill>
        </w:rPr>
        <w:t>《河北省财政支出绩效评价管理办法》（冀财预</w:t>
      </w:r>
      <w:r>
        <w:rPr>
          <w:rFonts w:hint="eastAsia" w:ascii="仿宋_GB2312" w:eastAsia="仿宋_GB2312" w:cs="DengXian-Regular"/>
          <w:color w:val="000000" w:themeColor="text1"/>
          <w:sz w:val="32"/>
          <w:szCs w:val="32"/>
          <w14:textFill>
            <w14:solidFill>
              <w14:schemeClr w14:val="tx1"/>
            </w14:solidFill>
          </w14:textFill>
        </w:rPr>
        <w:t xml:space="preserve">〔2011〕68号）； </w:t>
      </w:r>
    </w:p>
    <w:p w14:paraId="520AC735">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4.中共河北省委河北省人民政府</w:t>
      </w:r>
      <w:r>
        <w:rPr>
          <w:rFonts w:ascii="仿宋_GB2312" w:eastAsia="仿宋_GB2312" w:cs="DengXian-Regular"/>
          <w:color w:val="000000" w:themeColor="text1"/>
          <w:sz w:val="32"/>
          <w:szCs w:val="32"/>
          <w14:textFill>
            <w14:solidFill>
              <w14:schemeClr w14:val="tx1"/>
            </w14:solidFill>
          </w14:textFill>
        </w:rPr>
        <w:t>《</w:t>
      </w:r>
      <w:r>
        <w:rPr>
          <w:rFonts w:hint="eastAsia" w:ascii="仿宋_GB2312" w:eastAsia="仿宋_GB2312" w:cs="DengXian-Regular"/>
          <w:color w:val="000000" w:themeColor="text1"/>
          <w:sz w:val="32"/>
          <w:szCs w:val="32"/>
          <w14:textFill>
            <w14:solidFill>
              <w14:schemeClr w14:val="tx1"/>
            </w14:solidFill>
          </w14:textFill>
        </w:rPr>
        <w:t>关于全面实施预算绩效管理的实施意见</w:t>
      </w:r>
      <w:r>
        <w:rPr>
          <w:rFonts w:ascii="仿宋_GB2312" w:eastAsia="仿宋_GB2312" w:cs="DengXian-Regular"/>
          <w:color w:val="000000" w:themeColor="text1"/>
          <w:sz w:val="32"/>
          <w:szCs w:val="32"/>
          <w14:textFill>
            <w14:solidFill>
              <w14:schemeClr w14:val="tx1"/>
            </w14:solidFill>
          </w14:textFill>
        </w:rPr>
        <w:t>》（冀</w:t>
      </w:r>
      <w:r>
        <w:rPr>
          <w:rFonts w:hint="eastAsia" w:ascii="仿宋_GB2312" w:eastAsia="仿宋_GB2312" w:cs="DengXian-Regular"/>
          <w:color w:val="000000" w:themeColor="text1"/>
          <w:sz w:val="32"/>
          <w:szCs w:val="32"/>
          <w14:textFill>
            <w14:solidFill>
              <w14:schemeClr w14:val="tx1"/>
            </w14:solidFill>
          </w14:textFill>
        </w:rPr>
        <w:t>发〔2018〕54</w:t>
      </w:r>
      <w:r>
        <w:rPr>
          <w:rFonts w:ascii="仿宋_GB2312" w:eastAsia="仿宋_GB2312" w:cs="DengXian-Regular"/>
          <w:color w:val="000000" w:themeColor="text1"/>
          <w:sz w:val="32"/>
          <w:szCs w:val="32"/>
          <w14:textFill>
            <w14:solidFill>
              <w14:schemeClr w14:val="tx1"/>
            </w14:solidFill>
          </w14:textFill>
        </w:rPr>
        <w:t>号）</w:t>
      </w:r>
      <w:r>
        <w:rPr>
          <w:rFonts w:hint="eastAsia" w:ascii="仿宋_GB2312" w:eastAsia="仿宋_GB2312" w:cs="DengXian-Regular"/>
          <w:color w:val="000000" w:themeColor="text1"/>
          <w:sz w:val="32"/>
          <w:szCs w:val="32"/>
          <w14:textFill>
            <w14:solidFill>
              <w14:schemeClr w14:val="tx1"/>
            </w14:solidFill>
          </w14:textFill>
        </w:rPr>
        <w:t>；</w:t>
      </w:r>
    </w:p>
    <w:p w14:paraId="08DA1384">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5.保定市徐水区财政局《关于印发绩效评价工作规划（2016-2020年）的通知》（徐政财字〔2016〕45号）；</w:t>
      </w:r>
    </w:p>
    <w:p w14:paraId="01D9B563">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6.保定市徐水区财政局《关于印发&lt;全面实施预算绩效管理推进工作方案&gt;的通知》（徐政财字〔2019〕33号）；</w:t>
      </w:r>
    </w:p>
    <w:p w14:paraId="741E4520">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7.其他与部门绩效评价工作相关的文件。</w:t>
      </w:r>
      <w:bookmarkStart w:id="36" w:name="_Toc492652778"/>
    </w:p>
    <w:p w14:paraId="62276B3B">
      <w:pPr>
        <w:pStyle w:val="4"/>
        <w:spacing w:before="0" w:after="0"/>
        <w:ind w:firstLine="643" w:firstLineChars="200"/>
        <w:jc w:val="both"/>
        <w:rPr>
          <w:rFonts w:ascii="楷体_GB2312" w:eastAsia="楷体_GB2312" w:hAnsiTheme="minorEastAsia"/>
          <w:color w:val="000000" w:themeColor="text1"/>
          <w:kern w:val="2"/>
          <w:sz w:val="32"/>
          <w14:textFill>
            <w14:solidFill>
              <w14:schemeClr w14:val="tx1"/>
            </w14:solidFill>
          </w14:textFill>
        </w:rPr>
      </w:pPr>
      <w:bookmarkStart w:id="37" w:name="_Toc7609"/>
      <w:r>
        <w:rPr>
          <w:rFonts w:hint="eastAsia" w:ascii="楷体_GB2312" w:eastAsia="楷体_GB2312" w:hAnsiTheme="minorEastAsia"/>
          <w:color w:val="000000" w:themeColor="text1"/>
          <w:kern w:val="2"/>
          <w:sz w:val="32"/>
          <w14:textFill>
            <w14:solidFill>
              <w14:schemeClr w14:val="tx1"/>
            </w14:solidFill>
          </w14:textFill>
        </w:rPr>
        <w:t>（三）绩效评价</w:t>
      </w:r>
      <w:bookmarkEnd w:id="36"/>
      <w:r>
        <w:rPr>
          <w:rFonts w:hint="eastAsia" w:ascii="楷体_GB2312" w:eastAsia="楷体_GB2312" w:hAnsiTheme="minorEastAsia"/>
          <w:color w:val="000000" w:themeColor="text1"/>
          <w:kern w:val="2"/>
          <w:sz w:val="32"/>
          <w14:textFill>
            <w14:solidFill>
              <w14:schemeClr w14:val="tx1"/>
            </w14:solidFill>
          </w14:textFill>
        </w:rPr>
        <w:t>内容</w:t>
      </w:r>
      <w:bookmarkEnd w:id="37"/>
    </w:p>
    <w:bookmarkEnd w:id="35"/>
    <w:p w14:paraId="276C9B67">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bookmarkStart w:id="38" w:name="_Toc465149508"/>
      <w:bookmarkStart w:id="39" w:name="_Toc492652779"/>
      <w:r>
        <w:rPr>
          <w:rFonts w:hint="eastAsia" w:ascii="仿宋_GB2312" w:eastAsia="仿宋_GB2312" w:cs="DengXian-Regular"/>
          <w:color w:val="000000" w:themeColor="text1"/>
          <w:sz w:val="32"/>
          <w:szCs w:val="32"/>
          <w14:textFill>
            <w14:solidFill>
              <w14:schemeClr w14:val="tx1"/>
            </w14:solidFill>
          </w14:textFill>
        </w:rPr>
        <w:t>区机关服务</w:t>
      </w:r>
      <w:r>
        <w:rPr>
          <w:rFonts w:ascii="仿宋_GB2312" w:eastAsia="仿宋_GB2312" w:cs="DengXian-Regular"/>
          <w:color w:val="000000" w:themeColor="text1"/>
          <w:sz w:val="32"/>
          <w:szCs w:val="32"/>
          <w14:textFill>
            <w14:solidFill>
              <w14:schemeClr w14:val="tx1"/>
            </w14:solidFill>
          </w14:textFill>
        </w:rPr>
        <w:t>中心</w:t>
      </w:r>
      <w:r>
        <w:rPr>
          <w:rFonts w:hint="eastAsia" w:ascii="仿宋_GB2312" w:eastAsia="仿宋_GB2312" w:cs="DengXian-Regular"/>
          <w:color w:val="000000" w:themeColor="text1"/>
          <w:sz w:val="32"/>
          <w:szCs w:val="32"/>
          <w14:textFill>
            <w14:solidFill>
              <w14:schemeClr w14:val="tx1"/>
            </w14:solidFill>
          </w14:textFill>
        </w:rPr>
        <w:t>2019年部门整体支出绩效目标和指标的设置及完成情况；资金预算情况、实际收支情况及结转结余情况；部门履职对社会发展所带来的直接或间接影响及服务对象对部门履职效果的满意程度。</w:t>
      </w:r>
    </w:p>
    <w:p w14:paraId="4D97044D">
      <w:pPr>
        <w:pStyle w:val="4"/>
        <w:spacing w:before="0" w:after="0"/>
        <w:ind w:firstLine="643" w:firstLineChars="200"/>
        <w:jc w:val="both"/>
        <w:rPr>
          <w:rFonts w:ascii="楷体_GB2312" w:eastAsia="楷体_GB2312" w:hAnsiTheme="minorEastAsia"/>
          <w:color w:val="000000" w:themeColor="text1"/>
          <w:kern w:val="2"/>
          <w:sz w:val="32"/>
          <w14:textFill>
            <w14:solidFill>
              <w14:schemeClr w14:val="tx1"/>
            </w14:solidFill>
          </w14:textFill>
        </w:rPr>
      </w:pPr>
      <w:bookmarkStart w:id="40" w:name="_Toc789"/>
      <w:r>
        <w:rPr>
          <w:rFonts w:hint="eastAsia" w:ascii="楷体_GB2312" w:eastAsia="楷体_GB2312" w:hAnsiTheme="minorEastAsia"/>
          <w:color w:val="000000" w:themeColor="text1"/>
          <w:kern w:val="2"/>
          <w:sz w:val="32"/>
          <w14:textFill>
            <w14:solidFill>
              <w14:schemeClr w14:val="tx1"/>
            </w14:solidFill>
          </w14:textFill>
        </w:rPr>
        <w:t>（四）绩效评价原则</w:t>
      </w:r>
      <w:bookmarkEnd w:id="40"/>
    </w:p>
    <w:p w14:paraId="0849EA69">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1.价值导向原则：财政支出绩效评价体系应能够反映财政支出的经济性、效益性、有效性原则，体现财政部门和项目主管部门的价值导向。</w:t>
      </w:r>
    </w:p>
    <w:p w14:paraId="603DF5AE">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2.重要性原则：根据指标在整个指标体系中的地位和作用进行筛选，选择最具代表性、最能反映评价要求的指标。</w:t>
      </w:r>
    </w:p>
    <w:p w14:paraId="355C054B">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3.综合性原则：将定性指标和定量指标相结合，定性分析是定量分析的基础，定量分析是定性分析的深化，两者相结合系统反映财政支出所产生的社会效益。</w:t>
      </w:r>
    </w:p>
    <w:p w14:paraId="718D4DDE">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4.经济性原则：指标的选取要考虑现实条件及可操作性，数据的获得应符合成本效益原则，在合理成本的基础上收集信息。</w:t>
      </w:r>
    </w:p>
    <w:p w14:paraId="0F1C350C">
      <w:pPr>
        <w:pStyle w:val="4"/>
        <w:spacing w:before="0" w:after="0"/>
        <w:ind w:firstLine="643" w:firstLineChars="200"/>
        <w:jc w:val="both"/>
        <w:rPr>
          <w:rFonts w:ascii="楷体_GB2312" w:eastAsia="楷体_GB2312" w:hAnsiTheme="minorEastAsia"/>
          <w:color w:val="000000" w:themeColor="text1"/>
          <w:kern w:val="2"/>
          <w:sz w:val="32"/>
          <w14:textFill>
            <w14:solidFill>
              <w14:schemeClr w14:val="tx1"/>
            </w14:solidFill>
          </w14:textFill>
        </w:rPr>
      </w:pPr>
      <w:bookmarkStart w:id="41" w:name="_Toc8171"/>
      <w:r>
        <w:rPr>
          <w:rFonts w:hint="eastAsia" w:ascii="楷体_GB2312" w:eastAsia="楷体_GB2312" w:hAnsiTheme="minorEastAsia"/>
          <w:color w:val="000000" w:themeColor="text1"/>
          <w:kern w:val="2"/>
          <w:sz w:val="32"/>
          <w14:textFill>
            <w14:solidFill>
              <w14:schemeClr w14:val="tx1"/>
            </w14:solidFill>
          </w14:textFill>
        </w:rPr>
        <w:t>（五）</w:t>
      </w:r>
      <w:bookmarkEnd w:id="38"/>
      <w:bookmarkStart w:id="42" w:name="_Toc465149509"/>
      <w:r>
        <w:rPr>
          <w:rFonts w:hint="eastAsia" w:ascii="楷体_GB2312" w:eastAsia="楷体_GB2312" w:hAnsiTheme="minorEastAsia"/>
          <w:color w:val="000000" w:themeColor="text1"/>
          <w:kern w:val="2"/>
          <w:sz w:val="32"/>
          <w14:textFill>
            <w14:solidFill>
              <w14:schemeClr w14:val="tx1"/>
            </w14:solidFill>
          </w14:textFill>
        </w:rPr>
        <w:t>绩效评价方法</w:t>
      </w:r>
      <w:bookmarkEnd w:id="39"/>
      <w:bookmarkEnd w:id="41"/>
      <w:bookmarkEnd w:id="42"/>
    </w:p>
    <w:p w14:paraId="2E0B0F09">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bookmarkStart w:id="43" w:name="_Toc421623217"/>
      <w:bookmarkStart w:id="44" w:name="_Toc422314152"/>
      <w:bookmarkStart w:id="45" w:name="_Toc492652780"/>
      <w:bookmarkStart w:id="46" w:name="_Toc465149510"/>
      <w:r>
        <w:rPr>
          <w:rFonts w:ascii="仿宋_GB2312" w:eastAsia="仿宋_GB2312" w:cs="DengXian-Regular"/>
          <w:color w:val="000000" w:themeColor="text1"/>
          <w:sz w:val="32"/>
          <w:szCs w:val="32"/>
          <w14:textFill>
            <w14:solidFill>
              <w14:schemeClr w14:val="tx1"/>
            </w14:solidFill>
          </w14:textFill>
        </w:rPr>
        <w:t>本次评价采取</w:t>
      </w:r>
      <w:r>
        <w:rPr>
          <w:rFonts w:hint="eastAsia" w:ascii="仿宋_GB2312" w:eastAsia="仿宋_GB2312" w:cs="DengXian-Regular"/>
          <w:color w:val="000000" w:themeColor="text1"/>
          <w:sz w:val="32"/>
          <w:szCs w:val="32"/>
          <w14:textFill>
            <w14:solidFill>
              <w14:schemeClr w14:val="tx1"/>
            </w14:solidFill>
          </w14:textFill>
        </w:rPr>
        <w:t>目标比较法、</w:t>
      </w:r>
      <w:r>
        <w:rPr>
          <w:rFonts w:ascii="仿宋_GB2312" w:eastAsia="仿宋_GB2312" w:cs="DengXian-Regular"/>
          <w:color w:val="000000" w:themeColor="text1"/>
          <w:sz w:val="32"/>
          <w:szCs w:val="32"/>
          <w14:textFill>
            <w14:solidFill>
              <w14:schemeClr w14:val="tx1"/>
            </w14:solidFill>
          </w14:textFill>
        </w:rPr>
        <w:t>定量和定性评价相结合和综合评价相结合</w:t>
      </w:r>
      <w:r>
        <w:rPr>
          <w:rFonts w:hint="eastAsia" w:ascii="仿宋_GB2312" w:eastAsia="仿宋_GB2312" w:cs="DengXian-Regular"/>
          <w:color w:val="000000" w:themeColor="text1"/>
          <w:sz w:val="32"/>
          <w:szCs w:val="32"/>
          <w14:textFill>
            <w14:solidFill>
              <w14:schemeClr w14:val="tx1"/>
            </w14:solidFill>
          </w14:textFill>
        </w:rPr>
        <w:t>的方式</w:t>
      </w:r>
      <w:r>
        <w:rPr>
          <w:rFonts w:ascii="仿宋_GB2312" w:eastAsia="仿宋_GB2312" w:cs="DengXian-Regular"/>
          <w:color w:val="000000" w:themeColor="text1"/>
          <w:sz w:val="32"/>
          <w:szCs w:val="32"/>
          <w14:textFill>
            <w14:solidFill>
              <w14:schemeClr w14:val="tx1"/>
            </w14:solidFill>
          </w14:textFill>
        </w:rPr>
        <w:t>，运用审查、</w:t>
      </w:r>
      <w:r>
        <w:rPr>
          <w:rFonts w:hint="eastAsia" w:ascii="仿宋_GB2312" w:eastAsia="仿宋_GB2312" w:cs="DengXian-Regular"/>
          <w:color w:val="000000" w:themeColor="text1"/>
          <w:sz w:val="32"/>
          <w:szCs w:val="32"/>
          <w14:textFill>
            <w14:solidFill>
              <w14:schemeClr w14:val="tx1"/>
            </w14:solidFill>
          </w14:textFill>
        </w:rPr>
        <w:t>询问查证和问卷调查</w:t>
      </w:r>
      <w:r>
        <w:rPr>
          <w:rFonts w:ascii="仿宋_GB2312" w:eastAsia="仿宋_GB2312" w:cs="DengXian-Regular"/>
          <w:color w:val="000000" w:themeColor="text1"/>
          <w:sz w:val="32"/>
          <w:szCs w:val="32"/>
          <w14:textFill>
            <w14:solidFill>
              <w14:schemeClr w14:val="tx1"/>
            </w14:solidFill>
          </w14:textFill>
        </w:rPr>
        <w:t>等方法开展</w:t>
      </w:r>
      <w:r>
        <w:rPr>
          <w:rFonts w:hint="eastAsia" w:ascii="仿宋_GB2312" w:eastAsia="仿宋_GB2312" w:cs="DengXian-Regular"/>
          <w:color w:val="000000" w:themeColor="text1"/>
          <w:sz w:val="32"/>
          <w:szCs w:val="32"/>
          <w14:textFill>
            <w14:solidFill>
              <w14:schemeClr w14:val="tx1"/>
            </w14:solidFill>
          </w14:textFill>
        </w:rPr>
        <w:t>绩效</w:t>
      </w:r>
      <w:r>
        <w:rPr>
          <w:rFonts w:ascii="仿宋_GB2312" w:eastAsia="仿宋_GB2312" w:cs="DengXian-Regular"/>
          <w:color w:val="000000" w:themeColor="text1"/>
          <w:sz w:val="32"/>
          <w:szCs w:val="32"/>
          <w14:textFill>
            <w14:solidFill>
              <w14:schemeClr w14:val="tx1"/>
            </w14:solidFill>
          </w14:textFill>
        </w:rPr>
        <w:t>评价工作。</w:t>
      </w:r>
      <w:bookmarkEnd w:id="43"/>
      <w:bookmarkEnd w:id="44"/>
    </w:p>
    <w:p w14:paraId="05B24050">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bookmarkStart w:id="47" w:name="_Toc421623218"/>
      <w:bookmarkStart w:id="48" w:name="_Toc422314153"/>
      <w:r>
        <w:rPr>
          <w:rFonts w:ascii="仿宋_GB2312" w:eastAsia="仿宋_GB2312" w:cs="DengXian-Regular"/>
          <w:color w:val="000000" w:themeColor="text1"/>
          <w:sz w:val="32"/>
          <w:szCs w:val="32"/>
          <w14:textFill>
            <w14:solidFill>
              <w14:schemeClr w14:val="tx1"/>
            </w14:solidFill>
          </w14:textFill>
        </w:rPr>
        <w:t>1</w:t>
      </w:r>
      <w:r>
        <w:rPr>
          <w:rFonts w:hint="eastAsia" w:ascii="仿宋_GB2312" w:eastAsia="仿宋_GB2312" w:cs="DengXian-Regular"/>
          <w:color w:val="000000" w:themeColor="text1"/>
          <w:sz w:val="32"/>
          <w:szCs w:val="32"/>
          <w14:textFill>
            <w14:solidFill>
              <w14:schemeClr w14:val="tx1"/>
            </w14:solidFill>
          </w14:textFill>
        </w:rPr>
        <w:t>.</w:t>
      </w:r>
      <w:r>
        <w:rPr>
          <w:rFonts w:ascii="仿宋_GB2312" w:eastAsia="仿宋_GB2312" w:cs="DengXian-Regular"/>
          <w:color w:val="000000" w:themeColor="text1"/>
          <w:sz w:val="32"/>
          <w:szCs w:val="32"/>
          <w14:textFill>
            <w14:solidFill>
              <w14:schemeClr w14:val="tx1"/>
            </w14:solidFill>
          </w14:textFill>
        </w:rPr>
        <w:t>审查法：通过审查被评价单位的</w:t>
      </w:r>
      <w:r>
        <w:rPr>
          <w:rFonts w:hint="eastAsia" w:ascii="仿宋_GB2312" w:eastAsia="仿宋_GB2312" w:cs="DengXian-Regular"/>
          <w:color w:val="000000" w:themeColor="text1"/>
          <w:sz w:val="32"/>
          <w:szCs w:val="32"/>
          <w14:textFill>
            <w14:solidFill>
              <w14:schemeClr w14:val="tx1"/>
            </w14:solidFill>
          </w14:textFill>
        </w:rPr>
        <w:t>预算文本</w:t>
      </w:r>
      <w:r>
        <w:rPr>
          <w:rFonts w:ascii="仿宋_GB2312" w:eastAsia="仿宋_GB2312" w:cs="DengXian-Regular"/>
          <w:color w:val="000000" w:themeColor="text1"/>
          <w:sz w:val="32"/>
          <w:szCs w:val="32"/>
          <w14:textFill>
            <w14:solidFill>
              <w14:schemeClr w14:val="tx1"/>
            </w14:solidFill>
          </w14:textFill>
        </w:rPr>
        <w:t>、</w:t>
      </w:r>
      <w:r>
        <w:rPr>
          <w:rFonts w:hint="eastAsia" w:ascii="仿宋_GB2312" w:eastAsia="仿宋_GB2312" w:cs="DengXian-Regular"/>
          <w:color w:val="000000" w:themeColor="text1"/>
          <w:sz w:val="32"/>
          <w:szCs w:val="32"/>
          <w14:textFill>
            <w14:solidFill>
              <w14:schemeClr w14:val="tx1"/>
            </w14:solidFill>
          </w14:textFill>
        </w:rPr>
        <w:t>决算文本</w:t>
      </w:r>
      <w:r>
        <w:rPr>
          <w:rFonts w:ascii="仿宋_GB2312" w:eastAsia="仿宋_GB2312" w:cs="DengXian-Regular"/>
          <w:color w:val="000000" w:themeColor="text1"/>
          <w:sz w:val="32"/>
          <w:szCs w:val="32"/>
          <w14:textFill>
            <w14:solidFill>
              <w14:schemeClr w14:val="tx1"/>
            </w14:solidFill>
          </w14:textFill>
        </w:rPr>
        <w:t>、</w:t>
      </w:r>
      <w:r>
        <w:rPr>
          <w:rFonts w:hint="eastAsia" w:ascii="仿宋_GB2312" w:eastAsia="仿宋_GB2312" w:cs="DengXian-Regular"/>
          <w:color w:val="000000" w:themeColor="text1"/>
          <w:sz w:val="32"/>
          <w:szCs w:val="32"/>
          <w14:textFill>
            <w14:solidFill>
              <w14:schemeClr w14:val="tx1"/>
            </w14:solidFill>
          </w14:textFill>
        </w:rPr>
        <w:t>会计账簿、支出凭证、项目完成情况</w:t>
      </w:r>
      <w:r>
        <w:rPr>
          <w:rFonts w:ascii="仿宋_GB2312" w:eastAsia="仿宋_GB2312" w:cs="DengXian-Regular"/>
          <w:color w:val="000000" w:themeColor="text1"/>
          <w:sz w:val="32"/>
          <w:szCs w:val="32"/>
          <w14:textFill>
            <w14:solidFill>
              <w14:schemeClr w14:val="tx1"/>
            </w14:solidFill>
          </w14:textFill>
        </w:rPr>
        <w:t>等</w:t>
      </w:r>
      <w:r>
        <w:rPr>
          <w:rFonts w:hint="eastAsia" w:ascii="仿宋_GB2312" w:eastAsia="仿宋_GB2312" w:cs="DengXian-Regular"/>
          <w:color w:val="000000" w:themeColor="text1"/>
          <w:sz w:val="32"/>
          <w:szCs w:val="32"/>
          <w14:textFill>
            <w14:solidFill>
              <w14:schemeClr w14:val="tx1"/>
            </w14:solidFill>
          </w14:textFill>
        </w:rPr>
        <w:t>相关</w:t>
      </w:r>
      <w:r>
        <w:rPr>
          <w:rFonts w:ascii="仿宋_GB2312" w:eastAsia="仿宋_GB2312" w:cs="DengXian-Regular"/>
          <w:color w:val="000000" w:themeColor="text1"/>
          <w:sz w:val="32"/>
          <w:szCs w:val="32"/>
          <w14:textFill>
            <w14:solidFill>
              <w14:schemeClr w14:val="tx1"/>
            </w14:solidFill>
          </w14:textFill>
        </w:rPr>
        <w:t>资料，分析资金</w:t>
      </w:r>
      <w:r>
        <w:rPr>
          <w:rFonts w:hint="eastAsia" w:ascii="仿宋_GB2312" w:eastAsia="仿宋_GB2312" w:cs="DengXian-Regular"/>
          <w:color w:val="000000" w:themeColor="text1"/>
          <w:sz w:val="32"/>
          <w:szCs w:val="32"/>
          <w14:textFill>
            <w14:solidFill>
              <w14:schemeClr w14:val="tx1"/>
            </w14:solidFill>
          </w14:textFill>
        </w:rPr>
        <w:t>收</w:t>
      </w:r>
      <w:r>
        <w:rPr>
          <w:rFonts w:ascii="仿宋_GB2312" w:eastAsia="仿宋_GB2312" w:cs="DengXian-Regular"/>
          <w:color w:val="000000" w:themeColor="text1"/>
          <w:sz w:val="32"/>
          <w:szCs w:val="32"/>
          <w14:textFill>
            <w14:solidFill>
              <w14:schemeClr w14:val="tx1"/>
            </w14:solidFill>
          </w14:textFill>
        </w:rPr>
        <w:t>支的合理性</w:t>
      </w:r>
      <w:r>
        <w:rPr>
          <w:rFonts w:hint="eastAsia" w:ascii="仿宋_GB2312" w:eastAsia="仿宋_GB2312" w:cs="DengXian-Regular"/>
          <w:color w:val="000000" w:themeColor="text1"/>
          <w:sz w:val="32"/>
          <w:szCs w:val="32"/>
          <w14:textFill>
            <w14:solidFill>
              <w14:schemeClr w14:val="tx1"/>
            </w14:solidFill>
          </w14:textFill>
        </w:rPr>
        <w:t>和</w:t>
      </w:r>
      <w:r>
        <w:rPr>
          <w:rFonts w:ascii="仿宋_GB2312" w:eastAsia="仿宋_GB2312" w:cs="DengXian-Regular"/>
          <w:color w:val="000000" w:themeColor="text1"/>
          <w:sz w:val="32"/>
          <w:szCs w:val="32"/>
          <w14:textFill>
            <w14:solidFill>
              <w14:schemeClr w14:val="tx1"/>
            </w14:solidFill>
          </w14:textFill>
        </w:rPr>
        <w:t>合规性</w:t>
      </w:r>
      <w:r>
        <w:rPr>
          <w:rFonts w:hint="eastAsia" w:ascii="仿宋_GB2312" w:eastAsia="仿宋_GB2312" w:cs="DengXian-Regular"/>
          <w:color w:val="000000" w:themeColor="text1"/>
          <w:sz w:val="32"/>
          <w:szCs w:val="32"/>
          <w14:textFill>
            <w14:solidFill>
              <w14:schemeClr w14:val="tx1"/>
            </w14:solidFill>
          </w14:textFill>
        </w:rPr>
        <w:t>、预算执行及管理情况、绩效目标和指标的设置及完成情况、部门整体效益</w:t>
      </w:r>
      <w:r>
        <w:rPr>
          <w:rFonts w:ascii="仿宋_GB2312" w:eastAsia="仿宋_GB2312" w:cs="DengXian-Regular"/>
          <w:color w:val="000000" w:themeColor="text1"/>
          <w:sz w:val="32"/>
          <w:szCs w:val="32"/>
          <w14:textFill>
            <w14:solidFill>
              <w14:schemeClr w14:val="tx1"/>
            </w14:solidFill>
          </w14:textFill>
        </w:rPr>
        <w:t>。</w:t>
      </w:r>
      <w:bookmarkEnd w:id="47"/>
      <w:bookmarkEnd w:id="48"/>
    </w:p>
    <w:p w14:paraId="6A44B5CF">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bookmarkStart w:id="49" w:name="_Toc421623220"/>
      <w:bookmarkStart w:id="50" w:name="_Toc422314155"/>
      <w:r>
        <w:rPr>
          <w:rFonts w:hint="eastAsia" w:ascii="仿宋_GB2312" w:eastAsia="仿宋_GB2312" w:cs="DengXian-Regular"/>
          <w:color w:val="000000" w:themeColor="text1"/>
          <w:sz w:val="32"/>
          <w:szCs w:val="32"/>
          <w14:textFill>
            <w14:solidFill>
              <w14:schemeClr w14:val="tx1"/>
            </w14:solidFill>
          </w14:textFill>
        </w:rPr>
        <w:t>2.询问查证</w:t>
      </w:r>
      <w:r>
        <w:rPr>
          <w:rFonts w:ascii="仿宋_GB2312" w:eastAsia="仿宋_GB2312" w:cs="DengXian-Regular"/>
          <w:color w:val="000000" w:themeColor="text1"/>
          <w:sz w:val="32"/>
          <w:szCs w:val="32"/>
          <w14:textFill>
            <w14:solidFill>
              <w14:schemeClr w14:val="tx1"/>
            </w14:solidFill>
          </w14:textFill>
        </w:rPr>
        <w:t>法：</w:t>
      </w:r>
      <w:r>
        <w:rPr>
          <w:rFonts w:hint="eastAsia" w:ascii="仿宋_GB2312" w:eastAsia="仿宋_GB2312" w:cs="DengXian-Regular"/>
          <w:color w:val="000000" w:themeColor="text1"/>
          <w:sz w:val="32"/>
          <w:szCs w:val="32"/>
          <w14:textFill>
            <w14:solidFill>
              <w14:schemeClr w14:val="tx1"/>
            </w14:solidFill>
          </w14:textFill>
        </w:rPr>
        <w:t>在比较分析相关资料的基础上，通过询问的形式，核查项目资料是否真实、合理，从而对部门整体支出情况作出初步的判断和评价</w:t>
      </w:r>
      <w:r>
        <w:rPr>
          <w:rFonts w:ascii="仿宋_GB2312" w:eastAsia="仿宋_GB2312" w:cs="DengXian-Regular"/>
          <w:color w:val="000000" w:themeColor="text1"/>
          <w:sz w:val="32"/>
          <w:szCs w:val="32"/>
          <w14:textFill>
            <w14:solidFill>
              <w14:schemeClr w14:val="tx1"/>
            </w14:solidFill>
          </w14:textFill>
        </w:rPr>
        <w:t>。</w:t>
      </w:r>
      <w:bookmarkEnd w:id="49"/>
      <w:bookmarkEnd w:id="50"/>
    </w:p>
    <w:p w14:paraId="1570E985">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bookmarkStart w:id="51" w:name="_Toc421623221"/>
      <w:bookmarkStart w:id="52" w:name="_Toc422314156"/>
      <w:r>
        <w:rPr>
          <w:rFonts w:hint="eastAsia" w:ascii="仿宋_GB2312" w:eastAsia="仿宋_GB2312" w:cs="DengXian-Regular"/>
          <w:color w:val="000000" w:themeColor="text1"/>
          <w:sz w:val="32"/>
          <w:szCs w:val="32"/>
          <w14:textFill>
            <w14:solidFill>
              <w14:schemeClr w14:val="tx1"/>
            </w14:solidFill>
          </w14:textFill>
        </w:rPr>
        <w:t>3.问卷调查</w:t>
      </w:r>
      <w:r>
        <w:rPr>
          <w:rFonts w:ascii="仿宋_GB2312" w:eastAsia="仿宋_GB2312" w:cs="DengXian-Regular"/>
          <w:color w:val="000000" w:themeColor="text1"/>
          <w:sz w:val="32"/>
          <w:szCs w:val="32"/>
          <w14:textFill>
            <w14:solidFill>
              <w14:schemeClr w14:val="tx1"/>
            </w14:solidFill>
          </w14:textFill>
        </w:rPr>
        <w:t>法：通过</w:t>
      </w:r>
      <w:r>
        <w:rPr>
          <w:rFonts w:hint="eastAsia" w:ascii="仿宋_GB2312" w:eastAsia="仿宋_GB2312" w:cs="DengXian-Regular"/>
          <w:color w:val="000000" w:themeColor="text1"/>
          <w:sz w:val="32"/>
          <w:szCs w:val="32"/>
          <w14:textFill>
            <w14:solidFill>
              <w14:schemeClr w14:val="tx1"/>
            </w14:solidFill>
          </w14:textFill>
        </w:rPr>
        <w:t>设计调查问卷，在一定范围内随机发放，并收集分析调查问卷，</w:t>
      </w:r>
      <w:r>
        <w:rPr>
          <w:rFonts w:ascii="仿宋_GB2312" w:eastAsia="仿宋_GB2312" w:cs="DengXian-Regular"/>
          <w:color w:val="000000" w:themeColor="text1"/>
          <w:sz w:val="32"/>
          <w:szCs w:val="32"/>
          <w14:textFill>
            <w14:solidFill>
              <w14:schemeClr w14:val="tx1"/>
            </w14:solidFill>
          </w14:textFill>
        </w:rPr>
        <w:t>对财政支出的效果进行</w:t>
      </w:r>
      <w:r>
        <w:rPr>
          <w:rFonts w:hint="eastAsia" w:ascii="仿宋_GB2312" w:eastAsia="仿宋_GB2312" w:cs="DengXian-Regular"/>
          <w:color w:val="000000" w:themeColor="text1"/>
          <w:sz w:val="32"/>
          <w:szCs w:val="32"/>
          <w14:textFill>
            <w14:solidFill>
              <w14:schemeClr w14:val="tx1"/>
            </w14:solidFill>
          </w14:textFill>
        </w:rPr>
        <w:t>评价</w:t>
      </w:r>
      <w:r>
        <w:rPr>
          <w:rFonts w:ascii="仿宋_GB2312" w:eastAsia="仿宋_GB2312" w:cs="DengXian-Regular"/>
          <w:color w:val="000000" w:themeColor="text1"/>
          <w:sz w:val="32"/>
          <w:szCs w:val="32"/>
          <w14:textFill>
            <w14:solidFill>
              <w14:schemeClr w14:val="tx1"/>
            </w14:solidFill>
          </w14:textFill>
        </w:rPr>
        <w:t>，</w:t>
      </w:r>
      <w:r>
        <w:rPr>
          <w:rFonts w:hint="eastAsia" w:ascii="仿宋_GB2312" w:eastAsia="仿宋_GB2312" w:cs="DengXian-Regular"/>
          <w:color w:val="000000" w:themeColor="text1"/>
          <w:sz w:val="32"/>
          <w:szCs w:val="32"/>
          <w14:textFill>
            <w14:solidFill>
              <w14:schemeClr w14:val="tx1"/>
            </w14:solidFill>
          </w14:textFill>
        </w:rPr>
        <w:t>了解服务对象对部门履职效果</w:t>
      </w:r>
      <w:r>
        <w:rPr>
          <w:rFonts w:ascii="仿宋_GB2312" w:eastAsia="仿宋_GB2312" w:cs="DengXian-Regular"/>
          <w:color w:val="000000" w:themeColor="text1"/>
          <w:sz w:val="32"/>
          <w:szCs w:val="32"/>
          <w14:textFill>
            <w14:solidFill>
              <w14:schemeClr w14:val="tx1"/>
            </w14:solidFill>
          </w14:textFill>
        </w:rPr>
        <w:t>的满意</w:t>
      </w:r>
      <w:r>
        <w:rPr>
          <w:rFonts w:hint="eastAsia" w:ascii="仿宋_GB2312" w:eastAsia="仿宋_GB2312" w:cs="DengXian-Regular"/>
          <w:color w:val="000000" w:themeColor="text1"/>
          <w:sz w:val="32"/>
          <w:szCs w:val="32"/>
          <w14:textFill>
            <w14:solidFill>
              <w14:schemeClr w14:val="tx1"/>
            </w14:solidFill>
          </w14:textFill>
        </w:rPr>
        <w:t>程</w:t>
      </w:r>
      <w:r>
        <w:rPr>
          <w:rFonts w:ascii="仿宋_GB2312" w:eastAsia="仿宋_GB2312" w:cs="DengXian-Regular"/>
          <w:color w:val="000000" w:themeColor="text1"/>
          <w:sz w:val="32"/>
          <w:szCs w:val="32"/>
          <w14:textFill>
            <w14:solidFill>
              <w14:schemeClr w14:val="tx1"/>
            </w14:solidFill>
          </w14:textFill>
        </w:rPr>
        <w:t>度。</w:t>
      </w:r>
      <w:bookmarkEnd w:id="51"/>
      <w:bookmarkEnd w:id="52"/>
      <w:bookmarkStart w:id="53" w:name="_Toc20821"/>
    </w:p>
    <w:p w14:paraId="56012D4C">
      <w:pPr>
        <w:spacing w:after="0" w:line="360" w:lineRule="auto"/>
        <w:ind w:firstLine="643" w:firstLineChars="200"/>
        <w:jc w:val="both"/>
        <w:textAlignment w:val="baseline"/>
        <w:rPr>
          <w:rFonts w:ascii="楷体_GB2312" w:eastAsia="楷体_GB2312" w:hAnsiTheme="minorEastAsia"/>
          <w:b/>
          <w:bCs/>
          <w:color w:val="000000" w:themeColor="text1"/>
          <w:kern w:val="2"/>
          <w:sz w:val="32"/>
          <w14:textFill>
            <w14:solidFill>
              <w14:schemeClr w14:val="tx1"/>
            </w14:solidFill>
          </w14:textFill>
        </w:rPr>
      </w:pPr>
      <w:r>
        <w:rPr>
          <w:rFonts w:hint="eastAsia" w:ascii="楷体_GB2312" w:eastAsia="楷体_GB2312" w:hAnsiTheme="minorEastAsia"/>
          <w:b/>
          <w:bCs/>
          <w:color w:val="000000" w:themeColor="text1"/>
          <w:kern w:val="2"/>
          <w:sz w:val="32"/>
          <w14:textFill>
            <w14:solidFill>
              <w14:schemeClr w14:val="tx1"/>
            </w14:solidFill>
          </w14:textFill>
        </w:rPr>
        <w:t>（六）绩效评价工作过程</w:t>
      </w:r>
      <w:bookmarkEnd w:id="45"/>
      <w:bookmarkEnd w:id="46"/>
      <w:bookmarkEnd w:id="53"/>
    </w:p>
    <w:p w14:paraId="01484A9A">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本次绩效评价工作经过了前期准备、绩效评价实施方案和指标体系制定、组织实施、绩效评价报告撰写四个阶段。</w:t>
      </w:r>
    </w:p>
    <w:p w14:paraId="37DEB2A0">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1.前期准备阶段</w:t>
      </w:r>
    </w:p>
    <w:p w14:paraId="3C599576">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我单位</w:t>
      </w:r>
      <w:r>
        <w:rPr>
          <w:rFonts w:ascii="仿宋_GB2312" w:eastAsia="仿宋_GB2312" w:cs="DengXian-Regular"/>
          <w:color w:val="000000" w:themeColor="text1"/>
          <w:sz w:val="32"/>
          <w:szCs w:val="32"/>
          <w14:textFill>
            <w14:solidFill>
              <w14:schemeClr w14:val="tx1"/>
            </w14:solidFill>
          </w14:textFill>
        </w:rPr>
        <w:t>绩效评价工作组</w:t>
      </w:r>
      <w:r>
        <w:rPr>
          <w:rFonts w:hint="eastAsia" w:ascii="仿宋_GB2312" w:eastAsia="仿宋_GB2312" w:cs="DengXian-Regular"/>
          <w:color w:val="000000" w:themeColor="text1"/>
          <w:sz w:val="32"/>
          <w:szCs w:val="32"/>
          <w14:textFill>
            <w14:solidFill>
              <w14:schemeClr w14:val="tx1"/>
            </w14:solidFill>
          </w14:textFill>
        </w:rPr>
        <w:t>，并充分收集相关资料，主要包括部门职责、工作活动、预决算文本、相关管理制度、资金使用等相关资料，为制定绩效评价实施方案和指标体系奠定了基础。</w:t>
      </w:r>
    </w:p>
    <w:p w14:paraId="5C6CB60D">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2.制定绩效评价实施方案和体系</w:t>
      </w:r>
    </w:p>
    <w:p w14:paraId="1112BB58">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基于对</w:t>
      </w:r>
      <w:r>
        <w:rPr>
          <w:rFonts w:ascii="仿宋_GB2312" w:eastAsia="仿宋_GB2312" w:cs="DengXian-Regular"/>
          <w:color w:val="000000" w:themeColor="text1"/>
          <w:sz w:val="32"/>
          <w:szCs w:val="32"/>
          <w14:textFill>
            <w14:solidFill>
              <w14:schemeClr w14:val="tx1"/>
            </w14:solidFill>
          </w14:textFill>
        </w:rPr>
        <w:t>区</w:t>
      </w:r>
      <w:r>
        <w:rPr>
          <w:rFonts w:hint="eastAsia" w:ascii="仿宋_GB2312" w:eastAsia="仿宋_GB2312" w:cs="DengXian-Regular"/>
          <w:color w:val="000000" w:themeColor="text1"/>
          <w:sz w:val="32"/>
          <w:szCs w:val="32"/>
          <w14:textFill>
            <w14:solidFill>
              <w14:schemeClr w14:val="tx1"/>
            </w14:solidFill>
          </w14:textFill>
        </w:rPr>
        <w:t>机关服务中心相关资料的收集，制定绩效评价实施方案和体系,确定最终方案。</w:t>
      </w:r>
    </w:p>
    <w:p w14:paraId="552A492D">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3.组织实施阶段</w:t>
      </w:r>
    </w:p>
    <w:p w14:paraId="3529F820">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根据绩效评价实施方案和指标体系，对区机关服务中心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部门等。根据收集的数据、资料进行核对、比较、计算，对部门整体支出进行评分。</w:t>
      </w:r>
    </w:p>
    <w:p w14:paraId="306714F3">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4.撰写绩效评价报告</w:t>
      </w:r>
      <w:bookmarkStart w:id="54" w:name="_Toc492652781"/>
      <w:bookmarkStart w:id="55" w:name="_Toc465149511"/>
    </w:p>
    <w:p w14:paraId="27E14A6E">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在完成对各评价指标评分定级的基础上，开始进行报告撰写工作。</w:t>
      </w:r>
    </w:p>
    <w:p w14:paraId="7CBC8C39">
      <w:pPr>
        <w:pStyle w:val="3"/>
        <w:spacing w:before="0" w:after="0" w:line="360" w:lineRule="auto"/>
        <w:ind w:firstLine="643" w:firstLineChars="200"/>
        <w:rPr>
          <w:rFonts w:ascii="黑体"/>
          <w:color w:val="000000" w:themeColor="text1"/>
          <w14:textFill>
            <w14:solidFill>
              <w14:schemeClr w14:val="tx1"/>
            </w14:solidFill>
          </w14:textFill>
        </w:rPr>
      </w:pPr>
      <w:bookmarkStart w:id="56" w:name="_Toc6467"/>
      <w:r>
        <w:rPr>
          <w:rFonts w:hint="eastAsia" w:ascii="黑体"/>
          <w:color w:val="000000" w:themeColor="text1"/>
          <w14:textFill>
            <w14:solidFill>
              <w14:schemeClr w14:val="tx1"/>
            </w14:solidFill>
          </w14:textFill>
        </w:rPr>
        <w:t>四、</w:t>
      </w:r>
      <w:bookmarkEnd w:id="54"/>
      <w:bookmarkEnd w:id="55"/>
      <w:bookmarkStart w:id="57" w:name="_Toc492652782"/>
      <w:r>
        <w:rPr>
          <w:rFonts w:hint="eastAsia" w:ascii="黑体"/>
          <w:color w:val="000000" w:themeColor="text1"/>
          <w14:textFill>
            <w14:solidFill>
              <w14:schemeClr w14:val="tx1"/>
            </w14:solidFill>
          </w14:textFill>
        </w:rPr>
        <w:t>绩效评价评分情况</w:t>
      </w:r>
      <w:bookmarkEnd w:id="56"/>
    </w:p>
    <w:bookmarkEnd w:id="57"/>
    <w:p w14:paraId="38002E05">
      <w:pPr>
        <w:spacing w:after="0" w:line="360" w:lineRule="auto"/>
        <w:ind w:firstLine="640" w:firstLineChars="200"/>
        <w:jc w:val="both"/>
        <w:textAlignment w:val="baseline"/>
        <w:rPr>
          <w:rFonts w:ascii="仿宋_GB2312" w:eastAsia="仿宋_GB2312" w:cs="Times New Roman" w:hAnsiTheme="minorEastAsia"/>
          <w:color w:val="000000" w:themeColor="text1"/>
          <w:sz w:val="32"/>
          <w:szCs w:val="32"/>
          <w:u w:color="000000"/>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徐水区机关</w:t>
      </w:r>
      <w:r>
        <w:rPr>
          <w:rFonts w:ascii="仿宋_GB2312" w:eastAsia="仿宋_GB2312" w:cs="DengXian-Regular"/>
          <w:color w:val="000000" w:themeColor="text1"/>
          <w:sz w:val="32"/>
          <w:szCs w:val="32"/>
          <w14:textFill>
            <w14:solidFill>
              <w14:schemeClr w14:val="tx1"/>
            </w14:solidFill>
          </w14:textFill>
        </w:rPr>
        <w:t>服务中心</w:t>
      </w:r>
      <w:r>
        <w:rPr>
          <w:rFonts w:hint="eastAsia" w:ascii="仿宋_GB2312" w:eastAsia="仿宋_GB2312" w:cs="DengXian-Regular"/>
          <w:color w:val="000000" w:themeColor="text1"/>
          <w:sz w:val="32"/>
          <w:szCs w:val="32"/>
          <w14:textFill>
            <w14:solidFill>
              <w14:schemeClr w14:val="tx1"/>
            </w14:solidFill>
          </w14:textFill>
        </w:rPr>
        <w:t>部门整体支出绩效评价总得分为</w:t>
      </w:r>
      <w:r>
        <w:rPr>
          <w:rFonts w:ascii="仿宋_GB2312" w:eastAsia="仿宋_GB2312" w:cs="DengXian-Regular"/>
          <w:color w:val="000000" w:themeColor="text1"/>
          <w:sz w:val="32"/>
          <w:szCs w:val="32"/>
          <w14:textFill>
            <w14:solidFill>
              <w14:schemeClr w14:val="tx1"/>
            </w14:solidFill>
          </w14:textFill>
        </w:rPr>
        <w:t>89.5</w:t>
      </w:r>
      <w:r>
        <w:rPr>
          <w:rFonts w:hint="eastAsia" w:ascii="仿宋_GB2312" w:eastAsia="仿宋_GB2312" w:cs="DengXian-Regular"/>
          <w:color w:val="000000" w:themeColor="text1"/>
          <w:sz w:val="32"/>
          <w:szCs w:val="32"/>
          <w14:textFill>
            <w14:solidFill>
              <w14:schemeClr w14:val="tx1"/>
            </w14:solidFill>
          </w14:textFill>
        </w:rPr>
        <w:t>分，综合绩效评价等级为“良”。各项得分情况如下</w:t>
      </w:r>
      <w:r>
        <w:rPr>
          <w:rFonts w:hint="eastAsia" w:ascii="仿宋_GB2312" w:eastAsia="仿宋_GB2312" w:cs="Times New Roman" w:hAnsiTheme="minorEastAsia"/>
          <w:color w:val="000000" w:themeColor="text1"/>
          <w:sz w:val="32"/>
          <w:szCs w:val="32"/>
          <w:u w:color="000000"/>
          <w14:textFill>
            <w14:solidFill>
              <w14:schemeClr w14:val="tx1"/>
            </w14:solidFill>
          </w14:textFill>
        </w:rPr>
        <w:t>：</w:t>
      </w:r>
      <w:r>
        <w:rPr>
          <w:rFonts w:ascii="仿宋_GB2312" w:eastAsia="仿宋_GB2312" w:cs="Times New Roman" w:hAnsiTheme="minorEastAsia"/>
          <w:color w:val="000000" w:themeColor="text1"/>
          <w:sz w:val="32"/>
          <w:szCs w:val="32"/>
          <w:u w:color="000000"/>
          <w14:textFill>
            <w14:solidFill>
              <w14:schemeClr w14:val="tx1"/>
            </w14:solidFill>
          </w14:textFill>
        </w:rPr>
        <w:t xml:space="preserve"> </w:t>
      </w:r>
    </w:p>
    <w:p w14:paraId="50BA7CE9">
      <w:pPr>
        <w:pStyle w:val="4"/>
        <w:spacing w:before="0" w:after="0"/>
        <w:ind w:firstLine="643" w:firstLineChars="200"/>
        <w:jc w:val="both"/>
        <w:rPr>
          <w:rFonts w:ascii="楷体_GB2312" w:eastAsia="楷体_GB2312" w:hAnsiTheme="minorEastAsia"/>
          <w:color w:val="000000" w:themeColor="text1"/>
          <w:kern w:val="2"/>
          <w:sz w:val="32"/>
          <w14:textFill>
            <w14:solidFill>
              <w14:schemeClr w14:val="tx1"/>
            </w14:solidFill>
          </w14:textFill>
        </w:rPr>
      </w:pPr>
      <w:bookmarkStart w:id="58" w:name="_Toc492652783"/>
      <w:bookmarkStart w:id="59" w:name="_Toc4390"/>
      <w:r>
        <w:rPr>
          <w:rFonts w:hint="eastAsia" w:ascii="楷体_GB2312" w:eastAsia="楷体_GB2312" w:hAnsiTheme="minorEastAsia"/>
          <w:color w:val="000000" w:themeColor="text1"/>
          <w:kern w:val="2"/>
          <w:sz w:val="32"/>
          <w14:textFill>
            <w14:solidFill>
              <w14:schemeClr w14:val="tx1"/>
            </w14:solidFill>
          </w14:textFill>
        </w:rPr>
        <w:t>（一）</w:t>
      </w:r>
      <w:bookmarkEnd w:id="58"/>
      <w:r>
        <w:rPr>
          <w:rFonts w:hint="eastAsia" w:ascii="楷体_GB2312" w:eastAsia="楷体_GB2312" w:hAnsiTheme="minorEastAsia"/>
          <w:color w:val="000000" w:themeColor="text1"/>
          <w:kern w:val="2"/>
          <w:sz w:val="32"/>
          <w14:textFill>
            <w14:solidFill>
              <w14:schemeClr w14:val="tx1"/>
            </w14:solidFill>
          </w14:textFill>
        </w:rPr>
        <w:t>投入（12分）</w:t>
      </w:r>
      <w:bookmarkEnd w:id="59"/>
    </w:p>
    <w:p w14:paraId="285A306D">
      <w:pPr>
        <w:spacing w:after="0" w:line="360" w:lineRule="auto"/>
        <w:ind w:firstLine="640" w:firstLineChars="200"/>
        <w:jc w:val="both"/>
        <w:textAlignment w:val="baseline"/>
        <w:rPr>
          <w:rFonts w:ascii="仿宋_GB2312" w:eastAsia="仿宋_GB2312" w:cs="Times New Roman" w:hAnsiTheme="minorEastAsia"/>
          <w:color w:val="000000" w:themeColor="text1"/>
          <w:sz w:val="32"/>
          <w:szCs w:val="32"/>
          <w:u w:color="000000"/>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color w:val="000000" w:themeColor="text1"/>
          <w:sz w:val="32"/>
          <w:szCs w:val="32"/>
          <w:u w:color="000000"/>
          <w14:textFill>
            <w14:solidFill>
              <w14:schemeClr w14:val="tx1"/>
            </w14:solidFill>
          </w14:textFill>
        </w:rPr>
        <w:tab/>
      </w:r>
    </w:p>
    <w:p w14:paraId="056D8664">
      <w:pPr>
        <w:spacing w:after="0" w:line="360" w:lineRule="auto"/>
        <w:jc w:val="center"/>
        <w:textAlignment w:val="baseline"/>
        <w:rPr>
          <w:rFonts w:asciiTheme="minorEastAsia" w:hAnsiTheme="minorEastAsia" w:eastAsiaTheme="minorEastAsia" w:cstheme="minorEastAsia"/>
          <w:b/>
          <w:bCs/>
          <w:color w:val="000000" w:themeColor="text1"/>
          <w:sz w:val="32"/>
          <w:szCs w:val="32"/>
          <w:u w:color="000000"/>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u w:color="000000"/>
          <w14:textFill>
            <w14:solidFill>
              <w14:schemeClr w14:val="tx1"/>
            </w14:solidFill>
          </w14:textFill>
        </w:rPr>
        <w:t>表2  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14:paraId="1AEF6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14:paraId="097FC004">
            <w:pPr>
              <w:spacing w:line="420" w:lineRule="exact"/>
              <w:jc w:val="center"/>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一级指标</w:t>
            </w:r>
          </w:p>
        </w:tc>
        <w:tc>
          <w:tcPr>
            <w:tcW w:w="1418" w:type="dxa"/>
            <w:vAlign w:val="center"/>
          </w:tcPr>
          <w:p w14:paraId="1D9039D4">
            <w:pPr>
              <w:spacing w:line="420" w:lineRule="exact"/>
              <w:jc w:val="center"/>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二级指标</w:t>
            </w:r>
          </w:p>
        </w:tc>
        <w:tc>
          <w:tcPr>
            <w:tcW w:w="1701" w:type="dxa"/>
            <w:vAlign w:val="center"/>
          </w:tcPr>
          <w:p w14:paraId="6EC12201">
            <w:pPr>
              <w:spacing w:line="420" w:lineRule="exact"/>
              <w:jc w:val="center"/>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三级指标</w:t>
            </w:r>
          </w:p>
        </w:tc>
        <w:tc>
          <w:tcPr>
            <w:tcW w:w="1276" w:type="dxa"/>
            <w:vAlign w:val="center"/>
          </w:tcPr>
          <w:p w14:paraId="4BCE4CB7">
            <w:pPr>
              <w:spacing w:line="420" w:lineRule="exact"/>
              <w:jc w:val="center"/>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分值权重</w:t>
            </w:r>
          </w:p>
        </w:tc>
        <w:tc>
          <w:tcPr>
            <w:tcW w:w="1134" w:type="dxa"/>
            <w:vAlign w:val="center"/>
          </w:tcPr>
          <w:p w14:paraId="6AC7F36D">
            <w:pPr>
              <w:spacing w:line="420" w:lineRule="exact"/>
              <w:jc w:val="center"/>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得分</w:t>
            </w:r>
          </w:p>
        </w:tc>
      </w:tr>
      <w:tr w14:paraId="49D37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14:paraId="1A88400D">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投入</w:t>
            </w:r>
          </w:p>
          <w:p w14:paraId="20BA8435">
            <w:pPr>
              <w:spacing w:line="420" w:lineRule="exact"/>
              <w:jc w:val="center"/>
              <w:rPr>
                <w:rFonts w:cs="宋体" w:asciiTheme="minorEastAsia" w:hAnsiTheme="minorEastAsia" w:eastAsiaTheme="minorEastAsia"/>
                <w:color w:val="000000" w:themeColor="text1"/>
                <w:sz w:val="21"/>
                <w:szCs w:val="21"/>
                <w:highlight w:val="yellow"/>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（12分）</w:t>
            </w:r>
          </w:p>
        </w:tc>
        <w:tc>
          <w:tcPr>
            <w:tcW w:w="1418" w:type="dxa"/>
            <w:vMerge w:val="restart"/>
            <w:vAlign w:val="center"/>
          </w:tcPr>
          <w:p w14:paraId="1056A5CE">
            <w:pPr>
              <w:spacing w:line="420" w:lineRule="exact"/>
              <w:jc w:val="center"/>
              <w:rPr>
                <w:rFonts w:cs="宋体" w:asciiTheme="minorEastAsia" w:hAnsiTheme="minorEastAsia" w:eastAsiaTheme="minorEastAsia"/>
                <w:color w:val="000000" w:themeColor="text1"/>
                <w:sz w:val="21"/>
                <w:szCs w:val="21"/>
                <w:highlight w:val="yellow"/>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绩效目标设定（6分）</w:t>
            </w:r>
          </w:p>
        </w:tc>
        <w:tc>
          <w:tcPr>
            <w:tcW w:w="1701" w:type="dxa"/>
            <w:vAlign w:val="center"/>
          </w:tcPr>
          <w:p w14:paraId="54222D23">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绩效目标合理性</w:t>
            </w:r>
          </w:p>
        </w:tc>
        <w:tc>
          <w:tcPr>
            <w:tcW w:w="1276" w:type="dxa"/>
            <w:vAlign w:val="center"/>
          </w:tcPr>
          <w:p w14:paraId="78863230">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2</w:t>
            </w:r>
          </w:p>
        </w:tc>
        <w:tc>
          <w:tcPr>
            <w:tcW w:w="1134" w:type="dxa"/>
            <w:vAlign w:val="center"/>
          </w:tcPr>
          <w:p w14:paraId="244620AD">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cs="宋体" w:asciiTheme="minorEastAsia" w:hAnsiTheme="minorEastAsia" w:eastAsiaTheme="minorEastAsia"/>
                <w:color w:val="000000" w:themeColor="text1"/>
                <w:sz w:val="21"/>
                <w:szCs w:val="21"/>
                <w14:textFill>
                  <w14:solidFill>
                    <w14:schemeClr w14:val="tx1"/>
                  </w14:solidFill>
                </w14:textFill>
              </w:rPr>
              <w:t>2</w:t>
            </w:r>
          </w:p>
        </w:tc>
      </w:tr>
      <w:tr w14:paraId="5AE01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72547BA8">
            <w:pPr>
              <w:spacing w:line="420" w:lineRule="exact"/>
              <w:ind w:firstLine="420" w:firstLineChars="200"/>
              <w:jc w:val="center"/>
              <w:rPr>
                <w:rFonts w:cs="宋体" w:asciiTheme="minorEastAsia" w:hAnsiTheme="minorEastAsia" w:eastAsiaTheme="minorEastAsia"/>
                <w:color w:val="000000" w:themeColor="text1"/>
                <w:sz w:val="21"/>
                <w:szCs w:val="21"/>
                <w:highlight w:val="yellow"/>
                <w14:textFill>
                  <w14:solidFill>
                    <w14:schemeClr w14:val="tx1"/>
                  </w14:solidFill>
                </w14:textFill>
              </w:rPr>
            </w:pPr>
          </w:p>
        </w:tc>
        <w:tc>
          <w:tcPr>
            <w:tcW w:w="1418" w:type="dxa"/>
            <w:vMerge w:val="continue"/>
            <w:vAlign w:val="center"/>
          </w:tcPr>
          <w:p w14:paraId="180E62A8">
            <w:pPr>
              <w:spacing w:line="420" w:lineRule="exact"/>
              <w:ind w:firstLine="420" w:firstLineChars="200"/>
              <w:jc w:val="center"/>
              <w:rPr>
                <w:rFonts w:cs="宋体" w:asciiTheme="minorEastAsia" w:hAnsiTheme="minorEastAsia" w:eastAsiaTheme="minorEastAsia"/>
                <w:color w:val="000000" w:themeColor="text1"/>
                <w:sz w:val="21"/>
                <w:szCs w:val="21"/>
                <w:highlight w:val="yellow"/>
                <w14:textFill>
                  <w14:solidFill>
                    <w14:schemeClr w14:val="tx1"/>
                  </w14:solidFill>
                </w14:textFill>
              </w:rPr>
            </w:pPr>
          </w:p>
        </w:tc>
        <w:tc>
          <w:tcPr>
            <w:tcW w:w="1701" w:type="dxa"/>
            <w:vAlign w:val="center"/>
          </w:tcPr>
          <w:p w14:paraId="24AEAB7C">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绩效目标科学性</w:t>
            </w:r>
          </w:p>
        </w:tc>
        <w:tc>
          <w:tcPr>
            <w:tcW w:w="1276" w:type="dxa"/>
            <w:vAlign w:val="center"/>
          </w:tcPr>
          <w:p w14:paraId="44E17E7F">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2</w:t>
            </w:r>
          </w:p>
        </w:tc>
        <w:tc>
          <w:tcPr>
            <w:tcW w:w="1134" w:type="dxa"/>
            <w:vAlign w:val="center"/>
          </w:tcPr>
          <w:p w14:paraId="29580E87">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cs="宋体" w:asciiTheme="minorEastAsia" w:hAnsiTheme="minorEastAsia" w:eastAsiaTheme="minorEastAsia"/>
                <w:color w:val="000000" w:themeColor="text1"/>
                <w:sz w:val="21"/>
                <w:szCs w:val="21"/>
                <w14:textFill>
                  <w14:solidFill>
                    <w14:schemeClr w14:val="tx1"/>
                  </w14:solidFill>
                </w14:textFill>
              </w:rPr>
              <w:t>2</w:t>
            </w:r>
          </w:p>
        </w:tc>
      </w:tr>
      <w:tr w14:paraId="55DEA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553FE700">
            <w:pPr>
              <w:spacing w:line="420" w:lineRule="exact"/>
              <w:ind w:firstLine="420" w:firstLineChars="200"/>
              <w:jc w:val="center"/>
              <w:rPr>
                <w:rFonts w:cs="宋体" w:asciiTheme="minorEastAsia" w:hAnsiTheme="minorEastAsia" w:eastAsiaTheme="minorEastAsia"/>
                <w:color w:val="000000" w:themeColor="text1"/>
                <w:sz w:val="21"/>
                <w:szCs w:val="21"/>
                <w:highlight w:val="yellow"/>
                <w14:textFill>
                  <w14:solidFill>
                    <w14:schemeClr w14:val="tx1"/>
                  </w14:solidFill>
                </w14:textFill>
              </w:rPr>
            </w:pPr>
          </w:p>
        </w:tc>
        <w:tc>
          <w:tcPr>
            <w:tcW w:w="1418" w:type="dxa"/>
            <w:vMerge w:val="continue"/>
            <w:vAlign w:val="center"/>
          </w:tcPr>
          <w:p w14:paraId="1614C7BE">
            <w:pPr>
              <w:spacing w:line="420" w:lineRule="exact"/>
              <w:ind w:firstLine="420" w:firstLineChars="200"/>
              <w:jc w:val="center"/>
              <w:rPr>
                <w:rFonts w:cs="宋体" w:asciiTheme="minorEastAsia" w:hAnsiTheme="minorEastAsia" w:eastAsiaTheme="minorEastAsia"/>
                <w:color w:val="000000" w:themeColor="text1"/>
                <w:sz w:val="21"/>
                <w:szCs w:val="21"/>
                <w:highlight w:val="yellow"/>
                <w14:textFill>
                  <w14:solidFill>
                    <w14:schemeClr w14:val="tx1"/>
                  </w14:solidFill>
                </w14:textFill>
              </w:rPr>
            </w:pPr>
          </w:p>
        </w:tc>
        <w:tc>
          <w:tcPr>
            <w:tcW w:w="1701" w:type="dxa"/>
            <w:vAlign w:val="center"/>
          </w:tcPr>
          <w:p w14:paraId="64317B52">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绩效指标明确性</w:t>
            </w:r>
          </w:p>
        </w:tc>
        <w:tc>
          <w:tcPr>
            <w:tcW w:w="1276" w:type="dxa"/>
            <w:vAlign w:val="center"/>
          </w:tcPr>
          <w:p w14:paraId="2A150B79">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2</w:t>
            </w:r>
          </w:p>
        </w:tc>
        <w:tc>
          <w:tcPr>
            <w:tcW w:w="1134" w:type="dxa"/>
            <w:vAlign w:val="center"/>
          </w:tcPr>
          <w:p w14:paraId="4FE5D96E">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cs="宋体" w:asciiTheme="minorEastAsia" w:hAnsiTheme="minorEastAsia" w:eastAsiaTheme="minorEastAsia"/>
                <w:color w:val="000000" w:themeColor="text1"/>
                <w:sz w:val="21"/>
                <w:szCs w:val="21"/>
                <w14:textFill>
                  <w14:solidFill>
                    <w14:schemeClr w14:val="tx1"/>
                  </w14:solidFill>
                </w14:textFill>
              </w:rPr>
              <w:t>1.5</w:t>
            </w:r>
          </w:p>
        </w:tc>
      </w:tr>
      <w:tr w14:paraId="249C8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0A7F148F">
            <w:pPr>
              <w:spacing w:line="420" w:lineRule="exact"/>
              <w:ind w:firstLine="420" w:firstLineChars="200"/>
              <w:jc w:val="center"/>
              <w:rPr>
                <w:rFonts w:cs="宋体" w:asciiTheme="minorEastAsia" w:hAnsiTheme="minorEastAsia" w:eastAsiaTheme="minorEastAsia"/>
                <w:color w:val="000000" w:themeColor="text1"/>
                <w:sz w:val="21"/>
                <w:szCs w:val="21"/>
                <w:highlight w:val="yellow"/>
                <w14:textFill>
                  <w14:solidFill>
                    <w14:schemeClr w14:val="tx1"/>
                  </w14:solidFill>
                </w14:textFill>
              </w:rPr>
            </w:pPr>
          </w:p>
        </w:tc>
        <w:tc>
          <w:tcPr>
            <w:tcW w:w="1418" w:type="dxa"/>
            <w:vMerge w:val="restart"/>
            <w:vAlign w:val="center"/>
          </w:tcPr>
          <w:p w14:paraId="64BAE334">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预算配置</w:t>
            </w:r>
          </w:p>
          <w:p w14:paraId="5ABD33A2">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（6分）</w:t>
            </w:r>
          </w:p>
        </w:tc>
        <w:tc>
          <w:tcPr>
            <w:tcW w:w="1701" w:type="dxa"/>
            <w:vAlign w:val="center"/>
          </w:tcPr>
          <w:p w14:paraId="4D4F6CF8">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预算编制完整性</w:t>
            </w:r>
          </w:p>
        </w:tc>
        <w:tc>
          <w:tcPr>
            <w:tcW w:w="1276" w:type="dxa"/>
            <w:vAlign w:val="center"/>
          </w:tcPr>
          <w:p w14:paraId="56097758">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2</w:t>
            </w:r>
          </w:p>
        </w:tc>
        <w:tc>
          <w:tcPr>
            <w:tcW w:w="1134" w:type="dxa"/>
            <w:vAlign w:val="center"/>
          </w:tcPr>
          <w:p w14:paraId="3F1BBA40">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2</w:t>
            </w:r>
          </w:p>
        </w:tc>
      </w:tr>
      <w:tr w14:paraId="526EC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2260774E">
            <w:pPr>
              <w:spacing w:line="420" w:lineRule="exact"/>
              <w:ind w:firstLine="420" w:firstLineChars="200"/>
              <w:jc w:val="center"/>
              <w:rPr>
                <w:rFonts w:cs="宋体" w:asciiTheme="minorEastAsia" w:hAnsiTheme="minorEastAsia" w:eastAsiaTheme="minorEastAsia"/>
                <w:color w:val="000000" w:themeColor="text1"/>
                <w:sz w:val="21"/>
                <w:szCs w:val="21"/>
                <w:highlight w:val="yellow"/>
                <w14:textFill>
                  <w14:solidFill>
                    <w14:schemeClr w14:val="tx1"/>
                  </w14:solidFill>
                </w14:textFill>
              </w:rPr>
            </w:pPr>
          </w:p>
        </w:tc>
        <w:tc>
          <w:tcPr>
            <w:tcW w:w="1418" w:type="dxa"/>
            <w:vMerge w:val="continue"/>
            <w:vAlign w:val="center"/>
          </w:tcPr>
          <w:p w14:paraId="64705685">
            <w:pPr>
              <w:spacing w:line="420" w:lineRule="exact"/>
              <w:ind w:firstLine="420" w:firstLineChars="200"/>
              <w:jc w:val="center"/>
              <w:rPr>
                <w:rFonts w:cs="宋体" w:asciiTheme="minorEastAsia" w:hAnsiTheme="minorEastAsia" w:eastAsiaTheme="minorEastAsia"/>
                <w:color w:val="000000" w:themeColor="text1"/>
                <w:sz w:val="21"/>
                <w:szCs w:val="21"/>
                <w:highlight w:val="yellow"/>
                <w14:textFill>
                  <w14:solidFill>
                    <w14:schemeClr w14:val="tx1"/>
                  </w14:solidFill>
                </w14:textFill>
              </w:rPr>
            </w:pPr>
          </w:p>
        </w:tc>
        <w:tc>
          <w:tcPr>
            <w:tcW w:w="1701" w:type="dxa"/>
            <w:vAlign w:val="center"/>
          </w:tcPr>
          <w:p w14:paraId="772600CE">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项目预算细化率</w:t>
            </w:r>
          </w:p>
        </w:tc>
        <w:tc>
          <w:tcPr>
            <w:tcW w:w="1276" w:type="dxa"/>
            <w:vAlign w:val="center"/>
          </w:tcPr>
          <w:p w14:paraId="2C1DB378">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2</w:t>
            </w:r>
          </w:p>
        </w:tc>
        <w:tc>
          <w:tcPr>
            <w:tcW w:w="1134" w:type="dxa"/>
            <w:vAlign w:val="center"/>
          </w:tcPr>
          <w:p w14:paraId="641AE195">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2</w:t>
            </w:r>
          </w:p>
        </w:tc>
      </w:tr>
      <w:tr w14:paraId="051BD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655810EC">
            <w:pPr>
              <w:spacing w:line="420" w:lineRule="exact"/>
              <w:ind w:firstLine="420" w:firstLineChars="200"/>
              <w:jc w:val="center"/>
              <w:rPr>
                <w:rFonts w:cs="宋体" w:asciiTheme="minorEastAsia" w:hAnsiTheme="minorEastAsia" w:eastAsiaTheme="minorEastAsia"/>
                <w:color w:val="000000" w:themeColor="text1"/>
                <w:sz w:val="21"/>
                <w:szCs w:val="21"/>
                <w:highlight w:val="yellow"/>
                <w14:textFill>
                  <w14:solidFill>
                    <w14:schemeClr w14:val="tx1"/>
                  </w14:solidFill>
                </w14:textFill>
              </w:rPr>
            </w:pPr>
          </w:p>
        </w:tc>
        <w:tc>
          <w:tcPr>
            <w:tcW w:w="1418" w:type="dxa"/>
            <w:vMerge w:val="continue"/>
            <w:vAlign w:val="center"/>
          </w:tcPr>
          <w:p w14:paraId="60841E97">
            <w:pPr>
              <w:spacing w:line="420" w:lineRule="exact"/>
              <w:ind w:firstLine="420" w:firstLineChars="200"/>
              <w:jc w:val="center"/>
              <w:rPr>
                <w:rFonts w:cs="宋体" w:asciiTheme="minorEastAsia" w:hAnsiTheme="minorEastAsia" w:eastAsiaTheme="minorEastAsia"/>
                <w:color w:val="000000" w:themeColor="text1"/>
                <w:sz w:val="21"/>
                <w:szCs w:val="21"/>
                <w:highlight w:val="yellow"/>
                <w14:textFill>
                  <w14:solidFill>
                    <w14:schemeClr w14:val="tx1"/>
                  </w14:solidFill>
                </w14:textFill>
              </w:rPr>
            </w:pPr>
          </w:p>
        </w:tc>
        <w:tc>
          <w:tcPr>
            <w:tcW w:w="1701" w:type="dxa"/>
            <w:vAlign w:val="center"/>
          </w:tcPr>
          <w:p w14:paraId="238F7528">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在职人员控制率</w:t>
            </w:r>
          </w:p>
        </w:tc>
        <w:tc>
          <w:tcPr>
            <w:tcW w:w="1276" w:type="dxa"/>
            <w:vAlign w:val="center"/>
          </w:tcPr>
          <w:p w14:paraId="5ABFC90D">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2</w:t>
            </w:r>
          </w:p>
        </w:tc>
        <w:tc>
          <w:tcPr>
            <w:tcW w:w="1134" w:type="dxa"/>
            <w:vAlign w:val="center"/>
          </w:tcPr>
          <w:p w14:paraId="151499FB">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cs="宋体" w:asciiTheme="minorEastAsia" w:hAnsiTheme="minorEastAsia" w:eastAsiaTheme="minorEastAsia"/>
                <w:color w:val="000000" w:themeColor="text1"/>
                <w:sz w:val="21"/>
                <w:szCs w:val="21"/>
                <w14:textFill>
                  <w14:solidFill>
                    <w14:schemeClr w14:val="tx1"/>
                  </w14:solidFill>
                </w14:textFill>
              </w:rPr>
              <w:t>2</w:t>
            </w:r>
          </w:p>
        </w:tc>
      </w:tr>
      <w:tr w14:paraId="44292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14:paraId="194DA84F">
            <w:pPr>
              <w:spacing w:line="420" w:lineRule="exact"/>
              <w:ind w:firstLine="420" w:firstLineChars="200"/>
              <w:jc w:val="center"/>
              <w:rPr>
                <w:rFonts w:cs="宋体" w:asciiTheme="minorEastAsia" w:hAnsiTheme="minorEastAsia" w:eastAsiaTheme="minorEastAsia"/>
                <w:color w:val="000000" w:themeColor="text1"/>
                <w:sz w:val="21"/>
                <w:szCs w:val="21"/>
                <w:highlight w:val="yellow"/>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合计</w:t>
            </w:r>
          </w:p>
        </w:tc>
        <w:tc>
          <w:tcPr>
            <w:tcW w:w="1701" w:type="dxa"/>
            <w:vAlign w:val="center"/>
          </w:tcPr>
          <w:p w14:paraId="43EF8F7A">
            <w:pPr>
              <w:spacing w:line="420" w:lineRule="exact"/>
              <w:ind w:firstLine="420" w:firstLineChars="200"/>
              <w:jc w:val="center"/>
              <w:rPr>
                <w:rFonts w:cs="宋体" w:asciiTheme="minorEastAsia" w:hAnsiTheme="minorEastAsia" w:eastAsiaTheme="minorEastAsia"/>
                <w:color w:val="000000" w:themeColor="text1"/>
                <w:sz w:val="21"/>
                <w:szCs w:val="21"/>
                <w:highlight w:val="yellow"/>
                <w14:textFill>
                  <w14:solidFill>
                    <w14:schemeClr w14:val="tx1"/>
                  </w14:solidFill>
                </w14:textFill>
              </w:rPr>
            </w:pPr>
          </w:p>
        </w:tc>
        <w:tc>
          <w:tcPr>
            <w:tcW w:w="1276" w:type="dxa"/>
            <w:vAlign w:val="center"/>
          </w:tcPr>
          <w:p w14:paraId="1BAD7B41">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12</w:t>
            </w:r>
          </w:p>
        </w:tc>
        <w:tc>
          <w:tcPr>
            <w:tcW w:w="1134" w:type="dxa"/>
            <w:vAlign w:val="center"/>
          </w:tcPr>
          <w:p w14:paraId="586CC988">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cs="宋体" w:asciiTheme="minorEastAsia" w:hAnsiTheme="minorEastAsia" w:eastAsiaTheme="minorEastAsia"/>
                <w:color w:val="000000" w:themeColor="text1"/>
                <w:sz w:val="21"/>
                <w:szCs w:val="21"/>
                <w14:textFill>
                  <w14:solidFill>
                    <w14:schemeClr w14:val="tx1"/>
                  </w14:solidFill>
                </w14:textFill>
              </w:rPr>
              <w:t>11.5</w:t>
            </w:r>
          </w:p>
        </w:tc>
      </w:tr>
    </w:tbl>
    <w:p w14:paraId="08D65DCE">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bookmarkStart w:id="60" w:name="_Toc465149513"/>
      <w:bookmarkStart w:id="61" w:name="_Toc464638478"/>
      <w:r>
        <w:rPr>
          <w:rFonts w:hint="eastAsia" w:ascii="仿宋_GB2312" w:eastAsia="仿宋_GB2312" w:cs="DengXian-Regular"/>
          <w:color w:val="000000" w:themeColor="text1"/>
          <w:sz w:val="32"/>
          <w:szCs w:val="32"/>
          <w14:textFill>
            <w14:solidFill>
              <w14:schemeClr w14:val="tx1"/>
            </w14:solidFill>
          </w14:textFill>
        </w:rPr>
        <w:t>1.绩效目标设定（6分）</w:t>
      </w:r>
    </w:p>
    <w:p w14:paraId="3BCE1309">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（1）绩效目标合理性(2分)</w:t>
      </w:r>
    </w:p>
    <w:p w14:paraId="5C15CC36">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14:paraId="0226F48B">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通过对比保定市徐水区委办公室及保定市徐水区人民政府办公室印发的《徐水县</w:t>
      </w:r>
      <w:r>
        <w:rPr>
          <w:rFonts w:ascii="仿宋_GB2312" w:eastAsia="仿宋_GB2312" w:cs="DengXian-Regular"/>
          <w:color w:val="000000" w:themeColor="text1"/>
          <w:sz w:val="32"/>
          <w:szCs w:val="32"/>
          <w14:textFill>
            <w14:solidFill>
              <w14:schemeClr w14:val="tx1"/>
            </w14:solidFill>
          </w14:textFill>
        </w:rPr>
        <w:t>机关服务中心</w:t>
      </w:r>
      <w:r>
        <w:rPr>
          <w:rFonts w:hint="eastAsia" w:ascii="仿宋_GB2312" w:eastAsia="仿宋_GB2312" w:cs="DengXian-Regular"/>
          <w:color w:val="000000" w:themeColor="text1"/>
          <w:sz w:val="32"/>
          <w:szCs w:val="32"/>
          <w14:textFill>
            <w14:solidFill>
              <w14:schemeClr w14:val="tx1"/>
            </w14:solidFill>
          </w14:textFill>
        </w:rPr>
        <w:t>职能</w:t>
      </w:r>
      <w:r>
        <w:rPr>
          <w:rFonts w:ascii="仿宋_GB2312" w:eastAsia="仿宋_GB2312" w:cs="DengXian-Regular"/>
          <w:color w:val="000000" w:themeColor="text1"/>
          <w:sz w:val="32"/>
          <w:szCs w:val="32"/>
          <w14:textFill>
            <w14:solidFill>
              <w14:schemeClr w14:val="tx1"/>
            </w14:solidFill>
          </w14:textFill>
        </w:rPr>
        <w:t>配置、内设机构和人员编制方案</w:t>
      </w:r>
      <w:r>
        <w:rPr>
          <w:rFonts w:hint="eastAsia" w:ascii="仿宋_GB2312" w:eastAsia="仿宋_GB2312" w:cs="DengXian-Regular"/>
          <w:color w:val="000000" w:themeColor="text1"/>
          <w:sz w:val="32"/>
          <w:szCs w:val="32"/>
          <w14:textFill>
            <w14:solidFill>
              <w14:schemeClr w14:val="tx1"/>
            </w14:solidFill>
          </w14:textFill>
        </w:rPr>
        <w:t>》和徐水区机关服务中心2019年预算文本—部门职责工作活动绩效目标，评价工作组认为区机关服务中心部门职责符合“三定”方案中所赋予的职责，绩效目标设立依据充分，符合客观实际，与部门职责、工作规划和重点工作相关，工作活动和项目预算安排合理。</w:t>
      </w:r>
    </w:p>
    <w:p w14:paraId="5A4DA12B">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该指标实际得分2分。</w:t>
      </w:r>
    </w:p>
    <w:p w14:paraId="4382E4A8">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（2）绩效目标科学性（2分）</w:t>
      </w:r>
    </w:p>
    <w:p w14:paraId="2000975B">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14:paraId="71F46424">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根据徐水区机关服务中心2019年预算文本—部门职责工作活动绩效目标，绩效目标与部门履职、年度工作任务相符；工作活动有明确的绩效目标，绩效目标与部门职责目标、部门年度工作目标比较一致。</w:t>
      </w:r>
    </w:p>
    <w:p w14:paraId="54C8B3ED">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该项指标实际得分</w:t>
      </w:r>
      <w:r>
        <w:rPr>
          <w:rFonts w:ascii="仿宋_GB2312" w:eastAsia="仿宋_GB2312" w:cs="DengXian-Regular"/>
          <w:color w:val="000000" w:themeColor="text1"/>
          <w:sz w:val="32"/>
          <w:szCs w:val="32"/>
          <w14:textFill>
            <w14:solidFill>
              <w14:schemeClr w14:val="tx1"/>
            </w14:solidFill>
          </w14:textFill>
        </w:rPr>
        <w:t>2</w:t>
      </w:r>
      <w:r>
        <w:rPr>
          <w:rFonts w:hint="eastAsia" w:ascii="仿宋_GB2312" w:eastAsia="仿宋_GB2312" w:cs="DengXian-Regular"/>
          <w:color w:val="000000" w:themeColor="text1"/>
          <w:sz w:val="32"/>
          <w:szCs w:val="32"/>
          <w14:textFill>
            <w14:solidFill>
              <w14:schemeClr w14:val="tx1"/>
            </w14:solidFill>
          </w14:textFill>
        </w:rPr>
        <w:t>分。</w:t>
      </w:r>
    </w:p>
    <w:p w14:paraId="16D76C97">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（3）绩效目标明确性（2分）</w:t>
      </w:r>
    </w:p>
    <w:p w14:paraId="476BE1EF">
      <w:pPr>
        <w:spacing w:after="0" w:line="360" w:lineRule="auto"/>
        <w:ind w:firstLine="640" w:firstLineChars="200"/>
        <w:jc w:val="both"/>
        <w:textAlignment w:val="baseline"/>
        <w:rPr>
          <w:rFonts w:ascii="仿宋_GB2312" w:eastAsia="仿宋_GB2312" w:cs="DengXian-Regular"/>
          <w:color w:val="000000" w:themeColor="text1"/>
          <w:sz w:val="32"/>
          <w:szCs w:val="32"/>
          <w:highlight w:val="yellow"/>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14:paraId="1C3445F2">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根据徐水区机关服务</w:t>
      </w:r>
      <w:r>
        <w:rPr>
          <w:rFonts w:ascii="仿宋_GB2312" w:eastAsia="仿宋_GB2312" w:cs="DengXian-Regular"/>
          <w:color w:val="000000" w:themeColor="text1"/>
          <w:sz w:val="32"/>
          <w:szCs w:val="32"/>
          <w14:textFill>
            <w14:solidFill>
              <w14:schemeClr w14:val="tx1"/>
            </w14:solidFill>
          </w14:textFill>
        </w:rPr>
        <w:t>中心</w:t>
      </w:r>
      <w:r>
        <w:rPr>
          <w:rFonts w:hint="eastAsia" w:ascii="仿宋_GB2312" w:eastAsia="仿宋_GB2312" w:cs="DengXian-Regular"/>
          <w:color w:val="000000" w:themeColor="text1"/>
          <w:sz w:val="32"/>
          <w:szCs w:val="32"/>
          <w14:textFill>
            <w14:solidFill>
              <w14:schemeClr w14:val="tx1"/>
            </w14:solidFill>
          </w14:textFill>
        </w:rPr>
        <w:t>2019年预算文本—部门职责工作活动绩效目标,该指标实际得分</w:t>
      </w:r>
      <w:r>
        <w:rPr>
          <w:rFonts w:ascii="仿宋_GB2312" w:eastAsia="仿宋_GB2312" w:cs="DengXian-Regular"/>
          <w:color w:val="000000" w:themeColor="text1"/>
          <w:sz w:val="32"/>
          <w:szCs w:val="32"/>
          <w14:textFill>
            <w14:solidFill>
              <w14:schemeClr w14:val="tx1"/>
            </w14:solidFill>
          </w14:textFill>
        </w:rPr>
        <w:t>1.5</w:t>
      </w:r>
      <w:r>
        <w:rPr>
          <w:rFonts w:hint="eastAsia" w:ascii="仿宋_GB2312" w:eastAsia="仿宋_GB2312" w:cs="DengXian-Regular"/>
          <w:color w:val="000000" w:themeColor="text1"/>
          <w:sz w:val="32"/>
          <w:szCs w:val="32"/>
          <w14:textFill>
            <w14:solidFill>
              <w14:schemeClr w14:val="tx1"/>
            </w14:solidFill>
          </w14:textFill>
        </w:rPr>
        <w:t>分。</w:t>
      </w:r>
      <w:r>
        <w:rPr>
          <w:rFonts w:ascii="仿宋_GB2312" w:eastAsia="仿宋_GB2312" w:cs="DengXian-Regular"/>
          <w:color w:val="000000" w:themeColor="text1"/>
          <w:sz w:val="32"/>
          <w:szCs w:val="32"/>
          <w14:textFill>
            <w14:solidFill>
              <w14:schemeClr w14:val="tx1"/>
            </w14:solidFill>
          </w14:textFill>
        </w:rPr>
        <w:t>部分</w:t>
      </w:r>
      <w:r>
        <w:rPr>
          <w:rFonts w:hint="eastAsia" w:ascii="仿宋_GB2312" w:eastAsia="仿宋_GB2312" w:cs="DengXian-Regular"/>
          <w:color w:val="000000" w:themeColor="text1"/>
          <w:sz w:val="32"/>
          <w:szCs w:val="32"/>
          <w14:textFill>
            <w14:solidFill>
              <w14:schemeClr w14:val="tx1"/>
            </w14:solidFill>
          </w14:textFill>
        </w:rPr>
        <w:t>绩效指标</w:t>
      </w:r>
      <w:r>
        <w:rPr>
          <w:rFonts w:ascii="仿宋_GB2312" w:eastAsia="仿宋_GB2312" w:cs="DengXian-Regular"/>
          <w:color w:val="000000" w:themeColor="text1"/>
          <w:sz w:val="32"/>
          <w:szCs w:val="32"/>
          <w14:textFill>
            <w14:solidFill>
              <w14:schemeClr w14:val="tx1"/>
            </w14:solidFill>
          </w14:textFill>
        </w:rPr>
        <w:t>针对性比较弱，今后还需要根据项目具体情况，细化绩效指标。</w:t>
      </w:r>
    </w:p>
    <w:p w14:paraId="552B7F63">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2.预算配置（6分）</w:t>
      </w:r>
    </w:p>
    <w:p w14:paraId="7BE4FB97">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（1）预算编制完整性（2分）</w:t>
      </w:r>
    </w:p>
    <w:p w14:paraId="4B57C711">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该指标主要评价部门所有收入是否全部纳入部门预算，部门支出预算是否统筹各类支出，按基本支出、项目支出分别编制。</w:t>
      </w:r>
    </w:p>
    <w:p w14:paraId="531A9E4E">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根据区机关服务</w:t>
      </w:r>
      <w:r>
        <w:rPr>
          <w:rFonts w:ascii="仿宋_GB2312" w:eastAsia="仿宋_GB2312" w:cs="DengXian-Regular"/>
          <w:color w:val="000000" w:themeColor="text1"/>
          <w:sz w:val="32"/>
          <w:szCs w:val="32"/>
          <w14:textFill>
            <w14:solidFill>
              <w14:schemeClr w14:val="tx1"/>
            </w14:solidFill>
          </w14:textFill>
        </w:rPr>
        <w:t>中心</w:t>
      </w:r>
      <w:r>
        <w:rPr>
          <w:rFonts w:hint="eastAsia" w:ascii="仿宋_GB2312" w:eastAsia="仿宋_GB2312" w:cs="DengXian-Regular"/>
          <w:color w:val="000000" w:themeColor="text1"/>
          <w:sz w:val="32"/>
          <w:szCs w:val="32"/>
          <w14:textFill>
            <w14:solidFill>
              <w14:schemeClr w14:val="tx1"/>
            </w14:solidFill>
          </w14:textFill>
        </w:rPr>
        <w:t>2019年预算文本及相关会计资料，区机关服务</w:t>
      </w:r>
      <w:r>
        <w:rPr>
          <w:rFonts w:ascii="仿宋_GB2312" w:eastAsia="仿宋_GB2312" w:cs="DengXian-Regular"/>
          <w:color w:val="000000" w:themeColor="text1"/>
          <w:sz w:val="32"/>
          <w:szCs w:val="32"/>
          <w14:textFill>
            <w14:solidFill>
              <w14:schemeClr w14:val="tx1"/>
            </w14:solidFill>
          </w14:textFill>
        </w:rPr>
        <w:t>中心</w:t>
      </w:r>
      <w:r>
        <w:rPr>
          <w:rFonts w:hint="eastAsia" w:ascii="仿宋_GB2312" w:eastAsia="仿宋_GB2312" w:cs="DengXian-Regular"/>
          <w:color w:val="000000" w:themeColor="text1"/>
          <w:sz w:val="32"/>
          <w:szCs w:val="32"/>
          <w14:textFill>
            <w14:solidFill>
              <w14:schemeClr w14:val="tx1"/>
            </w14:solidFill>
          </w14:textFill>
        </w:rPr>
        <w:t>所有收入均已纳入部门预算，部门支出按基本支出、项目支出分别编制。</w:t>
      </w:r>
    </w:p>
    <w:p w14:paraId="70C0BA99">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该指标实际得分</w:t>
      </w:r>
      <w:r>
        <w:rPr>
          <w:rFonts w:ascii="仿宋_GB2312" w:eastAsia="仿宋_GB2312" w:cs="DengXian-Regular"/>
          <w:color w:val="000000" w:themeColor="text1"/>
          <w:sz w:val="32"/>
          <w:szCs w:val="32"/>
          <w14:textFill>
            <w14:solidFill>
              <w14:schemeClr w14:val="tx1"/>
            </w14:solidFill>
          </w14:textFill>
        </w:rPr>
        <w:t>2</w:t>
      </w:r>
      <w:r>
        <w:rPr>
          <w:rFonts w:hint="eastAsia" w:ascii="仿宋_GB2312" w:eastAsia="仿宋_GB2312" w:cs="DengXian-Regular"/>
          <w:color w:val="000000" w:themeColor="text1"/>
          <w:sz w:val="32"/>
          <w:szCs w:val="32"/>
          <w14:textFill>
            <w14:solidFill>
              <w14:schemeClr w14:val="tx1"/>
            </w14:solidFill>
          </w14:textFill>
        </w:rPr>
        <w:t>分。</w:t>
      </w:r>
    </w:p>
    <w:p w14:paraId="7498C026">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（2）项目预算细化率（2分）</w:t>
      </w:r>
    </w:p>
    <w:p w14:paraId="2F019248">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该指标主要评价编报的项目支出是否细化到具体用款单位和项目的资金额度，通过项目预算细化率衡量。</w:t>
      </w:r>
    </w:p>
    <w:p w14:paraId="6C3F038F">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项目预算细化率=细化的项目金额/实际编报的项目金额×100%。</w:t>
      </w:r>
    </w:p>
    <w:p w14:paraId="53B7BA08">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根据机关服务中心2019年预算文本—部门项目支出预算表，机关服务中心 2019年预算项目共</w:t>
      </w:r>
      <w:r>
        <w:rPr>
          <w:rFonts w:ascii="仿宋_GB2312" w:eastAsia="仿宋_GB2312" w:cs="DengXian-Regular"/>
          <w:color w:val="000000" w:themeColor="text1"/>
          <w:sz w:val="32"/>
          <w:szCs w:val="32"/>
          <w14:textFill>
            <w14:solidFill>
              <w14:schemeClr w14:val="tx1"/>
            </w14:solidFill>
          </w14:textFill>
        </w:rPr>
        <w:t>10</w:t>
      </w:r>
      <w:r>
        <w:rPr>
          <w:rFonts w:hint="eastAsia" w:ascii="仿宋_GB2312" w:eastAsia="仿宋_GB2312" w:cs="DengXian-Regular"/>
          <w:color w:val="000000" w:themeColor="text1"/>
          <w:sz w:val="32"/>
          <w:szCs w:val="32"/>
          <w14:textFill>
            <w14:solidFill>
              <w14:schemeClr w14:val="tx1"/>
            </w14:solidFill>
          </w14:textFill>
        </w:rPr>
        <w:t>个，涉及资金</w:t>
      </w:r>
      <w:r>
        <w:rPr>
          <w:rFonts w:ascii="仿宋_GB2312" w:eastAsia="仿宋_GB2312" w:cs="DengXian-Regular"/>
          <w:color w:val="000000" w:themeColor="text1"/>
          <w:sz w:val="32"/>
          <w:szCs w:val="32"/>
          <w14:textFill>
            <w14:solidFill>
              <w14:schemeClr w14:val="tx1"/>
            </w14:solidFill>
          </w14:textFill>
        </w:rPr>
        <w:t>274.57</w:t>
      </w:r>
      <w:r>
        <w:rPr>
          <w:rFonts w:hint="eastAsia" w:ascii="仿宋_GB2312" w:eastAsia="仿宋_GB2312" w:cs="DengXian-Regular"/>
          <w:color w:val="000000" w:themeColor="text1"/>
          <w:sz w:val="32"/>
          <w:szCs w:val="32"/>
          <w14:textFill>
            <w14:solidFill>
              <w14:schemeClr w14:val="tx1"/>
            </w14:solidFill>
          </w14:textFill>
        </w:rPr>
        <w:t>万元，所有项目均细化到具体用款单位及项目资金额度。项目预算细化率=（</w:t>
      </w:r>
      <w:r>
        <w:rPr>
          <w:rFonts w:ascii="仿宋_GB2312" w:eastAsia="仿宋_GB2312" w:cs="DengXian-Regular"/>
          <w:color w:val="000000" w:themeColor="text1"/>
          <w:sz w:val="32"/>
          <w:szCs w:val="32"/>
          <w14:textFill>
            <w14:solidFill>
              <w14:schemeClr w14:val="tx1"/>
            </w14:solidFill>
          </w14:textFill>
        </w:rPr>
        <w:t>274.57</w:t>
      </w:r>
      <w:r>
        <w:rPr>
          <w:rFonts w:hint="eastAsia" w:ascii="仿宋_GB2312" w:eastAsia="仿宋_GB2312" w:cs="DengXian-Regular"/>
          <w:color w:val="000000" w:themeColor="text1"/>
          <w:sz w:val="32"/>
          <w:szCs w:val="32"/>
          <w14:textFill>
            <w14:solidFill>
              <w14:schemeClr w14:val="tx1"/>
            </w14:solidFill>
          </w14:textFill>
        </w:rPr>
        <w:t>/</w:t>
      </w:r>
      <w:r>
        <w:rPr>
          <w:rFonts w:ascii="仿宋_GB2312" w:eastAsia="仿宋_GB2312" w:cs="DengXian-Regular"/>
          <w:color w:val="000000" w:themeColor="text1"/>
          <w:sz w:val="32"/>
          <w:szCs w:val="32"/>
          <w14:textFill>
            <w14:solidFill>
              <w14:schemeClr w14:val="tx1"/>
            </w14:solidFill>
          </w14:textFill>
        </w:rPr>
        <w:t>274.57</w:t>
      </w:r>
      <w:r>
        <w:rPr>
          <w:rFonts w:hint="eastAsia" w:ascii="仿宋_GB2312" w:eastAsia="仿宋_GB2312" w:cs="DengXian-Regular"/>
          <w:color w:val="000000" w:themeColor="text1"/>
          <w:sz w:val="32"/>
          <w:szCs w:val="32"/>
          <w14:textFill>
            <w14:solidFill>
              <w14:schemeClr w14:val="tx1"/>
            </w14:solidFill>
          </w14:textFill>
        </w:rPr>
        <w:t>）*100%=100%</w:t>
      </w:r>
    </w:p>
    <w:p w14:paraId="33E9082F">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该指标实际得分</w:t>
      </w:r>
      <w:r>
        <w:rPr>
          <w:rFonts w:ascii="仿宋_GB2312" w:eastAsia="仿宋_GB2312" w:cs="DengXian-Regular"/>
          <w:color w:val="000000" w:themeColor="text1"/>
          <w:sz w:val="32"/>
          <w:szCs w:val="32"/>
          <w14:textFill>
            <w14:solidFill>
              <w14:schemeClr w14:val="tx1"/>
            </w14:solidFill>
          </w14:textFill>
        </w:rPr>
        <w:t>2</w:t>
      </w:r>
      <w:r>
        <w:rPr>
          <w:rFonts w:hint="eastAsia" w:ascii="仿宋_GB2312" w:eastAsia="仿宋_GB2312" w:cs="DengXian-Regular"/>
          <w:color w:val="000000" w:themeColor="text1"/>
          <w:sz w:val="32"/>
          <w:szCs w:val="32"/>
          <w14:textFill>
            <w14:solidFill>
              <w14:schemeClr w14:val="tx1"/>
            </w14:solidFill>
          </w14:textFill>
        </w:rPr>
        <w:t>分。</w:t>
      </w:r>
    </w:p>
    <w:p w14:paraId="7BB27509">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（3）在职人员控制率（2分）</w:t>
      </w:r>
    </w:p>
    <w:p w14:paraId="65A1EAA4">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该指标主要考核截至2019年底区机关服务</w:t>
      </w:r>
      <w:r>
        <w:rPr>
          <w:rFonts w:ascii="仿宋_GB2312" w:eastAsia="仿宋_GB2312" w:cs="DengXian-Regular"/>
          <w:color w:val="000000" w:themeColor="text1"/>
          <w:sz w:val="32"/>
          <w:szCs w:val="32"/>
          <w14:textFill>
            <w14:solidFill>
              <w14:schemeClr w14:val="tx1"/>
            </w14:solidFill>
          </w14:textFill>
        </w:rPr>
        <w:t>中心</w:t>
      </w:r>
      <w:r>
        <w:rPr>
          <w:rFonts w:hint="eastAsia" w:ascii="仿宋_GB2312" w:eastAsia="仿宋_GB2312" w:cs="DengXian-Regular"/>
          <w:color w:val="000000" w:themeColor="text1"/>
          <w:sz w:val="32"/>
          <w:szCs w:val="32"/>
          <w14:textFill>
            <w14:solidFill>
              <w14:schemeClr w14:val="tx1"/>
            </w14:solidFill>
          </w14:textFill>
        </w:rPr>
        <w:t>在职人员控制情况，通过在职人员控制率衡量。</w:t>
      </w:r>
    </w:p>
    <w:p w14:paraId="3DFFA1D4">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在职人员控制率=决算在职人员/编制数×100%。</w:t>
      </w:r>
    </w:p>
    <w:p w14:paraId="567E3BB6">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根据保定市徐水区委办公室及保定市徐水区人民政府办公室关于印发《中国共产党</w:t>
      </w:r>
      <w:r>
        <w:rPr>
          <w:rFonts w:ascii="仿宋_GB2312" w:eastAsia="仿宋_GB2312" w:cs="DengXian-Regular"/>
          <w:color w:val="000000" w:themeColor="text1"/>
          <w:sz w:val="32"/>
          <w:szCs w:val="32"/>
          <w14:textFill>
            <w14:solidFill>
              <w14:schemeClr w14:val="tx1"/>
            </w14:solidFill>
          </w14:textFill>
        </w:rPr>
        <w:t>保定市徐水区纪律检查委员会</w:t>
      </w:r>
      <w:r>
        <w:rPr>
          <w:rFonts w:hint="eastAsia" w:ascii="仿宋_GB2312" w:eastAsia="仿宋_GB2312" w:cs="DengXian-Regular"/>
          <w:color w:val="000000" w:themeColor="text1"/>
          <w:sz w:val="32"/>
          <w:szCs w:val="32"/>
          <w14:textFill>
            <w14:solidFill>
              <w14:schemeClr w14:val="tx1"/>
            </w14:solidFill>
          </w14:textFill>
        </w:rPr>
        <w:t>职能配置内设机构和人员编制规定》的通知，徐水区机关服务</w:t>
      </w:r>
      <w:r>
        <w:rPr>
          <w:rFonts w:ascii="仿宋_GB2312" w:eastAsia="仿宋_GB2312" w:cs="DengXian-Regular"/>
          <w:color w:val="000000" w:themeColor="text1"/>
          <w:sz w:val="32"/>
          <w:szCs w:val="32"/>
          <w14:textFill>
            <w14:solidFill>
              <w14:schemeClr w14:val="tx1"/>
            </w14:solidFill>
          </w14:textFill>
        </w:rPr>
        <w:t>中心</w:t>
      </w:r>
      <w:r>
        <w:rPr>
          <w:rFonts w:hint="eastAsia" w:ascii="仿宋_GB2312" w:eastAsia="仿宋_GB2312" w:cs="DengXian-Regular"/>
          <w:color w:val="000000" w:themeColor="text1"/>
          <w:sz w:val="32"/>
          <w:szCs w:val="32"/>
          <w14:textFill>
            <w14:solidFill>
              <w14:schemeClr w14:val="tx1"/>
            </w14:solidFill>
          </w14:textFill>
        </w:rPr>
        <w:t>编制为</w:t>
      </w:r>
      <w:r>
        <w:rPr>
          <w:rFonts w:ascii="仿宋_GB2312" w:eastAsia="仿宋_GB2312" w:cs="DengXian-Regular"/>
          <w:color w:val="000000" w:themeColor="text1"/>
          <w:sz w:val="32"/>
          <w:szCs w:val="32"/>
          <w14:textFill>
            <w14:solidFill>
              <w14:schemeClr w14:val="tx1"/>
            </w14:solidFill>
          </w14:textFill>
        </w:rPr>
        <w:t>24</w:t>
      </w:r>
      <w:r>
        <w:rPr>
          <w:rFonts w:hint="eastAsia" w:ascii="仿宋_GB2312" w:eastAsia="仿宋_GB2312" w:cs="DengXian-Regular"/>
          <w:color w:val="000000" w:themeColor="text1"/>
          <w:sz w:val="32"/>
          <w:szCs w:val="32"/>
          <w14:textFill>
            <w14:solidFill>
              <w14:schemeClr w14:val="tx1"/>
            </w14:solidFill>
          </w14:textFill>
        </w:rPr>
        <w:t>人，根据区机关服务</w:t>
      </w:r>
      <w:r>
        <w:rPr>
          <w:rFonts w:ascii="仿宋_GB2312" w:eastAsia="仿宋_GB2312" w:cs="DengXian-Regular"/>
          <w:color w:val="000000" w:themeColor="text1"/>
          <w:sz w:val="32"/>
          <w:szCs w:val="32"/>
          <w14:textFill>
            <w14:solidFill>
              <w14:schemeClr w14:val="tx1"/>
            </w14:solidFill>
          </w14:textFill>
        </w:rPr>
        <w:t>中心</w:t>
      </w:r>
      <w:r>
        <w:rPr>
          <w:rFonts w:hint="eastAsia" w:ascii="仿宋_GB2312" w:eastAsia="仿宋_GB2312" w:cs="DengXian-Regular"/>
          <w:color w:val="000000" w:themeColor="text1"/>
          <w:sz w:val="32"/>
          <w:szCs w:val="32"/>
          <w14:textFill>
            <w14:solidFill>
              <w14:schemeClr w14:val="tx1"/>
            </w14:solidFill>
          </w14:textFill>
        </w:rPr>
        <w:t>单位2019年决算文本-部门基本情况表，截至2019年底，在职人员</w:t>
      </w:r>
      <w:r>
        <w:rPr>
          <w:rFonts w:ascii="仿宋_GB2312" w:eastAsia="仿宋_GB2312" w:cs="DengXian-Regular"/>
          <w:color w:val="000000" w:themeColor="text1"/>
          <w:sz w:val="32"/>
          <w:szCs w:val="32"/>
          <w14:textFill>
            <w14:solidFill>
              <w14:schemeClr w14:val="tx1"/>
            </w14:solidFill>
          </w14:textFill>
        </w:rPr>
        <w:t>18</w:t>
      </w:r>
      <w:r>
        <w:rPr>
          <w:rFonts w:hint="eastAsia" w:ascii="仿宋_GB2312" w:eastAsia="仿宋_GB2312" w:cs="DengXian-Regular"/>
          <w:color w:val="000000" w:themeColor="text1"/>
          <w:sz w:val="32"/>
          <w:szCs w:val="32"/>
          <w14:textFill>
            <w14:solidFill>
              <w14:schemeClr w14:val="tx1"/>
            </w14:solidFill>
          </w14:textFill>
        </w:rPr>
        <w:t>人，在职人员控制率=（</w:t>
      </w:r>
      <w:r>
        <w:rPr>
          <w:rFonts w:ascii="仿宋_GB2312" w:eastAsia="仿宋_GB2312" w:cs="DengXian-Regular"/>
          <w:color w:val="000000" w:themeColor="text1"/>
          <w:sz w:val="32"/>
          <w:szCs w:val="32"/>
          <w14:textFill>
            <w14:solidFill>
              <w14:schemeClr w14:val="tx1"/>
            </w14:solidFill>
          </w14:textFill>
        </w:rPr>
        <w:t>18</w:t>
      </w:r>
      <w:r>
        <w:rPr>
          <w:rFonts w:hint="eastAsia" w:ascii="仿宋_GB2312" w:eastAsia="仿宋_GB2312" w:cs="DengXian-Regular"/>
          <w:color w:val="000000" w:themeColor="text1"/>
          <w:sz w:val="32"/>
          <w:szCs w:val="32"/>
          <w14:textFill>
            <w14:solidFill>
              <w14:schemeClr w14:val="tx1"/>
            </w14:solidFill>
          </w14:textFill>
        </w:rPr>
        <w:t>/</w:t>
      </w:r>
      <w:r>
        <w:rPr>
          <w:rFonts w:ascii="仿宋_GB2312" w:eastAsia="仿宋_GB2312" w:cs="DengXian-Regular"/>
          <w:color w:val="000000" w:themeColor="text1"/>
          <w:sz w:val="32"/>
          <w:szCs w:val="32"/>
          <w14:textFill>
            <w14:solidFill>
              <w14:schemeClr w14:val="tx1"/>
            </w14:solidFill>
          </w14:textFill>
        </w:rPr>
        <w:t>24</w:t>
      </w:r>
      <w:r>
        <w:rPr>
          <w:rFonts w:hint="eastAsia" w:ascii="仿宋_GB2312" w:eastAsia="仿宋_GB2312" w:cs="DengXian-Regular"/>
          <w:color w:val="000000" w:themeColor="text1"/>
          <w:sz w:val="32"/>
          <w:szCs w:val="32"/>
          <w14:textFill>
            <w14:solidFill>
              <w14:schemeClr w14:val="tx1"/>
            </w14:solidFill>
          </w14:textFill>
        </w:rPr>
        <w:t>）*100%=</w:t>
      </w:r>
      <w:r>
        <w:rPr>
          <w:rFonts w:ascii="仿宋_GB2312" w:eastAsia="仿宋_GB2312" w:cs="DengXian-Regular"/>
          <w:color w:val="000000" w:themeColor="text1"/>
          <w:sz w:val="32"/>
          <w:szCs w:val="32"/>
          <w14:textFill>
            <w14:solidFill>
              <w14:schemeClr w14:val="tx1"/>
            </w14:solidFill>
          </w14:textFill>
        </w:rPr>
        <w:t>75</w:t>
      </w:r>
      <w:r>
        <w:rPr>
          <w:rFonts w:hint="eastAsia" w:ascii="仿宋_GB2312" w:eastAsia="仿宋_GB2312" w:cs="DengXian-Regular"/>
          <w:color w:val="000000" w:themeColor="text1"/>
          <w:sz w:val="32"/>
          <w:szCs w:val="32"/>
          <w14:textFill>
            <w14:solidFill>
              <w14:schemeClr w14:val="tx1"/>
            </w14:solidFill>
          </w14:textFill>
        </w:rPr>
        <w:t>%。</w:t>
      </w:r>
    </w:p>
    <w:p w14:paraId="7078E23B">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该指标实际得分</w:t>
      </w:r>
      <w:r>
        <w:rPr>
          <w:rFonts w:ascii="仿宋_GB2312" w:eastAsia="仿宋_GB2312" w:cs="DengXian-Regular"/>
          <w:color w:val="000000" w:themeColor="text1"/>
          <w:sz w:val="32"/>
          <w:szCs w:val="32"/>
          <w14:textFill>
            <w14:solidFill>
              <w14:schemeClr w14:val="tx1"/>
            </w14:solidFill>
          </w14:textFill>
        </w:rPr>
        <w:t>2</w:t>
      </w:r>
      <w:r>
        <w:rPr>
          <w:rFonts w:hint="eastAsia" w:ascii="仿宋_GB2312" w:eastAsia="仿宋_GB2312" w:cs="DengXian-Regular"/>
          <w:color w:val="000000" w:themeColor="text1"/>
          <w:sz w:val="32"/>
          <w:szCs w:val="32"/>
          <w14:textFill>
            <w14:solidFill>
              <w14:schemeClr w14:val="tx1"/>
            </w14:solidFill>
          </w14:textFill>
        </w:rPr>
        <w:t>分。</w:t>
      </w:r>
    </w:p>
    <w:bookmarkEnd w:id="60"/>
    <w:bookmarkEnd w:id="61"/>
    <w:p w14:paraId="3173416C">
      <w:pPr>
        <w:pStyle w:val="4"/>
        <w:spacing w:before="0" w:after="0"/>
        <w:ind w:firstLine="643" w:firstLineChars="200"/>
        <w:jc w:val="both"/>
        <w:rPr>
          <w:rFonts w:ascii="楷体" w:hAnsi="楷体" w:eastAsia="楷体"/>
          <w:color w:val="000000" w:themeColor="text1"/>
          <w:sz w:val="32"/>
          <w14:textFill>
            <w14:solidFill>
              <w14:schemeClr w14:val="tx1"/>
            </w14:solidFill>
          </w14:textFill>
        </w:rPr>
      </w:pPr>
      <w:bookmarkStart w:id="62" w:name="_Toc19940"/>
      <w:r>
        <w:rPr>
          <w:rFonts w:hint="eastAsia" w:ascii="楷体" w:hAnsi="楷体" w:eastAsia="楷体"/>
          <w:color w:val="000000" w:themeColor="text1"/>
          <w:sz w:val="32"/>
          <w14:textFill>
            <w14:solidFill>
              <w14:schemeClr w14:val="tx1"/>
            </w14:solidFill>
          </w14:textFill>
        </w:rPr>
        <w:t>（二）过程（48分）</w:t>
      </w:r>
      <w:bookmarkEnd w:id="62"/>
    </w:p>
    <w:p w14:paraId="02A73B09">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bookmarkStart w:id="63" w:name="_Toc464638480"/>
      <w:r>
        <w:rPr>
          <w:rFonts w:hint="eastAsia" w:ascii="仿宋_GB2312" w:eastAsia="仿宋_GB2312" w:cs="DengXian-Regular"/>
          <w:color w:val="000000" w:themeColor="text1"/>
          <w:sz w:val="32"/>
          <w:szCs w:val="32"/>
          <w14:textFill>
            <w14:solidFill>
              <w14:schemeClr w14:val="tx1"/>
            </w14:solidFill>
          </w14:textFill>
        </w:rPr>
        <w:t>该一级指标包含预算执行、预算管理和绩效评价三个二级指标，主要反映预算调整、收入支出完成情况，“三公”经费、政府采购执行情况，财务管理是否规范、资金使用是否合规，决算真实性。</w:t>
      </w:r>
    </w:p>
    <w:p w14:paraId="653DC28D">
      <w:pPr>
        <w:spacing w:after="0" w:line="360" w:lineRule="auto"/>
        <w:jc w:val="center"/>
        <w:textAlignment w:val="baseline"/>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14:paraId="64EAA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14:paraId="046AB2C7">
            <w:pPr>
              <w:spacing w:after="0"/>
              <w:jc w:val="center"/>
              <w:textAlignment w:val="center"/>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一级指标</w:t>
            </w:r>
          </w:p>
        </w:tc>
        <w:tc>
          <w:tcPr>
            <w:tcW w:w="1388" w:type="dxa"/>
            <w:vAlign w:val="center"/>
          </w:tcPr>
          <w:p w14:paraId="647DCA15">
            <w:pPr>
              <w:spacing w:after="0"/>
              <w:jc w:val="center"/>
              <w:textAlignment w:val="center"/>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二级指标</w:t>
            </w:r>
          </w:p>
        </w:tc>
        <w:tc>
          <w:tcPr>
            <w:tcW w:w="2277" w:type="dxa"/>
            <w:vAlign w:val="center"/>
          </w:tcPr>
          <w:p w14:paraId="3468291C">
            <w:pPr>
              <w:spacing w:after="0"/>
              <w:jc w:val="center"/>
              <w:textAlignment w:val="center"/>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三级指标</w:t>
            </w:r>
          </w:p>
        </w:tc>
        <w:tc>
          <w:tcPr>
            <w:tcW w:w="1155" w:type="dxa"/>
            <w:vAlign w:val="center"/>
          </w:tcPr>
          <w:p w14:paraId="5EF84951">
            <w:pPr>
              <w:spacing w:after="0"/>
              <w:jc w:val="center"/>
              <w:textAlignment w:val="center"/>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分数权重</w:t>
            </w:r>
          </w:p>
        </w:tc>
        <w:tc>
          <w:tcPr>
            <w:tcW w:w="1276" w:type="dxa"/>
            <w:vAlign w:val="center"/>
          </w:tcPr>
          <w:p w14:paraId="140B0F26">
            <w:pPr>
              <w:spacing w:after="0"/>
              <w:jc w:val="center"/>
              <w:textAlignment w:val="center"/>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得分</w:t>
            </w:r>
          </w:p>
        </w:tc>
      </w:tr>
      <w:tr w14:paraId="1BBE7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14:paraId="502A6E64">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过程（48分）</w:t>
            </w:r>
          </w:p>
        </w:tc>
        <w:tc>
          <w:tcPr>
            <w:tcW w:w="1388" w:type="dxa"/>
            <w:vMerge w:val="restart"/>
            <w:vAlign w:val="center"/>
          </w:tcPr>
          <w:p w14:paraId="348F6A0B">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预算执行</w:t>
            </w:r>
          </w:p>
          <w:p w14:paraId="7D4B414A">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（24分）</w:t>
            </w:r>
          </w:p>
        </w:tc>
        <w:tc>
          <w:tcPr>
            <w:tcW w:w="2277" w:type="dxa"/>
            <w:vAlign w:val="center"/>
          </w:tcPr>
          <w:p w14:paraId="5F2D79A1">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预算收入调整率</w:t>
            </w:r>
          </w:p>
        </w:tc>
        <w:tc>
          <w:tcPr>
            <w:tcW w:w="1155" w:type="dxa"/>
            <w:vAlign w:val="center"/>
          </w:tcPr>
          <w:p w14:paraId="70F9E9DC">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2</w:t>
            </w:r>
          </w:p>
        </w:tc>
        <w:tc>
          <w:tcPr>
            <w:tcW w:w="1276" w:type="dxa"/>
            <w:vAlign w:val="center"/>
          </w:tcPr>
          <w:p w14:paraId="05BABF58">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cs="宋体" w:asciiTheme="minorEastAsia" w:hAnsiTheme="minorEastAsia" w:eastAsiaTheme="minorEastAsia"/>
                <w:color w:val="000000" w:themeColor="text1"/>
                <w:sz w:val="21"/>
                <w:szCs w:val="21"/>
                <w14:textFill>
                  <w14:solidFill>
                    <w14:schemeClr w14:val="tx1"/>
                  </w14:solidFill>
                </w14:textFill>
              </w:rPr>
              <w:t>0</w:t>
            </w:r>
          </w:p>
        </w:tc>
      </w:tr>
      <w:tr w14:paraId="7ED6F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680E5AAE">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p>
        </w:tc>
        <w:tc>
          <w:tcPr>
            <w:tcW w:w="1388" w:type="dxa"/>
            <w:vMerge w:val="continue"/>
            <w:vAlign w:val="center"/>
          </w:tcPr>
          <w:p w14:paraId="58CE07CE">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p>
        </w:tc>
        <w:tc>
          <w:tcPr>
            <w:tcW w:w="2277" w:type="dxa"/>
            <w:vAlign w:val="center"/>
          </w:tcPr>
          <w:p w14:paraId="76E3E856">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收入完成率</w:t>
            </w:r>
          </w:p>
        </w:tc>
        <w:tc>
          <w:tcPr>
            <w:tcW w:w="1155" w:type="dxa"/>
            <w:vAlign w:val="center"/>
          </w:tcPr>
          <w:p w14:paraId="0BD1DB71">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4</w:t>
            </w:r>
          </w:p>
        </w:tc>
        <w:tc>
          <w:tcPr>
            <w:tcW w:w="1276" w:type="dxa"/>
            <w:vAlign w:val="center"/>
          </w:tcPr>
          <w:p w14:paraId="0336C70B">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4</w:t>
            </w:r>
          </w:p>
        </w:tc>
      </w:tr>
      <w:tr w14:paraId="081BC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052A5613">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p>
        </w:tc>
        <w:tc>
          <w:tcPr>
            <w:tcW w:w="1388" w:type="dxa"/>
            <w:vMerge w:val="continue"/>
            <w:vAlign w:val="center"/>
          </w:tcPr>
          <w:p w14:paraId="09566D71">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p>
        </w:tc>
        <w:tc>
          <w:tcPr>
            <w:tcW w:w="2277" w:type="dxa"/>
            <w:vAlign w:val="center"/>
          </w:tcPr>
          <w:p w14:paraId="7E815354">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预算支出调整率</w:t>
            </w:r>
          </w:p>
        </w:tc>
        <w:tc>
          <w:tcPr>
            <w:tcW w:w="1155" w:type="dxa"/>
            <w:vAlign w:val="center"/>
          </w:tcPr>
          <w:p w14:paraId="36E907FC">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2</w:t>
            </w:r>
          </w:p>
        </w:tc>
        <w:tc>
          <w:tcPr>
            <w:tcW w:w="1276" w:type="dxa"/>
            <w:vAlign w:val="center"/>
          </w:tcPr>
          <w:p w14:paraId="7A952313">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0</w:t>
            </w:r>
          </w:p>
        </w:tc>
      </w:tr>
      <w:tr w14:paraId="22F35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6001EF0E">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p>
        </w:tc>
        <w:tc>
          <w:tcPr>
            <w:tcW w:w="1388" w:type="dxa"/>
            <w:vMerge w:val="continue"/>
            <w:vAlign w:val="center"/>
          </w:tcPr>
          <w:p w14:paraId="7FEC4427">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p>
        </w:tc>
        <w:tc>
          <w:tcPr>
            <w:tcW w:w="2277" w:type="dxa"/>
            <w:vAlign w:val="center"/>
          </w:tcPr>
          <w:p w14:paraId="072C6D31">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财政拨款支出完成率</w:t>
            </w:r>
          </w:p>
        </w:tc>
        <w:tc>
          <w:tcPr>
            <w:tcW w:w="1155" w:type="dxa"/>
            <w:vAlign w:val="center"/>
          </w:tcPr>
          <w:p w14:paraId="0D7ADE8C">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4</w:t>
            </w:r>
          </w:p>
        </w:tc>
        <w:tc>
          <w:tcPr>
            <w:tcW w:w="1276" w:type="dxa"/>
            <w:vAlign w:val="center"/>
          </w:tcPr>
          <w:p w14:paraId="7CAED039">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4</w:t>
            </w:r>
          </w:p>
        </w:tc>
      </w:tr>
      <w:tr w14:paraId="36DDA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0C0C6A76">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p>
        </w:tc>
        <w:tc>
          <w:tcPr>
            <w:tcW w:w="1388" w:type="dxa"/>
            <w:vMerge w:val="continue"/>
            <w:vAlign w:val="center"/>
          </w:tcPr>
          <w:p w14:paraId="5E01429C">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p>
        </w:tc>
        <w:tc>
          <w:tcPr>
            <w:tcW w:w="2277" w:type="dxa"/>
            <w:vAlign w:val="center"/>
          </w:tcPr>
          <w:p w14:paraId="6C58C5CA">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“三公经费”控制率</w:t>
            </w:r>
          </w:p>
        </w:tc>
        <w:tc>
          <w:tcPr>
            <w:tcW w:w="1155" w:type="dxa"/>
            <w:vAlign w:val="center"/>
          </w:tcPr>
          <w:p w14:paraId="11D6B0BA">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3</w:t>
            </w:r>
          </w:p>
        </w:tc>
        <w:tc>
          <w:tcPr>
            <w:tcW w:w="1276" w:type="dxa"/>
            <w:vAlign w:val="center"/>
          </w:tcPr>
          <w:p w14:paraId="3385656B">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3</w:t>
            </w:r>
          </w:p>
        </w:tc>
      </w:tr>
      <w:tr w14:paraId="25618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09CD5CE1">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p>
        </w:tc>
        <w:tc>
          <w:tcPr>
            <w:tcW w:w="1388" w:type="dxa"/>
            <w:vMerge w:val="continue"/>
            <w:vAlign w:val="center"/>
          </w:tcPr>
          <w:p w14:paraId="465C53E1">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p>
        </w:tc>
        <w:tc>
          <w:tcPr>
            <w:tcW w:w="2277" w:type="dxa"/>
            <w:vAlign w:val="center"/>
          </w:tcPr>
          <w:p w14:paraId="59D45928">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政府采购执行率</w:t>
            </w:r>
          </w:p>
        </w:tc>
        <w:tc>
          <w:tcPr>
            <w:tcW w:w="1155" w:type="dxa"/>
            <w:vAlign w:val="center"/>
          </w:tcPr>
          <w:p w14:paraId="45F5E2CF">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3</w:t>
            </w:r>
          </w:p>
        </w:tc>
        <w:tc>
          <w:tcPr>
            <w:tcW w:w="1276" w:type="dxa"/>
            <w:vAlign w:val="center"/>
          </w:tcPr>
          <w:p w14:paraId="4C5C3AB6">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3</w:t>
            </w:r>
          </w:p>
        </w:tc>
      </w:tr>
      <w:tr w14:paraId="73C1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3D6C867E">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p>
        </w:tc>
        <w:tc>
          <w:tcPr>
            <w:tcW w:w="1388" w:type="dxa"/>
            <w:vMerge w:val="continue"/>
            <w:vAlign w:val="center"/>
          </w:tcPr>
          <w:p w14:paraId="44EF620E">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p>
        </w:tc>
        <w:tc>
          <w:tcPr>
            <w:tcW w:w="2277" w:type="dxa"/>
            <w:vAlign w:val="center"/>
          </w:tcPr>
          <w:p w14:paraId="05BFCC54">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资金使用合规性</w:t>
            </w:r>
          </w:p>
        </w:tc>
        <w:tc>
          <w:tcPr>
            <w:tcW w:w="1155" w:type="dxa"/>
            <w:vAlign w:val="center"/>
          </w:tcPr>
          <w:p w14:paraId="0619CE0F">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3</w:t>
            </w:r>
          </w:p>
        </w:tc>
        <w:tc>
          <w:tcPr>
            <w:tcW w:w="1276" w:type="dxa"/>
            <w:vAlign w:val="center"/>
          </w:tcPr>
          <w:p w14:paraId="09C15F67">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3</w:t>
            </w:r>
          </w:p>
        </w:tc>
      </w:tr>
      <w:tr w14:paraId="5C3BF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6108B68">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p>
        </w:tc>
        <w:tc>
          <w:tcPr>
            <w:tcW w:w="1388" w:type="dxa"/>
            <w:vMerge w:val="continue"/>
            <w:vAlign w:val="center"/>
          </w:tcPr>
          <w:p w14:paraId="489733EF">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p>
        </w:tc>
        <w:tc>
          <w:tcPr>
            <w:tcW w:w="2277" w:type="dxa"/>
            <w:vAlign w:val="center"/>
          </w:tcPr>
          <w:p w14:paraId="43E53352">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决算真实性</w:t>
            </w:r>
          </w:p>
        </w:tc>
        <w:tc>
          <w:tcPr>
            <w:tcW w:w="1155" w:type="dxa"/>
            <w:vAlign w:val="center"/>
          </w:tcPr>
          <w:p w14:paraId="06746D82">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3</w:t>
            </w:r>
          </w:p>
        </w:tc>
        <w:tc>
          <w:tcPr>
            <w:tcW w:w="1276" w:type="dxa"/>
            <w:vAlign w:val="center"/>
          </w:tcPr>
          <w:p w14:paraId="38C16DA0">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3</w:t>
            </w:r>
          </w:p>
        </w:tc>
      </w:tr>
      <w:tr w14:paraId="3B83C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3FF3CBE7">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p>
        </w:tc>
        <w:tc>
          <w:tcPr>
            <w:tcW w:w="1388" w:type="dxa"/>
            <w:vMerge w:val="restart"/>
            <w:vAlign w:val="center"/>
          </w:tcPr>
          <w:p w14:paraId="342A5310">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预算管理</w:t>
            </w:r>
          </w:p>
          <w:p w14:paraId="5750553C">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（16分）</w:t>
            </w:r>
          </w:p>
        </w:tc>
        <w:tc>
          <w:tcPr>
            <w:tcW w:w="2277" w:type="dxa"/>
            <w:vAlign w:val="center"/>
          </w:tcPr>
          <w:p w14:paraId="76A763D5">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管理制度健全性</w:t>
            </w:r>
          </w:p>
        </w:tc>
        <w:tc>
          <w:tcPr>
            <w:tcW w:w="1155" w:type="dxa"/>
            <w:vAlign w:val="center"/>
          </w:tcPr>
          <w:p w14:paraId="190F15D7">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4</w:t>
            </w:r>
          </w:p>
        </w:tc>
        <w:tc>
          <w:tcPr>
            <w:tcW w:w="1276" w:type="dxa"/>
            <w:vAlign w:val="center"/>
          </w:tcPr>
          <w:p w14:paraId="670A632B">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4</w:t>
            </w:r>
          </w:p>
        </w:tc>
      </w:tr>
      <w:tr w14:paraId="61F77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08907781">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p>
        </w:tc>
        <w:tc>
          <w:tcPr>
            <w:tcW w:w="1388" w:type="dxa"/>
            <w:vMerge w:val="continue"/>
            <w:vAlign w:val="center"/>
          </w:tcPr>
          <w:p w14:paraId="133E5900">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p>
        </w:tc>
        <w:tc>
          <w:tcPr>
            <w:tcW w:w="2277" w:type="dxa"/>
            <w:vAlign w:val="center"/>
          </w:tcPr>
          <w:p w14:paraId="197FEABA">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预决算信息公开</w:t>
            </w:r>
          </w:p>
        </w:tc>
        <w:tc>
          <w:tcPr>
            <w:tcW w:w="1155" w:type="dxa"/>
            <w:vAlign w:val="center"/>
          </w:tcPr>
          <w:p w14:paraId="60C72514">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4</w:t>
            </w:r>
          </w:p>
        </w:tc>
        <w:tc>
          <w:tcPr>
            <w:tcW w:w="1276" w:type="dxa"/>
            <w:vAlign w:val="center"/>
          </w:tcPr>
          <w:p w14:paraId="6BB21272">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4</w:t>
            </w:r>
          </w:p>
        </w:tc>
      </w:tr>
      <w:tr w14:paraId="573B3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3C1AE7C">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p>
        </w:tc>
        <w:tc>
          <w:tcPr>
            <w:tcW w:w="1388" w:type="dxa"/>
            <w:vMerge w:val="continue"/>
            <w:vAlign w:val="center"/>
          </w:tcPr>
          <w:p w14:paraId="4AE12713">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p>
        </w:tc>
        <w:tc>
          <w:tcPr>
            <w:tcW w:w="2277" w:type="dxa"/>
            <w:vAlign w:val="center"/>
          </w:tcPr>
          <w:p w14:paraId="02F3F7BE">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基础信息完善性</w:t>
            </w:r>
          </w:p>
        </w:tc>
        <w:tc>
          <w:tcPr>
            <w:tcW w:w="1155" w:type="dxa"/>
            <w:vAlign w:val="center"/>
          </w:tcPr>
          <w:p w14:paraId="7D8D3B0C">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4</w:t>
            </w:r>
          </w:p>
        </w:tc>
        <w:tc>
          <w:tcPr>
            <w:tcW w:w="1276" w:type="dxa"/>
            <w:vAlign w:val="center"/>
          </w:tcPr>
          <w:p w14:paraId="214E5960">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4</w:t>
            </w:r>
          </w:p>
        </w:tc>
      </w:tr>
      <w:tr w14:paraId="709CF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9D7F526">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p>
        </w:tc>
        <w:tc>
          <w:tcPr>
            <w:tcW w:w="1388" w:type="dxa"/>
            <w:vMerge w:val="continue"/>
            <w:vAlign w:val="center"/>
          </w:tcPr>
          <w:p w14:paraId="5ACE9655">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p>
        </w:tc>
        <w:tc>
          <w:tcPr>
            <w:tcW w:w="2277" w:type="dxa"/>
            <w:vAlign w:val="center"/>
          </w:tcPr>
          <w:p w14:paraId="211763EC">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资产管理规范性</w:t>
            </w:r>
          </w:p>
        </w:tc>
        <w:tc>
          <w:tcPr>
            <w:tcW w:w="1155" w:type="dxa"/>
            <w:vAlign w:val="center"/>
          </w:tcPr>
          <w:p w14:paraId="75F59F65">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4</w:t>
            </w:r>
          </w:p>
        </w:tc>
        <w:tc>
          <w:tcPr>
            <w:tcW w:w="1276" w:type="dxa"/>
            <w:vAlign w:val="center"/>
          </w:tcPr>
          <w:p w14:paraId="0F38DFA1">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4</w:t>
            </w:r>
          </w:p>
        </w:tc>
      </w:tr>
      <w:tr w14:paraId="2E7AE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14:paraId="09556152">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p>
        </w:tc>
        <w:tc>
          <w:tcPr>
            <w:tcW w:w="1388" w:type="dxa"/>
            <w:vMerge w:val="restart"/>
            <w:vAlign w:val="center"/>
          </w:tcPr>
          <w:p w14:paraId="0CE8ECCC">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绩效评价</w:t>
            </w:r>
          </w:p>
          <w:p w14:paraId="2D6514F9">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（8分）</w:t>
            </w:r>
          </w:p>
        </w:tc>
        <w:tc>
          <w:tcPr>
            <w:tcW w:w="2277" w:type="dxa"/>
            <w:vAlign w:val="center"/>
          </w:tcPr>
          <w:p w14:paraId="03053C68">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绩效自评覆盖率</w:t>
            </w:r>
          </w:p>
        </w:tc>
        <w:tc>
          <w:tcPr>
            <w:tcW w:w="1155" w:type="dxa"/>
            <w:vAlign w:val="center"/>
          </w:tcPr>
          <w:p w14:paraId="0B278634">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4</w:t>
            </w:r>
          </w:p>
        </w:tc>
        <w:tc>
          <w:tcPr>
            <w:tcW w:w="1276" w:type="dxa"/>
            <w:vAlign w:val="center"/>
          </w:tcPr>
          <w:p w14:paraId="39B0B63E">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4</w:t>
            </w:r>
          </w:p>
        </w:tc>
      </w:tr>
      <w:tr w14:paraId="6E49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14:paraId="4BAD0318">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p>
        </w:tc>
        <w:tc>
          <w:tcPr>
            <w:tcW w:w="1388" w:type="dxa"/>
            <w:vMerge w:val="continue"/>
            <w:vAlign w:val="center"/>
          </w:tcPr>
          <w:p w14:paraId="5CBDD2AB">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p>
        </w:tc>
        <w:tc>
          <w:tcPr>
            <w:tcW w:w="2277" w:type="dxa"/>
            <w:vAlign w:val="center"/>
          </w:tcPr>
          <w:p w14:paraId="6A9206ED">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绩效评价优等率</w:t>
            </w:r>
          </w:p>
        </w:tc>
        <w:tc>
          <w:tcPr>
            <w:tcW w:w="1155" w:type="dxa"/>
            <w:vAlign w:val="center"/>
          </w:tcPr>
          <w:p w14:paraId="58F2DB03">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4</w:t>
            </w:r>
          </w:p>
        </w:tc>
        <w:tc>
          <w:tcPr>
            <w:tcW w:w="1276" w:type="dxa"/>
            <w:vAlign w:val="center"/>
          </w:tcPr>
          <w:p w14:paraId="003B7903">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4</w:t>
            </w:r>
          </w:p>
        </w:tc>
      </w:tr>
      <w:tr w14:paraId="4C9B1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14:paraId="77C010F4">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合计</w:t>
            </w:r>
          </w:p>
        </w:tc>
        <w:tc>
          <w:tcPr>
            <w:tcW w:w="2277" w:type="dxa"/>
            <w:vAlign w:val="center"/>
          </w:tcPr>
          <w:p w14:paraId="6A5B7057">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p>
        </w:tc>
        <w:tc>
          <w:tcPr>
            <w:tcW w:w="1155" w:type="dxa"/>
            <w:vAlign w:val="center"/>
          </w:tcPr>
          <w:p w14:paraId="50EC757A">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48</w:t>
            </w:r>
          </w:p>
        </w:tc>
        <w:tc>
          <w:tcPr>
            <w:tcW w:w="1276" w:type="dxa"/>
            <w:vAlign w:val="center"/>
          </w:tcPr>
          <w:p w14:paraId="0C66EC2C">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44</w:t>
            </w:r>
          </w:p>
        </w:tc>
      </w:tr>
      <w:bookmarkEnd w:id="63"/>
    </w:tbl>
    <w:p w14:paraId="7BB1C32B">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bookmarkStart w:id="64" w:name="_Toc465149514"/>
      <w:bookmarkStart w:id="65" w:name="_Toc464638487"/>
      <w:r>
        <w:rPr>
          <w:rFonts w:hint="eastAsia" w:ascii="仿宋_GB2312" w:eastAsia="仿宋_GB2312" w:cs="DengXian-Regular"/>
          <w:color w:val="000000" w:themeColor="text1"/>
          <w:sz w:val="32"/>
          <w:szCs w:val="32"/>
          <w14:textFill>
            <w14:solidFill>
              <w14:schemeClr w14:val="tx1"/>
            </w14:solidFill>
          </w14:textFill>
        </w:rPr>
        <w:t>1.预算执行（24分）</w:t>
      </w:r>
    </w:p>
    <w:p w14:paraId="21026EF9">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（1）预算收入调整率（2分）</w:t>
      </w:r>
    </w:p>
    <w:p w14:paraId="367C6C21">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该指标主要评价预算收入的调整情况，进而衡量预算收入编制的准确性，通过预算收入调整率衡量。</w:t>
      </w:r>
    </w:p>
    <w:p w14:paraId="6F7D6574">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预算收入调整率=（调整预算数-年初预算数）/年初预算数*100%</w:t>
      </w:r>
    </w:p>
    <w:p w14:paraId="5A29A880">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根据区机关服务</w:t>
      </w:r>
      <w:r>
        <w:rPr>
          <w:rFonts w:ascii="仿宋_GB2312" w:eastAsia="仿宋_GB2312" w:cs="DengXian-Regular"/>
          <w:color w:val="000000" w:themeColor="text1"/>
          <w:sz w:val="32"/>
          <w:szCs w:val="32"/>
          <w14:textFill>
            <w14:solidFill>
              <w14:schemeClr w14:val="tx1"/>
            </w14:solidFill>
          </w14:textFill>
        </w:rPr>
        <w:t>中心</w:t>
      </w:r>
      <w:r>
        <w:rPr>
          <w:rFonts w:hint="eastAsia" w:ascii="仿宋_GB2312" w:eastAsia="仿宋_GB2312" w:cs="DengXian-Regular"/>
          <w:color w:val="000000" w:themeColor="text1"/>
          <w:sz w:val="32"/>
          <w:szCs w:val="32"/>
          <w14:textFill>
            <w14:solidFill>
              <w14:schemeClr w14:val="tx1"/>
            </w14:solidFill>
          </w14:textFill>
        </w:rPr>
        <w:t>单位2019年预算文本、决算文本，2019年收入预算数</w:t>
      </w:r>
      <w:r>
        <w:rPr>
          <w:rFonts w:ascii="仿宋_GB2312" w:eastAsia="仿宋_GB2312" w:cs="DengXian-Regular"/>
          <w:color w:val="000000" w:themeColor="text1"/>
          <w:sz w:val="32"/>
          <w:szCs w:val="32"/>
          <w14:textFill>
            <w14:solidFill>
              <w14:schemeClr w14:val="tx1"/>
            </w14:solidFill>
          </w14:textFill>
        </w:rPr>
        <w:t>753.30</w:t>
      </w:r>
      <w:r>
        <w:rPr>
          <w:rFonts w:hint="eastAsia" w:ascii="仿宋_GB2312" w:eastAsia="仿宋_GB2312" w:cs="DengXian-Regular"/>
          <w:color w:val="000000" w:themeColor="text1"/>
          <w:sz w:val="32"/>
          <w:szCs w:val="32"/>
          <w14:textFill>
            <w14:solidFill>
              <w14:schemeClr w14:val="tx1"/>
            </w14:solidFill>
          </w14:textFill>
        </w:rPr>
        <w:t>万元，收入决算数</w:t>
      </w:r>
      <w:r>
        <w:rPr>
          <w:rFonts w:ascii="仿宋_GB2312" w:eastAsia="仿宋_GB2312" w:cs="DengXian-Regular"/>
          <w:color w:val="000000" w:themeColor="text1"/>
          <w:sz w:val="32"/>
          <w:szCs w:val="32"/>
          <w14:textFill>
            <w14:solidFill>
              <w14:schemeClr w14:val="tx1"/>
            </w14:solidFill>
          </w14:textFill>
        </w:rPr>
        <w:t>806.01</w:t>
      </w:r>
      <w:r>
        <w:rPr>
          <w:rFonts w:hint="eastAsia" w:ascii="仿宋_GB2312" w:eastAsia="仿宋_GB2312" w:cs="DengXian-Regular"/>
          <w:color w:val="000000" w:themeColor="text1"/>
          <w:sz w:val="32"/>
          <w:szCs w:val="32"/>
          <w14:textFill>
            <w14:solidFill>
              <w14:schemeClr w14:val="tx1"/>
            </w14:solidFill>
          </w14:textFill>
        </w:rPr>
        <w:t>万元，预算收入调整率为</w:t>
      </w:r>
      <w:r>
        <w:rPr>
          <w:rFonts w:ascii="仿宋_GB2312" w:eastAsia="仿宋_GB2312" w:cs="DengXian-Regular"/>
          <w:color w:val="000000" w:themeColor="text1"/>
          <w:sz w:val="32"/>
          <w:szCs w:val="32"/>
          <w14:textFill>
            <w14:solidFill>
              <w14:schemeClr w14:val="tx1"/>
            </w14:solidFill>
          </w14:textFill>
        </w:rPr>
        <w:t>7.00</w:t>
      </w:r>
      <w:r>
        <w:rPr>
          <w:rFonts w:hint="eastAsia" w:ascii="仿宋_GB2312" w:eastAsia="仿宋_GB2312" w:cs="DengXian-Regular"/>
          <w:color w:val="000000" w:themeColor="text1"/>
          <w:sz w:val="32"/>
          <w:szCs w:val="32"/>
          <w14:textFill>
            <w14:solidFill>
              <w14:schemeClr w14:val="tx1"/>
            </w14:solidFill>
          </w14:textFill>
        </w:rPr>
        <w:t>%。</w:t>
      </w:r>
    </w:p>
    <w:p w14:paraId="5E6B5D88">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该项指标实际得分</w:t>
      </w:r>
      <w:r>
        <w:rPr>
          <w:rFonts w:ascii="仿宋_GB2312" w:eastAsia="仿宋_GB2312" w:cs="DengXian-Regular"/>
          <w:color w:val="000000" w:themeColor="text1"/>
          <w:sz w:val="32"/>
          <w:szCs w:val="32"/>
          <w14:textFill>
            <w14:solidFill>
              <w14:schemeClr w14:val="tx1"/>
            </w14:solidFill>
          </w14:textFill>
        </w:rPr>
        <w:t>0</w:t>
      </w:r>
      <w:r>
        <w:rPr>
          <w:rFonts w:hint="eastAsia" w:ascii="仿宋_GB2312" w:eastAsia="仿宋_GB2312" w:cs="DengXian-Regular"/>
          <w:color w:val="000000" w:themeColor="text1"/>
          <w:sz w:val="32"/>
          <w:szCs w:val="32"/>
          <w14:textFill>
            <w14:solidFill>
              <w14:schemeClr w14:val="tx1"/>
            </w14:solidFill>
          </w14:textFill>
        </w:rPr>
        <w:t>分。</w:t>
      </w:r>
    </w:p>
    <w:p w14:paraId="77E7B615">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（2）收入完成率（4分）</w:t>
      </w:r>
    </w:p>
    <w:p w14:paraId="33D20DA6">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该指标主要评价部门预算收入的完成情况，用以反映部门预算收入的完成程度，通过收入完成率衡量。</w:t>
      </w:r>
    </w:p>
    <w:p w14:paraId="3DCC9FE4">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收入完成率=（决算收入/预算收入）×100%。</w:t>
      </w:r>
    </w:p>
    <w:p w14:paraId="3B67169E">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根据区机关服务</w:t>
      </w:r>
      <w:r>
        <w:rPr>
          <w:rFonts w:ascii="仿宋_GB2312" w:eastAsia="仿宋_GB2312" w:cs="DengXian-Regular"/>
          <w:color w:val="000000" w:themeColor="text1"/>
          <w:sz w:val="32"/>
          <w:szCs w:val="32"/>
          <w14:textFill>
            <w14:solidFill>
              <w14:schemeClr w14:val="tx1"/>
            </w14:solidFill>
          </w14:textFill>
        </w:rPr>
        <w:t>中心</w:t>
      </w:r>
      <w:r>
        <w:rPr>
          <w:rFonts w:hint="eastAsia" w:ascii="仿宋_GB2312" w:eastAsia="仿宋_GB2312" w:cs="DengXian-Regular"/>
          <w:color w:val="000000" w:themeColor="text1"/>
          <w:sz w:val="32"/>
          <w:szCs w:val="32"/>
          <w14:textFill>
            <w14:solidFill>
              <w14:schemeClr w14:val="tx1"/>
            </w14:solidFill>
          </w14:textFill>
        </w:rPr>
        <w:t>2019年预算文本、决算文本，2019年收入预算数</w:t>
      </w:r>
      <w:r>
        <w:rPr>
          <w:rFonts w:ascii="仿宋_GB2312" w:eastAsia="仿宋_GB2312" w:cs="DengXian-Regular"/>
          <w:color w:val="000000" w:themeColor="text1"/>
          <w:sz w:val="32"/>
          <w:szCs w:val="32"/>
          <w14:textFill>
            <w14:solidFill>
              <w14:schemeClr w14:val="tx1"/>
            </w14:solidFill>
          </w14:textFill>
        </w:rPr>
        <w:t>753.30</w:t>
      </w:r>
      <w:r>
        <w:rPr>
          <w:rFonts w:hint="eastAsia" w:ascii="仿宋_GB2312" w:eastAsia="仿宋_GB2312" w:cs="DengXian-Regular"/>
          <w:color w:val="000000" w:themeColor="text1"/>
          <w:sz w:val="32"/>
          <w:szCs w:val="32"/>
          <w14:textFill>
            <w14:solidFill>
              <w14:schemeClr w14:val="tx1"/>
            </w14:solidFill>
          </w14:textFill>
        </w:rPr>
        <w:t>万元，收入决算数</w:t>
      </w:r>
      <w:r>
        <w:rPr>
          <w:rFonts w:ascii="仿宋_GB2312" w:eastAsia="仿宋_GB2312" w:cs="DengXian-Regular"/>
          <w:color w:val="000000" w:themeColor="text1"/>
          <w:sz w:val="32"/>
          <w:szCs w:val="32"/>
          <w14:textFill>
            <w14:solidFill>
              <w14:schemeClr w14:val="tx1"/>
            </w14:solidFill>
          </w14:textFill>
        </w:rPr>
        <w:t>806.01</w:t>
      </w:r>
      <w:r>
        <w:rPr>
          <w:rFonts w:hint="eastAsia" w:ascii="仿宋_GB2312" w:eastAsia="仿宋_GB2312" w:cs="DengXian-Regular"/>
          <w:color w:val="000000" w:themeColor="text1"/>
          <w:sz w:val="32"/>
          <w:szCs w:val="32"/>
          <w14:textFill>
            <w14:solidFill>
              <w14:schemeClr w14:val="tx1"/>
            </w14:solidFill>
          </w14:textFill>
        </w:rPr>
        <w:t>万元，收入完成率=（决算数/预算数）*100%=</w:t>
      </w:r>
      <w:r>
        <w:rPr>
          <w:rFonts w:ascii="仿宋_GB2312" w:eastAsia="仿宋_GB2312" w:cs="DengXian-Regular"/>
          <w:color w:val="000000" w:themeColor="text1"/>
          <w:sz w:val="32"/>
          <w:szCs w:val="32"/>
          <w14:textFill>
            <w14:solidFill>
              <w14:schemeClr w14:val="tx1"/>
            </w14:solidFill>
          </w14:textFill>
        </w:rPr>
        <w:t>107.00</w:t>
      </w:r>
      <w:r>
        <w:rPr>
          <w:rFonts w:hint="eastAsia" w:ascii="仿宋_GB2312" w:eastAsia="仿宋_GB2312" w:cs="DengXian-Regular"/>
          <w:color w:val="000000" w:themeColor="text1"/>
          <w:sz w:val="32"/>
          <w:szCs w:val="32"/>
          <w14:textFill>
            <w14:solidFill>
              <w14:schemeClr w14:val="tx1"/>
            </w14:solidFill>
          </w14:textFill>
        </w:rPr>
        <w:t>%。</w:t>
      </w:r>
    </w:p>
    <w:p w14:paraId="5B103C68">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该指标实际得分</w:t>
      </w:r>
      <w:r>
        <w:rPr>
          <w:rFonts w:ascii="仿宋_GB2312" w:eastAsia="仿宋_GB2312" w:cs="DengXian-Regular"/>
          <w:color w:val="000000" w:themeColor="text1"/>
          <w:sz w:val="32"/>
          <w:szCs w:val="32"/>
          <w14:textFill>
            <w14:solidFill>
              <w14:schemeClr w14:val="tx1"/>
            </w14:solidFill>
          </w14:textFill>
        </w:rPr>
        <w:t>4</w:t>
      </w:r>
      <w:r>
        <w:rPr>
          <w:rFonts w:hint="eastAsia" w:ascii="仿宋_GB2312" w:eastAsia="仿宋_GB2312" w:cs="DengXian-Regular"/>
          <w:color w:val="000000" w:themeColor="text1"/>
          <w:sz w:val="32"/>
          <w:szCs w:val="32"/>
          <w14:textFill>
            <w14:solidFill>
              <w14:schemeClr w14:val="tx1"/>
            </w14:solidFill>
          </w14:textFill>
        </w:rPr>
        <w:t>分。</w:t>
      </w:r>
    </w:p>
    <w:p w14:paraId="62B6D127">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（3）预算支出调整率（2分）</w:t>
      </w:r>
    </w:p>
    <w:p w14:paraId="472B4DA8">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该指标主要评价预算支出的调整情况，进而衡量预算支出编制的准确性，通过预算支出调整率衡量。</w:t>
      </w:r>
    </w:p>
    <w:p w14:paraId="46043DFF">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预算支出调整率=（调整预算数-年初预算数）/年初预算数*100%</w:t>
      </w:r>
    </w:p>
    <w:p w14:paraId="4C1AB4CF">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根据徐水区机关服务</w:t>
      </w:r>
      <w:r>
        <w:rPr>
          <w:rFonts w:ascii="仿宋_GB2312" w:eastAsia="仿宋_GB2312" w:cs="DengXian-Regular"/>
          <w:color w:val="000000" w:themeColor="text1"/>
          <w:sz w:val="32"/>
          <w:szCs w:val="32"/>
          <w14:textFill>
            <w14:solidFill>
              <w14:schemeClr w14:val="tx1"/>
            </w14:solidFill>
          </w14:textFill>
        </w:rPr>
        <w:t>中心</w:t>
      </w:r>
      <w:r>
        <w:rPr>
          <w:rFonts w:hint="eastAsia" w:ascii="仿宋_GB2312" w:eastAsia="仿宋_GB2312" w:cs="DengXian-Regular"/>
          <w:color w:val="000000" w:themeColor="text1"/>
          <w:sz w:val="32"/>
          <w:szCs w:val="32"/>
          <w14:textFill>
            <w14:solidFill>
              <w14:schemeClr w14:val="tx1"/>
            </w14:solidFill>
          </w14:textFill>
        </w:rPr>
        <w:t>单位2019年预算文本、决算文本，2019年支出预算数</w:t>
      </w:r>
      <w:r>
        <w:rPr>
          <w:rFonts w:ascii="仿宋_GB2312" w:eastAsia="仿宋_GB2312" w:cs="DengXian-Regular"/>
          <w:color w:val="000000" w:themeColor="text1"/>
          <w:sz w:val="32"/>
          <w:szCs w:val="32"/>
          <w14:textFill>
            <w14:solidFill>
              <w14:schemeClr w14:val="tx1"/>
            </w14:solidFill>
          </w14:textFill>
        </w:rPr>
        <w:t>753.30</w:t>
      </w:r>
      <w:r>
        <w:rPr>
          <w:rFonts w:hint="eastAsia" w:ascii="仿宋_GB2312" w:eastAsia="仿宋_GB2312" w:cs="DengXian-Regular"/>
          <w:color w:val="000000" w:themeColor="text1"/>
          <w:sz w:val="32"/>
          <w:szCs w:val="32"/>
          <w14:textFill>
            <w14:solidFill>
              <w14:schemeClr w14:val="tx1"/>
            </w14:solidFill>
          </w14:textFill>
        </w:rPr>
        <w:t>万元，支出决算数</w:t>
      </w:r>
      <w:r>
        <w:rPr>
          <w:rFonts w:ascii="仿宋_GB2312" w:eastAsia="仿宋_GB2312" w:cs="DengXian-Regular"/>
          <w:color w:val="000000" w:themeColor="text1"/>
          <w:sz w:val="32"/>
          <w:szCs w:val="32"/>
          <w14:textFill>
            <w14:solidFill>
              <w14:schemeClr w14:val="tx1"/>
            </w14:solidFill>
          </w14:textFill>
        </w:rPr>
        <w:t>821.53</w:t>
      </w:r>
      <w:r>
        <w:rPr>
          <w:rFonts w:hint="eastAsia" w:ascii="仿宋_GB2312" w:eastAsia="仿宋_GB2312" w:cs="DengXian-Regular"/>
          <w:color w:val="000000" w:themeColor="text1"/>
          <w:sz w:val="32"/>
          <w:szCs w:val="32"/>
          <w14:textFill>
            <w14:solidFill>
              <w14:schemeClr w14:val="tx1"/>
            </w14:solidFill>
          </w14:textFill>
        </w:rPr>
        <w:t>万元，预算支出调整率为</w:t>
      </w:r>
      <w:r>
        <w:rPr>
          <w:rFonts w:ascii="仿宋_GB2312" w:eastAsia="仿宋_GB2312" w:cs="DengXian-Regular"/>
          <w:color w:val="000000" w:themeColor="text1"/>
          <w:sz w:val="32"/>
          <w:szCs w:val="32"/>
          <w14:textFill>
            <w14:solidFill>
              <w14:schemeClr w14:val="tx1"/>
            </w14:solidFill>
          </w14:textFill>
        </w:rPr>
        <w:t>9.06</w:t>
      </w:r>
      <w:r>
        <w:rPr>
          <w:rFonts w:hint="eastAsia" w:ascii="仿宋_GB2312" w:eastAsia="仿宋_GB2312" w:cs="DengXian-Regular"/>
          <w:color w:val="000000" w:themeColor="text1"/>
          <w:sz w:val="32"/>
          <w:szCs w:val="32"/>
          <w14:textFill>
            <w14:solidFill>
              <w14:schemeClr w14:val="tx1"/>
            </w14:solidFill>
          </w14:textFill>
        </w:rPr>
        <w:t>%。该指标实际得分</w:t>
      </w:r>
      <w:r>
        <w:rPr>
          <w:rFonts w:ascii="仿宋_GB2312" w:eastAsia="仿宋_GB2312" w:cs="DengXian-Regular"/>
          <w:color w:val="000000" w:themeColor="text1"/>
          <w:sz w:val="32"/>
          <w:szCs w:val="32"/>
          <w14:textFill>
            <w14:solidFill>
              <w14:schemeClr w14:val="tx1"/>
            </w14:solidFill>
          </w14:textFill>
        </w:rPr>
        <w:t>0</w:t>
      </w:r>
      <w:r>
        <w:rPr>
          <w:rFonts w:hint="eastAsia" w:ascii="仿宋_GB2312" w:eastAsia="仿宋_GB2312" w:cs="DengXian-Regular"/>
          <w:color w:val="000000" w:themeColor="text1"/>
          <w:sz w:val="32"/>
          <w:szCs w:val="32"/>
          <w14:textFill>
            <w14:solidFill>
              <w14:schemeClr w14:val="tx1"/>
            </w14:solidFill>
          </w14:textFill>
        </w:rPr>
        <w:t>分。</w:t>
      </w:r>
    </w:p>
    <w:p w14:paraId="75894B41">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（4）财政拨款支出完成率（4分）</w:t>
      </w:r>
    </w:p>
    <w:p w14:paraId="1719EEB3">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该指标主要评价部门财政拨款的支出进度，通过财政拨款支出完成率来衡量。</w:t>
      </w:r>
    </w:p>
    <w:p w14:paraId="2EEB0DD0">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财政拨款支出完成率=（部门决算财政拨款支出/部门决算财政拨款收入）*100%。</w:t>
      </w:r>
    </w:p>
    <w:p w14:paraId="52C5CD28">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徐水区机关服务</w:t>
      </w:r>
      <w:r>
        <w:rPr>
          <w:rFonts w:ascii="仿宋_GB2312" w:eastAsia="仿宋_GB2312" w:cs="DengXian-Regular"/>
          <w:color w:val="000000" w:themeColor="text1"/>
          <w:sz w:val="32"/>
          <w:szCs w:val="32"/>
          <w14:textFill>
            <w14:solidFill>
              <w14:schemeClr w14:val="tx1"/>
            </w14:solidFill>
          </w14:textFill>
        </w:rPr>
        <w:t>中心</w:t>
      </w:r>
      <w:r>
        <w:rPr>
          <w:rFonts w:hint="eastAsia" w:ascii="仿宋_GB2312" w:eastAsia="仿宋_GB2312" w:cs="DengXian-Regular"/>
          <w:color w:val="000000" w:themeColor="text1"/>
          <w:sz w:val="32"/>
          <w:szCs w:val="32"/>
          <w14:textFill>
            <w14:solidFill>
              <w14:schemeClr w14:val="tx1"/>
            </w14:solidFill>
          </w14:textFill>
        </w:rPr>
        <w:t>提供的2019年决算文本，部门决算财政拨款支出数</w:t>
      </w:r>
      <w:r>
        <w:rPr>
          <w:rFonts w:ascii="仿宋_GB2312" w:eastAsia="仿宋_GB2312" w:cs="DengXian-Regular"/>
          <w:color w:val="000000" w:themeColor="text1"/>
          <w:sz w:val="32"/>
          <w:szCs w:val="32"/>
          <w14:textFill>
            <w14:solidFill>
              <w14:schemeClr w14:val="tx1"/>
            </w14:solidFill>
          </w14:textFill>
        </w:rPr>
        <w:t>810.23</w:t>
      </w:r>
      <w:r>
        <w:rPr>
          <w:rFonts w:hint="eastAsia" w:ascii="仿宋_GB2312" w:eastAsia="仿宋_GB2312" w:cs="DengXian-Regular"/>
          <w:color w:val="000000" w:themeColor="text1"/>
          <w:sz w:val="32"/>
          <w:szCs w:val="32"/>
          <w14:textFill>
            <w14:solidFill>
              <w14:schemeClr w14:val="tx1"/>
            </w14:solidFill>
          </w14:textFill>
        </w:rPr>
        <w:t>万元，财政拨款收入数</w:t>
      </w:r>
      <w:r>
        <w:rPr>
          <w:rFonts w:ascii="仿宋_GB2312" w:eastAsia="仿宋_GB2312" w:cs="DengXian-Regular"/>
          <w:color w:val="000000" w:themeColor="text1"/>
          <w:sz w:val="32"/>
          <w:szCs w:val="32"/>
          <w14:textFill>
            <w14:solidFill>
              <w14:schemeClr w14:val="tx1"/>
            </w14:solidFill>
          </w14:textFill>
        </w:rPr>
        <w:t>805.91</w:t>
      </w:r>
      <w:r>
        <w:rPr>
          <w:rFonts w:hint="eastAsia" w:ascii="仿宋_GB2312" w:eastAsia="仿宋_GB2312" w:cs="DengXian-Regular"/>
          <w:color w:val="000000" w:themeColor="text1"/>
          <w:sz w:val="32"/>
          <w:szCs w:val="32"/>
          <w14:textFill>
            <w14:solidFill>
              <w14:schemeClr w14:val="tx1"/>
            </w14:solidFill>
          </w14:textFill>
        </w:rPr>
        <w:t>万元，财政拨款支出率=（财政拨款支出数/财政拨款收入数）*100%=</w:t>
      </w:r>
      <w:r>
        <w:rPr>
          <w:rFonts w:ascii="仿宋_GB2312" w:eastAsia="仿宋_GB2312" w:cs="DengXian-Regular"/>
          <w:color w:val="000000" w:themeColor="text1"/>
          <w:sz w:val="32"/>
          <w:szCs w:val="32"/>
          <w14:textFill>
            <w14:solidFill>
              <w14:schemeClr w14:val="tx1"/>
            </w14:solidFill>
          </w14:textFill>
        </w:rPr>
        <w:t>100.54</w:t>
      </w:r>
      <w:r>
        <w:rPr>
          <w:rFonts w:hint="eastAsia" w:ascii="仿宋_GB2312" w:eastAsia="仿宋_GB2312" w:cs="DengXian-Regular"/>
          <w:color w:val="000000" w:themeColor="text1"/>
          <w:sz w:val="32"/>
          <w:szCs w:val="32"/>
          <w14:textFill>
            <w14:solidFill>
              <w14:schemeClr w14:val="tx1"/>
            </w14:solidFill>
          </w14:textFill>
        </w:rPr>
        <w:t>%</w:t>
      </w:r>
      <w:r>
        <w:rPr>
          <w:rFonts w:ascii="Arial" w:hAnsi="Arial" w:eastAsia="仿宋_GB2312" w:cs="Arial"/>
          <w:color w:val="000000" w:themeColor="text1"/>
          <w:sz w:val="32"/>
          <w:szCs w:val="32"/>
          <w14:textFill>
            <w14:solidFill>
              <w14:schemeClr w14:val="tx1"/>
            </w14:solidFill>
          </w14:textFill>
        </w:rPr>
        <w:t>≥</w:t>
      </w:r>
      <w:r>
        <w:rPr>
          <w:rFonts w:hint="eastAsia" w:ascii="仿宋_GB2312" w:eastAsia="仿宋_GB2312" w:cs="DengXian-Regular"/>
          <w:color w:val="000000" w:themeColor="text1"/>
          <w:sz w:val="32"/>
          <w:szCs w:val="32"/>
          <w14:textFill>
            <w14:solidFill>
              <w14:schemeClr w14:val="tx1"/>
            </w14:solidFill>
          </w14:textFill>
        </w:rPr>
        <w:t>90%。机关服务</w:t>
      </w:r>
      <w:r>
        <w:rPr>
          <w:rFonts w:ascii="仿宋_GB2312" w:eastAsia="仿宋_GB2312" w:cs="DengXian-Regular"/>
          <w:color w:val="000000" w:themeColor="text1"/>
          <w:sz w:val="32"/>
          <w:szCs w:val="32"/>
          <w14:textFill>
            <w14:solidFill>
              <w14:schemeClr w14:val="tx1"/>
            </w14:solidFill>
          </w14:textFill>
        </w:rPr>
        <w:t>中心</w:t>
      </w:r>
      <w:r>
        <w:rPr>
          <w:rFonts w:hint="eastAsia" w:ascii="仿宋_GB2312" w:eastAsia="仿宋_GB2312" w:cs="DengXian-Regular"/>
          <w:color w:val="000000" w:themeColor="text1"/>
          <w:sz w:val="32"/>
          <w:szCs w:val="32"/>
          <w14:textFill>
            <w14:solidFill>
              <w14:schemeClr w14:val="tx1"/>
            </w14:solidFill>
          </w14:textFill>
        </w:rPr>
        <w:t>2019年年初结转和结余</w:t>
      </w:r>
      <w:r>
        <w:rPr>
          <w:rFonts w:ascii="仿宋_GB2312" w:eastAsia="仿宋_GB2312" w:cs="DengXian-Regular"/>
          <w:color w:val="000000" w:themeColor="text1"/>
          <w:sz w:val="32"/>
          <w:szCs w:val="32"/>
          <w14:textFill>
            <w14:solidFill>
              <w14:schemeClr w14:val="tx1"/>
            </w14:solidFill>
          </w14:textFill>
        </w:rPr>
        <w:t>2.34</w:t>
      </w:r>
      <w:r>
        <w:rPr>
          <w:rFonts w:hint="eastAsia" w:ascii="仿宋_GB2312" w:eastAsia="仿宋_GB2312" w:cs="DengXian-Regular"/>
          <w:color w:val="000000" w:themeColor="text1"/>
          <w:sz w:val="32"/>
          <w:szCs w:val="32"/>
          <w14:textFill>
            <w14:solidFill>
              <w14:schemeClr w14:val="tx1"/>
            </w14:solidFill>
          </w14:textFill>
        </w:rPr>
        <w:t>万元，故支出数大于收入数。</w:t>
      </w:r>
    </w:p>
    <w:p w14:paraId="3E48A25F">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该指标实际得分</w:t>
      </w:r>
      <w:r>
        <w:rPr>
          <w:rFonts w:ascii="仿宋_GB2312" w:eastAsia="仿宋_GB2312" w:cs="DengXian-Regular"/>
          <w:color w:val="000000" w:themeColor="text1"/>
          <w:sz w:val="32"/>
          <w:szCs w:val="32"/>
          <w14:textFill>
            <w14:solidFill>
              <w14:schemeClr w14:val="tx1"/>
            </w14:solidFill>
          </w14:textFill>
        </w:rPr>
        <w:t>4</w:t>
      </w:r>
      <w:r>
        <w:rPr>
          <w:rFonts w:hint="eastAsia" w:ascii="仿宋_GB2312" w:eastAsia="仿宋_GB2312" w:cs="DengXian-Regular"/>
          <w:color w:val="000000" w:themeColor="text1"/>
          <w:sz w:val="32"/>
          <w:szCs w:val="32"/>
          <w14:textFill>
            <w14:solidFill>
              <w14:schemeClr w14:val="tx1"/>
            </w14:solidFill>
          </w14:textFill>
        </w:rPr>
        <w:t>分。</w:t>
      </w:r>
    </w:p>
    <w:p w14:paraId="2A399990">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（5）“三公”经费控制率（3分）</w:t>
      </w:r>
    </w:p>
    <w:p w14:paraId="4B8461C3">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该指标主要评价“三公”经费是否得到有效控制，通过“三公”经费控制率来衡量。</w:t>
      </w:r>
    </w:p>
    <w:p w14:paraId="5B373EB7">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“三公”经费控制率=（实际支出数/预算数）*100%。</w:t>
      </w:r>
    </w:p>
    <w:p w14:paraId="12BE379A">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根据徐水区机关服务</w:t>
      </w:r>
      <w:r>
        <w:rPr>
          <w:rFonts w:ascii="仿宋_GB2312" w:eastAsia="仿宋_GB2312" w:cs="DengXian-Regular"/>
          <w:color w:val="000000" w:themeColor="text1"/>
          <w:sz w:val="32"/>
          <w:szCs w:val="32"/>
          <w14:textFill>
            <w14:solidFill>
              <w14:schemeClr w14:val="tx1"/>
            </w14:solidFill>
          </w14:textFill>
        </w:rPr>
        <w:t>中心</w:t>
      </w:r>
      <w:r>
        <w:rPr>
          <w:rFonts w:hint="eastAsia" w:ascii="仿宋_GB2312" w:eastAsia="仿宋_GB2312" w:cs="DengXian-Regular"/>
          <w:color w:val="000000" w:themeColor="text1"/>
          <w:sz w:val="32"/>
          <w:szCs w:val="32"/>
          <w14:textFill>
            <w14:solidFill>
              <w14:schemeClr w14:val="tx1"/>
            </w14:solidFill>
          </w14:textFill>
        </w:rPr>
        <w:t>2019年预算文本及决算文本，“三公”经费年初预算数</w:t>
      </w:r>
      <w:r>
        <w:rPr>
          <w:rFonts w:ascii="仿宋_GB2312" w:eastAsia="仿宋_GB2312" w:cs="DengXian-Regular"/>
          <w:color w:val="000000" w:themeColor="text1"/>
          <w:sz w:val="32"/>
          <w:szCs w:val="32"/>
          <w14:textFill>
            <w14:solidFill>
              <w14:schemeClr w14:val="tx1"/>
            </w14:solidFill>
          </w14:textFill>
        </w:rPr>
        <w:t>6</w:t>
      </w:r>
      <w:r>
        <w:rPr>
          <w:rFonts w:hint="eastAsia" w:ascii="仿宋_GB2312" w:eastAsia="仿宋_GB2312" w:cs="DengXian-Regular"/>
          <w:color w:val="000000" w:themeColor="text1"/>
          <w:sz w:val="32"/>
          <w:szCs w:val="32"/>
          <w14:textFill>
            <w14:solidFill>
              <w14:schemeClr w14:val="tx1"/>
            </w14:solidFill>
          </w14:textFill>
        </w:rPr>
        <w:t>万元，年末决算数</w:t>
      </w:r>
      <w:r>
        <w:rPr>
          <w:rFonts w:ascii="仿宋_GB2312" w:eastAsia="仿宋_GB2312" w:cs="DengXian-Regular"/>
          <w:color w:val="000000" w:themeColor="text1"/>
          <w:sz w:val="32"/>
          <w:szCs w:val="32"/>
          <w14:textFill>
            <w14:solidFill>
              <w14:schemeClr w14:val="tx1"/>
            </w14:solidFill>
          </w14:textFill>
        </w:rPr>
        <w:t>1.99</w:t>
      </w:r>
      <w:r>
        <w:rPr>
          <w:rFonts w:hint="eastAsia" w:ascii="仿宋_GB2312" w:eastAsia="仿宋_GB2312" w:cs="DengXian-Regular"/>
          <w:color w:val="000000" w:themeColor="text1"/>
          <w:sz w:val="32"/>
          <w:szCs w:val="32"/>
          <w14:textFill>
            <w14:solidFill>
              <w14:schemeClr w14:val="tx1"/>
            </w14:solidFill>
          </w14:textFill>
        </w:rPr>
        <w:t>万元，“三公”经费控制率=（年末决算数/年初预算数）*100%=</w:t>
      </w:r>
      <w:r>
        <w:rPr>
          <w:rFonts w:ascii="仿宋_GB2312" w:eastAsia="仿宋_GB2312" w:cs="DengXian-Regular"/>
          <w:color w:val="000000" w:themeColor="text1"/>
          <w:sz w:val="32"/>
          <w:szCs w:val="32"/>
          <w14:textFill>
            <w14:solidFill>
              <w14:schemeClr w14:val="tx1"/>
            </w14:solidFill>
          </w14:textFill>
        </w:rPr>
        <w:t>33.17%≤</w:t>
      </w:r>
      <w:r>
        <w:rPr>
          <w:rFonts w:hint="eastAsia" w:ascii="仿宋_GB2312" w:eastAsia="仿宋_GB2312" w:cs="DengXian-Regular"/>
          <w:color w:val="000000" w:themeColor="text1"/>
          <w:sz w:val="32"/>
          <w:szCs w:val="32"/>
          <w14:textFill>
            <w14:solidFill>
              <w14:schemeClr w14:val="tx1"/>
            </w14:solidFill>
          </w14:textFill>
        </w:rPr>
        <w:t>100%。</w:t>
      </w:r>
    </w:p>
    <w:p w14:paraId="190072FD">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该指标实际得分</w:t>
      </w:r>
      <w:r>
        <w:rPr>
          <w:rFonts w:ascii="仿宋_GB2312" w:eastAsia="仿宋_GB2312" w:cs="DengXian-Regular"/>
          <w:color w:val="000000" w:themeColor="text1"/>
          <w:sz w:val="32"/>
          <w:szCs w:val="32"/>
          <w14:textFill>
            <w14:solidFill>
              <w14:schemeClr w14:val="tx1"/>
            </w14:solidFill>
          </w14:textFill>
        </w:rPr>
        <w:t>3</w:t>
      </w:r>
      <w:r>
        <w:rPr>
          <w:rFonts w:hint="eastAsia" w:ascii="仿宋_GB2312" w:eastAsia="仿宋_GB2312" w:cs="DengXian-Regular"/>
          <w:color w:val="000000" w:themeColor="text1"/>
          <w:sz w:val="32"/>
          <w:szCs w:val="32"/>
          <w14:textFill>
            <w14:solidFill>
              <w14:schemeClr w14:val="tx1"/>
            </w14:solidFill>
          </w14:textFill>
        </w:rPr>
        <w:t>分。</w:t>
      </w:r>
    </w:p>
    <w:p w14:paraId="406FB929">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（6）政府采购执行率（3分）</w:t>
      </w:r>
    </w:p>
    <w:p w14:paraId="03415669">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该指标主要评价部门是否有效执行政府采购政策，通过政府采购执行率来衡量。</w:t>
      </w:r>
    </w:p>
    <w:p w14:paraId="615E2826">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政府采购执行率=（实际政府采购金额/政府采购预算金额）*100%。</w:t>
      </w:r>
    </w:p>
    <w:p w14:paraId="0873D98E">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根据徐水区机关服务</w:t>
      </w:r>
      <w:r>
        <w:rPr>
          <w:rFonts w:ascii="仿宋_GB2312" w:eastAsia="仿宋_GB2312" w:cs="DengXian-Regular"/>
          <w:color w:val="000000" w:themeColor="text1"/>
          <w:sz w:val="32"/>
          <w:szCs w:val="32"/>
          <w14:textFill>
            <w14:solidFill>
              <w14:schemeClr w14:val="tx1"/>
            </w14:solidFill>
          </w14:textFill>
        </w:rPr>
        <w:t>中心</w:t>
      </w:r>
      <w:r>
        <w:rPr>
          <w:rFonts w:hint="eastAsia" w:ascii="仿宋_GB2312" w:eastAsia="仿宋_GB2312" w:cs="DengXian-Regular"/>
          <w:color w:val="000000" w:themeColor="text1"/>
          <w:sz w:val="32"/>
          <w:szCs w:val="32"/>
          <w14:textFill>
            <w14:solidFill>
              <w14:schemeClr w14:val="tx1"/>
            </w14:solidFill>
          </w14:textFill>
        </w:rPr>
        <w:t>2019年预算文本及决算文本，政府采购年初预算数</w:t>
      </w:r>
      <w:r>
        <w:rPr>
          <w:rFonts w:ascii="仿宋_GB2312" w:eastAsia="仿宋_GB2312" w:cs="DengXian-Regular"/>
          <w:color w:val="000000" w:themeColor="text1"/>
          <w:sz w:val="32"/>
          <w:szCs w:val="32"/>
          <w14:textFill>
            <w14:solidFill>
              <w14:schemeClr w14:val="tx1"/>
            </w14:solidFill>
          </w14:textFill>
        </w:rPr>
        <w:t>54.74</w:t>
      </w:r>
      <w:r>
        <w:rPr>
          <w:rFonts w:hint="eastAsia" w:ascii="仿宋_GB2312" w:eastAsia="仿宋_GB2312" w:cs="DengXian-Regular"/>
          <w:color w:val="000000" w:themeColor="text1"/>
          <w:sz w:val="32"/>
          <w:szCs w:val="32"/>
          <w14:textFill>
            <w14:solidFill>
              <w14:schemeClr w14:val="tx1"/>
            </w14:solidFill>
          </w14:textFill>
        </w:rPr>
        <w:t>万元，年末决算数</w:t>
      </w:r>
      <w:r>
        <w:rPr>
          <w:rFonts w:ascii="仿宋_GB2312" w:eastAsia="仿宋_GB2312" w:cs="DengXian-Regular"/>
          <w:color w:val="000000" w:themeColor="text1"/>
          <w:sz w:val="32"/>
          <w:szCs w:val="32"/>
          <w14:textFill>
            <w14:solidFill>
              <w14:schemeClr w14:val="tx1"/>
            </w14:solidFill>
          </w14:textFill>
        </w:rPr>
        <w:t>86.62</w:t>
      </w:r>
      <w:r>
        <w:rPr>
          <w:rFonts w:hint="eastAsia" w:ascii="仿宋_GB2312" w:eastAsia="仿宋_GB2312" w:cs="DengXian-Regular"/>
          <w:color w:val="000000" w:themeColor="text1"/>
          <w:sz w:val="32"/>
          <w:szCs w:val="32"/>
          <w14:textFill>
            <w14:solidFill>
              <w14:schemeClr w14:val="tx1"/>
            </w14:solidFill>
          </w14:textFill>
        </w:rPr>
        <w:t>万元，政府采购执行率为</w:t>
      </w:r>
      <w:r>
        <w:rPr>
          <w:rFonts w:ascii="仿宋_GB2312" w:eastAsia="仿宋_GB2312" w:cs="DengXian-Regular"/>
          <w:color w:val="000000" w:themeColor="text1"/>
          <w:sz w:val="32"/>
          <w:szCs w:val="32"/>
          <w14:textFill>
            <w14:solidFill>
              <w14:schemeClr w14:val="tx1"/>
            </w14:solidFill>
          </w14:textFill>
        </w:rPr>
        <w:t>158.24%</w:t>
      </w:r>
      <w:r>
        <w:rPr>
          <w:rFonts w:hint="eastAsia" w:ascii="仿宋_GB2312" w:eastAsia="仿宋_GB2312" w:cs="DengXian-Regular"/>
          <w:color w:val="000000" w:themeColor="text1"/>
          <w:sz w:val="32"/>
          <w:szCs w:val="32"/>
          <w14:textFill>
            <w14:solidFill>
              <w14:schemeClr w14:val="tx1"/>
            </w14:solidFill>
          </w14:textFill>
        </w:rPr>
        <w:t>。</w:t>
      </w:r>
    </w:p>
    <w:p w14:paraId="66D74239">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该指标实际得分为</w:t>
      </w:r>
      <w:r>
        <w:rPr>
          <w:rFonts w:ascii="仿宋_GB2312" w:eastAsia="仿宋_GB2312" w:cs="DengXian-Regular"/>
          <w:color w:val="000000" w:themeColor="text1"/>
          <w:sz w:val="32"/>
          <w:szCs w:val="32"/>
          <w14:textFill>
            <w14:solidFill>
              <w14:schemeClr w14:val="tx1"/>
            </w14:solidFill>
          </w14:textFill>
        </w:rPr>
        <w:t>3</w:t>
      </w:r>
      <w:r>
        <w:rPr>
          <w:rFonts w:hint="eastAsia" w:ascii="仿宋_GB2312" w:eastAsia="仿宋_GB2312" w:cs="DengXian-Regular"/>
          <w:color w:val="000000" w:themeColor="text1"/>
          <w:sz w:val="32"/>
          <w:szCs w:val="32"/>
          <w14:textFill>
            <w14:solidFill>
              <w14:schemeClr w14:val="tx1"/>
            </w14:solidFill>
          </w14:textFill>
        </w:rPr>
        <w:t>分。</w:t>
      </w:r>
    </w:p>
    <w:p w14:paraId="25180590">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（7）资金使用合规性（3分）</w:t>
      </w:r>
    </w:p>
    <w:p w14:paraId="2773E0FB">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该指标主要评价资金使用是否按照相关法律法规和资金管理办法规定的用途使用，财务管理是否符合相关会计准则和财务制度。</w:t>
      </w:r>
    </w:p>
    <w:p w14:paraId="1E46142C">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根据徐水区机关服务</w:t>
      </w:r>
      <w:r>
        <w:rPr>
          <w:rFonts w:ascii="仿宋_GB2312" w:eastAsia="仿宋_GB2312" w:cs="DengXian-Regular"/>
          <w:color w:val="000000" w:themeColor="text1"/>
          <w:sz w:val="32"/>
          <w:szCs w:val="32"/>
          <w14:textFill>
            <w14:solidFill>
              <w14:schemeClr w14:val="tx1"/>
            </w14:solidFill>
          </w14:textFill>
        </w:rPr>
        <w:t>中心</w:t>
      </w:r>
      <w:r>
        <w:rPr>
          <w:rFonts w:hint="eastAsia" w:ascii="仿宋_GB2312" w:eastAsia="仿宋_GB2312" w:cs="DengXian-Regular"/>
          <w:color w:val="000000" w:themeColor="text1"/>
          <w:sz w:val="32"/>
          <w:szCs w:val="32"/>
          <w14:textFill>
            <w14:solidFill>
              <w14:schemeClr w14:val="tx1"/>
            </w14:solidFill>
          </w14:textFill>
        </w:rPr>
        <w:t>2019年明细账、会计凭证等相关资料，资金使用符合相关会计准则和财务制度，资金拨付有完备的审批程序和手续，资金使用符合部门预算批复的用途，未发现截留、挤占、挪用财政资金的情况。</w:t>
      </w:r>
    </w:p>
    <w:p w14:paraId="7447601E">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该指标实际得分</w:t>
      </w:r>
      <w:r>
        <w:rPr>
          <w:rFonts w:ascii="仿宋_GB2312" w:eastAsia="仿宋_GB2312" w:cs="DengXian-Regular"/>
          <w:color w:val="000000" w:themeColor="text1"/>
          <w:sz w:val="32"/>
          <w:szCs w:val="32"/>
          <w14:textFill>
            <w14:solidFill>
              <w14:schemeClr w14:val="tx1"/>
            </w14:solidFill>
          </w14:textFill>
        </w:rPr>
        <w:t>3</w:t>
      </w:r>
      <w:r>
        <w:rPr>
          <w:rFonts w:hint="eastAsia" w:ascii="仿宋_GB2312" w:eastAsia="仿宋_GB2312" w:cs="DengXian-Regular"/>
          <w:color w:val="000000" w:themeColor="text1"/>
          <w:sz w:val="32"/>
          <w:szCs w:val="32"/>
          <w14:textFill>
            <w14:solidFill>
              <w14:schemeClr w14:val="tx1"/>
            </w14:solidFill>
          </w14:textFill>
        </w:rPr>
        <w:t>分。</w:t>
      </w:r>
    </w:p>
    <w:p w14:paraId="38D89891">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（8）决算真实性（3分）</w:t>
      </w:r>
    </w:p>
    <w:p w14:paraId="3789643B">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该指标主要评价决算编制数据是否与账表一致，即决算报表数据与会计账簿数据是否一致。</w:t>
      </w:r>
    </w:p>
    <w:p w14:paraId="60A348AB">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经核查徐水区机关服务</w:t>
      </w:r>
      <w:r>
        <w:rPr>
          <w:rFonts w:ascii="仿宋_GB2312" w:eastAsia="仿宋_GB2312" w:cs="DengXian-Regular"/>
          <w:color w:val="000000" w:themeColor="text1"/>
          <w:sz w:val="32"/>
          <w:szCs w:val="32"/>
          <w14:textFill>
            <w14:solidFill>
              <w14:schemeClr w14:val="tx1"/>
            </w14:solidFill>
          </w14:textFill>
        </w:rPr>
        <w:t>中心</w:t>
      </w:r>
      <w:r>
        <w:rPr>
          <w:rFonts w:hint="eastAsia" w:ascii="仿宋_GB2312" w:eastAsia="仿宋_GB2312" w:cs="DengXian-Regular"/>
          <w:color w:val="000000" w:themeColor="text1"/>
          <w:sz w:val="32"/>
          <w:szCs w:val="32"/>
          <w14:textFill>
            <w14:solidFill>
              <w14:schemeClr w14:val="tx1"/>
            </w14:solidFill>
          </w14:textFill>
        </w:rPr>
        <w:t>2019年决算文本、明细账及总账，机关服务</w:t>
      </w:r>
      <w:r>
        <w:rPr>
          <w:rFonts w:ascii="仿宋_GB2312" w:eastAsia="仿宋_GB2312" w:cs="DengXian-Regular"/>
          <w:color w:val="000000" w:themeColor="text1"/>
          <w:sz w:val="32"/>
          <w:szCs w:val="32"/>
          <w14:textFill>
            <w14:solidFill>
              <w14:schemeClr w14:val="tx1"/>
            </w14:solidFill>
          </w14:textFill>
        </w:rPr>
        <w:t>中心</w:t>
      </w:r>
      <w:r>
        <w:rPr>
          <w:rFonts w:hint="eastAsia" w:ascii="仿宋_GB2312" w:eastAsia="仿宋_GB2312" w:cs="DengXian-Regular"/>
          <w:color w:val="000000" w:themeColor="text1"/>
          <w:sz w:val="32"/>
          <w:szCs w:val="32"/>
          <w14:textFill>
            <w14:solidFill>
              <w14:schemeClr w14:val="tx1"/>
            </w14:solidFill>
          </w14:textFill>
        </w:rPr>
        <w:t>决算文本数据均与明细账、总账一致。</w:t>
      </w:r>
    </w:p>
    <w:p w14:paraId="71AB9C6A">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该指标实际得分</w:t>
      </w:r>
      <w:r>
        <w:rPr>
          <w:rFonts w:ascii="仿宋_GB2312" w:eastAsia="仿宋_GB2312" w:cs="DengXian-Regular"/>
          <w:color w:val="000000" w:themeColor="text1"/>
          <w:sz w:val="32"/>
          <w:szCs w:val="32"/>
          <w14:textFill>
            <w14:solidFill>
              <w14:schemeClr w14:val="tx1"/>
            </w14:solidFill>
          </w14:textFill>
        </w:rPr>
        <w:t>3</w:t>
      </w:r>
      <w:r>
        <w:rPr>
          <w:rFonts w:hint="eastAsia" w:ascii="仿宋_GB2312" w:eastAsia="仿宋_GB2312" w:cs="DengXian-Regular"/>
          <w:color w:val="000000" w:themeColor="text1"/>
          <w:sz w:val="32"/>
          <w:szCs w:val="32"/>
          <w14:textFill>
            <w14:solidFill>
              <w14:schemeClr w14:val="tx1"/>
            </w14:solidFill>
          </w14:textFill>
        </w:rPr>
        <w:t>分。</w:t>
      </w:r>
    </w:p>
    <w:p w14:paraId="14774927">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2.预算管理（16分）</w:t>
      </w:r>
    </w:p>
    <w:p w14:paraId="30283E18">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（1）管理制度健全性（4分）</w:t>
      </w:r>
    </w:p>
    <w:p w14:paraId="0F26380E">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该指标主要评价部门是否制定资金管理办法、财务管理制度、会计核算制度等相关内部控制制度，制度执行是否得到有效执行。</w:t>
      </w:r>
    </w:p>
    <w:p w14:paraId="68F61F59">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徐水区机关服务</w:t>
      </w:r>
      <w:r>
        <w:rPr>
          <w:rFonts w:ascii="仿宋_GB2312" w:eastAsia="仿宋_GB2312" w:cs="DengXian-Regular"/>
          <w:color w:val="000000" w:themeColor="text1"/>
          <w:sz w:val="32"/>
          <w:szCs w:val="32"/>
          <w14:textFill>
            <w14:solidFill>
              <w14:schemeClr w14:val="tx1"/>
            </w14:solidFill>
          </w14:textFill>
        </w:rPr>
        <w:t>中心</w:t>
      </w:r>
      <w:r>
        <w:rPr>
          <w:rFonts w:hint="eastAsia" w:ascii="仿宋_GB2312" w:eastAsia="仿宋_GB2312" w:cs="DengXian-Regular"/>
          <w:color w:val="000000" w:themeColor="text1"/>
          <w:sz w:val="32"/>
          <w:szCs w:val="32"/>
          <w14:textFill>
            <w14:solidFill>
              <w14:schemeClr w14:val="tx1"/>
            </w14:solidFill>
          </w14:textFill>
        </w:rPr>
        <w:t>工作制度涵盖了财务制度、网络安全制度、公务用车制度等相关制度，付款流程审批单、资产盘点表等资料，机关服务</w:t>
      </w:r>
      <w:r>
        <w:rPr>
          <w:rFonts w:ascii="仿宋_GB2312" w:eastAsia="仿宋_GB2312" w:cs="DengXian-Regular"/>
          <w:color w:val="000000" w:themeColor="text1"/>
          <w:sz w:val="32"/>
          <w:szCs w:val="32"/>
          <w14:textFill>
            <w14:solidFill>
              <w14:schemeClr w14:val="tx1"/>
            </w14:solidFill>
          </w14:textFill>
        </w:rPr>
        <w:t>中心</w:t>
      </w:r>
      <w:r>
        <w:rPr>
          <w:rFonts w:hint="eastAsia" w:ascii="仿宋_GB2312" w:eastAsia="仿宋_GB2312" w:cs="DengXian-Regular"/>
          <w:color w:val="000000" w:themeColor="text1"/>
          <w:sz w:val="32"/>
          <w:szCs w:val="32"/>
          <w14:textFill>
            <w14:solidFill>
              <w14:schemeClr w14:val="tx1"/>
            </w14:solidFill>
          </w14:textFill>
        </w:rPr>
        <w:t>已按照相关管理制度的规定执行。在</w:t>
      </w:r>
      <w:r>
        <w:rPr>
          <w:rFonts w:ascii="仿宋_GB2312" w:eastAsia="仿宋_GB2312" w:cs="DengXian-Regular"/>
          <w:color w:val="000000" w:themeColor="text1"/>
          <w:sz w:val="32"/>
          <w:szCs w:val="32"/>
          <w14:textFill>
            <w14:solidFill>
              <w14:schemeClr w14:val="tx1"/>
            </w14:solidFill>
          </w14:textFill>
        </w:rPr>
        <w:t>日常工作中还需要</w:t>
      </w:r>
      <w:r>
        <w:rPr>
          <w:rFonts w:hint="eastAsia" w:ascii="仿宋_GB2312" w:eastAsia="仿宋_GB2312" w:cs="DengXian-Regular"/>
          <w:color w:val="000000" w:themeColor="text1"/>
          <w:sz w:val="32"/>
          <w:szCs w:val="32"/>
          <w14:textFill>
            <w14:solidFill>
              <w14:schemeClr w14:val="tx1"/>
            </w14:solidFill>
          </w14:textFill>
        </w:rPr>
        <w:t>结合</w:t>
      </w:r>
      <w:r>
        <w:rPr>
          <w:rFonts w:ascii="仿宋_GB2312" w:eastAsia="仿宋_GB2312" w:cs="DengXian-Regular"/>
          <w:color w:val="000000" w:themeColor="text1"/>
          <w:sz w:val="32"/>
          <w:szCs w:val="32"/>
          <w14:textFill>
            <w14:solidFill>
              <w14:schemeClr w14:val="tx1"/>
            </w14:solidFill>
          </w14:textFill>
        </w:rPr>
        <w:t>我</w:t>
      </w:r>
      <w:r>
        <w:rPr>
          <w:rFonts w:hint="eastAsia" w:ascii="仿宋_GB2312" w:eastAsia="仿宋_GB2312" w:cs="DengXian-Regular"/>
          <w:color w:val="000000" w:themeColor="text1"/>
          <w:sz w:val="32"/>
          <w:szCs w:val="32"/>
          <w14:textFill>
            <w14:solidFill>
              <w14:schemeClr w14:val="tx1"/>
            </w14:solidFill>
          </w14:textFill>
        </w:rPr>
        <w:t>单位</w:t>
      </w:r>
      <w:r>
        <w:rPr>
          <w:rFonts w:ascii="仿宋_GB2312" w:eastAsia="仿宋_GB2312" w:cs="DengXian-Regular"/>
          <w:color w:val="000000" w:themeColor="text1"/>
          <w:sz w:val="32"/>
          <w:szCs w:val="32"/>
          <w14:textFill>
            <w14:solidFill>
              <w14:schemeClr w14:val="tx1"/>
            </w14:solidFill>
          </w14:textFill>
        </w:rPr>
        <w:t>实际情况，不断完善各项</w:t>
      </w:r>
      <w:r>
        <w:rPr>
          <w:rFonts w:hint="eastAsia" w:ascii="仿宋_GB2312" w:eastAsia="仿宋_GB2312" w:cs="DengXian-Regular"/>
          <w:color w:val="000000" w:themeColor="text1"/>
          <w:sz w:val="32"/>
          <w:szCs w:val="32"/>
          <w14:textFill>
            <w14:solidFill>
              <w14:schemeClr w14:val="tx1"/>
            </w14:solidFill>
          </w14:textFill>
        </w:rPr>
        <w:t>规章</w:t>
      </w:r>
      <w:r>
        <w:rPr>
          <w:rFonts w:ascii="仿宋_GB2312" w:eastAsia="仿宋_GB2312" w:cs="DengXian-Regular"/>
          <w:color w:val="000000" w:themeColor="text1"/>
          <w:sz w:val="32"/>
          <w:szCs w:val="32"/>
          <w14:textFill>
            <w14:solidFill>
              <w14:schemeClr w14:val="tx1"/>
            </w14:solidFill>
          </w14:textFill>
        </w:rPr>
        <w:t>制度。</w:t>
      </w:r>
    </w:p>
    <w:p w14:paraId="6074BD3C">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该项指标实际得分</w:t>
      </w:r>
      <w:r>
        <w:rPr>
          <w:rFonts w:ascii="仿宋_GB2312" w:eastAsia="仿宋_GB2312" w:cs="DengXian-Regular"/>
          <w:color w:val="000000" w:themeColor="text1"/>
          <w:sz w:val="32"/>
          <w:szCs w:val="32"/>
          <w14:textFill>
            <w14:solidFill>
              <w14:schemeClr w14:val="tx1"/>
            </w14:solidFill>
          </w14:textFill>
        </w:rPr>
        <w:t>4</w:t>
      </w:r>
      <w:r>
        <w:rPr>
          <w:rFonts w:hint="eastAsia" w:ascii="仿宋_GB2312" w:eastAsia="仿宋_GB2312" w:cs="DengXian-Regular"/>
          <w:color w:val="000000" w:themeColor="text1"/>
          <w:sz w:val="32"/>
          <w:szCs w:val="32"/>
          <w14:textFill>
            <w14:solidFill>
              <w14:schemeClr w14:val="tx1"/>
            </w14:solidFill>
          </w14:textFill>
        </w:rPr>
        <w:t>分。</w:t>
      </w:r>
    </w:p>
    <w:p w14:paraId="157A5F6F">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（2）预决算信息公开性（4分）</w:t>
      </w:r>
    </w:p>
    <w:p w14:paraId="4CBC8DE8">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该指标主要评价部门是否按照政府信息公开的有关要求在相关网站公开部门预算、预算执行情况、年度工作任务等相关信息。</w:t>
      </w:r>
    </w:p>
    <w:p w14:paraId="5BD669E0">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徐水区机关服务</w:t>
      </w:r>
      <w:r>
        <w:rPr>
          <w:rFonts w:ascii="仿宋_GB2312" w:eastAsia="仿宋_GB2312" w:cs="DengXian-Regular"/>
          <w:color w:val="000000" w:themeColor="text1"/>
          <w:sz w:val="32"/>
          <w:szCs w:val="32"/>
          <w14:textFill>
            <w14:solidFill>
              <w14:schemeClr w14:val="tx1"/>
            </w14:solidFill>
          </w14:textFill>
        </w:rPr>
        <w:t>中心</w:t>
      </w:r>
      <w:r>
        <w:rPr>
          <w:rFonts w:hint="eastAsia" w:ascii="仿宋_GB2312" w:eastAsia="仿宋_GB2312" w:cs="DengXian-Regular"/>
          <w:color w:val="000000" w:themeColor="text1"/>
          <w:sz w:val="32"/>
          <w:szCs w:val="32"/>
          <w14:textFill>
            <w14:solidFill>
              <w14:schemeClr w14:val="tx1"/>
            </w14:solidFill>
          </w14:textFill>
        </w:rPr>
        <w:t>2019年按政府信息公开的有关要求在保定市徐水区人民政府网公开了2019年的预决算情况、部门责任清单、行政监督清单等相关信息。</w:t>
      </w:r>
    </w:p>
    <w:p w14:paraId="44039000">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该指标实际得分</w:t>
      </w:r>
      <w:r>
        <w:rPr>
          <w:rFonts w:ascii="仿宋_GB2312" w:eastAsia="仿宋_GB2312" w:cs="DengXian-Regular"/>
          <w:color w:val="000000" w:themeColor="text1"/>
          <w:sz w:val="32"/>
          <w:szCs w:val="32"/>
          <w14:textFill>
            <w14:solidFill>
              <w14:schemeClr w14:val="tx1"/>
            </w14:solidFill>
          </w14:textFill>
        </w:rPr>
        <w:t>4</w:t>
      </w:r>
      <w:r>
        <w:rPr>
          <w:rFonts w:hint="eastAsia" w:ascii="仿宋_GB2312" w:eastAsia="仿宋_GB2312" w:cs="DengXian-Regular"/>
          <w:color w:val="000000" w:themeColor="text1"/>
          <w:sz w:val="32"/>
          <w:szCs w:val="32"/>
          <w14:textFill>
            <w14:solidFill>
              <w14:schemeClr w14:val="tx1"/>
            </w14:solidFill>
          </w14:textFill>
        </w:rPr>
        <w:t>分。</w:t>
      </w:r>
    </w:p>
    <w:p w14:paraId="3BE70129">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（3）基础信息完善性（4分）</w:t>
      </w:r>
    </w:p>
    <w:p w14:paraId="0E30F659">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该指标主要评价基础数据信息和财务信息资料是否真实、完整。</w:t>
      </w:r>
    </w:p>
    <w:p w14:paraId="009F78E5">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根据徐水区机关服务</w:t>
      </w:r>
      <w:r>
        <w:rPr>
          <w:rFonts w:ascii="仿宋_GB2312" w:eastAsia="仿宋_GB2312" w:cs="DengXian-Regular"/>
          <w:color w:val="000000" w:themeColor="text1"/>
          <w:sz w:val="32"/>
          <w:szCs w:val="32"/>
          <w14:textFill>
            <w14:solidFill>
              <w14:schemeClr w14:val="tx1"/>
            </w14:solidFill>
          </w14:textFill>
        </w:rPr>
        <w:t>中心</w:t>
      </w:r>
      <w:r>
        <w:rPr>
          <w:rFonts w:hint="eastAsia" w:ascii="仿宋_GB2312" w:eastAsia="仿宋_GB2312" w:cs="DengXian-Regular"/>
          <w:color w:val="000000" w:themeColor="text1"/>
          <w:sz w:val="32"/>
          <w:szCs w:val="32"/>
          <w14:textFill>
            <w14:solidFill>
              <w14:schemeClr w14:val="tx1"/>
            </w14:solidFill>
          </w14:textFill>
        </w:rPr>
        <w:t>提供的会计账簿、凭证及其他相关资料，单位会计信息资料真实完整。</w:t>
      </w:r>
    </w:p>
    <w:p w14:paraId="2B54DB0D">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该指标实际得分</w:t>
      </w:r>
      <w:r>
        <w:rPr>
          <w:rFonts w:ascii="仿宋_GB2312" w:eastAsia="仿宋_GB2312" w:cs="DengXian-Regular"/>
          <w:color w:val="000000" w:themeColor="text1"/>
          <w:sz w:val="32"/>
          <w:szCs w:val="32"/>
          <w14:textFill>
            <w14:solidFill>
              <w14:schemeClr w14:val="tx1"/>
            </w14:solidFill>
          </w14:textFill>
        </w:rPr>
        <w:t>4</w:t>
      </w:r>
      <w:r>
        <w:rPr>
          <w:rFonts w:hint="eastAsia" w:ascii="仿宋_GB2312" w:eastAsia="仿宋_GB2312" w:cs="DengXian-Regular"/>
          <w:color w:val="000000" w:themeColor="text1"/>
          <w:sz w:val="32"/>
          <w:szCs w:val="32"/>
          <w14:textFill>
            <w14:solidFill>
              <w14:schemeClr w14:val="tx1"/>
            </w14:solidFill>
          </w14:textFill>
        </w:rPr>
        <w:t>分。</w:t>
      </w:r>
    </w:p>
    <w:p w14:paraId="49521B75">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（4）资产管理规范性（4分）</w:t>
      </w:r>
    </w:p>
    <w:p w14:paraId="2DAF2AC2">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该指标主要评价资产管理是否规范，是否建立资产台账，新增资产是否符合规定程序和规定标准，资产的配置是否合规，资产保存是否完整。</w:t>
      </w:r>
    </w:p>
    <w:p w14:paraId="285835D3">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徐水区机关服务</w:t>
      </w:r>
      <w:r>
        <w:rPr>
          <w:rFonts w:ascii="仿宋_GB2312" w:eastAsia="仿宋_GB2312" w:cs="DengXian-Regular"/>
          <w:color w:val="000000" w:themeColor="text1"/>
          <w:sz w:val="32"/>
          <w:szCs w:val="32"/>
          <w14:textFill>
            <w14:solidFill>
              <w14:schemeClr w14:val="tx1"/>
            </w14:solidFill>
          </w14:textFill>
        </w:rPr>
        <w:t>中心</w:t>
      </w:r>
      <w:r>
        <w:rPr>
          <w:rFonts w:hint="eastAsia" w:ascii="仿宋_GB2312" w:eastAsia="仿宋_GB2312" w:cs="DengXian-Regular"/>
          <w:color w:val="000000" w:themeColor="text1"/>
          <w:sz w:val="32"/>
          <w:szCs w:val="32"/>
          <w14:textFill>
            <w14:solidFill>
              <w14:schemeClr w14:val="tx1"/>
            </w14:solidFill>
          </w14:textFill>
        </w:rPr>
        <w:t>建立了固定资产台账、无形资产台账，资产保存完整，2019年新增资产</w:t>
      </w:r>
      <w:r>
        <w:rPr>
          <w:rFonts w:ascii="仿宋_GB2312" w:eastAsia="仿宋_GB2312" w:cs="DengXian-Regular"/>
          <w:color w:val="000000" w:themeColor="text1"/>
          <w:sz w:val="32"/>
          <w:szCs w:val="32"/>
          <w14:textFill>
            <w14:solidFill>
              <w14:schemeClr w14:val="tx1"/>
            </w14:solidFill>
          </w14:textFill>
        </w:rPr>
        <w:t>1.39</w:t>
      </w:r>
      <w:r>
        <w:rPr>
          <w:rFonts w:hint="eastAsia" w:ascii="仿宋_GB2312" w:eastAsia="仿宋_GB2312" w:cs="DengXian-Regular"/>
          <w:color w:val="000000" w:themeColor="text1"/>
          <w:sz w:val="32"/>
          <w:szCs w:val="32"/>
          <w14:textFill>
            <w14:solidFill>
              <w14:schemeClr w14:val="tx1"/>
            </w14:solidFill>
          </w14:textFill>
        </w:rPr>
        <w:t>万元，包含：电脑及计算机设备（</w:t>
      </w:r>
      <w:r>
        <w:rPr>
          <w:rFonts w:ascii="仿宋_GB2312" w:eastAsia="仿宋_GB2312" w:cs="DengXian-Regular"/>
          <w:color w:val="000000" w:themeColor="text1"/>
          <w:sz w:val="32"/>
          <w:szCs w:val="32"/>
          <w14:textFill>
            <w14:solidFill>
              <w14:schemeClr w14:val="tx1"/>
            </w14:solidFill>
          </w14:textFill>
        </w:rPr>
        <w:t>1.39</w:t>
      </w:r>
      <w:r>
        <w:rPr>
          <w:rFonts w:hint="eastAsia" w:ascii="仿宋_GB2312" w:eastAsia="仿宋_GB2312" w:cs="DengXian-Regular"/>
          <w:color w:val="000000" w:themeColor="text1"/>
          <w:sz w:val="32"/>
          <w:szCs w:val="32"/>
          <w14:textFill>
            <w14:solidFill>
              <w14:schemeClr w14:val="tx1"/>
            </w14:solidFill>
          </w14:textFill>
        </w:rPr>
        <w:t>万元），资产购置手续完备，配置符合要求，资产管理整体较规范。</w:t>
      </w:r>
    </w:p>
    <w:p w14:paraId="2EBEA89A">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该项指标实际得分</w:t>
      </w:r>
      <w:r>
        <w:rPr>
          <w:rFonts w:ascii="仿宋_GB2312" w:eastAsia="仿宋_GB2312" w:cs="DengXian-Regular"/>
          <w:color w:val="000000" w:themeColor="text1"/>
          <w:sz w:val="32"/>
          <w:szCs w:val="32"/>
          <w14:textFill>
            <w14:solidFill>
              <w14:schemeClr w14:val="tx1"/>
            </w14:solidFill>
          </w14:textFill>
        </w:rPr>
        <w:t>4</w:t>
      </w:r>
      <w:r>
        <w:rPr>
          <w:rFonts w:hint="eastAsia" w:ascii="仿宋_GB2312" w:eastAsia="仿宋_GB2312" w:cs="DengXian-Regular"/>
          <w:color w:val="000000" w:themeColor="text1"/>
          <w:sz w:val="32"/>
          <w:szCs w:val="32"/>
          <w14:textFill>
            <w14:solidFill>
              <w14:schemeClr w14:val="tx1"/>
            </w14:solidFill>
          </w14:textFill>
        </w:rPr>
        <w:t>分。</w:t>
      </w:r>
    </w:p>
    <w:p w14:paraId="2AFBE1CD">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3.绩效评价（8分）</w:t>
      </w:r>
    </w:p>
    <w:p w14:paraId="0F686315">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（1）绩效自评覆盖率（4分）</w:t>
      </w:r>
    </w:p>
    <w:p w14:paraId="3C716388">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该指标主要评价部门是否按相关要求实施绩效自评，通过绩效自评覆盖率来衡量。</w:t>
      </w:r>
    </w:p>
    <w:p w14:paraId="0D718738">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绩效自评覆盖率=（报送相关自评材料的数量/应实施项目绩效自评数量）*100%。</w:t>
      </w:r>
    </w:p>
    <w:p w14:paraId="2DBF35E7">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根据徐水区财政局《关于开展2019年度财政专项资金部门绩效自评价工作的通知》及徐水区</w:t>
      </w:r>
      <w:r>
        <w:rPr>
          <w:rFonts w:ascii="仿宋_GB2312" w:eastAsia="仿宋_GB2312" w:cs="DengXian-Regular"/>
          <w:color w:val="000000" w:themeColor="text1"/>
          <w:sz w:val="32"/>
          <w:szCs w:val="32"/>
          <w14:textFill>
            <w14:solidFill>
              <w14:schemeClr w14:val="tx1"/>
            </w14:solidFill>
          </w14:textFill>
        </w:rPr>
        <w:t>机关服务中心</w:t>
      </w:r>
      <w:r>
        <w:rPr>
          <w:rFonts w:hint="eastAsia" w:ascii="仿宋_GB2312" w:eastAsia="仿宋_GB2312" w:cs="DengXian-Regular"/>
          <w:color w:val="000000" w:themeColor="text1"/>
          <w:sz w:val="32"/>
          <w:szCs w:val="32"/>
          <w14:textFill>
            <w14:solidFill>
              <w14:schemeClr w14:val="tx1"/>
            </w14:solidFill>
          </w14:textFill>
        </w:rPr>
        <w:t>2019年一般项目部门绩效自评表，区</w:t>
      </w:r>
      <w:r>
        <w:rPr>
          <w:rFonts w:ascii="仿宋_GB2312" w:eastAsia="仿宋_GB2312" w:cs="DengXian-Regular"/>
          <w:color w:val="000000" w:themeColor="text1"/>
          <w:sz w:val="32"/>
          <w:szCs w:val="32"/>
          <w14:textFill>
            <w14:solidFill>
              <w14:schemeClr w14:val="tx1"/>
            </w14:solidFill>
          </w14:textFill>
        </w:rPr>
        <w:t>机关服务中心</w:t>
      </w:r>
      <w:r>
        <w:rPr>
          <w:rFonts w:hint="eastAsia" w:ascii="仿宋_GB2312" w:eastAsia="仿宋_GB2312" w:cs="DengXian-Regular"/>
          <w:color w:val="000000" w:themeColor="text1"/>
          <w:sz w:val="32"/>
          <w:szCs w:val="32"/>
          <w14:textFill>
            <w14:solidFill>
              <w14:schemeClr w14:val="tx1"/>
            </w14:solidFill>
          </w14:textFill>
        </w:rPr>
        <w:t>2019年开展绩效自评的项目数为</w:t>
      </w:r>
      <w:r>
        <w:rPr>
          <w:rFonts w:ascii="仿宋_GB2312" w:eastAsia="仿宋_GB2312" w:cs="DengXian-Regular"/>
          <w:color w:val="000000" w:themeColor="text1"/>
          <w:sz w:val="32"/>
          <w:szCs w:val="32"/>
          <w14:textFill>
            <w14:solidFill>
              <w14:schemeClr w14:val="tx1"/>
            </w14:solidFill>
          </w14:textFill>
        </w:rPr>
        <w:t>10</w:t>
      </w:r>
      <w:r>
        <w:rPr>
          <w:rFonts w:hint="eastAsia" w:ascii="仿宋_GB2312" w:eastAsia="仿宋_GB2312" w:cs="DengXian-Regular"/>
          <w:color w:val="000000" w:themeColor="text1"/>
          <w:sz w:val="32"/>
          <w:szCs w:val="32"/>
          <w14:textFill>
            <w14:solidFill>
              <w14:schemeClr w14:val="tx1"/>
            </w14:solidFill>
          </w14:textFill>
        </w:rPr>
        <w:t>个，年初预算文本项目数</w:t>
      </w:r>
      <w:r>
        <w:rPr>
          <w:rFonts w:ascii="仿宋_GB2312" w:eastAsia="仿宋_GB2312" w:cs="DengXian-Regular"/>
          <w:color w:val="000000" w:themeColor="text1"/>
          <w:sz w:val="32"/>
          <w:szCs w:val="32"/>
          <w14:textFill>
            <w14:solidFill>
              <w14:schemeClr w14:val="tx1"/>
            </w14:solidFill>
          </w14:textFill>
        </w:rPr>
        <w:t>10</w:t>
      </w:r>
      <w:r>
        <w:rPr>
          <w:rFonts w:hint="eastAsia" w:ascii="仿宋_GB2312" w:eastAsia="仿宋_GB2312" w:cs="DengXian-Regular"/>
          <w:color w:val="000000" w:themeColor="text1"/>
          <w:sz w:val="32"/>
          <w:szCs w:val="32"/>
          <w14:textFill>
            <w14:solidFill>
              <w14:schemeClr w14:val="tx1"/>
            </w14:solidFill>
          </w14:textFill>
        </w:rPr>
        <w:t>个，要求自评项目个数</w:t>
      </w:r>
      <w:r>
        <w:rPr>
          <w:rFonts w:ascii="仿宋_GB2312" w:eastAsia="仿宋_GB2312" w:cs="DengXian-Regular"/>
          <w:color w:val="000000" w:themeColor="text1"/>
          <w:sz w:val="32"/>
          <w:szCs w:val="32"/>
          <w14:textFill>
            <w14:solidFill>
              <w14:schemeClr w14:val="tx1"/>
            </w14:solidFill>
          </w14:textFill>
        </w:rPr>
        <w:t>10</w:t>
      </w:r>
      <w:r>
        <w:rPr>
          <w:rFonts w:hint="eastAsia" w:ascii="仿宋_GB2312" w:eastAsia="仿宋_GB2312" w:cs="DengXian-Regular"/>
          <w:color w:val="000000" w:themeColor="text1"/>
          <w:sz w:val="32"/>
          <w:szCs w:val="32"/>
          <w14:textFill>
            <w14:solidFill>
              <w14:schemeClr w14:val="tx1"/>
            </w14:solidFill>
          </w14:textFill>
        </w:rPr>
        <w:t xml:space="preserve">个，自评覆盖率为 </w:t>
      </w:r>
      <w:r>
        <w:rPr>
          <w:rFonts w:ascii="仿宋_GB2312" w:eastAsia="仿宋_GB2312" w:cs="DengXian-Regular"/>
          <w:color w:val="000000" w:themeColor="text1"/>
          <w:sz w:val="32"/>
          <w:szCs w:val="32"/>
          <w14:textFill>
            <w14:solidFill>
              <w14:schemeClr w14:val="tx1"/>
            </w14:solidFill>
          </w14:textFill>
        </w:rPr>
        <w:t>100</w:t>
      </w:r>
      <w:r>
        <w:rPr>
          <w:rFonts w:hint="eastAsia" w:ascii="仿宋_GB2312" w:eastAsia="仿宋_GB2312" w:cs="DengXian-Regular"/>
          <w:color w:val="000000" w:themeColor="text1"/>
          <w:sz w:val="32"/>
          <w:szCs w:val="32"/>
          <w14:textFill>
            <w14:solidFill>
              <w14:schemeClr w14:val="tx1"/>
            </w14:solidFill>
          </w14:textFill>
        </w:rPr>
        <w:t>%。</w:t>
      </w:r>
    </w:p>
    <w:p w14:paraId="427742EB">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该指标实际得分</w:t>
      </w:r>
      <w:r>
        <w:rPr>
          <w:rFonts w:ascii="仿宋_GB2312" w:eastAsia="仿宋_GB2312" w:cs="DengXian-Regular"/>
          <w:color w:val="000000" w:themeColor="text1"/>
          <w:sz w:val="32"/>
          <w:szCs w:val="32"/>
          <w14:textFill>
            <w14:solidFill>
              <w14:schemeClr w14:val="tx1"/>
            </w14:solidFill>
          </w14:textFill>
        </w:rPr>
        <w:t>4</w:t>
      </w:r>
      <w:r>
        <w:rPr>
          <w:rFonts w:hint="eastAsia" w:ascii="仿宋_GB2312" w:eastAsia="仿宋_GB2312" w:cs="DengXian-Regular"/>
          <w:color w:val="000000" w:themeColor="text1"/>
          <w:sz w:val="32"/>
          <w:szCs w:val="32"/>
          <w14:textFill>
            <w14:solidFill>
              <w14:schemeClr w14:val="tx1"/>
            </w14:solidFill>
          </w14:textFill>
        </w:rPr>
        <w:t>分。</w:t>
      </w:r>
    </w:p>
    <w:p w14:paraId="4F2DDA5E">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（2）绩效评价优等率（4分）</w:t>
      </w:r>
    </w:p>
    <w:p w14:paraId="453FB478">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该指标主要评价部门开展的绩效评价项目的完成质量，通过绩效评价优等率来衡量。</w:t>
      </w:r>
    </w:p>
    <w:p w14:paraId="30731BAA">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绩效评价优等率=（结果达到优等的数量/参评数量）*100%。</w:t>
      </w:r>
    </w:p>
    <w:p w14:paraId="0CEEB062">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徐水区</w:t>
      </w:r>
      <w:r>
        <w:rPr>
          <w:rFonts w:ascii="仿宋_GB2312" w:eastAsia="仿宋_GB2312" w:cs="DengXian-Regular"/>
          <w:color w:val="000000" w:themeColor="text1"/>
          <w:sz w:val="32"/>
          <w:szCs w:val="32"/>
          <w14:textFill>
            <w14:solidFill>
              <w14:schemeClr w14:val="tx1"/>
            </w14:solidFill>
          </w14:textFill>
        </w:rPr>
        <w:t>机关服务中心</w:t>
      </w:r>
      <w:r>
        <w:rPr>
          <w:rFonts w:hint="eastAsia" w:ascii="仿宋_GB2312" w:eastAsia="仿宋_GB2312" w:cs="DengXian-Regular"/>
          <w:color w:val="000000" w:themeColor="text1"/>
          <w:sz w:val="32"/>
          <w:szCs w:val="32"/>
          <w14:textFill>
            <w14:solidFill>
              <w14:schemeClr w14:val="tx1"/>
            </w14:solidFill>
          </w14:textFill>
        </w:rPr>
        <w:t>2019年参评数量1</w:t>
      </w:r>
      <w:r>
        <w:rPr>
          <w:rFonts w:ascii="仿宋_GB2312" w:eastAsia="仿宋_GB2312" w:cs="DengXian-Regular"/>
          <w:color w:val="000000" w:themeColor="text1"/>
          <w:sz w:val="32"/>
          <w:szCs w:val="32"/>
          <w14:textFill>
            <w14:solidFill>
              <w14:schemeClr w14:val="tx1"/>
            </w14:solidFill>
          </w14:textFill>
        </w:rPr>
        <w:t>0</w:t>
      </w:r>
      <w:r>
        <w:rPr>
          <w:rFonts w:hint="eastAsia" w:ascii="仿宋_GB2312" w:eastAsia="仿宋_GB2312" w:cs="DengXian-Regular"/>
          <w:color w:val="000000" w:themeColor="text1"/>
          <w:sz w:val="32"/>
          <w:szCs w:val="32"/>
          <w14:textFill>
            <w14:solidFill>
              <w14:schemeClr w14:val="tx1"/>
            </w14:solidFill>
          </w14:textFill>
        </w:rPr>
        <w:t>个，绩效评价结果达到优等的数量</w:t>
      </w:r>
      <w:r>
        <w:rPr>
          <w:rFonts w:ascii="仿宋_GB2312" w:eastAsia="仿宋_GB2312" w:cs="DengXian-Regular"/>
          <w:color w:val="000000" w:themeColor="text1"/>
          <w:sz w:val="32"/>
          <w:szCs w:val="32"/>
          <w14:textFill>
            <w14:solidFill>
              <w14:schemeClr w14:val="tx1"/>
            </w14:solidFill>
          </w14:textFill>
        </w:rPr>
        <w:t>10</w:t>
      </w:r>
      <w:r>
        <w:rPr>
          <w:rFonts w:hint="eastAsia" w:ascii="仿宋_GB2312" w:eastAsia="仿宋_GB2312" w:cs="DengXian-Regular"/>
          <w:color w:val="000000" w:themeColor="text1"/>
          <w:sz w:val="32"/>
          <w:szCs w:val="32"/>
          <w14:textFill>
            <w14:solidFill>
              <w14:schemeClr w14:val="tx1"/>
            </w14:solidFill>
          </w14:textFill>
        </w:rPr>
        <w:t>个，绩效评价优等率为</w:t>
      </w:r>
      <w:r>
        <w:rPr>
          <w:rFonts w:ascii="仿宋_GB2312" w:eastAsia="仿宋_GB2312" w:cs="DengXian-Regular"/>
          <w:color w:val="000000" w:themeColor="text1"/>
          <w:sz w:val="32"/>
          <w:szCs w:val="32"/>
          <w14:textFill>
            <w14:solidFill>
              <w14:schemeClr w14:val="tx1"/>
            </w14:solidFill>
          </w14:textFill>
        </w:rPr>
        <w:t>100</w:t>
      </w:r>
      <w:r>
        <w:rPr>
          <w:rFonts w:hint="eastAsia" w:ascii="仿宋_GB2312" w:eastAsia="仿宋_GB2312" w:cs="DengXian-Regular"/>
          <w:color w:val="000000" w:themeColor="text1"/>
          <w:sz w:val="32"/>
          <w:szCs w:val="32"/>
          <w14:textFill>
            <w14:solidFill>
              <w14:schemeClr w14:val="tx1"/>
            </w14:solidFill>
          </w14:textFill>
        </w:rPr>
        <w:t>%。</w:t>
      </w:r>
    </w:p>
    <w:p w14:paraId="5222FAD9">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该指标实际得分</w:t>
      </w:r>
      <w:r>
        <w:rPr>
          <w:rFonts w:ascii="仿宋_GB2312" w:eastAsia="仿宋_GB2312" w:cs="DengXian-Regular"/>
          <w:color w:val="000000" w:themeColor="text1"/>
          <w:sz w:val="32"/>
          <w:szCs w:val="32"/>
          <w14:textFill>
            <w14:solidFill>
              <w14:schemeClr w14:val="tx1"/>
            </w14:solidFill>
          </w14:textFill>
        </w:rPr>
        <w:t>4</w:t>
      </w:r>
      <w:r>
        <w:rPr>
          <w:rFonts w:hint="eastAsia" w:ascii="仿宋_GB2312" w:eastAsia="仿宋_GB2312" w:cs="DengXian-Regular"/>
          <w:color w:val="000000" w:themeColor="text1"/>
          <w:sz w:val="32"/>
          <w:szCs w:val="32"/>
          <w14:textFill>
            <w14:solidFill>
              <w14:schemeClr w14:val="tx1"/>
            </w14:solidFill>
          </w14:textFill>
        </w:rPr>
        <w:t>分。</w:t>
      </w:r>
      <w:bookmarkEnd w:id="64"/>
      <w:bookmarkEnd w:id="65"/>
    </w:p>
    <w:p w14:paraId="68D59759">
      <w:pPr>
        <w:pStyle w:val="4"/>
        <w:spacing w:before="0" w:after="0"/>
        <w:ind w:firstLine="643" w:firstLineChars="200"/>
        <w:jc w:val="both"/>
        <w:rPr>
          <w:rFonts w:ascii="楷体" w:hAnsi="楷体" w:eastAsia="楷体"/>
          <w:color w:val="000000" w:themeColor="text1"/>
          <w:sz w:val="32"/>
          <w14:textFill>
            <w14:solidFill>
              <w14:schemeClr w14:val="tx1"/>
            </w14:solidFill>
          </w14:textFill>
        </w:rPr>
      </w:pPr>
      <w:bookmarkStart w:id="66" w:name="_Toc12330"/>
      <w:r>
        <w:rPr>
          <w:rFonts w:hint="eastAsia" w:ascii="楷体" w:hAnsi="楷体" w:eastAsia="楷体"/>
          <w:color w:val="000000" w:themeColor="text1"/>
          <w:sz w:val="32"/>
          <w14:textFill>
            <w14:solidFill>
              <w14:schemeClr w14:val="tx1"/>
            </w14:solidFill>
          </w14:textFill>
        </w:rPr>
        <w:t>（三）产出（25分）</w:t>
      </w:r>
      <w:bookmarkEnd w:id="66"/>
    </w:p>
    <w:p w14:paraId="6A3CBB8A">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该一级指标包含责任履行一个二级指标，主要反映结转结余率，项目资金使用率，案件办理完结件率，受理群众信访举报数量，差旅费支出标准合规率。</w:t>
      </w:r>
    </w:p>
    <w:p w14:paraId="70A821E5">
      <w:pPr>
        <w:spacing w:after="0" w:line="360" w:lineRule="auto"/>
        <w:jc w:val="center"/>
        <w:textAlignment w:val="baseline"/>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表4  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14:paraId="7CE974D4">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14:paraId="4548FC8C">
            <w:pPr>
              <w:spacing w:after="0"/>
              <w:jc w:val="center"/>
              <w:textAlignment w:val="center"/>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14:paraId="2A179C52">
            <w:pPr>
              <w:spacing w:after="0"/>
              <w:jc w:val="center"/>
              <w:textAlignment w:val="center"/>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14:paraId="1856E327">
            <w:pPr>
              <w:spacing w:after="0"/>
              <w:jc w:val="center"/>
              <w:textAlignment w:val="center"/>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14:paraId="019064D9">
            <w:pPr>
              <w:spacing w:after="0"/>
              <w:jc w:val="center"/>
              <w:textAlignment w:val="center"/>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14:paraId="69D529CF">
            <w:pPr>
              <w:spacing w:after="0"/>
              <w:jc w:val="center"/>
              <w:textAlignment w:val="center"/>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得分</w:t>
            </w:r>
          </w:p>
        </w:tc>
      </w:tr>
      <w:tr w14:paraId="66FF884B">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14:paraId="6758B84B">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产出</w:t>
            </w:r>
          </w:p>
          <w:p w14:paraId="473B18F3">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（25分）</w:t>
            </w:r>
          </w:p>
        </w:tc>
        <w:tc>
          <w:tcPr>
            <w:tcW w:w="1004" w:type="dxa"/>
            <w:vMerge w:val="restart"/>
            <w:tcBorders>
              <w:top w:val="single" w:color="000000" w:sz="4" w:space="0"/>
              <w:left w:val="single" w:color="000000" w:sz="4" w:space="0"/>
              <w:right w:val="single" w:color="000000" w:sz="4" w:space="0"/>
            </w:tcBorders>
            <w:vAlign w:val="center"/>
          </w:tcPr>
          <w:p w14:paraId="3FA7BE98">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责任履行（25分）</w:t>
            </w:r>
          </w:p>
        </w:tc>
        <w:tc>
          <w:tcPr>
            <w:tcW w:w="2536" w:type="dxa"/>
            <w:tcBorders>
              <w:top w:val="single" w:color="000000" w:sz="4" w:space="0"/>
              <w:left w:val="single" w:color="000000" w:sz="4" w:space="0"/>
              <w:bottom w:val="single" w:color="000000" w:sz="4" w:space="0"/>
              <w:right w:val="single" w:color="000000" w:sz="4" w:space="0"/>
            </w:tcBorders>
            <w:vAlign w:val="center"/>
          </w:tcPr>
          <w:p w14:paraId="7A93087A">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5828C912">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174F7D61">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5</w:t>
            </w:r>
          </w:p>
        </w:tc>
      </w:tr>
      <w:tr w14:paraId="2D9CD53B">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3C649BD0">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p>
        </w:tc>
        <w:tc>
          <w:tcPr>
            <w:tcW w:w="1004" w:type="dxa"/>
            <w:vMerge w:val="continue"/>
            <w:tcBorders>
              <w:left w:val="single" w:color="000000" w:sz="4" w:space="0"/>
              <w:right w:val="single" w:color="000000" w:sz="4" w:space="0"/>
            </w:tcBorders>
            <w:vAlign w:val="center"/>
          </w:tcPr>
          <w:p w14:paraId="6245BEF0">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674493E1">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417EDD0D">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1CA9A9BA">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5</w:t>
            </w:r>
          </w:p>
        </w:tc>
      </w:tr>
      <w:tr w14:paraId="10FA4285">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48F6A979">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p>
        </w:tc>
        <w:tc>
          <w:tcPr>
            <w:tcW w:w="1004" w:type="dxa"/>
            <w:vMerge w:val="continue"/>
            <w:tcBorders>
              <w:left w:val="single" w:color="000000" w:sz="4" w:space="0"/>
              <w:right w:val="single" w:color="000000" w:sz="4" w:space="0"/>
            </w:tcBorders>
            <w:vAlign w:val="center"/>
          </w:tcPr>
          <w:p w14:paraId="452DFB65">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4D1CA684">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案件办理完结件率</w:t>
            </w:r>
          </w:p>
          <w:p w14:paraId="36752FC9">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受理群众信访举报数量（5分）</w:t>
            </w:r>
          </w:p>
          <w:p w14:paraId="7516644F">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差旅费支出标准合规率（5分）社区矫正人数</w:t>
            </w:r>
          </w:p>
        </w:tc>
        <w:tc>
          <w:tcPr>
            <w:tcW w:w="1125" w:type="dxa"/>
            <w:tcBorders>
              <w:top w:val="single" w:color="000000" w:sz="4" w:space="0"/>
              <w:left w:val="single" w:color="000000" w:sz="4" w:space="0"/>
              <w:bottom w:val="single" w:color="000000" w:sz="4" w:space="0"/>
              <w:right w:val="single" w:color="000000" w:sz="4" w:space="0"/>
            </w:tcBorders>
            <w:vAlign w:val="center"/>
          </w:tcPr>
          <w:p w14:paraId="4324FF9D">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158D72FF">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5</w:t>
            </w:r>
          </w:p>
        </w:tc>
      </w:tr>
      <w:tr w14:paraId="6725F23F">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069DDBE4">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p>
        </w:tc>
        <w:tc>
          <w:tcPr>
            <w:tcW w:w="1004" w:type="dxa"/>
            <w:vMerge w:val="continue"/>
            <w:tcBorders>
              <w:left w:val="single" w:color="000000" w:sz="4" w:space="0"/>
              <w:right w:val="single" w:color="000000" w:sz="4" w:space="0"/>
            </w:tcBorders>
            <w:vAlign w:val="center"/>
          </w:tcPr>
          <w:p w14:paraId="245B6D75">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4135035A">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受理群众信访举报数量</w:t>
            </w:r>
          </w:p>
        </w:tc>
        <w:tc>
          <w:tcPr>
            <w:tcW w:w="1125" w:type="dxa"/>
            <w:tcBorders>
              <w:top w:val="single" w:color="000000" w:sz="4" w:space="0"/>
              <w:left w:val="single" w:color="000000" w:sz="4" w:space="0"/>
              <w:bottom w:val="single" w:color="000000" w:sz="4" w:space="0"/>
              <w:right w:val="single" w:color="000000" w:sz="4" w:space="0"/>
            </w:tcBorders>
            <w:vAlign w:val="center"/>
          </w:tcPr>
          <w:p w14:paraId="67D59755">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050F1644">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5</w:t>
            </w:r>
          </w:p>
        </w:tc>
      </w:tr>
      <w:tr w14:paraId="7F01EEB6">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7EBFE92C">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p>
        </w:tc>
        <w:tc>
          <w:tcPr>
            <w:tcW w:w="1004" w:type="dxa"/>
            <w:vMerge w:val="continue"/>
            <w:tcBorders>
              <w:left w:val="single" w:color="000000" w:sz="4" w:space="0"/>
              <w:right w:val="single" w:color="000000" w:sz="4" w:space="0"/>
            </w:tcBorders>
            <w:vAlign w:val="center"/>
          </w:tcPr>
          <w:p w14:paraId="2685C99F">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3D8C3B44">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差旅费支出标准合规率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746680A6">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20B3939B">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5</w:t>
            </w:r>
          </w:p>
        </w:tc>
      </w:tr>
      <w:tr w14:paraId="64845215">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14:paraId="4F626D43">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14:paraId="57B7E39F">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571D6B99">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25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CF2A">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25</w:t>
            </w:r>
          </w:p>
        </w:tc>
      </w:tr>
    </w:tbl>
    <w:p w14:paraId="382397AD">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bookmarkStart w:id="67" w:name="_Toc464638518"/>
      <w:bookmarkStart w:id="68" w:name="_Toc465149515"/>
      <w:r>
        <w:rPr>
          <w:rFonts w:hint="eastAsia" w:ascii="仿宋_GB2312" w:eastAsia="仿宋_GB2312" w:cs="DengXian-Regular"/>
          <w:color w:val="000000" w:themeColor="text1"/>
          <w:sz w:val="32"/>
          <w:szCs w:val="32"/>
          <w14:textFill>
            <w14:solidFill>
              <w14:schemeClr w14:val="tx1"/>
            </w14:solidFill>
          </w14:textFill>
        </w:rPr>
        <w:t>1.结转结余率（5分）</w:t>
      </w:r>
    </w:p>
    <w:p w14:paraId="0E16EB90">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该指标主要评价部门的结转结余情况，通过结转结余率衡量。</w:t>
      </w:r>
    </w:p>
    <w:p w14:paraId="4548A299">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结转结余率=（本年结转结余数/决算收入数）*100%。</w:t>
      </w:r>
    </w:p>
    <w:p w14:paraId="31E1630A">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根据</w:t>
      </w:r>
      <w:r>
        <w:rPr>
          <w:rFonts w:ascii="仿宋_GB2312" w:eastAsia="仿宋_GB2312" w:cs="DengXian-Regular"/>
          <w:color w:val="000000" w:themeColor="text1"/>
          <w:sz w:val="32"/>
          <w:szCs w:val="32"/>
          <w14:textFill>
            <w14:solidFill>
              <w14:schemeClr w14:val="tx1"/>
            </w14:solidFill>
          </w14:textFill>
        </w:rPr>
        <w:t>机关服务中心</w:t>
      </w:r>
      <w:r>
        <w:rPr>
          <w:rFonts w:hint="eastAsia" w:ascii="仿宋_GB2312" w:eastAsia="仿宋_GB2312" w:cs="DengXian-Regular"/>
          <w:color w:val="000000" w:themeColor="text1"/>
          <w:sz w:val="32"/>
          <w:szCs w:val="32"/>
          <w14:textFill>
            <w14:solidFill>
              <w14:schemeClr w14:val="tx1"/>
            </w14:solidFill>
          </w14:textFill>
        </w:rPr>
        <w:t>2019年决算文本及相关资料， 2019年结转结余资金</w:t>
      </w:r>
      <w:r>
        <w:rPr>
          <w:rFonts w:ascii="仿宋_GB2312" w:eastAsia="仿宋_GB2312" w:cs="DengXian-Regular"/>
          <w:color w:val="000000" w:themeColor="text1"/>
          <w:sz w:val="32"/>
          <w:szCs w:val="32"/>
          <w14:textFill>
            <w14:solidFill>
              <w14:schemeClr w14:val="tx1"/>
            </w14:solidFill>
          </w14:textFill>
        </w:rPr>
        <w:t>2.37</w:t>
      </w:r>
      <w:r>
        <w:rPr>
          <w:rFonts w:hint="eastAsia" w:ascii="仿宋_GB2312" w:eastAsia="仿宋_GB2312" w:cs="DengXian-Regular"/>
          <w:color w:val="000000" w:themeColor="text1"/>
          <w:sz w:val="32"/>
          <w:szCs w:val="32"/>
          <w14:textFill>
            <w14:solidFill>
              <w14:schemeClr w14:val="tx1"/>
            </w14:solidFill>
          </w14:textFill>
        </w:rPr>
        <w:t>万元，决算收入</w:t>
      </w:r>
      <w:r>
        <w:rPr>
          <w:rFonts w:ascii="仿宋_GB2312" w:eastAsia="仿宋_GB2312" w:cs="DengXian-Regular"/>
          <w:color w:val="000000" w:themeColor="text1"/>
          <w:sz w:val="32"/>
          <w:szCs w:val="32"/>
          <w14:textFill>
            <w14:solidFill>
              <w14:schemeClr w14:val="tx1"/>
            </w14:solidFill>
          </w14:textFill>
        </w:rPr>
        <w:t>806.01</w:t>
      </w:r>
      <w:r>
        <w:rPr>
          <w:rFonts w:hint="eastAsia" w:ascii="仿宋_GB2312" w:eastAsia="仿宋_GB2312" w:cs="DengXian-Regular"/>
          <w:color w:val="000000" w:themeColor="text1"/>
          <w:sz w:val="32"/>
          <w:szCs w:val="32"/>
          <w14:textFill>
            <w14:solidFill>
              <w14:schemeClr w14:val="tx1"/>
            </w14:solidFill>
          </w14:textFill>
        </w:rPr>
        <w:t>万元，结转结余率</w:t>
      </w:r>
      <w:r>
        <w:rPr>
          <w:rFonts w:ascii="仿宋_GB2312" w:eastAsia="仿宋_GB2312" w:cs="DengXian-Regular"/>
          <w:color w:val="000000" w:themeColor="text1"/>
          <w:sz w:val="32"/>
          <w:szCs w:val="32"/>
          <w14:textFill>
            <w14:solidFill>
              <w14:schemeClr w14:val="tx1"/>
            </w14:solidFill>
          </w14:textFill>
        </w:rPr>
        <w:t>0.29</w:t>
      </w:r>
      <w:r>
        <w:rPr>
          <w:rFonts w:hint="eastAsia" w:ascii="仿宋_GB2312" w:eastAsia="仿宋_GB2312" w:cs="DengXian-Regular"/>
          <w:color w:val="000000" w:themeColor="text1"/>
          <w:sz w:val="32"/>
          <w:szCs w:val="32"/>
          <w14:textFill>
            <w14:solidFill>
              <w14:schemeClr w14:val="tx1"/>
            </w14:solidFill>
          </w14:textFill>
        </w:rPr>
        <w:t>%，小于5%。</w:t>
      </w:r>
    </w:p>
    <w:p w14:paraId="358730D6">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该项指标实际得分</w:t>
      </w:r>
      <w:r>
        <w:rPr>
          <w:rFonts w:ascii="仿宋_GB2312" w:eastAsia="仿宋_GB2312" w:cs="DengXian-Regular"/>
          <w:color w:val="000000" w:themeColor="text1"/>
          <w:sz w:val="32"/>
          <w:szCs w:val="32"/>
          <w14:textFill>
            <w14:solidFill>
              <w14:schemeClr w14:val="tx1"/>
            </w14:solidFill>
          </w14:textFill>
        </w:rPr>
        <w:t>5</w:t>
      </w:r>
      <w:r>
        <w:rPr>
          <w:rFonts w:hint="eastAsia" w:ascii="仿宋_GB2312" w:eastAsia="仿宋_GB2312" w:cs="DengXian-Regular"/>
          <w:color w:val="000000" w:themeColor="text1"/>
          <w:sz w:val="32"/>
          <w:szCs w:val="32"/>
          <w14:textFill>
            <w14:solidFill>
              <w14:schemeClr w14:val="tx1"/>
            </w14:solidFill>
          </w14:textFill>
        </w:rPr>
        <w:t>分。</w:t>
      </w:r>
    </w:p>
    <w:p w14:paraId="50D25E5D">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2.项目资金使用率（5分）</w:t>
      </w:r>
    </w:p>
    <w:p w14:paraId="349B2258">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该指标主要评价项目资金的使用效率，通过项目资金使用率来衡量。</w:t>
      </w:r>
    </w:p>
    <w:p w14:paraId="328897FA">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项目资金使用率=（实际支出项目资金总额/计划完整项目资金总数）*100%。</w:t>
      </w:r>
    </w:p>
    <w:p w14:paraId="74160340">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徐水区</w:t>
      </w:r>
      <w:r>
        <w:rPr>
          <w:rFonts w:ascii="仿宋_GB2312" w:eastAsia="仿宋_GB2312" w:cs="DengXian-Regular"/>
          <w:color w:val="000000" w:themeColor="text1"/>
          <w:sz w:val="32"/>
          <w:szCs w:val="32"/>
          <w14:textFill>
            <w14:solidFill>
              <w14:schemeClr w14:val="tx1"/>
            </w14:solidFill>
          </w14:textFill>
        </w:rPr>
        <w:t>机关服务中心</w:t>
      </w:r>
      <w:r>
        <w:rPr>
          <w:rFonts w:hint="eastAsia" w:ascii="仿宋_GB2312" w:eastAsia="仿宋_GB2312" w:cs="DengXian-Regular"/>
          <w:color w:val="000000" w:themeColor="text1"/>
          <w:sz w:val="32"/>
          <w:szCs w:val="32"/>
          <w14:textFill>
            <w14:solidFill>
              <w14:schemeClr w14:val="tx1"/>
            </w14:solidFill>
          </w14:textFill>
        </w:rPr>
        <w:t>2019年实际支出项目资金总额</w:t>
      </w:r>
      <w:r>
        <w:rPr>
          <w:rFonts w:ascii="仿宋_GB2312" w:eastAsia="仿宋_GB2312" w:cs="DengXian-Regular"/>
          <w:color w:val="000000" w:themeColor="text1"/>
          <w:sz w:val="32"/>
          <w:szCs w:val="32"/>
          <w14:textFill>
            <w14:solidFill>
              <w14:schemeClr w14:val="tx1"/>
            </w14:solidFill>
          </w14:textFill>
        </w:rPr>
        <w:t>355.68</w:t>
      </w:r>
      <w:r>
        <w:rPr>
          <w:rFonts w:hint="eastAsia" w:ascii="仿宋_GB2312" w:eastAsia="仿宋_GB2312" w:cs="DengXian-Regular"/>
          <w:color w:val="000000" w:themeColor="text1"/>
          <w:sz w:val="32"/>
          <w:szCs w:val="32"/>
          <w14:textFill>
            <w14:solidFill>
              <w14:schemeClr w14:val="tx1"/>
            </w14:solidFill>
          </w14:textFill>
        </w:rPr>
        <w:t>万元，年初预算共</w:t>
      </w:r>
      <w:r>
        <w:rPr>
          <w:rFonts w:ascii="仿宋_GB2312" w:eastAsia="仿宋_GB2312" w:cs="DengXian-Regular"/>
          <w:color w:val="000000" w:themeColor="text1"/>
          <w:sz w:val="32"/>
          <w:szCs w:val="32"/>
          <w14:textFill>
            <w14:solidFill>
              <w14:schemeClr w14:val="tx1"/>
            </w14:solidFill>
          </w14:textFill>
        </w:rPr>
        <w:t>10</w:t>
      </w:r>
      <w:r>
        <w:rPr>
          <w:rFonts w:hint="eastAsia" w:ascii="仿宋_GB2312" w:eastAsia="仿宋_GB2312" w:cs="DengXian-Regular"/>
          <w:color w:val="000000" w:themeColor="text1"/>
          <w:sz w:val="32"/>
          <w:szCs w:val="32"/>
          <w14:textFill>
            <w14:solidFill>
              <w14:schemeClr w14:val="tx1"/>
            </w14:solidFill>
          </w14:textFill>
        </w:rPr>
        <w:t>个项目，预算数</w:t>
      </w:r>
      <w:r>
        <w:rPr>
          <w:rFonts w:ascii="仿宋_GB2312" w:eastAsia="仿宋_GB2312" w:cs="DengXian-Regular"/>
          <w:color w:val="000000" w:themeColor="text1"/>
          <w:sz w:val="32"/>
          <w:szCs w:val="32"/>
          <w14:textFill>
            <w14:solidFill>
              <w14:schemeClr w14:val="tx1"/>
            </w14:solidFill>
          </w14:textFill>
        </w:rPr>
        <w:t>274.57</w:t>
      </w:r>
      <w:r>
        <w:rPr>
          <w:rFonts w:hint="eastAsia" w:ascii="仿宋_GB2312" w:eastAsia="仿宋_GB2312" w:cs="DengXian-Regular"/>
          <w:color w:val="000000" w:themeColor="text1"/>
          <w:sz w:val="32"/>
          <w:szCs w:val="32"/>
          <w14:textFill>
            <w14:solidFill>
              <w14:schemeClr w14:val="tx1"/>
            </w14:solidFill>
          </w14:textFill>
        </w:rPr>
        <w:t>万元，年中追加项目资金</w:t>
      </w:r>
      <w:r>
        <w:rPr>
          <w:rFonts w:ascii="仿宋_GB2312" w:eastAsia="仿宋_GB2312" w:cs="DengXian-Regular"/>
          <w:color w:val="000000" w:themeColor="text1"/>
          <w:sz w:val="32"/>
          <w:szCs w:val="32"/>
          <w14:textFill>
            <w14:solidFill>
              <w14:schemeClr w14:val="tx1"/>
            </w14:solidFill>
          </w14:textFill>
        </w:rPr>
        <w:t>0</w:t>
      </w:r>
      <w:r>
        <w:rPr>
          <w:rFonts w:hint="eastAsia" w:ascii="仿宋_GB2312" w:eastAsia="仿宋_GB2312" w:cs="DengXian-Regular"/>
          <w:color w:val="000000" w:themeColor="text1"/>
          <w:sz w:val="32"/>
          <w:szCs w:val="32"/>
          <w14:textFill>
            <w14:solidFill>
              <w14:schemeClr w14:val="tx1"/>
            </w14:solidFill>
          </w14:textFill>
        </w:rPr>
        <w:t>万元，项目资金使用率为</w:t>
      </w:r>
      <w:r>
        <w:rPr>
          <w:rFonts w:ascii="仿宋_GB2312" w:eastAsia="仿宋_GB2312" w:cs="DengXian-Regular"/>
          <w:color w:val="000000" w:themeColor="text1"/>
          <w:sz w:val="32"/>
          <w:szCs w:val="32"/>
          <w14:textFill>
            <w14:solidFill>
              <w14:schemeClr w14:val="tx1"/>
            </w14:solidFill>
          </w14:textFill>
        </w:rPr>
        <w:t>100</w:t>
      </w:r>
      <w:r>
        <w:rPr>
          <w:rFonts w:hint="eastAsia" w:ascii="仿宋_GB2312" w:eastAsia="仿宋_GB2312" w:cs="DengXian-Regular"/>
          <w:color w:val="000000" w:themeColor="text1"/>
          <w:sz w:val="32"/>
          <w:szCs w:val="32"/>
          <w14:textFill>
            <w14:solidFill>
              <w14:schemeClr w14:val="tx1"/>
            </w14:solidFill>
          </w14:textFill>
        </w:rPr>
        <w:t>%。</w:t>
      </w:r>
    </w:p>
    <w:p w14:paraId="08E811DA">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该指标实际得分</w:t>
      </w:r>
      <w:r>
        <w:rPr>
          <w:rFonts w:ascii="仿宋_GB2312" w:eastAsia="仿宋_GB2312" w:cs="DengXian-Regular"/>
          <w:color w:val="000000" w:themeColor="text1"/>
          <w:sz w:val="32"/>
          <w:szCs w:val="32"/>
          <w14:textFill>
            <w14:solidFill>
              <w14:schemeClr w14:val="tx1"/>
            </w14:solidFill>
          </w14:textFill>
        </w:rPr>
        <w:t>5</w:t>
      </w:r>
      <w:r>
        <w:rPr>
          <w:rFonts w:hint="eastAsia" w:ascii="仿宋_GB2312" w:eastAsia="仿宋_GB2312" w:cs="DengXian-Regular"/>
          <w:color w:val="000000" w:themeColor="text1"/>
          <w:sz w:val="32"/>
          <w:szCs w:val="32"/>
          <w14:textFill>
            <w14:solidFill>
              <w14:schemeClr w14:val="tx1"/>
            </w14:solidFill>
          </w14:textFill>
        </w:rPr>
        <w:t>分。</w:t>
      </w:r>
    </w:p>
    <w:p w14:paraId="52564C52">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ascii="仿宋_GB2312" w:eastAsia="仿宋_GB2312" w:cs="DengXian-Regular"/>
          <w:color w:val="000000" w:themeColor="text1"/>
          <w:sz w:val="32"/>
          <w:szCs w:val="32"/>
          <w14:textFill>
            <w14:solidFill>
              <w14:schemeClr w14:val="tx1"/>
            </w14:solidFill>
          </w14:textFill>
        </w:rPr>
        <w:t>3.</w:t>
      </w:r>
      <w:r>
        <w:rPr>
          <w:rFonts w:hint="eastAsia"/>
          <w:color w:val="000000" w:themeColor="text1"/>
          <w14:textFill>
            <w14:solidFill>
              <w14:schemeClr w14:val="tx1"/>
            </w14:solidFill>
          </w14:textFill>
        </w:rPr>
        <w:t xml:space="preserve"> </w:t>
      </w:r>
      <w:r>
        <w:rPr>
          <w:rFonts w:hint="eastAsia" w:ascii="仿宋_GB2312" w:eastAsia="仿宋_GB2312" w:cs="DengXian-Regular"/>
          <w:color w:val="000000" w:themeColor="text1"/>
          <w:sz w:val="32"/>
          <w:szCs w:val="32"/>
          <w14:textFill>
            <w14:solidFill>
              <w14:schemeClr w14:val="tx1"/>
            </w14:solidFill>
          </w14:textFill>
        </w:rPr>
        <w:t>综合事务管理工作服务对象</w:t>
      </w:r>
      <w:r>
        <w:rPr>
          <w:rFonts w:ascii="仿宋_GB2312" w:eastAsia="仿宋_GB2312" w:cs="DengXian-Regular"/>
          <w:color w:val="000000" w:themeColor="text1"/>
          <w:sz w:val="32"/>
          <w:szCs w:val="32"/>
          <w14:textFill>
            <w14:solidFill>
              <w14:schemeClr w14:val="tx1"/>
            </w14:solidFill>
          </w14:textFill>
        </w:rPr>
        <w:t>人数</w:t>
      </w:r>
      <w:r>
        <w:rPr>
          <w:rFonts w:hint="eastAsia" w:ascii="仿宋_GB2312" w:eastAsia="仿宋_GB2312" w:cs="DengXian-Regular"/>
          <w:color w:val="000000" w:themeColor="text1"/>
          <w:sz w:val="32"/>
          <w:szCs w:val="32"/>
          <w14:textFill>
            <w14:solidFill>
              <w14:schemeClr w14:val="tx1"/>
            </w14:solidFill>
          </w14:textFill>
        </w:rPr>
        <w:t>（5分）</w:t>
      </w:r>
    </w:p>
    <w:p w14:paraId="1F3DB2A3">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该指标主要评价部门合事务管理工作服务对象</w:t>
      </w:r>
      <w:r>
        <w:rPr>
          <w:rFonts w:ascii="仿宋_GB2312" w:eastAsia="仿宋_GB2312" w:cs="DengXian-Regular"/>
          <w:color w:val="000000" w:themeColor="text1"/>
          <w:sz w:val="32"/>
          <w:szCs w:val="32"/>
          <w14:textFill>
            <w14:solidFill>
              <w14:schemeClr w14:val="tx1"/>
            </w14:solidFill>
          </w14:textFill>
        </w:rPr>
        <w:t>人数</w:t>
      </w:r>
      <w:r>
        <w:rPr>
          <w:rFonts w:hint="eastAsia" w:ascii="仿宋_GB2312" w:eastAsia="仿宋_GB2312" w:cs="DengXian-Regular"/>
          <w:color w:val="000000" w:themeColor="text1"/>
          <w:sz w:val="32"/>
          <w:szCs w:val="32"/>
          <w14:textFill>
            <w14:solidFill>
              <w14:schemeClr w14:val="tx1"/>
            </w14:solidFill>
          </w14:textFill>
        </w:rPr>
        <w:t>。</w:t>
      </w:r>
    </w:p>
    <w:p w14:paraId="56CB6F0B">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实</w:t>
      </w:r>
      <w:r>
        <w:rPr>
          <w:rFonts w:ascii="仿宋_GB2312" w:eastAsia="仿宋_GB2312" w:cs="DengXian-Regular"/>
          <w:color w:val="000000" w:themeColor="text1"/>
          <w:sz w:val="32"/>
          <w:szCs w:val="32"/>
          <w14:textFill>
            <w14:solidFill>
              <w14:schemeClr w14:val="tx1"/>
            </w14:solidFill>
          </w14:textFill>
        </w:rPr>
        <w:t>际</w:t>
      </w:r>
      <w:r>
        <w:rPr>
          <w:rFonts w:hint="eastAsia" w:ascii="仿宋_GB2312" w:eastAsia="仿宋_GB2312" w:cs="DengXian-Regular"/>
          <w:color w:val="000000" w:themeColor="text1"/>
          <w:sz w:val="32"/>
          <w:szCs w:val="32"/>
          <w14:textFill>
            <w14:solidFill>
              <w14:schemeClr w14:val="tx1"/>
            </w14:solidFill>
          </w14:textFill>
        </w:rPr>
        <w:t>综合事务管理工作服务对象</w:t>
      </w:r>
      <w:r>
        <w:rPr>
          <w:rFonts w:ascii="仿宋_GB2312" w:eastAsia="仿宋_GB2312" w:cs="DengXian-Regular"/>
          <w:color w:val="000000" w:themeColor="text1"/>
          <w:sz w:val="32"/>
          <w:szCs w:val="32"/>
          <w14:textFill>
            <w14:solidFill>
              <w14:schemeClr w14:val="tx1"/>
            </w14:solidFill>
          </w14:textFill>
        </w:rPr>
        <w:t>人数</w:t>
      </w:r>
      <w:r>
        <w:rPr>
          <w:rFonts w:hint="eastAsia" w:ascii="仿宋_GB2312" w:eastAsia="仿宋_GB2312" w:cs="DengXian-Regular"/>
          <w:color w:val="000000" w:themeColor="text1"/>
          <w:sz w:val="32"/>
          <w:szCs w:val="32"/>
          <w14:textFill>
            <w14:solidFill>
              <w14:schemeClr w14:val="tx1"/>
            </w14:solidFill>
          </w14:textFill>
        </w:rPr>
        <w:t>大</w:t>
      </w:r>
      <w:r>
        <w:rPr>
          <w:rFonts w:ascii="仿宋_GB2312" w:eastAsia="仿宋_GB2312" w:cs="DengXian-Regular"/>
          <w:color w:val="000000" w:themeColor="text1"/>
          <w:sz w:val="32"/>
          <w:szCs w:val="32"/>
          <w14:textFill>
            <w14:solidFill>
              <w14:schemeClr w14:val="tx1"/>
            </w14:solidFill>
          </w14:textFill>
        </w:rPr>
        <w:t>于450</w:t>
      </w:r>
      <w:r>
        <w:rPr>
          <w:rFonts w:hint="eastAsia" w:ascii="仿宋_GB2312" w:eastAsia="仿宋_GB2312" w:cs="DengXian-Regular"/>
          <w:color w:val="000000" w:themeColor="text1"/>
          <w:sz w:val="32"/>
          <w:szCs w:val="32"/>
          <w14:textFill>
            <w14:solidFill>
              <w14:schemeClr w14:val="tx1"/>
            </w14:solidFill>
          </w14:textFill>
        </w:rPr>
        <w:t>人。</w:t>
      </w:r>
    </w:p>
    <w:p w14:paraId="59EC81A3">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该项指标实际得分</w:t>
      </w:r>
      <w:r>
        <w:rPr>
          <w:rFonts w:ascii="仿宋_GB2312" w:eastAsia="仿宋_GB2312" w:cs="DengXian-Regular"/>
          <w:color w:val="000000" w:themeColor="text1"/>
          <w:sz w:val="32"/>
          <w:szCs w:val="32"/>
          <w14:textFill>
            <w14:solidFill>
              <w14:schemeClr w14:val="tx1"/>
            </w14:solidFill>
          </w14:textFill>
        </w:rPr>
        <w:t>5</w:t>
      </w:r>
      <w:r>
        <w:rPr>
          <w:rFonts w:hint="eastAsia" w:ascii="仿宋_GB2312" w:eastAsia="仿宋_GB2312" w:cs="DengXian-Regular"/>
          <w:color w:val="000000" w:themeColor="text1"/>
          <w:sz w:val="32"/>
          <w:szCs w:val="32"/>
          <w14:textFill>
            <w14:solidFill>
              <w14:schemeClr w14:val="tx1"/>
            </w14:solidFill>
          </w14:textFill>
        </w:rPr>
        <w:t>分。</w:t>
      </w:r>
    </w:p>
    <w:p w14:paraId="77725C2F">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ascii="仿宋_GB2312" w:eastAsia="仿宋_GB2312" w:cs="DengXian-Regular"/>
          <w:color w:val="000000" w:themeColor="text1"/>
          <w:sz w:val="32"/>
          <w:szCs w:val="32"/>
          <w14:textFill>
            <w14:solidFill>
              <w14:schemeClr w14:val="tx1"/>
            </w14:solidFill>
          </w14:textFill>
        </w:rPr>
        <w:t>4.</w:t>
      </w:r>
      <w:r>
        <w:rPr>
          <w:rFonts w:hint="eastAsia"/>
          <w:color w:val="000000" w:themeColor="text1"/>
          <w14:textFill>
            <w14:solidFill>
              <w14:schemeClr w14:val="tx1"/>
            </w14:solidFill>
          </w14:textFill>
        </w:rPr>
        <w:t xml:space="preserve"> </w:t>
      </w:r>
      <w:r>
        <w:rPr>
          <w:rFonts w:hint="eastAsia" w:ascii="仿宋_GB2312" w:eastAsia="仿宋_GB2312" w:cs="DengXian-Regular"/>
          <w:color w:val="000000" w:themeColor="text1"/>
          <w:sz w:val="32"/>
          <w:szCs w:val="32"/>
          <w14:textFill>
            <w14:solidFill>
              <w14:schemeClr w14:val="tx1"/>
            </w14:solidFill>
          </w14:textFill>
        </w:rPr>
        <w:t>维持政府机关正常运转（5分）</w:t>
      </w:r>
    </w:p>
    <w:p w14:paraId="41FDD031">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该指标主要评价部门</w:t>
      </w:r>
      <w:r>
        <w:rPr>
          <w:rFonts w:hint="eastAsia" w:ascii="仿宋_GB2312" w:eastAsia="仿宋_GB2312"/>
          <w:color w:val="000000" w:themeColor="text1"/>
          <w:sz w:val="32"/>
          <w:szCs w:val="32"/>
          <w14:textFill>
            <w14:solidFill>
              <w14:schemeClr w14:val="tx1"/>
            </w14:solidFill>
          </w14:textFill>
        </w:rPr>
        <w:t>维持政府机关正常运转情况。</w:t>
      </w:r>
      <w:r>
        <w:rPr>
          <w:rFonts w:ascii="仿宋_GB2312" w:eastAsia="仿宋_GB2312" w:cs="DengXian-Regular"/>
          <w:color w:val="000000" w:themeColor="text1"/>
          <w:sz w:val="32"/>
          <w:szCs w:val="32"/>
          <w14:textFill>
            <w14:solidFill>
              <w14:schemeClr w14:val="tx1"/>
            </w14:solidFill>
          </w14:textFill>
        </w:rPr>
        <w:t>区机关服务中心</w:t>
      </w:r>
      <w:r>
        <w:rPr>
          <w:rFonts w:hint="eastAsia" w:ascii="仿宋_GB2312" w:eastAsia="仿宋_GB2312" w:cs="DengXian-Regular"/>
          <w:color w:val="000000" w:themeColor="text1"/>
          <w:sz w:val="32"/>
          <w:szCs w:val="32"/>
          <w14:textFill>
            <w14:solidFill>
              <w14:schemeClr w14:val="tx1"/>
            </w14:solidFill>
          </w14:textFill>
        </w:rPr>
        <w:t>机根据</w:t>
      </w:r>
      <w:r>
        <w:rPr>
          <w:rFonts w:ascii="仿宋_GB2312" w:eastAsia="仿宋_GB2312" w:cs="DengXian-Regular"/>
          <w:color w:val="000000" w:themeColor="text1"/>
          <w:sz w:val="32"/>
          <w:szCs w:val="32"/>
          <w14:textFill>
            <w14:solidFill>
              <w14:schemeClr w14:val="tx1"/>
            </w14:solidFill>
          </w14:textFill>
        </w:rPr>
        <w:t>部门职责</w:t>
      </w:r>
      <w:r>
        <w:rPr>
          <w:rFonts w:hint="eastAsia" w:ascii="仿宋_GB2312" w:eastAsia="仿宋_GB2312" w:cs="DengXian-Regular"/>
          <w:color w:val="000000" w:themeColor="text1"/>
          <w:sz w:val="32"/>
          <w:szCs w:val="32"/>
          <w14:textFill>
            <w14:solidFill>
              <w14:schemeClr w14:val="tx1"/>
            </w14:solidFill>
          </w14:textFill>
        </w:rPr>
        <w:t>负责办公楼修缮、供水、供电、供暖以及机关环境绿化美化、卫生保洁、安全保卫等</w:t>
      </w:r>
      <w:r>
        <w:rPr>
          <w:rFonts w:ascii="仿宋_GB2312" w:eastAsia="仿宋_GB2312" w:cs="DengXian-Regular"/>
          <w:color w:val="000000" w:themeColor="text1"/>
          <w:sz w:val="32"/>
          <w:szCs w:val="32"/>
          <w14:textFill>
            <w14:solidFill>
              <w14:schemeClr w14:val="tx1"/>
            </w14:solidFill>
          </w14:textFill>
        </w:rPr>
        <w:t>工作</w:t>
      </w:r>
      <w:r>
        <w:rPr>
          <w:rFonts w:hint="eastAsia" w:ascii="仿宋_GB2312" w:eastAsia="仿宋_GB2312" w:cs="DengXian-Regular"/>
          <w:color w:val="000000" w:themeColor="text1"/>
          <w:sz w:val="32"/>
          <w:szCs w:val="32"/>
          <w14:textFill>
            <w14:solidFill>
              <w14:schemeClr w14:val="tx1"/>
            </w14:solidFill>
          </w14:textFill>
        </w:rPr>
        <w:t>，评价</w:t>
      </w:r>
      <w:r>
        <w:rPr>
          <w:rFonts w:ascii="仿宋_GB2312" w:eastAsia="仿宋_GB2312" w:cs="DengXian-Regular"/>
          <w:color w:val="000000" w:themeColor="text1"/>
          <w:sz w:val="32"/>
          <w:szCs w:val="32"/>
          <w14:textFill>
            <w14:solidFill>
              <w14:schemeClr w14:val="tx1"/>
            </w14:solidFill>
          </w14:textFill>
        </w:rPr>
        <w:t>等级为优</w:t>
      </w:r>
      <w:r>
        <w:rPr>
          <w:rFonts w:hint="eastAsia" w:ascii="仿宋_GB2312" w:eastAsia="仿宋_GB2312" w:cs="DengXian-Regular"/>
          <w:color w:val="000000" w:themeColor="text1"/>
          <w:sz w:val="32"/>
          <w:szCs w:val="32"/>
          <w14:textFill>
            <w14:solidFill>
              <w14:schemeClr w14:val="tx1"/>
            </w14:solidFill>
          </w14:textFill>
        </w:rPr>
        <w:t>。</w:t>
      </w:r>
    </w:p>
    <w:p w14:paraId="6F946594">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该项指标实际得分</w:t>
      </w:r>
      <w:r>
        <w:rPr>
          <w:rFonts w:ascii="仿宋_GB2312" w:eastAsia="仿宋_GB2312" w:cs="DengXian-Regular"/>
          <w:color w:val="000000" w:themeColor="text1"/>
          <w:sz w:val="32"/>
          <w:szCs w:val="32"/>
          <w14:textFill>
            <w14:solidFill>
              <w14:schemeClr w14:val="tx1"/>
            </w14:solidFill>
          </w14:textFill>
        </w:rPr>
        <w:t>5</w:t>
      </w:r>
      <w:r>
        <w:rPr>
          <w:rFonts w:hint="eastAsia" w:ascii="仿宋_GB2312" w:eastAsia="仿宋_GB2312" w:cs="DengXian-Regular"/>
          <w:color w:val="000000" w:themeColor="text1"/>
          <w:sz w:val="32"/>
          <w:szCs w:val="32"/>
          <w14:textFill>
            <w14:solidFill>
              <w14:schemeClr w14:val="tx1"/>
            </w14:solidFill>
          </w14:textFill>
        </w:rPr>
        <w:t>分。</w:t>
      </w:r>
    </w:p>
    <w:p w14:paraId="78A71D05">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ascii="仿宋_GB2312" w:eastAsia="仿宋_GB2312" w:cs="DengXian-Regular"/>
          <w:color w:val="000000" w:themeColor="text1"/>
          <w:sz w:val="32"/>
          <w:szCs w:val="32"/>
          <w14:textFill>
            <w14:solidFill>
              <w14:schemeClr w14:val="tx1"/>
            </w14:solidFill>
          </w14:textFill>
        </w:rPr>
        <w:t>5.</w:t>
      </w:r>
      <w:r>
        <w:rPr>
          <w:rFonts w:hint="eastAsia"/>
          <w:color w:val="000000" w:themeColor="text1"/>
          <w14:textFill>
            <w14:solidFill>
              <w14:schemeClr w14:val="tx1"/>
            </w14:solidFill>
          </w14:textFill>
        </w:rPr>
        <w:t xml:space="preserve"> </w:t>
      </w:r>
      <w:r>
        <w:rPr>
          <w:rFonts w:hint="eastAsia" w:ascii="仿宋_GB2312" w:eastAsia="仿宋_GB2312" w:cs="DengXian-Regular"/>
          <w:color w:val="000000" w:themeColor="text1"/>
          <w:sz w:val="32"/>
          <w:szCs w:val="32"/>
          <w14:textFill>
            <w14:solidFill>
              <w14:schemeClr w14:val="tx1"/>
            </w14:solidFill>
          </w14:textFill>
        </w:rPr>
        <w:t>落实公车改革相关工作完成率（5分）</w:t>
      </w:r>
    </w:p>
    <w:p w14:paraId="7F8F2318">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该指标主要评价公车改革相关工作</w:t>
      </w:r>
      <w:r>
        <w:rPr>
          <w:rFonts w:ascii="仿宋_GB2312" w:eastAsia="仿宋_GB2312" w:cs="DengXian-Regular"/>
          <w:color w:val="000000" w:themeColor="text1"/>
          <w:sz w:val="32"/>
          <w:szCs w:val="32"/>
          <w14:textFill>
            <w14:solidFill>
              <w14:schemeClr w14:val="tx1"/>
            </w14:solidFill>
          </w14:textFill>
        </w:rPr>
        <w:t>情况</w:t>
      </w:r>
      <w:r>
        <w:rPr>
          <w:rFonts w:hint="eastAsia" w:ascii="仿宋_GB2312" w:eastAsia="仿宋_GB2312" w:cs="DengXian-Regular"/>
          <w:color w:val="000000" w:themeColor="text1"/>
          <w:sz w:val="32"/>
          <w:szCs w:val="32"/>
          <w14:textFill>
            <w14:solidFill>
              <w14:schemeClr w14:val="tx1"/>
            </w14:solidFill>
          </w14:textFill>
        </w:rPr>
        <w:t>，</w:t>
      </w:r>
      <w:r>
        <w:rPr>
          <w:rFonts w:ascii="仿宋_GB2312" w:eastAsia="仿宋_GB2312" w:cs="DengXian-Regular"/>
          <w:color w:val="000000" w:themeColor="text1"/>
          <w:sz w:val="32"/>
          <w:szCs w:val="32"/>
          <w14:textFill>
            <w14:solidFill>
              <w14:schemeClr w14:val="tx1"/>
            </w14:solidFill>
          </w14:textFill>
        </w:rPr>
        <w:t>通过</w:t>
      </w:r>
      <w:r>
        <w:rPr>
          <w:rFonts w:hint="eastAsia" w:ascii="仿宋_GB2312" w:eastAsia="仿宋_GB2312" w:cs="DengXian-Regular"/>
          <w:color w:val="000000" w:themeColor="text1"/>
          <w:sz w:val="32"/>
          <w:szCs w:val="32"/>
          <w14:textFill>
            <w14:solidFill>
              <w14:schemeClr w14:val="tx1"/>
            </w14:solidFill>
          </w14:textFill>
        </w:rPr>
        <w:t>全区公车</w:t>
      </w:r>
      <w:r>
        <w:rPr>
          <w:rFonts w:ascii="仿宋_GB2312" w:eastAsia="仿宋_GB2312" w:cs="DengXian-Regular"/>
          <w:color w:val="000000" w:themeColor="text1"/>
          <w:sz w:val="32"/>
          <w:szCs w:val="32"/>
          <w14:textFill>
            <w14:solidFill>
              <w14:schemeClr w14:val="tx1"/>
            </w14:solidFill>
          </w14:textFill>
        </w:rPr>
        <w:t>改革相关工作</w:t>
      </w:r>
      <w:r>
        <w:rPr>
          <w:rFonts w:hint="eastAsia" w:ascii="仿宋_GB2312" w:eastAsia="仿宋_GB2312" w:cs="DengXian-Regular"/>
          <w:color w:val="000000" w:themeColor="text1"/>
          <w:sz w:val="32"/>
          <w:szCs w:val="32"/>
          <w14:textFill>
            <w14:solidFill>
              <w14:schemeClr w14:val="tx1"/>
            </w14:solidFill>
          </w14:textFill>
        </w:rPr>
        <w:t>完成</w:t>
      </w:r>
      <w:r>
        <w:rPr>
          <w:rFonts w:ascii="仿宋_GB2312" w:eastAsia="仿宋_GB2312" w:cs="DengXian-Regular"/>
          <w:color w:val="000000" w:themeColor="text1"/>
          <w:sz w:val="32"/>
          <w:szCs w:val="32"/>
          <w14:textFill>
            <w14:solidFill>
              <w14:schemeClr w14:val="tx1"/>
            </w14:solidFill>
          </w14:textFill>
        </w:rPr>
        <w:t>单位</w:t>
      </w:r>
      <w:r>
        <w:rPr>
          <w:rFonts w:hint="eastAsia" w:ascii="仿宋_GB2312" w:eastAsia="仿宋_GB2312" w:cs="DengXian-Regular"/>
          <w:color w:val="000000" w:themeColor="text1"/>
          <w:sz w:val="32"/>
          <w:szCs w:val="32"/>
          <w14:textFill>
            <w14:solidFill>
              <w14:schemeClr w14:val="tx1"/>
            </w14:solidFill>
          </w14:textFill>
        </w:rPr>
        <w:t>百分比衡量。</w:t>
      </w:r>
    </w:p>
    <w:p w14:paraId="5EAA423A">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ascii="仿宋_GB2312" w:eastAsia="仿宋_GB2312" w:cs="DengXian-Regular"/>
          <w:color w:val="000000" w:themeColor="text1"/>
          <w:sz w:val="32"/>
          <w:szCs w:val="32"/>
          <w14:textFill>
            <w14:solidFill>
              <w14:schemeClr w14:val="tx1"/>
            </w14:solidFill>
          </w14:textFill>
        </w:rPr>
        <w:t>2019</w:t>
      </w:r>
      <w:r>
        <w:rPr>
          <w:rFonts w:hint="eastAsia" w:ascii="仿宋_GB2312" w:eastAsia="仿宋_GB2312" w:cs="DengXian-Regular"/>
          <w:color w:val="000000" w:themeColor="text1"/>
          <w:sz w:val="32"/>
          <w:szCs w:val="32"/>
          <w14:textFill>
            <w14:solidFill>
              <w14:schemeClr w14:val="tx1"/>
            </w14:solidFill>
          </w14:textFill>
        </w:rPr>
        <w:t>年度全面完成</w:t>
      </w:r>
      <w:r>
        <w:rPr>
          <w:rFonts w:ascii="仿宋_GB2312" w:eastAsia="仿宋_GB2312" w:cs="DengXian-Regular"/>
          <w:color w:val="000000" w:themeColor="text1"/>
          <w:sz w:val="32"/>
          <w:szCs w:val="32"/>
          <w14:textFill>
            <w14:solidFill>
              <w14:schemeClr w14:val="tx1"/>
            </w14:solidFill>
          </w14:textFill>
        </w:rPr>
        <w:t>公车改革</w:t>
      </w:r>
      <w:r>
        <w:rPr>
          <w:rFonts w:hint="eastAsia" w:ascii="仿宋_GB2312" w:eastAsia="仿宋_GB2312" w:cs="DengXian-Regular"/>
          <w:color w:val="000000" w:themeColor="text1"/>
          <w:sz w:val="32"/>
          <w:szCs w:val="32"/>
          <w14:textFill>
            <w14:solidFill>
              <w14:schemeClr w14:val="tx1"/>
            </w14:solidFill>
          </w14:textFill>
        </w:rPr>
        <w:t>相关工作，完成率100</w:t>
      </w:r>
      <w:r>
        <w:rPr>
          <w:rFonts w:ascii="仿宋_GB2312" w:eastAsia="仿宋_GB2312" w:cs="DengXian-Regular"/>
          <w:color w:val="000000" w:themeColor="text1"/>
          <w:sz w:val="32"/>
          <w:szCs w:val="32"/>
          <w14:textFill>
            <w14:solidFill>
              <w14:schemeClr w14:val="tx1"/>
            </w14:solidFill>
          </w14:textFill>
        </w:rPr>
        <w:t>%。</w:t>
      </w:r>
    </w:p>
    <w:p w14:paraId="4C1B438A">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该项指标实际得分</w:t>
      </w:r>
      <w:r>
        <w:rPr>
          <w:rFonts w:ascii="仿宋_GB2312" w:eastAsia="仿宋_GB2312" w:cs="DengXian-Regular"/>
          <w:color w:val="000000" w:themeColor="text1"/>
          <w:sz w:val="32"/>
          <w:szCs w:val="32"/>
          <w14:textFill>
            <w14:solidFill>
              <w14:schemeClr w14:val="tx1"/>
            </w14:solidFill>
          </w14:textFill>
        </w:rPr>
        <w:t>5</w:t>
      </w:r>
      <w:r>
        <w:rPr>
          <w:rFonts w:hint="eastAsia" w:ascii="仿宋_GB2312" w:eastAsia="仿宋_GB2312" w:cs="DengXian-Regular"/>
          <w:color w:val="000000" w:themeColor="text1"/>
          <w:sz w:val="32"/>
          <w:szCs w:val="32"/>
          <w14:textFill>
            <w14:solidFill>
              <w14:schemeClr w14:val="tx1"/>
            </w14:solidFill>
          </w14:textFill>
        </w:rPr>
        <w:t>分。</w:t>
      </w:r>
    </w:p>
    <w:p w14:paraId="48F5208F">
      <w:pPr>
        <w:pStyle w:val="4"/>
        <w:spacing w:before="0" w:after="0"/>
        <w:ind w:firstLine="643" w:firstLineChars="200"/>
        <w:jc w:val="both"/>
        <w:rPr>
          <w:rFonts w:ascii="楷体" w:hAnsi="楷体" w:eastAsia="楷体"/>
          <w:color w:val="000000" w:themeColor="text1"/>
          <w:sz w:val="32"/>
          <w14:textFill>
            <w14:solidFill>
              <w14:schemeClr w14:val="tx1"/>
            </w14:solidFill>
          </w14:textFill>
        </w:rPr>
      </w:pPr>
      <w:bookmarkStart w:id="69" w:name="_Toc28363"/>
      <w:r>
        <w:rPr>
          <w:rFonts w:hint="eastAsia" w:ascii="楷体" w:hAnsi="楷体" w:eastAsia="楷体"/>
          <w:color w:val="000000" w:themeColor="text1"/>
          <w:sz w:val="32"/>
          <w14:textFill>
            <w14:solidFill>
              <w14:schemeClr w14:val="tx1"/>
            </w14:solidFill>
          </w14:textFill>
        </w:rPr>
        <w:t>（四）效果</w:t>
      </w:r>
      <w:bookmarkEnd w:id="67"/>
      <w:bookmarkEnd w:id="68"/>
      <w:r>
        <w:rPr>
          <w:rFonts w:hint="eastAsia" w:ascii="楷体" w:hAnsi="楷体" w:eastAsia="楷体"/>
          <w:color w:val="000000" w:themeColor="text1"/>
          <w:sz w:val="32"/>
          <w14:textFill>
            <w14:solidFill>
              <w14:schemeClr w14:val="tx1"/>
            </w14:solidFill>
          </w14:textFill>
        </w:rPr>
        <w:t>（15分）</w:t>
      </w:r>
      <w:bookmarkEnd w:id="69"/>
    </w:p>
    <w:p w14:paraId="508F8197">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bookmarkStart w:id="70" w:name="_Toc464638520"/>
      <w:r>
        <w:rPr>
          <w:rFonts w:hint="eastAsia" w:ascii="仿宋_GB2312" w:eastAsia="仿宋_GB2312" w:cs="DengXian-Regular"/>
          <w:color w:val="000000" w:themeColor="text1"/>
          <w:sz w:val="32"/>
          <w:szCs w:val="32"/>
          <w14:textFill>
            <w14:solidFill>
              <w14:schemeClr w14:val="tx1"/>
            </w14:solidFill>
          </w14:textFill>
        </w:rPr>
        <w:t>该一级指标包含履职效益一个二级指标。主要反映部门履行职责对社会发展所带来的直接或间接效益及社会公众或部门的服务对象对部门履职效果的满意程度。</w:t>
      </w:r>
    </w:p>
    <w:p w14:paraId="0B96BA14">
      <w:pPr>
        <w:spacing w:after="0" w:line="360" w:lineRule="auto"/>
        <w:jc w:val="center"/>
        <w:textAlignment w:val="baseline"/>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14:paraId="7235FC30">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14:paraId="0C5E3CE5">
            <w:pPr>
              <w:spacing w:after="0"/>
              <w:jc w:val="center"/>
              <w:textAlignment w:val="center"/>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14:paraId="0ACEECFF">
            <w:pPr>
              <w:spacing w:after="0"/>
              <w:jc w:val="center"/>
              <w:textAlignment w:val="center"/>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14:paraId="0774C041">
            <w:pPr>
              <w:spacing w:after="0"/>
              <w:jc w:val="center"/>
              <w:textAlignment w:val="center"/>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14:paraId="4B0A892B">
            <w:pPr>
              <w:spacing w:after="0"/>
              <w:jc w:val="center"/>
              <w:textAlignment w:val="center"/>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14:paraId="00F3BF9E">
            <w:pPr>
              <w:spacing w:after="0"/>
              <w:jc w:val="center"/>
              <w:textAlignment w:val="center"/>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得分</w:t>
            </w:r>
          </w:p>
        </w:tc>
      </w:tr>
      <w:tr w14:paraId="78D46AD5">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14:paraId="0B57EF8E">
            <w:pPr>
              <w:spacing w:after="0"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项目效果</w:t>
            </w:r>
          </w:p>
          <w:p w14:paraId="275932CF">
            <w:pPr>
              <w:spacing w:after="0"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14:paraId="0272C5CE">
            <w:pPr>
              <w:spacing w:after="0"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履职效益</w:t>
            </w:r>
          </w:p>
          <w:p w14:paraId="72E82436">
            <w:pPr>
              <w:spacing w:after="0"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（15分）</w:t>
            </w:r>
          </w:p>
        </w:tc>
        <w:tc>
          <w:tcPr>
            <w:tcW w:w="2130" w:type="dxa"/>
            <w:tcBorders>
              <w:top w:val="single" w:color="000000" w:sz="4" w:space="0"/>
              <w:left w:val="single" w:color="000000" w:sz="4" w:space="0"/>
              <w:bottom w:val="single" w:color="000000" w:sz="4" w:space="0"/>
              <w:right w:val="single" w:color="000000" w:sz="4" w:space="0"/>
            </w:tcBorders>
            <w:vAlign w:val="center"/>
          </w:tcPr>
          <w:p w14:paraId="0463D756">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14:paraId="0C1E6D7D">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10</w:t>
            </w:r>
          </w:p>
        </w:tc>
        <w:tc>
          <w:tcPr>
            <w:tcW w:w="1045" w:type="dxa"/>
            <w:tcBorders>
              <w:top w:val="single" w:color="000000" w:sz="4" w:space="0"/>
              <w:left w:val="single" w:color="000000" w:sz="4" w:space="0"/>
              <w:bottom w:val="single" w:color="000000" w:sz="4" w:space="0"/>
              <w:right w:val="single" w:color="000000" w:sz="4" w:space="0"/>
            </w:tcBorders>
            <w:vAlign w:val="center"/>
          </w:tcPr>
          <w:p w14:paraId="30ABB4C9">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6</w:t>
            </w:r>
          </w:p>
        </w:tc>
      </w:tr>
      <w:tr w14:paraId="07FE26D8">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14:paraId="5D765FA0">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696FEB28">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p>
        </w:tc>
        <w:tc>
          <w:tcPr>
            <w:tcW w:w="2130" w:type="dxa"/>
            <w:tcBorders>
              <w:top w:val="single" w:color="000000" w:sz="4" w:space="0"/>
              <w:left w:val="single" w:color="000000" w:sz="4" w:space="0"/>
              <w:bottom w:val="single" w:color="000000" w:sz="4" w:space="0"/>
              <w:right w:val="single" w:color="000000" w:sz="4" w:space="0"/>
            </w:tcBorders>
            <w:vAlign w:val="center"/>
          </w:tcPr>
          <w:p w14:paraId="4A8A59D5">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14:paraId="1298AD99">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5</w:t>
            </w:r>
          </w:p>
        </w:tc>
        <w:tc>
          <w:tcPr>
            <w:tcW w:w="1045" w:type="dxa"/>
            <w:tcBorders>
              <w:top w:val="single" w:color="000000" w:sz="4" w:space="0"/>
              <w:left w:val="single" w:color="000000" w:sz="4" w:space="0"/>
              <w:bottom w:val="single" w:color="000000" w:sz="4" w:space="0"/>
              <w:right w:val="single" w:color="000000" w:sz="4" w:space="0"/>
            </w:tcBorders>
            <w:vAlign w:val="center"/>
          </w:tcPr>
          <w:p w14:paraId="10470FCC">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3</w:t>
            </w:r>
          </w:p>
        </w:tc>
      </w:tr>
      <w:tr w14:paraId="03226FE1">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14:paraId="0D30F253">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14:paraId="74387B24">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24C15404">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15</w:t>
            </w:r>
          </w:p>
        </w:tc>
        <w:tc>
          <w:tcPr>
            <w:tcW w:w="1045" w:type="dxa"/>
            <w:tcBorders>
              <w:top w:val="single" w:color="000000" w:sz="4" w:space="0"/>
              <w:left w:val="single" w:color="000000" w:sz="4" w:space="0"/>
              <w:bottom w:val="single" w:color="000000" w:sz="4" w:space="0"/>
              <w:right w:val="single" w:color="000000" w:sz="4" w:space="0"/>
            </w:tcBorders>
            <w:vAlign w:val="center"/>
          </w:tcPr>
          <w:p w14:paraId="7BA86445">
            <w:pPr>
              <w:spacing w:line="420" w:lineRule="exact"/>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9</w:t>
            </w:r>
          </w:p>
        </w:tc>
      </w:tr>
      <w:bookmarkEnd w:id="70"/>
    </w:tbl>
    <w:p w14:paraId="678B6234">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bookmarkStart w:id="71" w:name="_Toc492652784"/>
      <w:bookmarkStart w:id="72" w:name="_Toc464638561"/>
      <w:bookmarkStart w:id="73" w:name="_Toc465149516"/>
      <w:r>
        <w:rPr>
          <w:rFonts w:hint="eastAsia" w:ascii="仿宋_GB2312" w:eastAsia="仿宋_GB2312" w:cs="DengXian-Regular"/>
          <w:color w:val="000000" w:themeColor="text1"/>
          <w:sz w:val="32"/>
          <w:szCs w:val="32"/>
          <w14:textFill>
            <w14:solidFill>
              <w14:schemeClr w14:val="tx1"/>
            </w14:solidFill>
          </w14:textFill>
        </w:rPr>
        <w:t>1.部门整体效益（10分）</w:t>
      </w:r>
    </w:p>
    <w:p w14:paraId="6103EE82">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该指标主要评价部门履行职责对社会发展所带来的直接或间接效益。</w:t>
      </w:r>
    </w:p>
    <w:p w14:paraId="6172BB2D">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经查看我单位有关股室提供的相关资料，区机关服务中心履行职责对社会发展所带来的社会效益较显著，提高人员素质；推进区直机关事业单位办公环境改善。搞好服务保障，为广大干部职工提供安全、快捷、细致、周到的工作环境；得到</w:t>
      </w:r>
      <w:r>
        <w:rPr>
          <w:rFonts w:ascii="仿宋_GB2312" w:eastAsia="仿宋_GB2312" w:cs="DengXian-Regular"/>
          <w:color w:val="000000" w:themeColor="text1"/>
          <w:sz w:val="32"/>
          <w:szCs w:val="32"/>
          <w14:textFill>
            <w14:solidFill>
              <w14:schemeClr w14:val="tx1"/>
            </w14:solidFill>
          </w14:textFill>
        </w:rPr>
        <w:t>广大干部职工的</w:t>
      </w:r>
      <w:r>
        <w:rPr>
          <w:rFonts w:hint="eastAsia" w:ascii="仿宋_GB2312" w:eastAsia="仿宋_GB2312" w:cs="DengXian-Regular"/>
          <w:color w:val="000000" w:themeColor="text1"/>
          <w:sz w:val="32"/>
          <w:szCs w:val="32"/>
          <w14:textFill>
            <w14:solidFill>
              <w14:schemeClr w14:val="tx1"/>
            </w14:solidFill>
          </w14:textFill>
        </w:rPr>
        <w:t>肯定</w:t>
      </w:r>
      <w:r>
        <w:rPr>
          <w:rFonts w:ascii="仿宋_GB2312" w:eastAsia="仿宋_GB2312" w:cs="DengXian-Regular"/>
          <w:color w:val="000000" w:themeColor="text1"/>
          <w:sz w:val="32"/>
          <w:szCs w:val="32"/>
          <w14:textFill>
            <w14:solidFill>
              <w14:schemeClr w14:val="tx1"/>
            </w14:solidFill>
          </w14:textFill>
        </w:rPr>
        <w:t>和认可</w:t>
      </w:r>
      <w:r>
        <w:rPr>
          <w:rFonts w:hint="eastAsia" w:ascii="仿宋_GB2312" w:eastAsia="仿宋_GB2312" w:cs="DengXian-Regular"/>
          <w:color w:val="000000" w:themeColor="text1"/>
          <w:sz w:val="32"/>
          <w:szCs w:val="32"/>
          <w14:textFill>
            <w14:solidFill>
              <w14:schemeClr w14:val="tx1"/>
            </w14:solidFill>
          </w14:textFill>
        </w:rPr>
        <w:t>。</w:t>
      </w:r>
    </w:p>
    <w:p w14:paraId="399FC75C">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该项指标实际得分</w:t>
      </w:r>
      <w:r>
        <w:rPr>
          <w:rFonts w:ascii="仿宋_GB2312" w:eastAsia="仿宋_GB2312" w:cs="DengXian-Regular"/>
          <w:color w:val="000000" w:themeColor="text1"/>
          <w:sz w:val="32"/>
          <w:szCs w:val="32"/>
          <w14:textFill>
            <w14:solidFill>
              <w14:schemeClr w14:val="tx1"/>
            </w14:solidFill>
          </w14:textFill>
        </w:rPr>
        <w:t>6</w:t>
      </w:r>
      <w:r>
        <w:rPr>
          <w:rFonts w:hint="eastAsia" w:ascii="仿宋_GB2312" w:eastAsia="仿宋_GB2312" w:cs="DengXian-Regular"/>
          <w:color w:val="000000" w:themeColor="text1"/>
          <w:sz w:val="32"/>
          <w:szCs w:val="32"/>
          <w14:textFill>
            <w14:solidFill>
              <w14:schemeClr w14:val="tx1"/>
            </w14:solidFill>
          </w14:textFill>
        </w:rPr>
        <w:t>分。</w:t>
      </w:r>
    </w:p>
    <w:p w14:paraId="734F1F65">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2.考评满意度（5分）</w:t>
      </w:r>
    </w:p>
    <w:p w14:paraId="1E5D85AD">
      <w:pPr>
        <w:spacing w:after="0" w:line="360" w:lineRule="auto"/>
        <w:ind w:firstLine="640" w:firstLineChars="200"/>
        <w:jc w:val="both"/>
        <w:textAlignment w:val="baseline"/>
        <w:rPr>
          <w:rFonts w:ascii="仿宋_GB2312" w:eastAsia="仿宋_GB2312" w:cs="Times New Roman" w:hAnsiTheme="minorEastAsia"/>
          <w:color w:val="000000" w:themeColor="text1"/>
          <w:sz w:val="32"/>
          <w:szCs w:val="32"/>
          <w:u w:color="000000"/>
          <w14:textFill>
            <w14:solidFill>
              <w14:schemeClr w14:val="tx1"/>
            </w14:solidFill>
          </w14:textFill>
        </w:rPr>
      </w:pPr>
      <w:r>
        <w:rPr>
          <w:rFonts w:hint="eastAsia" w:ascii="仿宋_GB2312" w:eastAsia="仿宋_GB2312" w:cs="Times New Roman" w:hAnsiTheme="minorEastAsia"/>
          <w:color w:val="000000" w:themeColor="text1"/>
          <w:sz w:val="32"/>
          <w:szCs w:val="32"/>
          <w:u w:color="000000"/>
          <w14:textFill>
            <w14:solidFill>
              <w14:schemeClr w14:val="tx1"/>
            </w14:solidFill>
          </w14:textFill>
        </w:rPr>
        <w:t>该指标主要评价社会公众或部门的服务对象对部门履职效果的满意程度。</w:t>
      </w:r>
    </w:p>
    <w:p w14:paraId="4761A8B8">
      <w:pPr>
        <w:spacing w:after="0" w:line="360" w:lineRule="auto"/>
        <w:ind w:firstLine="640" w:firstLineChars="200"/>
        <w:jc w:val="both"/>
        <w:textAlignment w:val="baseline"/>
        <w:rPr>
          <w:rFonts w:ascii="仿宋_GB2312" w:eastAsia="仿宋_GB2312" w:cs="Times New Roman" w:hAnsiTheme="minorEastAsia"/>
          <w:color w:val="000000" w:themeColor="text1"/>
          <w:sz w:val="32"/>
          <w:szCs w:val="32"/>
          <w:u w:color="000000"/>
          <w14:textFill>
            <w14:solidFill>
              <w14:schemeClr w14:val="tx1"/>
            </w14:solidFill>
          </w14:textFill>
        </w:rPr>
      </w:pPr>
      <w:r>
        <w:rPr>
          <w:rFonts w:hint="eastAsia" w:ascii="仿宋_GB2312" w:eastAsia="仿宋_GB2312" w:cs="Times New Roman" w:hAnsiTheme="minorEastAsia"/>
          <w:color w:val="000000" w:themeColor="text1"/>
          <w:sz w:val="32"/>
          <w:szCs w:val="32"/>
          <w:u w:color="000000"/>
          <w14:textFill>
            <w14:solidFill>
              <w14:schemeClr w14:val="tx1"/>
            </w14:solidFill>
          </w14:textFill>
        </w:rPr>
        <w:t>针对该指标，我们随机选取了</w:t>
      </w:r>
      <w:r>
        <w:rPr>
          <w:rFonts w:ascii="仿宋_GB2312" w:eastAsia="仿宋_GB2312" w:cs="Times New Roman" w:hAnsiTheme="minorEastAsia"/>
          <w:color w:val="000000" w:themeColor="text1"/>
          <w:sz w:val="32"/>
          <w:szCs w:val="32"/>
          <w:u w:color="000000"/>
          <w14:textFill>
            <w14:solidFill>
              <w14:schemeClr w14:val="tx1"/>
            </w14:solidFill>
          </w14:textFill>
        </w:rPr>
        <w:t>30</w:t>
      </w:r>
      <w:r>
        <w:rPr>
          <w:rFonts w:hint="eastAsia" w:ascii="仿宋_GB2312" w:eastAsia="仿宋_GB2312" w:cs="Times New Roman" w:hAnsiTheme="minorEastAsia"/>
          <w:color w:val="000000" w:themeColor="text1"/>
          <w:sz w:val="32"/>
          <w:szCs w:val="32"/>
          <w:u w:color="000000"/>
          <w14:textFill>
            <w14:solidFill>
              <w14:schemeClr w14:val="tx1"/>
            </w14:solidFill>
          </w14:textFill>
        </w:rPr>
        <w:t>个调查对象进行了问卷调查，具体调查情况如下：</w:t>
      </w:r>
    </w:p>
    <w:p w14:paraId="3E79332C">
      <w:pPr>
        <w:spacing w:after="0" w:line="360" w:lineRule="auto"/>
        <w:jc w:val="center"/>
        <w:textAlignment w:val="baseline"/>
        <w:rPr>
          <w:rFonts w:asciiTheme="minorEastAsia" w:hAnsiTheme="minorEastAsia" w:eastAsiaTheme="minorEastAsia" w:cstheme="minorEastAsia"/>
          <w:b/>
          <w:bCs/>
          <w:color w:val="000000" w:themeColor="text1"/>
          <w:sz w:val="32"/>
          <w:szCs w:val="32"/>
          <w:u w:color="000000"/>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u w:color="000000"/>
          <w14:textFill>
            <w14:solidFill>
              <w14:schemeClr w14:val="tx1"/>
            </w14:solidFill>
          </w14:textFill>
        </w:rPr>
        <w:t>表6  服务对象满意度调查问卷汇总表</w:t>
      </w:r>
    </w:p>
    <w:p w14:paraId="42471CF7">
      <w:pPr>
        <w:spacing w:after="0" w:line="540" w:lineRule="exact"/>
        <w:ind w:firstLine="6930" w:firstLineChars="3300"/>
        <w:jc w:val="both"/>
        <w:textAlignment w:val="baseline"/>
        <w:rPr>
          <w:rFonts w:ascii="仿宋_GB2312" w:eastAsia="仿宋_GB2312" w:cs="Times New Roman" w:hAnsiTheme="minorEastAsia"/>
          <w:color w:val="000000" w:themeColor="text1"/>
          <w:sz w:val="32"/>
          <w:szCs w:val="32"/>
          <w:u w:color="000000"/>
          <w14:textFill>
            <w14:solidFill>
              <w14:schemeClr w14:val="tx1"/>
            </w14:solidFill>
          </w14:textFill>
        </w:rPr>
      </w:pPr>
      <w:r>
        <w:rPr>
          <w:rFonts w:hint="eastAsia" w:asciiTheme="minorEastAsia" w:hAnsiTheme="minorEastAsia" w:eastAsiaTheme="minorEastAsia" w:cstheme="minorEastAsia"/>
          <w:color w:val="000000" w:themeColor="text1"/>
          <w:sz w:val="21"/>
          <w:szCs w:val="21"/>
          <w:u w:color="000000"/>
          <w14:textFill>
            <w14:solidFill>
              <w14:schemeClr w14:val="tx1"/>
            </w14:solidFill>
          </w14:textFill>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14:paraId="0E7E710D">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14:paraId="5D7EC916">
            <w:pPr>
              <w:spacing w:after="0" w:line="540" w:lineRule="exact"/>
              <w:jc w:val="center"/>
              <w:textAlignment w:val="baseline"/>
              <w:rPr>
                <w:rFonts w:cs="Times New Roman" w:asciiTheme="minorEastAsia" w:hAnsiTheme="minorEastAsia" w:eastAsiaTheme="minorEastAsia"/>
                <w:b/>
                <w:bCs/>
                <w:color w:val="000000" w:themeColor="text1"/>
                <w:sz w:val="21"/>
                <w:szCs w:val="21"/>
                <w:u w:color="000000"/>
                <w14:textFill>
                  <w14:solidFill>
                    <w14:schemeClr w14:val="tx1"/>
                  </w14:solidFill>
                </w14:textFill>
              </w:rPr>
            </w:pPr>
            <w:r>
              <w:rPr>
                <w:rFonts w:hint="eastAsia" w:cs="Times New Roman" w:asciiTheme="minorEastAsia" w:hAnsiTheme="minorEastAsia" w:eastAsiaTheme="minorEastAsia"/>
                <w:b/>
                <w:bCs/>
                <w:color w:val="000000" w:themeColor="text1"/>
                <w:sz w:val="21"/>
                <w:szCs w:val="21"/>
                <w:u w:color="000000"/>
                <w14:textFill>
                  <w14:solidFill>
                    <w14:schemeClr w14:val="tx1"/>
                  </w14:solidFill>
                </w14:textFill>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14:paraId="64995A79">
            <w:pPr>
              <w:spacing w:after="0" w:line="540" w:lineRule="exact"/>
              <w:jc w:val="center"/>
              <w:textAlignment w:val="baseline"/>
              <w:rPr>
                <w:rFonts w:cs="Times New Roman" w:asciiTheme="minorEastAsia" w:hAnsiTheme="minorEastAsia" w:eastAsiaTheme="minorEastAsia"/>
                <w:b/>
                <w:bCs/>
                <w:color w:val="000000" w:themeColor="text1"/>
                <w:sz w:val="21"/>
                <w:szCs w:val="21"/>
                <w:u w:color="000000"/>
                <w14:textFill>
                  <w14:solidFill>
                    <w14:schemeClr w14:val="tx1"/>
                  </w14:solidFill>
                </w14:textFill>
              </w:rPr>
            </w:pPr>
            <w:r>
              <w:rPr>
                <w:rFonts w:hint="eastAsia" w:cs="Times New Roman" w:asciiTheme="minorEastAsia" w:hAnsiTheme="minorEastAsia" w:eastAsiaTheme="minorEastAsia"/>
                <w:b/>
                <w:bCs/>
                <w:color w:val="000000" w:themeColor="text1"/>
                <w:sz w:val="21"/>
                <w:szCs w:val="21"/>
                <w:u w:color="000000"/>
                <w14:textFill>
                  <w14:solidFill>
                    <w14:schemeClr w14:val="tx1"/>
                  </w14:solidFill>
                </w14:textFill>
              </w:rPr>
              <w:t>满意</w:t>
            </w:r>
          </w:p>
        </w:tc>
        <w:tc>
          <w:tcPr>
            <w:tcW w:w="1134" w:type="dxa"/>
            <w:tcBorders>
              <w:top w:val="single" w:color="auto" w:sz="4" w:space="0"/>
              <w:left w:val="single" w:color="auto" w:sz="4" w:space="0"/>
              <w:bottom w:val="single" w:color="auto" w:sz="4" w:space="0"/>
              <w:right w:val="single" w:color="auto" w:sz="4" w:space="0"/>
            </w:tcBorders>
            <w:vAlign w:val="center"/>
          </w:tcPr>
          <w:p w14:paraId="67AA0885">
            <w:pPr>
              <w:spacing w:after="0" w:line="540" w:lineRule="exact"/>
              <w:jc w:val="center"/>
              <w:textAlignment w:val="baseline"/>
              <w:rPr>
                <w:rFonts w:cs="Times New Roman" w:asciiTheme="minorEastAsia" w:hAnsiTheme="minorEastAsia" w:eastAsiaTheme="minorEastAsia"/>
                <w:b/>
                <w:bCs/>
                <w:color w:val="000000" w:themeColor="text1"/>
                <w:sz w:val="21"/>
                <w:szCs w:val="21"/>
                <w:u w:color="000000"/>
                <w14:textFill>
                  <w14:solidFill>
                    <w14:schemeClr w14:val="tx1"/>
                  </w14:solidFill>
                </w14:textFill>
              </w:rPr>
            </w:pPr>
            <w:r>
              <w:rPr>
                <w:rFonts w:hint="eastAsia" w:cs="Times New Roman" w:asciiTheme="minorEastAsia" w:hAnsiTheme="minorEastAsia" w:eastAsiaTheme="minorEastAsia"/>
                <w:b/>
                <w:bCs/>
                <w:color w:val="000000" w:themeColor="text1"/>
                <w:sz w:val="21"/>
                <w:szCs w:val="21"/>
                <w:u w:color="000000"/>
                <w14:textFill>
                  <w14:solidFill>
                    <w14:schemeClr w14:val="tx1"/>
                  </w14:solidFill>
                </w14:textFill>
              </w:rPr>
              <w:t>一般</w:t>
            </w:r>
          </w:p>
        </w:tc>
        <w:tc>
          <w:tcPr>
            <w:tcW w:w="1218" w:type="dxa"/>
            <w:tcBorders>
              <w:top w:val="single" w:color="auto" w:sz="4" w:space="0"/>
              <w:left w:val="single" w:color="auto" w:sz="4" w:space="0"/>
              <w:bottom w:val="single" w:color="auto" w:sz="4" w:space="0"/>
              <w:right w:val="single" w:color="auto" w:sz="4" w:space="0"/>
            </w:tcBorders>
            <w:vAlign w:val="center"/>
          </w:tcPr>
          <w:p w14:paraId="4E2619D6">
            <w:pPr>
              <w:spacing w:after="0" w:line="540" w:lineRule="exact"/>
              <w:jc w:val="center"/>
              <w:textAlignment w:val="baseline"/>
              <w:rPr>
                <w:rFonts w:cs="Times New Roman" w:asciiTheme="minorEastAsia" w:hAnsiTheme="minorEastAsia" w:eastAsiaTheme="minorEastAsia"/>
                <w:b/>
                <w:bCs/>
                <w:color w:val="000000" w:themeColor="text1"/>
                <w:sz w:val="21"/>
                <w:szCs w:val="21"/>
                <w:u w:color="000000"/>
                <w14:textFill>
                  <w14:solidFill>
                    <w14:schemeClr w14:val="tx1"/>
                  </w14:solidFill>
                </w14:textFill>
              </w:rPr>
            </w:pPr>
            <w:r>
              <w:rPr>
                <w:rFonts w:hint="eastAsia" w:cs="Times New Roman" w:asciiTheme="minorEastAsia" w:hAnsiTheme="minorEastAsia" w:eastAsiaTheme="minorEastAsia"/>
                <w:b/>
                <w:bCs/>
                <w:color w:val="000000" w:themeColor="text1"/>
                <w:sz w:val="21"/>
                <w:szCs w:val="21"/>
                <w:u w:color="000000"/>
                <w14:textFill>
                  <w14:solidFill>
                    <w14:schemeClr w14:val="tx1"/>
                  </w14:solidFill>
                </w14:textFill>
              </w:rPr>
              <w:t>不满意</w:t>
            </w:r>
          </w:p>
        </w:tc>
        <w:tc>
          <w:tcPr>
            <w:tcW w:w="767" w:type="dxa"/>
            <w:tcBorders>
              <w:top w:val="single" w:color="auto" w:sz="4" w:space="0"/>
              <w:left w:val="single" w:color="auto" w:sz="4" w:space="0"/>
              <w:bottom w:val="single" w:color="auto" w:sz="4" w:space="0"/>
              <w:right w:val="single" w:color="auto" w:sz="4" w:space="0"/>
            </w:tcBorders>
            <w:vAlign w:val="center"/>
          </w:tcPr>
          <w:p w14:paraId="3705AAF8">
            <w:pPr>
              <w:spacing w:after="0" w:line="540" w:lineRule="exact"/>
              <w:jc w:val="center"/>
              <w:textAlignment w:val="baseline"/>
              <w:rPr>
                <w:rFonts w:cs="Times New Roman" w:asciiTheme="minorEastAsia" w:hAnsiTheme="minorEastAsia" w:eastAsiaTheme="minorEastAsia"/>
                <w:b/>
                <w:bCs/>
                <w:color w:val="000000" w:themeColor="text1"/>
                <w:sz w:val="21"/>
                <w:szCs w:val="21"/>
                <w:u w:color="000000"/>
                <w14:textFill>
                  <w14:solidFill>
                    <w14:schemeClr w14:val="tx1"/>
                  </w14:solidFill>
                </w14:textFill>
              </w:rPr>
            </w:pPr>
            <w:r>
              <w:rPr>
                <w:rFonts w:hint="eastAsia" w:cs="Times New Roman" w:asciiTheme="minorEastAsia" w:hAnsiTheme="minorEastAsia" w:eastAsiaTheme="minorEastAsia"/>
                <w:b/>
                <w:bCs/>
                <w:color w:val="000000" w:themeColor="text1"/>
                <w:sz w:val="21"/>
                <w:szCs w:val="21"/>
                <w:u w:color="000000"/>
                <w14:textFill>
                  <w14:solidFill>
                    <w14:schemeClr w14:val="tx1"/>
                  </w14:solidFill>
                </w14:textFill>
              </w:rPr>
              <w:t>合计</w:t>
            </w:r>
          </w:p>
        </w:tc>
        <w:tc>
          <w:tcPr>
            <w:tcW w:w="881" w:type="dxa"/>
            <w:tcBorders>
              <w:top w:val="single" w:color="auto" w:sz="4" w:space="0"/>
              <w:left w:val="single" w:color="auto" w:sz="4" w:space="0"/>
              <w:bottom w:val="single" w:color="auto" w:sz="4" w:space="0"/>
              <w:right w:val="single" w:color="auto" w:sz="4" w:space="0"/>
            </w:tcBorders>
            <w:vAlign w:val="center"/>
          </w:tcPr>
          <w:p w14:paraId="00E34021">
            <w:pPr>
              <w:spacing w:after="0" w:line="540" w:lineRule="exact"/>
              <w:jc w:val="center"/>
              <w:textAlignment w:val="baseline"/>
              <w:rPr>
                <w:rFonts w:cs="Times New Roman" w:asciiTheme="minorEastAsia" w:hAnsiTheme="minorEastAsia" w:eastAsiaTheme="minorEastAsia"/>
                <w:b/>
                <w:bCs/>
                <w:color w:val="000000" w:themeColor="text1"/>
                <w:sz w:val="21"/>
                <w:szCs w:val="21"/>
                <w:u w:color="000000"/>
                <w14:textFill>
                  <w14:solidFill>
                    <w14:schemeClr w14:val="tx1"/>
                  </w14:solidFill>
                </w14:textFill>
              </w:rPr>
            </w:pPr>
            <w:r>
              <w:rPr>
                <w:rFonts w:hint="eastAsia" w:cs="Times New Roman" w:asciiTheme="minorEastAsia" w:hAnsiTheme="minorEastAsia" w:eastAsiaTheme="minorEastAsia"/>
                <w:b/>
                <w:bCs/>
                <w:color w:val="000000" w:themeColor="text1"/>
                <w:sz w:val="21"/>
                <w:szCs w:val="21"/>
                <w:u w:color="000000"/>
                <w14:textFill>
                  <w14:solidFill>
                    <w14:schemeClr w14:val="tx1"/>
                  </w14:solidFill>
                </w14:textFill>
              </w:rPr>
              <w:t>单项得分</w:t>
            </w:r>
          </w:p>
        </w:tc>
      </w:tr>
      <w:tr w14:paraId="4A023ABE">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CF65">
            <w:pPr>
              <w:spacing w:after="0" w:line="360" w:lineRule="auto"/>
              <w:jc w:val="both"/>
              <w:textAlignment w:val="baseline"/>
              <w:rPr>
                <w:rFonts w:cs="Times New Roman" w:asciiTheme="minorEastAsia" w:hAnsiTheme="minorEastAsia" w:eastAsiaTheme="minorEastAsia"/>
                <w:color w:val="000000" w:themeColor="text1"/>
                <w:sz w:val="21"/>
                <w:szCs w:val="21"/>
                <w:u w:color="000000"/>
                <w14:textFill>
                  <w14:solidFill>
                    <w14:schemeClr w14:val="tx1"/>
                  </w14:solidFill>
                </w14:textFill>
              </w:rPr>
            </w:pPr>
            <w:r>
              <w:rPr>
                <w:rFonts w:hint="eastAsia" w:cs="Times New Roman" w:asciiTheme="minorEastAsia" w:hAnsiTheme="minorEastAsia" w:eastAsiaTheme="minorEastAsia"/>
                <w:color w:val="000000" w:themeColor="text1"/>
                <w:sz w:val="21"/>
                <w:szCs w:val="21"/>
                <w:u w:color="000000"/>
                <w14:textFill>
                  <w14:solidFill>
                    <w14:schemeClr w14:val="tx1"/>
                  </w14:solidFill>
                </w14:textFill>
              </w:rPr>
              <w:t>您对徐水区机关服务中心食堂管理工作是否满意</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D0A0">
            <w:pPr>
              <w:spacing w:after="0" w:line="360" w:lineRule="auto"/>
              <w:jc w:val="center"/>
              <w:textAlignment w:val="baseline"/>
              <w:rPr>
                <w:rFonts w:cs="Times New Roman" w:asciiTheme="minorEastAsia" w:hAnsiTheme="minorEastAsia" w:eastAsiaTheme="minorEastAsia"/>
                <w:color w:val="000000" w:themeColor="text1"/>
                <w:sz w:val="21"/>
                <w:szCs w:val="21"/>
                <w:u w:color="000000"/>
                <w14:textFill>
                  <w14:solidFill>
                    <w14:schemeClr w14:val="tx1"/>
                  </w14:solidFill>
                </w14:textFill>
              </w:rPr>
            </w:pPr>
            <w:r>
              <w:rPr>
                <w:rFonts w:cs="Times New Roman" w:asciiTheme="minorEastAsia" w:hAnsiTheme="minorEastAsia" w:eastAsiaTheme="minorEastAsia"/>
                <w:color w:val="000000" w:themeColor="text1"/>
                <w:sz w:val="21"/>
                <w:szCs w:val="21"/>
                <w:u w:color="000000"/>
                <w14:textFill>
                  <w14:solidFill>
                    <w14:schemeClr w14:val="tx1"/>
                  </w14:solidFill>
                </w14:textFill>
              </w:rPr>
              <w:t>20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FE53">
            <w:pPr>
              <w:spacing w:after="0" w:line="360" w:lineRule="auto"/>
              <w:jc w:val="center"/>
              <w:textAlignment w:val="baseline"/>
              <w:rPr>
                <w:rFonts w:cs="Times New Roman" w:asciiTheme="minorEastAsia" w:hAnsiTheme="minorEastAsia" w:eastAsiaTheme="minorEastAsia"/>
                <w:color w:val="000000" w:themeColor="text1"/>
                <w:sz w:val="21"/>
                <w:szCs w:val="21"/>
                <w:u w:color="000000"/>
                <w14:textFill>
                  <w14:solidFill>
                    <w14:schemeClr w14:val="tx1"/>
                  </w14:solidFill>
                </w14:textFill>
              </w:rPr>
            </w:pPr>
            <w:r>
              <w:rPr>
                <w:rFonts w:cs="Times New Roman" w:asciiTheme="minorEastAsia" w:hAnsiTheme="minorEastAsia" w:eastAsiaTheme="minorEastAsia"/>
                <w:color w:val="000000" w:themeColor="text1"/>
                <w:sz w:val="21"/>
                <w:szCs w:val="21"/>
                <w:u w:color="000000"/>
                <w14:textFill>
                  <w14:solidFill>
                    <w14:schemeClr w14:val="tx1"/>
                  </w14:solidFill>
                </w14:textFill>
              </w:rPr>
              <w:t>10</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3EB2">
            <w:pPr>
              <w:spacing w:after="0" w:line="360" w:lineRule="auto"/>
              <w:jc w:val="center"/>
              <w:textAlignment w:val="baseline"/>
              <w:rPr>
                <w:rFonts w:cs="Times New Roman" w:asciiTheme="minorEastAsia" w:hAnsiTheme="minorEastAsia" w:eastAsiaTheme="minorEastAsia"/>
                <w:color w:val="000000" w:themeColor="text1"/>
                <w:sz w:val="21"/>
                <w:szCs w:val="21"/>
                <w:u w:color="000000"/>
                <w14:textFill>
                  <w14:solidFill>
                    <w14:schemeClr w14:val="tx1"/>
                  </w14:solidFill>
                </w14:textFill>
              </w:rPr>
            </w:pPr>
            <w:r>
              <w:rPr>
                <w:rFonts w:cs="Times New Roman" w:asciiTheme="minorEastAsia" w:hAnsiTheme="minorEastAsia" w:eastAsiaTheme="minorEastAsia"/>
                <w:color w:val="000000" w:themeColor="text1"/>
                <w:sz w:val="21"/>
                <w:szCs w:val="21"/>
                <w:u w:color="000000"/>
                <w14:textFill>
                  <w14:solidFill>
                    <w14:schemeClr w14:val="tx1"/>
                  </w14:solidFill>
                </w14:textFill>
              </w:rPr>
              <w:t>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33E3">
            <w:pPr>
              <w:spacing w:after="0" w:line="360" w:lineRule="auto"/>
              <w:jc w:val="center"/>
              <w:textAlignment w:val="baseline"/>
              <w:rPr>
                <w:rFonts w:cs="Times New Roman" w:asciiTheme="minorEastAsia" w:hAnsiTheme="minorEastAsia" w:eastAsiaTheme="minorEastAsia"/>
                <w:color w:val="000000" w:themeColor="text1"/>
                <w:sz w:val="21"/>
                <w:szCs w:val="21"/>
                <w:u w:color="000000"/>
                <w14:textFill>
                  <w14:solidFill>
                    <w14:schemeClr w14:val="tx1"/>
                  </w14:solidFill>
                </w14:textFill>
              </w:rPr>
            </w:pPr>
            <w:r>
              <w:rPr>
                <w:rFonts w:hint="eastAsia" w:cs="Times New Roman" w:asciiTheme="minorEastAsia" w:hAnsiTheme="minorEastAsia" w:eastAsiaTheme="minorEastAsia"/>
                <w:color w:val="000000" w:themeColor="text1"/>
                <w:sz w:val="21"/>
                <w:szCs w:val="21"/>
                <w:u w:color="000000"/>
                <w14:textFill>
                  <w14:solidFill>
                    <w14:schemeClr w14:val="tx1"/>
                  </w14:solidFill>
                </w14:textFill>
              </w:rPr>
              <w:t>30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7466">
            <w:pPr>
              <w:spacing w:after="0" w:line="360" w:lineRule="auto"/>
              <w:jc w:val="center"/>
              <w:textAlignment w:val="baseline"/>
              <w:rPr>
                <w:rFonts w:cs="Times New Roman" w:asciiTheme="minorEastAsia" w:hAnsiTheme="minorEastAsia" w:eastAsiaTheme="minorEastAsia"/>
                <w:color w:val="000000" w:themeColor="text1"/>
                <w:sz w:val="21"/>
                <w:szCs w:val="21"/>
                <w:u w:color="000000"/>
                <w14:textFill>
                  <w14:solidFill>
                    <w14:schemeClr w14:val="tx1"/>
                  </w14:solidFill>
                </w14:textFill>
              </w:rPr>
            </w:pPr>
            <w:r>
              <w:rPr>
                <w:rFonts w:cs="Times New Roman" w:asciiTheme="minorEastAsia" w:hAnsiTheme="minorEastAsia" w:eastAsiaTheme="minorEastAsia"/>
                <w:color w:val="000000" w:themeColor="text1"/>
                <w:sz w:val="21"/>
                <w:szCs w:val="21"/>
                <w:u w:color="000000"/>
                <w14:textFill>
                  <w14:solidFill>
                    <w14:schemeClr w14:val="tx1"/>
                  </w14:solidFill>
                </w14:textFill>
              </w:rPr>
              <w:t>83</w:t>
            </w:r>
          </w:p>
        </w:tc>
      </w:tr>
      <w:tr w14:paraId="084FE7ED">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A633">
            <w:pPr>
              <w:spacing w:after="0" w:line="360" w:lineRule="auto"/>
              <w:jc w:val="both"/>
              <w:textAlignment w:val="baseline"/>
              <w:rPr>
                <w:rFonts w:cs="Times New Roman" w:asciiTheme="minorEastAsia" w:hAnsiTheme="minorEastAsia" w:eastAsiaTheme="minorEastAsia"/>
                <w:color w:val="000000" w:themeColor="text1"/>
                <w:sz w:val="21"/>
                <w:szCs w:val="21"/>
                <w:u w:color="000000"/>
                <w14:textFill>
                  <w14:solidFill>
                    <w14:schemeClr w14:val="tx1"/>
                  </w14:solidFill>
                </w14:textFill>
              </w:rPr>
            </w:pPr>
            <w:r>
              <w:rPr>
                <w:rFonts w:hint="eastAsia" w:cs="Times New Roman" w:asciiTheme="minorEastAsia" w:hAnsiTheme="minorEastAsia" w:eastAsiaTheme="minorEastAsia"/>
                <w:color w:val="000000" w:themeColor="text1"/>
                <w:sz w:val="21"/>
                <w:szCs w:val="21"/>
                <w:u w:color="000000"/>
                <w14:textFill>
                  <w14:solidFill>
                    <w14:schemeClr w14:val="tx1"/>
                  </w14:solidFill>
                </w14:textFill>
              </w:rPr>
              <w:t>您对区机关大院办公环境、保安、保洁工作是否满意</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6C36">
            <w:pPr>
              <w:spacing w:after="0" w:line="360" w:lineRule="auto"/>
              <w:jc w:val="center"/>
              <w:textAlignment w:val="baseline"/>
              <w:rPr>
                <w:rFonts w:cs="Times New Roman" w:asciiTheme="minorEastAsia" w:hAnsiTheme="minorEastAsia" w:eastAsiaTheme="minorEastAsia"/>
                <w:color w:val="000000" w:themeColor="text1"/>
                <w:sz w:val="21"/>
                <w:szCs w:val="21"/>
                <w:u w:color="000000"/>
                <w14:textFill>
                  <w14:solidFill>
                    <w14:schemeClr w14:val="tx1"/>
                  </w14:solidFill>
                </w14:textFill>
              </w:rPr>
            </w:pPr>
            <w:r>
              <w:rPr>
                <w:rFonts w:cs="Times New Roman" w:asciiTheme="minorEastAsia" w:hAnsiTheme="minorEastAsia" w:eastAsiaTheme="minorEastAsia"/>
                <w:color w:val="000000" w:themeColor="text1"/>
                <w:sz w:val="21"/>
                <w:szCs w:val="21"/>
                <w:u w:color="000000"/>
                <w14:textFill>
                  <w14:solidFill>
                    <w14:schemeClr w14:val="tx1"/>
                  </w14:solidFill>
                </w14:textFill>
              </w:rPr>
              <w:t>23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2673">
            <w:pPr>
              <w:spacing w:after="0" w:line="360" w:lineRule="auto"/>
              <w:jc w:val="center"/>
              <w:textAlignment w:val="baseline"/>
              <w:rPr>
                <w:rFonts w:cs="Times New Roman" w:asciiTheme="minorEastAsia" w:hAnsiTheme="minorEastAsia" w:eastAsiaTheme="minorEastAsia"/>
                <w:color w:val="000000" w:themeColor="text1"/>
                <w:sz w:val="21"/>
                <w:szCs w:val="21"/>
                <w:u w:color="000000"/>
                <w14:textFill>
                  <w14:solidFill>
                    <w14:schemeClr w14:val="tx1"/>
                  </w14:solidFill>
                </w14:textFill>
              </w:rPr>
            </w:pPr>
            <w:r>
              <w:rPr>
                <w:rFonts w:cs="Times New Roman" w:asciiTheme="minorEastAsia" w:hAnsiTheme="minorEastAsia" w:eastAsiaTheme="minorEastAsia"/>
                <w:color w:val="000000" w:themeColor="text1"/>
                <w:sz w:val="21"/>
                <w:szCs w:val="21"/>
                <w:u w:color="000000"/>
                <w14:textFill>
                  <w14:solidFill>
                    <w14:schemeClr w14:val="tx1"/>
                  </w14:solidFill>
                </w14:textFill>
              </w:rPr>
              <w:t>7</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E0AF">
            <w:pPr>
              <w:spacing w:after="0" w:line="360" w:lineRule="auto"/>
              <w:jc w:val="center"/>
              <w:textAlignment w:val="baseline"/>
              <w:rPr>
                <w:rFonts w:cs="Times New Roman" w:asciiTheme="minorEastAsia" w:hAnsiTheme="minorEastAsia" w:eastAsiaTheme="minorEastAsia"/>
                <w:color w:val="000000" w:themeColor="text1"/>
                <w:sz w:val="21"/>
                <w:szCs w:val="21"/>
                <w:u w:color="000000"/>
                <w14:textFill>
                  <w14:solidFill>
                    <w14:schemeClr w14:val="tx1"/>
                  </w14:solidFill>
                </w14:textFill>
              </w:rPr>
            </w:pPr>
            <w:r>
              <w:rPr>
                <w:rFonts w:cs="Times New Roman" w:asciiTheme="minorEastAsia" w:hAnsiTheme="minorEastAsia" w:eastAsiaTheme="minorEastAsia"/>
                <w:color w:val="000000" w:themeColor="text1"/>
                <w:sz w:val="21"/>
                <w:szCs w:val="21"/>
                <w:u w:color="000000"/>
                <w14:textFill>
                  <w14:solidFill>
                    <w14:schemeClr w14:val="tx1"/>
                  </w14:solidFill>
                </w14:textFill>
              </w:rPr>
              <w:t>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0CFA">
            <w:pPr>
              <w:spacing w:after="0" w:line="360" w:lineRule="auto"/>
              <w:jc w:val="center"/>
              <w:textAlignment w:val="baseline"/>
              <w:rPr>
                <w:rFonts w:cs="Times New Roman" w:asciiTheme="minorEastAsia" w:hAnsiTheme="minorEastAsia" w:eastAsiaTheme="minorEastAsia"/>
                <w:color w:val="000000" w:themeColor="text1"/>
                <w:sz w:val="21"/>
                <w:szCs w:val="21"/>
                <w:u w:color="000000"/>
                <w14:textFill>
                  <w14:solidFill>
                    <w14:schemeClr w14:val="tx1"/>
                  </w14:solidFill>
                </w14:textFill>
              </w:rPr>
            </w:pPr>
            <w:r>
              <w:rPr>
                <w:rFonts w:hint="eastAsia" w:cs="Times New Roman" w:asciiTheme="minorEastAsia" w:hAnsiTheme="minorEastAsia" w:eastAsiaTheme="minorEastAsia"/>
                <w:color w:val="000000" w:themeColor="text1"/>
                <w:sz w:val="21"/>
                <w:szCs w:val="21"/>
                <w:u w:color="000000"/>
                <w14:textFill>
                  <w14:solidFill>
                    <w14:schemeClr w14:val="tx1"/>
                  </w14:solidFill>
                </w14:textFill>
              </w:rPr>
              <w:t>30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9E97">
            <w:pPr>
              <w:spacing w:after="0" w:line="360" w:lineRule="auto"/>
              <w:jc w:val="center"/>
              <w:textAlignment w:val="baseline"/>
              <w:rPr>
                <w:rFonts w:cs="Times New Roman" w:asciiTheme="minorEastAsia" w:hAnsiTheme="minorEastAsia" w:eastAsiaTheme="minorEastAsia"/>
                <w:color w:val="000000" w:themeColor="text1"/>
                <w:sz w:val="21"/>
                <w:szCs w:val="21"/>
                <w:u w:color="000000"/>
                <w14:textFill>
                  <w14:solidFill>
                    <w14:schemeClr w14:val="tx1"/>
                  </w14:solidFill>
                </w14:textFill>
              </w:rPr>
            </w:pPr>
            <w:r>
              <w:rPr>
                <w:rFonts w:cs="Times New Roman" w:asciiTheme="minorEastAsia" w:hAnsiTheme="minorEastAsia" w:eastAsiaTheme="minorEastAsia"/>
                <w:color w:val="000000" w:themeColor="text1"/>
                <w:sz w:val="21"/>
                <w:szCs w:val="21"/>
                <w:u w:color="000000"/>
                <w14:textFill>
                  <w14:solidFill>
                    <w14:schemeClr w14:val="tx1"/>
                  </w14:solidFill>
                </w14:textFill>
              </w:rPr>
              <w:t>88</w:t>
            </w:r>
          </w:p>
        </w:tc>
      </w:tr>
    </w:tbl>
    <w:p w14:paraId="63A95078">
      <w:pPr>
        <w:spacing w:after="0" w:line="360" w:lineRule="auto"/>
        <w:ind w:firstLine="640" w:firstLineChars="200"/>
        <w:jc w:val="both"/>
        <w:textAlignment w:val="baseline"/>
        <w:rPr>
          <w:rFonts w:ascii="仿宋_GB2312" w:eastAsia="仿宋_GB2312" w:cs="Times New Roman" w:hAnsiTheme="minorEastAsia"/>
          <w:color w:val="000000" w:themeColor="text1"/>
          <w:sz w:val="32"/>
          <w:szCs w:val="32"/>
          <w:u w:color="000000"/>
          <w14:textFill>
            <w14:solidFill>
              <w14:schemeClr w14:val="tx1"/>
            </w14:solidFill>
          </w14:textFill>
        </w:rPr>
      </w:pPr>
      <w:r>
        <w:rPr>
          <w:rFonts w:hint="eastAsia" w:ascii="仿宋_GB2312" w:eastAsia="仿宋_GB2312" w:cs="Times New Roman" w:hAnsiTheme="minorEastAsia"/>
          <w:color w:val="000000" w:themeColor="text1"/>
          <w:sz w:val="32"/>
          <w:szCs w:val="32"/>
          <w:u w:color="000000"/>
          <w14:textFill>
            <w14:solidFill>
              <w14:schemeClr w14:val="tx1"/>
            </w14:solidFill>
          </w14:textFill>
        </w:rPr>
        <w:t>调查问卷共分为</w:t>
      </w:r>
      <w:r>
        <w:rPr>
          <w:rFonts w:ascii="仿宋_GB2312" w:eastAsia="仿宋_GB2312" w:cs="Times New Roman" w:hAnsiTheme="minorEastAsia"/>
          <w:color w:val="000000" w:themeColor="text1"/>
          <w:sz w:val="32"/>
          <w:szCs w:val="32"/>
          <w:u w:color="000000"/>
          <w14:textFill>
            <w14:solidFill>
              <w14:schemeClr w14:val="tx1"/>
            </w14:solidFill>
          </w14:textFill>
        </w:rPr>
        <w:t>2</w:t>
      </w:r>
      <w:r>
        <w:rPr>
          <w:rFonts w:hint="eastAsia" w:ascii="仿宋_GB2312" w:eastAsia="仿宋_GB2312" w:cs="Times New Roman" w:hAnsiTheme="minorEastAsia"/>
          <w:color w:val="000000" w:themeColor="text1"/>
          <w:sz w:val="32"/>
          <w:szCs w:val="32"/>
          <w:u w:color="000000"/>
          <w14:textFill>
            <w14:solidFill>
              <w14:schemeClr w14:val="tx1"/>
            </w14:solidFill>
          </w14:textFill>
        </w:rPr>
        <w:t>个单项，每个单项满分为100分。其中：每一单项满分为100分：满意为100分，一般为50分，不满意为0分。</w:t>
      </w:r>
    </w:p>
    <w:p w14:paraId="232C4BF3">
      <w:pPr>
        <w:spacing w:after="0" w:line="360" w:lineRule="auto"/>
        <w:ind w:firstLine="640" w:firstLineChars="200"/>
        <w:jc w:val="both"/>
        <w:textAlignment w:val="baseline"/>
        <w:rPr>
          <w:rFonts w:ascii="仿宋_GB2312" w:eastAsia="仿宋_GB2312" w:cs="Times New Roman" w:hAnsiTheme="minorEastAsia"/>
          <w:color w:val="000000" w:themeColor="text1"/>
          <w:sz w:val="32"/>
          <w:szCs w:val="32"/>
          <w:u w:color="000000"/>
          <w14:textFill>
            <w14:solidFill>
              <w14:schemeClr w14:val="tx1"/>
            </w14:solidFill>
          </w14:textFill>
        </w:rPr>
      </w:pPr>
      <w:r>
        <w:rPr>
          <w:rFonts w:hint="eastAsia" w:ascii="仿宋_GB2312" w:eastAsia="仿宋_GB2312" w:cs="Times New Roman" w:hAnsiTheme="minorEastAsia"/>
          <w:color w:val="000000" w:themeColor="text1"/>
          <w:sz w:val="32"/>
          <w:szCs w:val="32"/>
          <w:u w:color="000000"/>
          <w14:textFill>
            <w14:solidFill>
              <w14:schemeClr w14:val="tx1"/>
            </w14:solidFill>
          </w14:textFill>
        </w:rPr>
        <w:t>单项满意度得分=总分数/总人数</w:t>
      </w:r>
    </w:p>
    <w:p w14:paraId="44654DC3">
      <w:pPr>
        <w:spacing w:after="0" w:line="360" w:lineRule="auto"/>
        <w:ind w:firstLine="640" w:firstLineChars="200"/>
        <w:jc w:val="both"/>
        <w:textAlignment w:val="baseline"/>
        <w:rPr>
          <w:rFonts w:ascii="仿宋_GB2312" w:eastAsia="仿宋_GB2312" w:cs="Times New Roman" w:hAnsiTheme="minorEastAsia"/>
          <w:color w:val="000000" w:themeColor="text1"/>
          <w:sz w:val="32"/>
          <w:szCs w:val="32"/>
          <w:u w:color="000000"/>
          <w14:textFill>
            <w14:solidFill>
              <w14:schemeClr w14:val="tx1"/>
            </w14:solidFill>
          </w14:textFill>
        </w:rPr>
      </w:pPr>
      <w:r>
        <w:rPr>
          <w:rFonts w:hint="eastAsia" w:ascii="仿宋_GB2312" w:eastAsia="仿宋_GB2312" w:cs="Times New Roman" w:hAnsiTheme="minorEastAsia"/>
          <w:color w:val="000000" w:themeColor="text1"/>
          <w:sz w:val="32"/>
          <w:szCs w:val="32"/>
          <w:u w:color="000000"/>
          <w14:textFill>
            <w14:solidFill>
              <w14:schemeClr w14:val="tx1"/>
            </w14:solidFill>
          </w14:textFill>
        </w:rPr>
        <w:t>总体满意度得分=∑1/</w:t>
      </w:r>
      <w:r>
        <w:rPr>
          <w:rFonts w:ascii="仿宋_GB2312" w:eastAsia="仿宋_GB2312" w:cs="Times New Roman" w:hAnsiTheme="minorEastAsia"/>
          <w:color w:val="000000" w:themeColor="text1"/>
          <w:sz w:val="32"/>
          <w:szCs w:val="32"/>
          <w:u w:color="000000"/>
          <w14:textFill>
            <w14:solidFill>
              <w14:schemeClr w14:val="tx1"/>
            </w14:solidFill>
          </w14:textFill>
        </w:rPr>
        <w:t>2</w:t>
      </w:r>
      <w:r>
        <w:rPr>
          <w:rFonts w:hint="eastAsia" w:ascii="仿宋_GB2312" w:eastAsia="仿宋_GB2312" w:cs="Times New Roman" w:hAnsiTheme="minorEastAsia"/>
          <w:color w:val="000000" w:themeColor="text1"/>
          <w:sz w:val="32"/>
          <w:szCs w:val="32"/>
          <w:u w:color="000000"/>
          <w14:textFill>
            <w14:solidFill>
              <w14:schemeClr w14:val="tx1"/>
            </w14:solidFill>
          </w14:textFill>
        </w:rPr>
        <w:t>各单项满意度得分</w:t>
      </w:r>
    </w:p>
    <w:p w14:paraId="580EC9C8">
      <w:pPr>
        <w:spacing w:after="0" w:line="360" w:lineRule="auto"/>
        <w:ind w:firstLine="640" w:firstLineChars="200"/>
        <w:jc w:val="both"/>
        <w:textAlignment w:val="baseline"/>
        <w:rPr>
          <w:rFonts w:ascii="仿宋_GB2312" w:eastAsia="仿宋_GB2312" w:cs="Times New Roman" w:hAnsiTheme="minorEastAsia"/>
          <w:color w:val="000000" w:themeColor="text1"/>
          <w:sz w:val="32"/>
          <w:szCs w:val="32"/>
          <w:u w:color="000000"/>
          <w14:textFill>
            <w14:solidFill>
              <w14:schemeClr w14:val="tx1"/>
            </w14:solidFill>
          </w14:textFill>
        </w:rPr>
      </w:pPr>
      <w:r>
        <w:rPr>
          <w:rFonts w:hint="eastAsia" w:ascii="仿宋_GB2312" w:eastAsia="仿宋_GB2312" w:cs="Times New Roman" w:hAnsiTheme="minorEastAsia"/>
          <w:color w:val="000000" w:themeColor="text1"/>
          <w:sz w:val="32"/>
          <w:szCs w:val="32"/>
          <w:u w:color="000000"/>
          <w14:textFill>
            <w14:solidFill>
              <w14:schemeClr w14:val="tx1"/>
            </w14:solidFill>
          </w14:textFill>
        </w:rPr>
        <w:t>经计算，总体得分为</w:t>
      </w:r>
      <w:r>
        <w:rPr>
          <w:rFonts w:ascii="仿宋_GB2312" w:eastAsia="仿宋_GB2312" w:cs="Times New Roman" w:hAnsiTheme="minorEastAsia"/>
          <w:color w:val="000000" w:themeColor="text1"/>
          <w:sz w:val="32"/>
          <w:szCs w:val="32"/>
          <w:u w:color="000000"/>
          <w14:textFill>
            <w14:solidFill>
              <w14:schemeClr w14:val="tx1"/>
            </w14:solidFill>
          </w14:textFill>
        </w:rPr>
        <w:t>85</w:t>
      </w:r>
      <w:r>
        <w:rPr>
          <w:rFonts w:hint="eastAsia" w:ascii="仿宋_GB2312" w:eastAsia="仿宋_GB2312" w:cs="Times New Roman" w:hAnsiTheme="minorEastAsia"/>
          <w:color w:val="000000" w:themeColor="text1"/>
          <w:sz w:val="32"/>
          <w:szCs w:val="32"/>
          <w:u w:color="000000"/>
          <w14:textFill>
            <w14:solidFill>
              <w14:schemeClr w14:val="tx1"/>
            </w14:solidFill>
          </w14:textFill>
        </w:rPr>
        <w:t>分，小于90分，评价等级为“良”。</w:t>
      </w:r>
    </w:p>
    <w:p w14:paraId="2B2DA0AE">
      <w:pPr>
        <w:spacing w:after="0" w:line="360" w:lineRule="auto"/>
        <w:ind w:firstLine="640" w:firstLineChars="200"/>
        <w:jc w:val="both"/>
        <w:rPr>
          <w:rFonts w:ascii="仿宋_GB2312" w:eastAsia="仿宋_GB2312" w:cs="Times New Roman" w:hAnsiTheme="minorEastAsia"/>
          <w:color w:val="000000" w:themeColor="text1"/>
          <w:sz w:val="32"/>
          <w:szCs w:val="32"/>
          <w:u w:color="000000"/>
          <w14:textFill>
            <w14:solidFill>
              <w14:schemeClr w14:val="tx1"/>
            </w14:solidFill>
          </w14:textFill>
        </w:rPr>
      </w:pPr>
      <w:r>
        <w:rPr>
          <w:rFonts w:hint="eastAsia" w:ascii="仿宋_GB2312" w:eastAsia="仿宋_GB2312" w:cs="Times New Roman" w:hAnsiTheme="minorEastAsia"/>
          <w:color w:val="000000" w:themeColor="text1"/>
          <w:sz w:val="32"/>
          <w:szCs w:val="32"/>
          <w:u w:color="000000"/>
          <w14:textFill>
            <w14:solidFill>
              <w14:schemeClr w14:val="tx1"/>
            </w14:solidFill>
          </w14:textFill>
        </w:rPr>
        <w:t>该指标实际得分</w:t>
      </w:r>
      <w:r>
        <w:rPr>
          <w:rFonts w:ascii="仿宋_GB2312" w:eastAsia="仿宋_GB2312" w:cs="Times New Roman" w:hAnsiTheme="minorEastAsia"/>
          <w:color w:val="000000" w:themeColor="text1"/>
          <w:sz w:val="32"/>
          <w:szCs w:val="32"/>
          <w:u w:color="000000"/>
          <w14:textFill>
            <w14:solidFill>
              <w14:schemeClr w14:val="tx1"/>
            </w14:solidFill>
          </w14:textFill>
        </w:rPr>
        <w:t>3</w:t>
      </w:r>
      <w:r>
        <w:rPr>
          <w:rFonts w:hint="eastAsia" w:ascii="仿宋_GB2312" w:eastAsia="仿宋_GB2312" w:cs="Times New Roman" w:hAnsiTheme="minorEastAsia"/>
          <w:color w:val="000000" w:themeColor="text1"/>
          <w:sz w:val="32"/>
          <w:szCs w:val="32"/>
          <w:u w:color="000000"/>
          <w14:textFill>
            <w14:solidFill>
              <w14:schemeClr w14:val="tx1"/>
            </w14:solidFill>
          </w14:textFill>
        </w:rPr>
        <w:t>分。</w:t>
      </w:r>
    </w:p>
    <w:p w14:paraId="5A7D6C3F">
      <w:pPr>
        <w:pStyle w:val="3"/>
        <w:keepNext w:val="0"/>
        <w:keepLines w:val="0"/>
        <w:suppressLineNumbers/>
        <w:spacing w:before="0" w:after="0" w:line="360" w:lineRule="auto"/>
        <w:ind w:firstLine="643" w:firstLineChars="200"/>
        <w:rPr>
          <w:rFonts w:ascii="黑体"/>
          <w:color w:val="000000" w:themeColor="text1"/>
          <w14:textFill>
            <w14:solidFill>
              <w14:schemeClr w14:val="tx1"/>
            </w14:solidFill>
          </w14:textFill>
        </w:rPr>
      </w:pPr>
      <w:bookmarkStart w:id="74" w:name="_Toc13757"/>
      <w:r>
        <w:rPr>
          <w:rFonts w:hint="eastAsia" w:ascii="黑体"/>
          <w:color w:val="000000" w:themeColor="text1"/>
          <w14:textFill>
            <w14:solidFill>
              <w14:schemeClr w14:val="tx1"/>
            </w14:solidFill>
          </w14:textFill>
        </w:rPr>
        <w:t>五、绩效评价发现的问题</w:t>
      </w:r>
      <w:bookmarkEnd w:id="71"/>
      <w:bookmarkEnd w:id="72"/>
      <w:bookmarkEnd w:id="73"/>
      <w:bookmarkEnd w:id="74"/>
      <w:bookmarkStart w:id="75" w:name="_Toc492652789"/>
    </w:p>
    <w:p w14:paraId="7EA4906F">
      <w:pPr>
        <w:spacing w:after="0" w:line="360" w:lineRule="auto"/>
        <w:ind w:firstLine="640" w:firstLineChars="200"/>
        <w:jc w:val="both"/>
        <w:textAlignment w:val="baseline"/>
        <w:rPr>
          <w:rFonts w:ascii="仿宋_GB2312" w:eastAsia="仿宋_GB2312" w:cs="Times New Roman" w:hAnsiTheme="minorEastAsia"/>
          <w:color w:val="000000" w:themeColor="text1"/>
          <w:sz w:val="32"/>
          <w:szCs w:val="32"/>
          <w:u w:color="000000"/>
          <w14:textFill>
            <w14:solidFill>
              <w14:schemeClr w14:val="tx1"/>
            </w14:solidFill>
          </w14:textFill>
        </w:rPr>
      </w:pPr>
      <w:r>
        <w:rPr>
          <w:rFonts w:hint="eastAsia" w:ascii="仿宋_GB2312" w:eastAsia="仿宋_GB2312" w:cs="Times New Roman" w:hAnsiTheme="minorEastAsia"/>
          <w:color w:val="000000" w:themeColor="text1"/>
          <w:sz w:val="32"/>
          <w:szCs w:val="32"/>
          <w:u w:color="000000"/>
          <w14:textFill>
            <w14:solidFill>
              <w14:schemeClr w14:val="tx1"/>
            </w14:solidFill>
          </w14:textFill>
        </w:rPr>
        <w:t>通过对各指标得分及扣分原因的分析，徐水</w:t>
      </w:r>
      <w:r>
        <w:rPr>
          <w:rFonts w:hint="eastAsia" w:ascii="仿宋_GB2312" w:eastAsia="仿宋_GB2312" w:cs="DengXian-Regular"/>
          <w:color w:val="000000" w:themeColor="text1"/>
          <w:sz w:val="32"/>
          <w:szCs w:val="32"/>
          <w14:textFill>
            <w14:solidFill>
              <w14:schemeClr w14:val="tx1"/>
            </w14:solidFill>
          </w14:textFill>
        </w:rPr>
        <w:t>区机关服务中心</w:t>
      </w:r>
      <w:r>
        <w:rPr>
          <w:rFonts w:hint="eastAsia" w:ascii="仿宋_GB2312" w:eastAsia="仿宋_GB2312" w:cs="Times New Roman" w:hAnsiTheme="minorEastAsia"/>
          <w:color w:val="000000" w:themeColor="text1"/>
          <w:sz w:val="32"/>
          <w:szCs w:val="32"/>
          <w:u w:color="000000"/>
          <w14:textFill>
            <w14:solidFill>
              <w14:schemeClr w14:val="tx1"/>
            </w14:solidFill>
          </w14:textFill>
        </w:rPr>
        <w:t>2019年部门整体支出基本按相关要求执行预算、决算，完成了绩效目标，资金使用效益良好。通过评价，也发现一些不足之处，具体情况如下：</w:t>
      </w:r>
      <w:bookmarkStart w:id="76" w:name="_Toc20723"/>
    </w:p>
    <w:p w14:paraId="5B1A0622">
      <w:pPr>
        <w:spacing w:after="0" w:line="360" w:lineRule="auto"/>
        <w:ind w:firstLine="640" w:firstLineChars="200"/>
        <w:jc w:val="both"/>
        <w:textAlignment w:val="baseline"/>
        <w:rPr>
          <w:rFonts w:ascii="仿宋_GB2312" w:eastAsia="仿宋_GB2312" w:cs="Times New Roman" w:hAnsiTheme="minorEastAsia"/>
          <w:color w:val="000000" w:themeColor="text1"/>
          <w:sz w:val="32"/>
          <w:szCs w:val="32"/>
          <w:u w:color="000000"/>
          <w14:textFill>
            <w14:solidFill>
              <w14:schemeClr w14:val="tx1"/>
            </w14:solidFill>
          </w14:textFill>
        </w:rPr>
      </w:pPr>
      <w:r>
        <w:rPr>
          <w:rFonts w:hint="eastAsia" w:ascii="仿宋_GB2312" w:eastAsia="仿宋_GB2312" w:cs="Times New Roman" w:hAnsiTheme="minorEastAsia"/>
          <w:color w:val="000000" w:themeColor="text1"/>
          <w:sz w:val="32"/>
          <w:szCs w:val="32"/>
          <w:u w:color="000000"/>
          <w14:textFill>
            <w14:solidFill>
              <w14:schemeClr w14:val="tx1"/>
            </w14:solidFill>
          </w14:textFill>
        </w:rPr>
        <w:t>1.部分绩效指标方面：</w:t>
      </w:r>
      <w:r>
        <w:rPr>
          <w:rFonts w:ascii="仿宋_GB2312" w:eastAsia="仿宋_GB2312" w:cs="Times New Roman" w:hAnsiTheme="minorEastAsia"/>
          <w:color w:val="000000" w:themeColor="text1"/>
          <w:sz w:val="32"/>
          <w:szCs w:val="32"/>
          <w:u w:color="000000"/>
          <w14:textFill>
            <w14:solidFill>
              <w14:schemeClr w14:val="tx1"/>
            </w14:solidFill>
          </w14:textFill>
        </w:rPr>
        <w:t>绩效指标设置笼统，针对性较弱。</w:t>
      </w:r>
    </w:p>
    <w:p w14:paraId="04CED494">
      <w:pPr>
        <w:spacing w:after="0" w:line="360" w:lineRule="auto"/>
        <w:ind w:firstLine="640" w:firstLineChars="200"/>
        <w:jc w:val="both"/>
        <w:textAlignment w:val="baseline"/>
        <w:rPr>
          <w:rFonts w:ascii="仿宋_GB2312" w:eastAsia="仿宋_GB2312" w:cs="Times New Roman" w:hAnsiTheme="minorEastAsia"/>
          <w:color w:val="000000" w:themeColor="text1"/>
          <w:sz w:val="32"/>
          <w:szCs w:val="32"/>
          <w:u w:color="000000"/>
          <w14:textFill>
            <w14:solidFill>
              <w14:schemeClr w14:val="tx1"/>
            </w14:solidFill>
          </w14:textFill>
        </w:rPr>
      </w:pPr>
      <w:r>
        <w:rPr>
          <w:rFonts w:hint="eastAsia" w:ascii="仿宋_GB2312" w:eastAsia="仿宋_GB2312" w:cs="Times New Roman" w:hAnsiTheme="minorEastAsia"/>
          <w:color w:val="000000" w:themeColor="text1"/>
          <w:sz w:val="32"/>
          <w:szCs w:val="32"/>
          <w:u w:color="000000"/>
          <w14:textFill>
            <w14:solidFill>
              <w14:schemeClr w14:val="tx1"/>
            </w14:solidFill>
          </w14:textFill>
        </w:rPr>
        <w:t>2.预算决算比较：项目</w:t>
      </w:r>
      <w:r>
        <w:rPr>
          <w:rFonts w:hint="eastAsia" w:ascii="仿宋_GB2312" w:eastAsia="仿宋_GB2312" w:cs="Times New Roman" w:hAnsiTheme="minorEastAsia"/>
          <w:sz w:val="32"/>
          <w:szCs w:val="32"/>
          <w:u w:color="000000"/>
        </w:rPr>
        <w:t>决算</w:t>
      </w:r>
      <w:r>
        <w:rPr>
          <w:rFonts w:ascii="仿宋_GB2312" w:eastAsia="仿宋_GB2312" w:cs="Times New Roman" w:hAnsiTheme="minorEastAsia"/>
          <w:sz w:val="32"/>
          <w:szCs w:val="32"/>
          <w:u w:color="000000"/>
        </w:rPr>
        <w:t>收入和支出较预算出入较大</w:t>
      </w:r>
      <w:r>
        <w:rPr>
          <w:rFonts w:hint="eastAsia" w:ascii="仿宋_GB2312" w:eastAsia="仿宋_GB2312" w:cs="Times New Roman" w:hAnsiTheme="minorEastAsia"/>
          <w:sz w:val="32"/>
          <w:szCs w:val="32"/>
          <w:u w:color="000000"/>
        </w:rPr>
        <w:t>，决算支出</w:t>
      </w:r>
      <w:r>
        <w:rPr>
          <w:rFonts w:ascii="仿宋_GB2312" w:eastAsia="仿宋_GB2312" w:cs="Times New Roman" w:hAnsiTheme="minorEastAsia"/>
          <w:sz w:val="32"/>
          <w:szCs w:val="32"/>
          <w:u w:color="000000"/>
        </w:rPr>
        <w:t>较多</w:t>
      </w:r>
      <w:r>
        <w:rPr>
          <w:rFonts w:hint="eastAsia" w:ascii="仿宋_GB2312" w:eastAsia="仿宋_GB2312" w:cs="Times New Roman" w:hAnsiTheme="minorEastAsia"/>
          <w:sz w:val="32"/>
          <w:szCs w:val="32"/>
          <w:u w:color="000000"/>
        </w:rPr>
        <w:t>。</w:t>
      </w:r>
    </w:p>
    <w:p w14:paraId="71A6A3E4">
      <w:pPr>
        <w:spacing w:after="0" w:line="360" w:lineRule="auto"/>
        <w:ind w:firstLine="640" w:firstLineChars="200"/>
        <w:jc w:val="both"/>
        <w:textAlignment w:val="baseline"/>
        <w:rPr>
          <w:rFonts w:ascii="仿宋_GB2312" w:eastAsia="仿宋_GB2312" w:cs="Times New Roman" w:hAnsiTheme="minorEastAsia"/>
          <w:color w:val="000000" w:themeColor="text1"/>
          <w:sz w:val="32"/>
          <w:szCs w:val="32"/>
          <w:u w:color="000000"/>
          <w14:textFill>
            <w14:solidFill>
              <w14:schemeClr w14:val="tx1"/>
            </w14:solidFill>
          </w14:textFill>
        </w:rPr>
      </w:pPr>
      <w:r>
        <w:rPr>
          <w:rFonts w:hint="eastAsia" w:ascii="仿宋_GB2312" w:eastAsia="仿宋_GB2312" w:cs="Times New Roman" w:hAnsiTheme="minorEastAsia"/>
          <w:color w:val="000000" w:themeColor="text1"/>
          <w:sz w:val="32"/>
          <w:szCs w:val="32"/>
          <w:u w:color="000000"/>
          <w14:textFill>
            <w14:solidFill>
              <w14:schemeClr w14:val="tx1"/>
            </w14:solidFill>
          </w14:textFill>
        </w:rPr>
        <w:t>3.满意度</w:t>
      </w:r>
      <w:r>
        <w:rPr>
          <w:rFonts w:ascii="仿宋_GB2312" w:eastAsia="仿宋_GB2312" w:cs="Times New Roman" w:hAnsiTheme="minorEastAsia"/>
          <w:color w:val="000000" w:themeColor="text1"/>
          <w:sz w:val="32"/>
          <w:szCs w:val="32"/>
          <w:u w:color="000000"/>
          <w14:textFill>
            <w14:solidFill>
              <w14:schemeClr w14:val="tx1"/>
            </w14:solidFill>
          </w14:textFill>
        </w:rPr>
        <w:t>指标：</w:t>
      </w:r>
      <w:r>
        <w:rPr>
          <w:rFonts w:hint="eastAsia" w:ascii="仿宋_GB2312" w:eastAsia="仿宋_GB2312" w:cs="Times New Roman" w:hAnsiTheme="minorEastAsia"/>
          <w:color w:val="000000" w:themeColor="text1"/>
          <w:sz w:val="32"/>
          <w:szCs w:val="32"/>
          <w:u w:color="000000"/>
          <w14:textFill>
            <w14:solidFill>
              <w14:schemeClr w14:val="tx1"/>
            </w14:solidFill>
          </w14:textFill>
        </w:rPr>
        <w:t>根据部门职责，提高人员素质；提高管理、保障、服务水平，搞好服务保障；为广大干部职工提供安全、快捷、细致、周到的工作环境。不断</w:t>
      </w:r>
      <w:r>
        <w:rPr>
          <w:rFonts w:ascii="仿宋_GB2312" w:eastAsia="仿宋_GB2312" w:cs="Times New Roman" w:hAnsiTheme="minorEastAsia"/>
          <w:color w:val="000000" w:themeColor="text1"/>
          <w:sz w:val="32"/>
          <w:szCs w:val="32"/>
          <w:u w:color="000000"/>
          <w14:textFill>
            <w14:solidFill>
              <w14:schemeClr w14:val="tx1"/>
            </w14:solidFill>
          </w14:textFill>
        </w:rPr>
        <w:t>提高</w:t>
      </w:r>
      <w:r>
        <w:rPr>
          <w:rFonts w:hint="eastAsia" w:ascii="仿宋_GB2312" w:eastAsia="仿宋_GB2312" w:cs="Times New Roman" w:hAnsiTheme="minorEastAsia"/>
          <w:color w:val="000000" w:themeColor="text1"/>
          <w:sz w:val="32"/>
          <w:szCs w:val="32"/>
          <w:u w:color="000000"/>
          <w14:textFill>
            <w14:solidFill>
              <w14:schemeClr w14:val="tx1"/>
            </w14:solidFill>
          </w14:textFill>
        </w:rPr>
        <w:t>服务对象对我部门履职效果的满意程度。</w:t>
      </w:r>
    </w:p>
    <w:bookmarkEnd w:id="75"/>
    <w:bookmarkEnd w:id="76"/>
    <w:p w14:paraId="36DDCC12">
      <w:pPr>
        <w:pStyle w:val="3"/>
        <w:keepNext w:val="0"/>
        <w:keepLines w:val="0"/>
        <w:suppressLineNumbers/>
        <w:spacing w:before="0" w:after="0" w:line="360" w:lineRule="auto"/>
        <w:ind w:firstLine="643" w:firstLineChars="200"/>
        <w:rPr>
          <w:rFonts w:ascii="黑体"/>
        </w:rPr>
      </w:pPr>
      <w:bookmarkStart w:id="77" w:name="_Toc465149521"/>
      <w:r>
        <w:rPr>
          <w:rFonts w:hint="eastAsia" w:ascii="黑体"/>
        </w:rPr>
        <w:t>六</w:t>
      </w:r>
      <w:r>
        <w:rPr>
          <w:rFonts w:ascii="黑体"/>
        </w:rPr>
        <w:t>、绩效评价意见及建</w:t>
      </w:r>
      <w:r>
        <w:rPr>
          <w:rFonts w:hint="eastAsia" w:ascii="黑体"/>
        </w:rPr>
        <w:t>议</w:t>
      </w:r>
    </w:p>
    <w:p w14:paraId="0A92D08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14:paraId="51EA1589">
      <w:pPr>
        <w:spacing w:after="0" w:line="360" w:lineRule="auto"/>
        <w:jc w:val="both"/>
        <w:textAlignment w:val="baseline"/>
        <w:rPr>
          <w:rFonts w:ascii="仿宋_GB2312" w:eastAsia="仿宋_GB2312" w:cs="Times New Roman" w:hAnsiTheme="minorEastAsia"/>
          <w:color w:val="000000" w:themeColor="text1"/>
          <w:sz w:val="32"/>
          <w:szCs w:val="32"/>
          <w:u w:color="000000"/>
          <w14:textFill>
            <w14:solidFill>
              <w14:schemeClr w14:val="tx1"/>
            </w14:solidFill>
          </w14:textFill>
        </w:rPr>
      </w:pPr>
    </w:p>
    <w:p w14:paraId="695A6881">
      <w:pPr>
        <w:spacing w:after="0" w:line="360" w:lineRule="auto"/>
        <w:jc w:val="both"/>
        <w:textAlignment w:val="baseline"/>
        <w:rPr>
          <w:rFonts w:ascii="仿宋_GB2312" w:eastAsia="仿宋_GB2312" w:cs="Times New Roman" w:hAnsiTheme="minorEastAsia"/>
          <w:color w:val="000000" w:themeColor="text1"/>
          <w:sz w:val="32"/>
          <w:szCs w:val="32"/>
          <w:u w:color="000000"/>
          <w14:textFill>
            <w14:solidFill>
              <w14:schemeClr w14:val="tx1"/>
            </w14:solidFill>
          </w14:textFill>
        </w:rPr>
      </w:pPr>
      <w:r>
        <w:rPr>
          <w:rFonts w:hint="eastAsia" w:ascii="仿宋_GB2312" w:eastAsia="仿宋_GB2312" w:cs="Times New Roman" w:hAnsiTheme="minorEastAsia"/>
          <w:color w:val="000000" w:themeColor="text1"/>
          <w:sz w:val="32"/>
          <w:szCs w:val="32"/>
          <w:u w:color="000000"/>
          <w14:textFill>
            <w14:solidFill>
              <w14:schemeClr w14:val="tx1"/>
            </w14:solidFill>
          </w14:textFill>
        </w:rPr>
        <w:t>附件：1.保定市徐水</w:t>
      </w:r>
      <w:r>
        <w:rPr>
          <w:rFonts w:hint="eastAsia" w:ascii="仿宋_GB2312" w:eastAsia="仿宋_GB2312" w:cs="DengXian-Regular"/>
          <w:color w:val="000000" w:themeColor="text1"/>
          <w:sz w:val="32"/>
          <w:szCs w:val="32"/>
          <w14:textFill>
            <w14:solidFill>
              <w14:schemeClr w14:val="tx1"/>
            </w14:solidFill>
          </w14:textFill>
        </w:rPr>
        <w:t>区机关服务中心</w:t>
      </w:r>
      <w:r>
        <w:rPr>
          <w:rFonts w:hint="eastAsia" w:ascii="仿宋_GB2312" w:eastAsia="仿宋_GB2312" w:cs="Times New Roman" w:hAnsiTheme="minorEastAsia"/>
          <w:color w:val="000000" w:themeColor="text1"/>
          <w:sz w:val="32"/>
          <w:szCs w:val="32"/>
          <w:u w:color="000000"/>
          <w14:textFill>
            <w14:solidFill>
              <w14:schemeClr w14:val="tx1"/>
            </w14:solidFill>
          </w14:textFill>
        </w:rPr>
        <w:t>部门基本情况及主要职责</w:t>
      </w:r>
    </w:p>
    <w:p w14:paraId="12F513E3">
      <w:pPr>
        <w:spacing w:after="0" w:line="540" w:lineRule="exact"/>
        <w:ind w:firstLine="960" w:firstLineChars="300"/>
        <w:jc w:val="both"/>
        <w:textAlignment w:val="baseline"/>
        <w:rPr>
          <w:rFonts w:ascii="仿宋_GB2312" w:eastAsia="仿宋_GB2312" w:cs="Times New Roman" w:hAnsiTheme="minorEastAsia"/>
          <w:color w:val="000000" w:themeColor="text1"/>
          <w:sz w:val="32"/>
          <w:szCs w:val="32"/>
          <w:u w:color="000000"/>
          <w14:textFill>
            <w14:solidFill>
              <w14:schemeClr w14:val="tx1"/>
            </w14:solidFill>
          </w14:textFill>
        </w:rPr>
      </w:pPr>
      <w:r>
        <w:rPr>
          <w:rFonts w:hint="eastAsia" w:ascii="仿宋_GB2312" w:eastAsia="仿宋_GB2312" w:cs="Times New Roman" w:hAnsiTheme="minorEastAsia"/>
          <w:color w:val="000000" w:themeColor="text1"/>
          <w:sz w:val="32"/>
          <w:szCs w:val="32"/>
          <w:u w:color="000000"/>
          <w14:textFill>
            <w14:solidFill>
              <w14:schemeClr w14:val="tx1"/>
            </w14:solidFill>
          </w14:textFill>
        </w:rPr>
        <w:t>2.2019年度保定市徐水</w:t>
      </w:r>
      <w:r>
        <w:rPr>
          <w:rFonts w:hint="eastAsia" w:ascii="仿宋_GB2312" w:eastAsia="仿宋_GB2312" w:cs="DengXian-Regular"/>
          <w:color w:val="000000" w:themeColor="text1"/>
          <w:sz w:val="32"/>
          <w:szCs w:val="32"/>
          <w14:textFill>
            <w14:solidFill>
              <w14:schemeClr w14:val="tx1"/>
            </w14:solidFill>
          </w14:textFill>
        </w:rPr>
        <w:t>区机关服务中心</w:t>
      </w:r>
      <w:r>
        <w:rPr>
          <w:rFonts w:hint="eastAsia" w:ascii="仿宋_GB2312" w:eastAsia="仿宋_GB2312" w:cs="Times New Roman" w:hAnsiTheme="minorEastAsia"/>
          <w:color w:val="000000" w:themeColor="text1"/>
          <w:sz w:val="32"/>
          <w:szCs w:val="32"/>
          <w:u w:color="000000"/>
          <w14:textFill>
            <w14:solidFill>
              <w14:schemeClr w14:val="tx1"/>
            </w14:solidFill>
          </w14:textFill>
        </w:rPr>
        <w:t>收支预算及决算明细表</w:t>
      </w:r>
    </w:p>
    <w:p w14:paraId="6854B63C">
      <w:pPr>
        <w:spacing w:after="0" w:line="540" w:lineRule="exact"/>
        <w:ind w:firstLine="960" w:firstLineChars="300"/>
        <w:jc w:val="both"/>
        <w:textAlignment w:val="baseline"/>
        <w:rPr>
          <w:rFonts w:ascii="仿宋_GB2312" w:eastAsia="仿宋_GB2312" w:cs="Times New Roman" w:hAnsiTheme="minorEastAsia"/>
          <w:color w:val="000000" w:themeColor="text1"/>
          <w:sz w:val="32"/>
          <w:szCs w:val="32"/>
          <w:u w:color="000000"/>
          <w14:textFill>
            <w14:solidFill>
              <w14:schemeClr w14:val="tx1"/>
            </w14:solidFill>
          </w14:textFill>
        </w:rPr>
      </w:pPr>
      <w:bookmarkStart w:id="78" w:name="_Toc465149534"/>
      <w:r>
        <w:rPr>
          <w:rFonts w:hint="eastAsia" w:ascii="仿宋_GB2312" w:eastAsia="仿宋_GB2312" w:cs="Times New Roman" w:hAnsiTheme="minorEastAsia"/>
          <w:color w:val="000000" w:themeColor="text1"/>
          <w:sz w:val="32"/>
          <w:szCs w:val="32"/>
          <w:u w:color="000000"/>
          <w14:textFill>
            <w14:solidFill>
              <w14:schemeClr w14:val="tx1"/>
            </w14:solidFill>
          </w14:textFill>
        </w:rPr>
        <w:t>3.</w:t>
      </w:r>
      <w:bookmarkEnd w:id="78"/>
      <w:r>
        <w:rPr>
          <w:rFonts w:hint="eastAsia" w:ascii="仿宋_GB2312" w:eastAsia="仿宋_GB2312" w:cs="Times New Roman" w:hAnsiTheme="minorEastAsia"/>
          <w:color w:val="000000" w:themeColor="text1"/>
          <w:sz w:val="32"/>
          <w:szCs w:val="32"/>
          <w:u w:color="000000"/>
          <w14:textFill>
            <w14:solidFill>
              <w14:schemeClr w14:val="tx1"/>
            </w14:solidFill>
          </w14:textFill>
        </w:rPr>
        <w:t>部门整体支出绩效评价指标体系</w:t>
      </w:r>
    </w:p>
    <w:p w14:paraId="705B46F6">
      <w:pPr>
        <w:spacing w:after="0" w:line="540" w:lineRule="exact"/>
        <w:ind w:firstLine="960" w:firstLineChars="300"/>
        <w:jc w:val="both"/>
        <w:textAlignment w:val="baseline"/>
        <w:rPr>
          <w:rFonts w:ascii="仿宋_GB2312" w:eastAsia="仿宋_GB2312" w:cs="Times New Roman" w:hAnsiTheme="minorEastAsia"/>
          <w:color w:val="000000" w:themeColor="text1"/>
          <w:sz w:val="32"/>
          <w:szCs w:val="32"/>
          <w:u w:color="000000"/>
          <w14:textFill>
            <w14:solidFill>
              <w14:schemeClr w14:val="tx1"/>
            </w14:solidFill>
          </w14:textFill>
        </w:rPr>
      </w:pPr>
      <w:bookmarkStart w:id="79" w:name="_Toc465149544"/>
      <w:r>
        <w:rPr>
          <w:rFonts w:hint="eastAsia" w:ascii="仿宋_GB2312" w:eastAsia="仿宋_GB2312" w:cs="Times New Roman" w:hAnsiTheme="minorEastAsia"/>
          <w:color w:val="000000" w:themeColor="text1"/>
          <w:sz w:val="32"/>
          <w:szCs w:val="32"/>
          <w:u w:color="000000"/>
          <w14:textFill>
            <w14:solidFill>
              <w14:schemeClr w14:val="tx1"/>
            </w14:solidFill>
          </w14:textFill>
        </w:rPr>
        <w:t>4.</w:t>
      </w:r>
      <w:bookmarkEnd w:id="79"/>
      <w:r>
        <w:rPr>
          <w:rFonts w:hint="eastAsia" w:ascii="仿宋_GB2312" w:eastAsia="仿宋_GB2312" w:cs="Times New Roman" w:hAnsiTheme="minorEastAsia"/>
          <w:color w:val="000000" w:themeColor="text1"/>
          <w:sz w:val="32"/>
          <w:szCs w:val="32"/>
          <w:u w:color="000000"/>
          <w14:textFill>
            <w14:solidFill>
              <w14:schemeClr w14:val="tx1"/>
            </w14:solidFill>
          </w14:textFill>
        </w:rPr>
        <w:t>2019年徐水</w:t>
      </w:r>
      <w:r>
        <w:rPr>
          <w:rFonts w:hint="eastAsia" w:ascii="仿宋_GB2312" w:eastAsia="仿宋_GB2312" w:cs="DengXian-Regular"/>
          <w:color w:val="000000" w:themeColor="text1"/>
          <w:sz w:val="32"/>
          <w:szCs w:val="32"/>
          <w14:textFill>
            <w14:solidFill>
              <w14:schemeClr w14:val="tx1"/>
            </w14:solidFill>
          </w14:textFill>
        </w:rPr>
        <w:t>区机关服务中心</w:t>
      </w:r>
      <w:r>
        <w:rPr>
          <w:rFonts w:hint="eastAsia" w:ascii="仿宋_GB2312" w:eastAsia="仿宋_GB2312" w:cs="Times New Roman" w:hAnsiTheme="minorEastAsia"/>
          <w:color w:val="000000" w:themeColor="text1"/>
          <w:sz w:val="32"/>
          <w:szCs w:val="32"/>
          <w:u w:color="000000"/>
          <w14:textFill>
            <w14:solidFill>
              <w14:schemeClr w14:val="tx1"/>
            </w14:solidFill>
          </w14:textFill>
        </w:rPr>
        <w:t>工作活动绩效目标、绩效指标一览表</w:t>
      </w:r>
      <w:bookmarkEnd w:id="77"/>
    </w:p>
    <w:p w14:paraId="4A333721">
      <w:pPr>
        <w:spacing w:line="540" w:lineRule="exact"/>
        <w:textAlignment w:val="baseline"/>
        <w:rPr>
          <w:rFonts w:ascii="仿宋_GB2312" w:eastAsia="仿宋_GB2312" w:cs="Times New Roman" w:hAnsiTheme="minorEastAsia"/>
          <w:color w:val="000000" w:themeColor="text1"/>
          <w:sz w:val="32"/>
          <w:szCs w:val="32"/>
          <w:u w:color="000000"/>
          <w14:textFill>
            <w14:solidFill>
              <w14:schemeClr w14:val="tx1"/>
            </w14:solidFill>
          </w14:textFill>
        </w:rPr>
      </w:pP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DengXian-Regular">
    <w:altName w:val="宋体"/>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AE338">
    <w:pPr>
      <w:pStyle w:val="14"/>
      <w:jc w:val="center"/>
    </w:pPr>
  </w:p>
  <w:p w14:paraId="5B88C2F5">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EFD79">
    <w:pPr>
      <w:pStyle w:val="14"/>
      <w:jc w:val="center"/>
    </w:pPr>
    <w:r>
      <w:fldChar w:fldCharType="begin"/>
    </w:r>
    <w:r>
      <w:instrText xml:space="preserve"> PAGE   \* MERGEFORMAT </w:instrText>
    </w:r>
    <w:r>
      <w:fldChar w:fldCharType="separate"/>
    </w:r>
    <w:r>
      <w:rPr>
        <w:lang w:val="zh-CN"/>
      </w:rPr>
      <w:t>30</w:t>
    </w:r>
    <w:r>
      <w:rPr>
        <w:lang w:val="zh-CN"/>
      </w:rPr>
      <w:fldChar w:fldCharType="end"/>
    </w:r>
  </w:p>
  <w:p w14:paraId="707C2893">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kY2NmM2RkMDVlYzQ2NzEyOTA2N2Y5ZDRjNWViNGIifQ=="/>
  </w:docVars>
  <w:rsids>
    <w:rsidRoot w:val="00D31D50"/>
    <w:rsid w:val="00004179"/>
    <w:rsid w:val="0000439F"/>
    <w:rsid w:val="00007CA0"/>
    <w:rsid w:val="00015C39"/>
    <w:rsid w:val="000174D3"/>
    <w:rsid w:val="0002108F"/>
    <w:rsid w:val="00023EFD"/>
    <w:rsid w:val="0002415F"/>
    <w:rsid w:val="00025208"/>
    <w:rsid w:val="00025620"/>
    <w:rsid w:val="0002705B"/>
    <w:rsid w:val="0003113A"/>
    <w:rsid w:val="000317D7"/>
    <w:rsid w:val="00032B03"/>
    <w:rsid w:val="000334C2"/>
    <w:rsid w:val="0003450B"/>
    <w:rsid w:val="0003465E"/>
    <w:rsid w:val="00034910"/>
    <w:rsid w:val="0003506D"/>
    <w:rsid w:val="000409C0"/>
    <w:rsid w:val="0004123E"/>
    <w:rsid w:val="000436AE"/>
    <w:rsid w:val="00044599"/>
    <w:rsid w:val="000446E5"/>
    <w:rsid w:val="00044A25"/>
    <w:rsid w:val="00047D7B"/>
    <w:rsid w:val="000509B6"/>
    <w:rsid w:val="00050A62"/>
    <w:rsid w:val="000516BA"/>
    <w:rsid w:val="00051DBC"/>
    <w:rsid w:val="00052010"/>
    <w:rsid w:val="000607C2"/>
    <w:rsid w:val="00061096"/>
    <w:rsid w:val="000612A2"/>
    <w:rsid w:val="00063117"/>
    <w:rsid w:val="000634BB"/>
    <w:rsid w:val="00072BF5"/>
    <w:rsid w:val="000752C6"/>
    <w:rsid w:val="00075B78"/>
    <w:rsid w:val="0007649F"/>
    <w:rsid w:val="000766F2"/>
    <w:rsid w:val="00077648"/>
    <w:rsid w:val="000803B0"/>
    <w:rsid w:val="00080E48"/>
    <w:rsid w:val="00091D50"/>
    <w:rsid w:val="000935D5"/>
    <w:rsid w:val="0009618D"/>
    <w:rsid w:val="00096195"/>
    <w:rsid w:val="00097550"/>
    <w:rsid w:val="0009756F"/>
    <w:rsid w:val="000A1F67"/>
    <w:rsid w:val="000A2079"/>
    <w:rsid w:val="000A2E13"/>
    <w:rsid w:val="000A5467"/>
    <w:rsid w:val="000A5EF0"/>
    <w:rsid w:val="000B09F3"/>
    <w:rsid w:val="000B0C4A"/>
    <w:rsid w:val="000B23E8"/>
    <w:rsid w:val="000B62FE"/>
    <w:rsid w:val="000B72BC"/>
    <w:rsid w:val="000B78D7"/>
    <w:rsid w:val="000C1EA5"/>
    <w:rsid w:val="000C52FB"/>
    <w:rsid w:val="000C55E6"/>
    <w:rsid w:val="000C6D5A"/>
    <w:rsid w:val="000D09B2"/>
    <w:rsid w:val="000D546B"/>
    <w:rsid w:val="000D7C38"/>
    <w:rsid w:val="000E0902"/>
    <w:rsid w:val="000E3830"/>
    <w:rsid w:val="000F070B"/>
    <w:rsid w:val="000F07E0"/>
    <w:rsid w:val="000F3158"/>
    <w:rsid w:val="000F364D"/>
    <w:rsid w:val="000F4432"/>
    <w:rsid w:val="000F465E"/>
    <w:rsid w:val="000F5E8C"/>
    <w:rsid w:val="001000B2"/>
    <w:rsid w:val="00104C6C"/>
    <w:rsid w:val="0010560E"/>
    <w:rsid w:val="0010612A"/>
    <w:rsid w:val="00106FF7"/>
    <w:rsid w:val="00107111"/>
    <w:rsid w:val="001073D6"/>
    <w:rsid w:val="00107819"/>
    <w:rsid w:val="001137DD"/>
    <w:rsid w:val="0011574B"/>
    <w:rsid w:val="00116132"/>
    <w:rsid w:val="00117B9C"/>
    <w:rsid w:val="00117E7D"/>
    <w:rsid w:val="00120EA6"/>
    <w:rsid w:val="00122196"/>
    <w:rsid w:val="0012439D"/>
    <w:rsid w:val="00124B97"/>
    <w:rsid w:val="0012587C"/>
    <w:rsid w:val="0013591D"/>
    <w:rsid w:val="00141DE8"/>
    <w:rsid w:val="00144105"/>
    <w:rsid w:val="00145B4E"/>
    <w:rsid w:val="00145D18"/>
    <w:rsid w:val="00147839"/>
    <w:rsid w:val="00147959"/>
    <w:rsid w:val="001544E1"/>
    <w:rsid w:val="001551CE"/>
    <w:rsid w:val="00164732"/>
    <w:rsid w:val="00164B7B"/>
    <w:rsid w:val="00164FE1"/>
    <w:rsid w:val="00167498"/>
    <w:rsid w:val="001703D7"/>
    <w:rsid w:val="001719D0"/>
    <w:rsid w:val="00172245"/>
    <w:rsid w:val="0017403C"/>
    <w:rsid w:val="00174241"/>
    <w:rsid w:val="00176E7D"/>
    <w:rsid w:val="001804B7"/>
    <w:rsid w:val="001827F5"/>
    <w:rsid w:val="00183C43"/>
    <w:rsid w:val="00185652"/>
    <w:rsid w:val="00187750"/>
    <w:rsid w:val="00190292"/>
    <w:rsid w:val="00191DDA"/>
    <w:rsid w:val="001926B8"/>
    <w:rsid w:val="0019341A"/>
    <w:rsid w:val="001952EC"/>
    <w:rsid w:val="001A0F7A"/>
    <w:rsid w:val="001A1677"/>
    <w:rsid w:val="001A5FD3"/>
    <w:rsid w:val="001B0380"/>
    <w:rsid w:val="001B04A4"/>
    <w:rsid w:val="001B06B7"/>
    <w:rsid w:val="001B30D5"/>
    <w:rsid w:val="001B32AF"/>
    <w:rsid w:val="001B382A"/>
    <w:rsid w:val="001B5C88"/>
    <w:rsid w:val="001B6CE6"/>
    <w:rsid w:val="001C046D"/>
    <w:rsid w:val="001C1412"/>
    <w:rsid w:val="001C391F"/>
    <w:rsid w:val="001C5135"/>
    <w:rsid w:val="001C51E2"/>
    <w:rsid w:val="001C796E"/>
    <w:rsid w:val="001D1367"/>
    <w:rsid w:val="001D20AA"/>
    <w:rsid w:val="001D287C"/>
    <w:rsid w:val="001D32F3"/>
    <w:rsid w:val="001D5041"/>
    <w:rsid w:val="001D5A7C"/>
    <w:rsid w:val="001D76AA"/>
    <w:rsid w:val="001E171C"/>
    <w:rsid w:val="001E21EA"/>
    <w:rsid w:val="001E288A"/>
    <w:rsid w:val="001E3ABB"/>
    <w:rsid w:val="001E4C24"/>
    <w:rsid w:val="001E5C43"/>
    <w:rsid w:val="001F07B6"/>
    <w:rsid w:val="001F0B92"/>
    <w:rsid w:val="001F1094"/>
    <w:rsid w:val="001F2F0E"/>
    <w:rsid w:val="001F33AA"/>
    <w:rsid w:val="001F4DBC"/>
    <w:rsid w:val="001F6236"/>
    <w:rsid w:val="00200051"/>
    <w:rsid w:val="00202D5A"/>
    <w:rsid w:val="00203660"/>
    <w:rsid w:val="00205F02"/>
    <w:rsid w:val="00206ACF"/>
    <w:rsid w:val="0021307B"/>
    <w:rsid w:val="002142B8"/>
    <w:rsid w:val="002161F4"/>
    <w:rsid w:val="00216E75"/>
    <w:rsid w:val="00221907"/>
    <w:rsid w:val="00222FA8"/>
    <w:rsid w:val="0022532A"/>
    <w:rsid w:val="002275D3"/>
    <w:rsid w:val="00227AFB"/>
    <w:rsid w:val="00235741"/>
    <w:rsid w:val="002368AE"/>
    <w:rsid w:val="00236B18"/>
    <w:rsid w:val="002401EA"/>
    <w:rsid w:val="00241045"/>
    <w:rsid w:val="00241B9D"/>
    <w:rsid w:val="002439D4"/>
    <w:rsid w:val="002458B6"/>
    <w:rsid w:val="00245CB2"/>
    <w:rsid w:val="00246A44"/>
    <w:rsid w:val="00250BAC"/>
    <w:rsid w:val="00253823"/>
    <w:rsid w:val="00260245"/>
    <w:rsid w:val="0026252A"/>
    <w:rsid w:val="00262976"/>
    <w:rsid w:val="00262BB1"/>
    <w:rsid w:val="00263D3A"/>
    <w:rsid w:val="002643BE"/>
    <w:rsid w:val="00265325"/>
    <w:rsid w:val="00266E84"/>
    <w:rsid w:val="002715FC"/>
    <w:rsid w:val="002736FD"/>
    <w:rsid w:val="00274CFA"/>
    <w:rsid w:val="00275677"/>
    <w:rsid w:val="00275A3F"/>
    <w:rsid w:val="0028068C"/>
    <w:rsid w:val="00282579"/>
    <w:rsid w:val="00282A89"/>
    <w:rsid w:val="00283F8F"/>
    <w:rsid w:val="002869F9"/>
    <w:rsid w:val="00292F98"/>
    <w:rsid w:val="002939A0"/>
    <w:rsid w:val="00294B12"/>
    <w:rsid w:val="002959A3"/>
    <w:rsid w:val="00295B20"/>
    <w:rsid w:val="00295F1A"/>
    <w:rsid w:val="0029626E"/>
    <w:rsid w:val="00296E59"/>
    <w:rsid w:val="00297CEF"/>
    <w:rsid w:val="002A0364"/>
    <w:rsid w:val="002A1661"/>
    <w:rsid w:val="002A1A25"/>
    <w:rsid w:val="002A563C"/>
    <w:rsid w:val="002B05EF"/>
    <w:rsid w:val="002B2E34"/>
    <w:rsid w:val="002B481E"/>
    <w:rsid w:val="002B76FA"/>
    <w:rsid w:val="002C029E"/>
    <w:rsid w:val="002C2027"/>
    <w:rsid w:val="002C2C71"/>
    <w:rsid w:val="002C32FF"/>
    <w:rsid w:val="002C5A65"/>
    <w:rsid w:val="002C71F3"/>
    <w:rsid w:val="002D1E5A"/>
    <w:rsid w:val="002D2112"/>
    <w:rsid w:val="002D4FAD"/>
    <w:rsid w:val="002D53D7"/>
    <w:rsid w:val="002D5508"/>
    <w:rsid w:val="002D5FC1"/>
    <w:rsid w:val="002D7AB3"/>
    <w:rsid w:val="002E0326"/>
    <w:rsid w:val="002E1D3C"/>
    <w:rsid w:val="002E1F73"/>
    <w:rsid w:val="002E269D"/>
    <w:rsid w:val="002E3460"/>
    <w:rsid w:val="002E4DCD"/>
    <w:rsid w:val="002E57C4"/>
    <w:rsid w:val="002E70AE"/>
    <w:rsid w:val="002F0C41"/>
    <w:rsid w:val="002F5B6A"/>
    <w:rsid w:val="002F5BF5"/>
    <w:rsid w:val="002F5ECA"/>
    <w:rsid w:val="003000EC"/>
    <w:rsid w:val="003026A7"/>
    <w:rsid w:val="00306572"/>
    <w:rsid w:val="0030692E"/>
    <w:rsid w:val="003079C7"/>
    <w:rsid w:val="00312E60"/>
    <w:rsid w:val="0031620A"/>
    <w:rsid w:val="003162A3"/>
    <w:rsid w:val="003169F3"/>
    <w:rsid w:val="0032078D"/>
    <w:rsid w:val="00321CE0"/>
    <w:rsid w:val="0032231F"/>
    <w:rsid w:val="00323B43"/>
    <w:rsid w:val="00325BCC"/>
    <w:rsid w:val="003309A3"/>
    <w:rsid w:val="003345BC"/>
    <w:rsid w:val="0033484A"/>
    <w:rsid w:val="00343662"/>
    <w:rsid w:val="00343944"/>
    <w:rsid w:val="00344016"/>
    <w:rsid w:val="0035365E"/>
    <w:rsid w:val="00355403"/>
    <w:rsid w:val="003569A8"/>
    <w:rsid w:val="00361FFF"/>
    <w:rsid w:val="00362340"/>
    <w:rsid w:val="00362F1F"/>
    <w:rsid w:val="00362FDF"/>
    <w:rsid w:val="003653A5"/>
    <w:rsid w:val="00366971"/>
    <w:rsid w:val="00367DF7"/>
    <w:rsid w:val="00370A96"/>
    <w:rsid w:val="00370AFA"/>
    <w:rsid w:val="0037120F"/>
    <w:rsid w:val="0037242E"/>
    <w:rsid w:val="003727B3"/>
    <w:rsid w:val="003743E9"/>
    <w:rsid w:val="00377FB9"/>
    <w:rsid w:val="0038005F"/>
    <w:rsid w:val="003803CC"/>
    <w:rsid w:val="00382949"/>
    <w:rsid w:val="00391AE3"/>
    <w:rsid w:val="00396D4C"/>
    <w:rsid w:val="003A02BE"/>
    <w:rsid w:val="003A1765"/>
    <w:rsid w:val="003A176E"/>
    <w:rsid w:val="003A2829"/>
    <w:rsid w:val="003A3C32"/>
    <w:rsid w:val="003A4D02"/>
    <w:rsid w:val="003A4D52"/>
    <w:rsid w:val="003A536E"/>
    <w:rsid w:val="003B2198"/>
    <w:rsid w:val="003B6DEC"/>
    <w:rsid w:val="003B79D3"/>
    <w:rsid w:val="003C022D"/>
    <w:rsid w:val="003C2B92"/>
    <w:rsid w:val="003C5CDA"/>
    <w:rsid w:val="003C5E07"/>
    <w:rsid w:val="003D126B"/>
    <w:rsid w:val="003D1D33"/>
    <w:rsid w:val="003D22C9"/>
    <w:rsid w:val="003D28AC"/>
    <w:rsid w:val="003D37D8"/>
    <w:rsid w:val="003D7B2A"/>
    <w:rsid w:val="003E01D3"/>
    <w:rsid w:val="003E2102"/>
    <w:rsid w:val="003E266C"/>
    <w:rsid w:val="003E3C05"/>
    <w:rsid w:val="003F282F"/>
    <w:rsid w:val="003F4952"/>
    <w:rsid w:val="003F52EF"/>
    <w:rsid w:val="00400E89"/>
    <w:rsid w:val="004010C8"/>
    <w:rsid w:val="00401AB4"/>
    <w:rsid w:val="00402CA2"/>
    <w:rsid w:val="00402D95"/>
    <w:rsid w:val="0040328E"/>
    <w:rsid w:val="00403ADD"/>
    <w:rsid w:val="00407629"/>
    <w:rsid w:val="004108EE"/>
    <w:rsid w:val="00410F1A"/>
    <w:rsid w:val="00412A31"/>
    <w:rsid w:val="0041336A"/>
    <w:rsid w:val="004200B9"/>
    <w:rsid w:val="00422CF1"/>
    <w:rsid w:val="00426133"/>
    <w:rsid w:val="004300B1"/>
    <w:rsid w:val="004306DB"/>
    <w:rsid w:val="00430AF8"/>
    <w:rsid w:val="0043148F"/>
    <w:rsid w:val="0043354D"/>
    <w:rsid w:val="00434EB0"/>
    <w:rsid w:val="0043559E"/>
    <w:rsid w:val="004358AB"/>
    <w:rsid w:val="00435DA7"/>
    <w:rsid w:val="004370A2"/>
    <w:rsid w:val="00445C28"/>
    <w:rsid w:val="00445DF6"/>
    <w:rsid w:val="004468B5"/>
    <w:rsid w:val="0045057D"/>
    <w:rsid w:val="00451E9F"/>
    <w:rsid w:val="004531DE"/>
    <w:rsid w:val="004551F1"/>
    <w:rsid w:val="00456648"/>
    <w:rsid w:val="00457953"/>
    <w:rsid w:val="00457E00"/>
    <w:rsid w:val="00461463"/>
    <w:rsid w:val="00461E7C"/>
    <w:rsid w:val="004639E0"/>
    <w:rsid w:val="00463A6D"/>
    <w:rsid w:val="00465A21"/>
    <w:rsid w:val="0047047F"/>
    <w:rsid w:val="00472C49"/>
    <w:rsid w:val="00474DE3"/>
    <w:rsid w:val="004760E9"/>
    <w:rsid w:val="00476684"/>
    <w:rsid w:val="00477959"/>
    <w:rsid w:val="00486217"/>
    <w:rsid w:val="00486A56"/>
    <w:rsid w:val="00491B14"/>
    <w:rsid w:val="00494892"/>
    <w:rsid w:val="00494D73"/>
    <w:rsid w:val="0049725F"/>
    <w:rsid w:val="004A19C4"/>
    <w:rsid w:val="004A6EA4"/>
    <w:rsid w:val="004B146A"/>
    <w:rsid w:val="004B1E69"/>
    <w:rsid w:val="004B2E62"/>
    <w:rsid w:val="004B4146"/>
    <w:rsid w:val="004B5892"/>
    <w:rsid w:val="004B59DD"/>
    <w:rsid w:val="004B5E88"/>
    <w:rsid w:val="004B5EDE"/>
    <w:rsid w:val="004B6CAA"/>
    <w:rsid w:val="004C0341"/>
    <w:rsid w:val="004C46D3"/>
    <w:rsid w:val="004C5D39"/>
    <w:rsid w:val="004C6C0B"/>
    <w:rsid w:val="004C7656"/>
    <w:rsid w:val="004C7C48"/>
    <w:rsid w:val="004D17CA"/>
    <w:rsid w:val="004D21B9"/>
    <w:rsid w:val="004D21FF"/>
    <w:rsid w:val="004D2DD5"/>
    <w:rsid w:val="004D41F0"/>
    <w:rsid w:val="004D55F1"/>
    <w:rsid w:val="004D578A"/>
    <w:rsid w:val="004D656B"/>
    <w:rsid w:val="004D7137"/>
    <w:rsid w:val="004D7523"/>
    <w:rsid w:val="004E0AA9"/>
    <w:rsid w:val="004E1AEF"/>
    <w:rsid w:val="004E3774"/>
    <w:rsid w:val="004E3E80"/>
    <w:rsid w:val="004E446B"/>
    <w:rsid w:val="004E5448"/>
    <w:rsid w:val="004E5DFC"/>
    <w:rsid w:val="004E642E"/>
    <w:rsid w:val="004E76FF"/>
    <w:rsid w:val="004E7ADC"/>
    <w:rsid w:val="004F4875"/>
    <w:rsid w:val="004F669D"/>
    <w:rsid w:val="004F6965"/>
    <w:rsid w:val="004F7EB2"/>
    <w:rsid w:val="00500A1D"/>
    <w:rsid w:val="00502B9D"/>
    <w:rsid w:val="005031BA"/>
    <w:rsid w:val="005055F7"/>
    <w:rsid w:val="00507211"/>
    <w:rsid w:val="00507934"/>
    <w:rsid w:val="0051171B"/>
    <w:rsid w:val="00512D1D"/>
    <w:rsid w:val="005131A5"/>
    <w:rsid w:val="00515160"/>
    <w:rsid w:val="00516D5A"/>
    <w:rsid w:val="005170FB"/>
    <w:rsid w:val="00517D5F"/>
    <w:rsid w:val="00520F4F"/>
    <w:rsid w:val="0052300D"/>
    <w:rsid w:val="00523B77"/>
    <w:rsid w:val="0052474C"/>
    <w:rsid w:val="00525074"/>
    <w:rsid w:val="00525520"/>
    <w:rsid w:val="005319EE"/>
    <w:rsid w:val="00531BE2"/>
    <w:rsid w:val="005421AC"/>
    <w:rsid w:val="00544C1A"/>
    <w:rsid w:val="005457F5"/>
    <w:rsid w:val="00546D1B"/>
    <w:rsid w:val="00546F2B"/>
    <w:rsid w:val="0055027D"/>
    <w:rsid w:val="005537A9"/>
    <w:rsid w:val="00554FA1"/>
    <w:rsid w:val="00556934"/>
    <w:rsid w:val="00556D2D"/>
    <w:rsid w:val="00557BF3"/>
    <w:rsid w:val="005607DF"/>
    <w:rsid w:val="00564377"/>
    <w:rsid w:val="00564538"/>
    <w:rsid w:val="00566A89"/>
    <w:rsid w:val="00567E07"/>
    <w:rsid w:val="00571AB6"/>
    <w:rsid w:val="00574F49"/>
    <w:rsid w:val="0057548B"/>
    <w:rsid w:val="00576665"/>
    <w:rsid w:val="005771F7"/>
    <w:rsid w:val="00577B7B"/>
    <w:rsid w:val="00581779"/>
    <w:rsid w:val="00581A91"/>
    <w:rsid w:val="00583F7F"/>
    <w:rsid w:val="0058600B"/>
    <w:rsid w:val="005865D9"/>
    <w:rsid w:val="005873F8"/>
    <w:rsid w:val="00587913"/>
    <w:rsid w:val="00593428"/>
    <w:rsid w:val="00593B65"/>
    <w:rsid w:val="00595E9B"/>
    <w:rsid w:val="005A1549"/>
    <w:rsid w:val="005A15D6"/>
    <w:rsid w:val="005A1FD8"/>
    <w:rsid w:val="005A317D"/>
    <w:rsid w:val="005A79F9"/>
    <w:rsid w:val="005B7753"/>
    <w:rsid w:val="005C2344"/>
    <w:rsid w:val="005C3594"/>
    <w:rsid w:val="005C46B7"/>
    <w:rsid w:val="005C7C8B"/>
    <w:rsid w:val="005D00DA"/>
    <w:rsid w:val="005D5617"/>
    <w:rsid w:val="005D6591"/>
    <w:rsid w:val="005D6869"/>
    <w:rsid w:val="005D7446"/>
    <w:rsid w:val="005E5F88"/>
    <w:rsid w:val="005F06F5"/>
    <w:rsid w:val="005F06F9"/>
    <w:rsid w:val="005F46C0"/>
    <w:rsid w:val="005F471D"/>
    <w:rsid w:val="005F59E4"/>
    <w:rsid w:val="005F634D"/>
    <w:rsid w:val="005F668B"/>
    <w:rsid w:val="005F720A"/>
    <w:rsid w:val="005F7467"/>
    <w:rsid w:val="005F78E7"/>
    <w:rsid w:val="006007F3"/>
    <w:rsid w:val="00601601"/>
    <w:rsid w:val="0060402C"/>
    <w:rsid w:val="00605D67"/>
    <w:rsid w:val="00610715"/>
    <w:rsid w:val="0061252A"/>
    <w:rsid w:val="006135B3"/>
    <w:rsid w:val="006138D4"/>
    <w:rsid w:val="006139AC"/>
    <w:rsid w:val="006149A7"/>
    <w:rsid w:val="006151AA"/>
    <w:rsid w:val="00616C03"/>
    <w:rsid w:val="00616F30"/>
    <w:rsid w:val="006215A2"/>
    <w:rsid w:val="00621F7D"/>
    <w:rsid w:val="00622828"/>
    <w:rsid w:val="00622AD1"/>
    <w:rsid w:val="00623267"/>
    <w:rsid w:val="00625428"/>
    <w:rsid w:val="0062637F"/>
    <w:rsid w:val="0062670B"/>
    <w:rsid w:val="00627CDE"/>
    <w:rsid w:val="00630B86"/>
    <w:rsid w:val="00630F5B"/>
    <w:rsid w:val="00634C66"/>
    <w:rsid w:val="006352D1"/>
    <w:rsid w:val="00635C1C"/>
    <w:rsid w:val="00636594"/>
    <w:rsid w:val="00636E1A"/>
    <w:rsid w:val="006376AA"/>
    <w:rsid w:val="00642BA5"/>
    <w:rsid w:val="006434E0"/>
    <w:rsid w:val="00650C90"/>
    <w:rsid w:val="0065172D"/>
    <w:rsid w:val="0065287D"/>
    <w:rsid w:val="0065671B"/>
    <w:rsid w:val="00656A5A"/>
    <w:rsid w:val="00663A42"/>
    <w:rsid w:val="00663E79"/>
    <w:rsid w:val="0066418E"/>
    <w:rsid w:val="0066469F"/>
    <w:rsid w:val="0067369C"/>
    <w:rsid w:val="00673AEB"/>
    <w:rsid w:val="00675A60"/>
    <w:rsid w:val="006765AC"/>
    <w:rsid w:val="0067780F"/>
    <w:rsid w:val="00684FF3"/>
    <w:rsid w:val="006862C7"/>
    <w:rsid w:val="00686C30"/>
    <w:rsid w:val="00690FA3"/>
    <w:rsid w:val="0069331D"/>
    <w:rsid w:val="00696636"/>
    <w:rsid w:val="00696DF8"/>
    <w:rsid w:val="0069783E"/>
    <w:rsid w:val="00697E26"/>
    <w:rsid w:val="006A0330"/>
    <w:rsid w:val="006A278A"/>
    <w:rsid w:val="006A3AE1"/>
    <w:rsid w:val="006A3B57"/>
    <w:rsid w:val="006A6AB2"/>
    <w:rsid w:val="006B117D"/>
    <w:rsid w:val="006B19B7"/>
    <w:rsid w:val="006B392C"/>
    <w:rsid w:val="006B3D98"/>
    <w:rsid w:val="006B4CC0"/>
    <w:rsid w:val="006B65B0"/>
    <w:rsid w:val="006C041B"/>
    <w:rsid w:val="006C5198"/>
    <w:rsid w:val="006C6A07"/>
    <w:rsid w:val="006D2EA3"/>
    <w:rsid w:val="006D3397"/>
    <w:rsid w:val="006D3FDD"/>
    <w:rsid w:val="006E0A3D"/>
    <w:rsid w:val="006E27F1"/>
    <w:rsid w:val="006E2D37"/>
    <w:rsid w:val="006E46B5"/>
    <w:rsid w:val="006E5BC8"/>
    <w:rsid w:val="006E7CBA"/>
    <w:rsid w:val="006F222F"/>
    <w:rsid w:val="006F2D08"/>
    <w:rsid w:val="006F2D20"/>
    <w:rsid w:val="006F6C8B"/>
    <w:rsid w:val="006F7B69"/>
    <w:rsid w:val="00700360"/>
    <w:rsid w:val="0070241F"/>
    <w:rsid w:val="007024A9"/>
    <w:rsid w:val="00703C96"/>
    <w:rsid w:val="007126D1"/>
    <w:rsid w:val="007130D7"/>
    <w:rsid w:val="0071339D"/>
    <w:rsid w:val="00713B56"/>
    <w:rsid w:val="00713E98"/>
    <w:rsid w:val="00714229"/>
    <w:rsid w:val="00715591"/>
    <w:rsid w:val="00715AE8"/>
    <w:rsid w:val="007218C3"/>
    <w:rsid w:val="0072516F"/>
    <w:rsid w:val="00725208"/>
    <w:rsid w:val="0073034D"/>
    <w:rsid w:val="00731105"/>
    <w:rsid w:val="00731ADC"/>
    <w:rsid w:val="007330F2"/>
    <w:rsid w:val="007331A4"/>
    <w:rsid w:val="00733DB0"/>
    <w:rsid w:val="00735043"/>
    <w:rsid w:val="00737A28"/>
    <w:rsid w:val="00740444"/>
    <w:rsid w:val="00744305"/>
    <w:rsid w:val="00744577"/>
    <w:rsid w:val="007452CF"/>
    <w:rsid w:val="00746055"/>
    <w:rsid w:val="00746DA9"/>
    <w:rsid w:val="00746E5A"/>
    <w:rsid w:val="00747086"/>
    <w:rsid w:val="007515E2"/>
    <w:rsid w:val="00752E78"/>
    <w:rsid w:val="00756D66"/>
    <w:rsid w:val="00761D80"/>
    <w:rsid w:val="00762A9F"/>
    <w:rsid w:val="0076364A"/>
    <w:rsid w:val="00766FC5"/>
    <w:rsid w:val="00767831"/>
    <w:rsid w:val="00770E5B"/>
    <w:rsid w:val="00771F5B"/>
    <w:rsid w:val="00772930"/>
    <w:rsid w:val="00776E20"/>
    <w:rsid w:val="00777CFF"/>
    <w:rsid w:val="007814AF"/>
    <w:rsid w:val="00781AF4"/>
    <w:rsid w:val="007825F0"/>
    <w:rsid w:val="00787F88"/>
    <w:rsid w:val="0079721A"/>
    <w:rsid w:val="007A095C"/>
    <w:rsid w:val="007A0AF8"/>
    <w:rsid w:val="007A283A"/>
    <w:rsid w:val="007A468A"/>
    <w:rsid w:val="007A65C8"/>
    <w:rsid w:val="007A6B16"/>
    <w:rsid w:val="007A7AC4"/>
    <w:rsid w:val="007B639C"/>
    <w:rsid w:val="007B7036"/>
    <w:rsid w:val="007C0870"/>
    <w:rsid w:val="007C1F83"/>
    <w:rsid w:val="007C2D10"/>
    <w:rsid w:val="007C457D"/>
    <w:rsid w:val="007D02A9"/>
    <w:rsid w:val="007D166D"/>
    <w:rsid w:val="007D17C7"/>
    <w:rsid w:val="007D1B9E"/>
    <w:rsid w:val="007D2766"/>
    <w:rsid w:val="007D2FF7"/>
    <w:rsid w:val="007D3DC4"/>
    <w:rsid w:val="007D62FE"/>
    <w:rsid w:val="007D6CFD"/>
    <w:rsid w:val="007D70EE"/>
    <w:rsid w:val="007D74D8"/>
    <w:rsid w:val="007E13A4"/>
    <w:rsid w:val="007E20CA"/>
    <w:rsid w:val="007E38B0"/>
    <w:rsid w:val="007E3988"/>
    <w:rsid w:val="007E4698"/>
    <w:rsid w:val="007E6959"/>
    <w:rsid w:val="007E6991"/>
    <w:rsid w:val="007E7A36"/>
    <w:rsid w:val="007F222D"/>
    <w:rsid w:val="007F3FB7"/>
    <w:rsid w:val="007F518D"/>
    <w:rsid w:val="007F68FE"/>
    <w:rsid w:val="007F7E7E"/>
    <w:rsid w:val="00803C29"/>
    <w:rsid w:val="00804E5E"/>
    <w:rsid w:val="00804FAA"/>
    <w:rsid w:val="00805201"/>
    <w:rsid w:val="00805678"/>
    <w:rsid w:val="00805D26"/>
    <w:rsid w:val="00806C89"/>
    <w:rsid w:val="0081553D"/>
    <w:rsid w:val="00815BE9"/>
    <w:rsid w:val="00815C94"/>
    <w:rsid w:val="00815CF6"/>
    <w:rsid w:val="008164DF"/>
    <w:rsid w:val="00816990"/>
    <w:rsid w:val="00817981"/>
    <w:rsid w:val="00822851"/>
    <w:rsid w:val="00824A75"/>
    <w:rsid w:val="0082509A"/>
    <w:rsid w:val="00825A51"/>
    <w:rsid w:val="00825D53"/>
    <w:rsid w:val="008272DF"/>
    <w:rsid w:val="0083056A"/>
    <w:rsid w:val="00831065"/>
    <w:rsid w:val="008337A7"/>
    <w:rsid w:val="00835BCB"/>
    <w:rsid w:val="00836773"/>
    <w:rsid w:val="00836E6A"/>
    <w:rsid w:val="008410D0"/>
    <w:rsid w:val="00841559"/>
    <w:rsid w:val="0084365D"/>
    <w:rsid w:val="0084558B"/>
    <w:rsid w:val="00845924"/>
    <w:rsid w:val="00846107"/>
    <w:rsid w:val="00847E07"/>
    <w:rsid w:val="00851297"/>
    <w:rsid w:val="00852C43"/>
    <w:rsid w:val="00853737"/>
    <w:rsid w:val="008541B8"/>
    <w:rsid w:val="00857249"/>
    <w:rsid w:val="00857930"/>
    <w:rsid w:val="00861067"/>
    <w:rsid w:val="00862AE2"/>
    <w:rsid w:val="00862C25"/>
    <w:rsid w:val="00863CA2"/>
    <w:rsid w:val="00864A80"/>
    <w:rsid w:val="008655ED"/>
    <w:rsid w:val="00866942"/>
    <w:rsid w:val="00871B0D"/>
    <w:rsid w:val="00871B14"/>
    <w:rsid w:val="008735A1"/>
    <w:rsid w:val="00875962"/>
    <w:rsid w:val="00877682"/>
    <w:rsid w:val="00880325"/>
    <w:rsid w:val="00882ABD"/>
    <w:rsid w:val="0088304C"/>
    <w:rsid w:val="008835F8"/>
    <w:rsid w:val="008844A4"/>
    <w:rsid w:val="008857CC"/>
    <w:rsid w:val="00887E39"/>
    <w:rsid w:val="0089008A"/>
    <w:rsid w:val="008904B7"/>
    <w:rsid w:val="0089314F"/>
    <w:rsid w:val="0089328E"/>
    <w:rsid w:val="0089513A"/>
    <w:rsid w:val="00896069"/>
    <w:rsid w:val="00896786"/>
    <w:rsid w:val="008976AB"/>
    <w:rsid w:val="008A2C15"/>
    <w:rsid w:val="008A3DBA"/>
    <w:rsid w:val="008A483E"/>
    <w:rsid w:val="008A5601"/>
    <w:rsid w:val="008B4DA0"/>
    <w:rsid w:val="008B7726"/>
    <w:rsid w:val="008C08EC"/>
    <w:rsid w:val="008C2997"/>
    <w:rsid w:val="008C3D84"/>
    <w:rsid w:val="008C443B"/>
    <w:rsid w:val="008C538A"/>
    <w:rsid w:val="008D0618"/>
    <w:rsid w:val="008D1AEB"/>
    <w:rsid w:val="008D1E23"/>
    <w:rsid w:val="008D2A7C"/>
    <w:rsid w:val="008D3031"/>
    <w:rsid w:val="008D3A1C"/>
    <w:rsid w:val="008D433F"/>
    <w:rsid w:val="008D4F00"/>
    <w:rsid w:val="008D7CDA"/>
    <w:rsid w:val="008D7DBC"/>
    <w:rsid w:val="008E08B2"/>
    <w:rsid w:val="008E0AFC"/>
    <w:rsid w:val="008E1E43"/>
    <w:rsid w:val="008E3116"/>
    <w:rsid w:val="008E637F"/>
    <w:rsid w:val="008E66FE"/>
    <w:rsid w:val="008F27DB"/>
    <w:rsid w:val="008F5B6F"/>
    <w:rsid w:val="009002A3"/>
    <w:rsid w:val="0090038C"/>
    <w:rsid w:val="009007EC"/>
    <w:rsid w:val="00900EF5"/>
    <w:rsid w:val="00901EE5"/>
    <w:rsid w:val="009027DD"/>
    <w:rsid w:val="0090421D"/>
    <w:rsid w:val="00906447"/>
    <w:rsid w:val="0091349D"/>
    <w:rsid w:val="009141C7"/>
    <w:rsid w:val="009160EA"/>
    <w:rsid w:val="00920597"/>
    <w:rsid w:val="00921E42"/>
    <w:rsid w:val="00922872"/>
    <w:rsid w:val="0092425B"/>
    <w:rsid w:val="00924D39"/>
    <w:rsid w:val="00924FFE"/>
    <w:rsid w:val="009263C3"/>
    <w:rsid w:val="009268AB"/>
    <w:rsid w:val="009310E0"/>
    <w:rsid w:val="00935E6A"/>
    <w:rsid w:val="009364FF"/>
    <w:rsid w:val="00942397"/>
    <w:rsid w:val="009425B4"/>
    <w:rsid w:val="00946F52"/>
    <w:rsid w:val="00950F44"/>
    <w:rsid w:val="00952A7D"/>
    <w:rsid w:val="00952BF8"/>
    <w:rsid w:val="00953747"/>
    <w:rsid w:val="0095565A"/>
    <w:rsid w:val="00955918"/>
    <w:rsid w:val="00960439"/>
    <w:rsid w:val="00961D67"/>
    <w:rsid w:val="00962D93"/>
    <w:rsid w:val="009636EF"/>
    <w:rsid w:val="0096408D"/>
    <w:rsid w:val="009651A8"/>
    <w:rsid w:val="009657E9"/>
    <w:rsid w:val="009659D8"/>
    <w:rsid w:val="009663E6"/>
    <w:rsid w:val="0096666B"/>
    <w:rsid w:val="009719C3"/>
    <w:rsid w:val="009722EE"/>
    <w:rsid w:val="0097578E"/>
    <w:rsid w:val="00976E55"/>
    <w:rsid w:val="00976F88"/>
    <w:rsid w:val="009814B0"/>
    <w:rsid w:val="0098468F"/>
    <w:rsid w:val="009846BC"/>
    <w:rsid w:val="00984D41"/>
    <w:rsid w:val="009852BB"/>
    <w:rsid w:val="009853C4"/>
    <w:rsid w:val="0098547C"/>
    <w:rsid w:val="009860B4"/>
    <w:rsid w:val="00986724"/>
    <w:rsid w:val="0098718E"/>
    <w:rsid w:val="00993C9C"/>
    <w:rsid w:val="00994269"/>
    <w:rsid w:val="009942F0"/>
    <w:rsid w:val="0099439A"/>
    <w:rsid w:val="00994737"/>
    <w:rsid w:val="009A0F00"/>
    <w:rsid w:val="009A37AE"/>
    <w:rsid w:val="009A3938"/>
    <w:rsid w:val="009A4059"/>
    <w:rsid w:val="009A47EF"/>
    <w:rsid w:val="009A7412"/>
    <w:rsid w:val="009B1979"/>
    <w:rsid w:val="009B1E1B"/>
    <w:rsid w:val="009B2CC0"/>
    <w:rsid w:val="009B3A34"/>
    <w:rsid w:val="009B4C38"/>
    <w:rsid w:val="009C0DAB"/>
    <w:rsid w:val="009C18B8"/>
    <w:rsid w:val="009C1E20"/>
    <w:rsid w:val="009D0378"/>
    <w:rsid w:val="009D0F18"/>
    <w:rsid w:val="009D1EFB"/>
    <w:rsid w:val="009D24FD"/>
    <w:rsid w:val="009D2D7E"/>
    <w:rsid w:val="009D5964"/>
    <w:rsid w:val="009D6A0C"/>
    <w:rsid w:val="009D7ACF"/>
    <w:rsid w:val="009E0725"/>
    <w:rsid w:val="009E1492"/>
    <w:rsid w:val="009E15E7"/>
    <w:rsid w:val="009E4B3F"/>
    <w:rsid w:val="009E5877"/>
    <w:rsid w:val="009F030D"/>
    <w:rsid w:val="009F369A"/>
    <w:rsid w:val="009F69B0"/>
    <w:rsid w:val="00A00DDD"/>
    <w:rsid w:val="00A0310D"/>
    <w:rsid w:val="00A073F4"/>
    <w:rsid w:val="00A07BBE"/>
    <w:rsid w:val="00A16439"/>
    <w:rsid w:val="00A17A8C"/>
    <w:rsid w:val="00A21057"/>
    <w:rsid w:val="00A217CE"/>
    <w:rsid w:val="00A21DBB"/>
    <w:rsid w:val="00A21E86"/>
    <w:rsid w:val="00A22DFB"/>
    <w:rsid w:val="00A305E3"/>
    <w:rsid w:val="00A353F1"/>
    <w:rsid w:val="00A357B0"/>
    <w:rsid w:val="00A35B22"/>
    <w:rsid w:val="00A42B99"/>
    <w:rsid w:val="00A43A1F"/>
    <w:rsid w:val="00A479B6"/>
    <w:rsid w:val="00A50D3C"/>
    <w:rsid w:val="00A532E3"/>
    <w:rsid w:val="00A53AA5"/>
    <w:rsid w:val="00A54D9C"/>
    <w:rsid w:val="00A57200"/>
    <w:rsid w:val="00A57865"/>
    <w:rsid w:val="00A62B31"/>
    <w:rsid w:val="00A64850"/>
    <w:rsid w:val="00A65003"/>
    <w:rsid w:val="00A65202"/>
    <w:rsid w:val="00A73299"/>
    <w:rsid w:val="00A7433C"/>
    <w:rsid w:val="00A7536B"/>
    <w:rsid w:val="00A75E6F"/>
    <w:rsid w:val="00A80356"/>
    <w:rsid w:val="00A816B6"/>
    <w:rsid w:val="00A82D81"/>
    <w:rsid w:val="00A9067A"/>
    <w:rsid w:val="00A908EA"/>
    <w:rsid w:val="00A9458D"/>
    <w:rsid w:val="00A96C6F"/>
    <w:rsid w:val="00A96E79"/>
    <w:rsid w:val="00AA2033"/>
    <w:rsid w:val="00AA4A07"/>
    <w:rsid w:val="00AA5BA3"/>
    <w:rsid w:val="00AA6230"/>
    <w:rsid w:val="00AB06B9"/>
    <w:rsid w:val="00AB30AB"/>
    <w:rsid w:val="00AB632D"/>
    <w:rsid w:val="00AB7E75"/>
    <w:rsid w:val="00AC3C43"/>
    <w:rsid w:val="00AC5444"/>
    <w:rsid w:val="00AC70E1"/>
    <w:rsid w:val="00AD1D29"/>
    <w:rsid w:val="00AD328E"/>
    <w:rsid w:val="00AD5147"/>
    <w:rsid w:val="00AE0837"/>
    <w:rsid w:val="00AE11C8"/>
    <w:rsid w:val="00AE2D9C"/>
    <w:rsid w:val="00AE355C"/>
    <w:rsid w:val="00AE4EFC"/>
    <w:rsid w:val="00AE5731"/>
    <w:rsid w:val="00AE7127"/>
    <w:rsid w:val="00AF0630"/>
    <w:rsid w:val="00AF6BA2"/>
    <w:rsid w:val="00AF7801"/>
    <w:rsid w:val="00B019E2"/>
    <w:rsid w:val="00B020ED"/>
    <w:rsid w:val="00B036CB"/>
    <w:rsid w:val="00B130D5"/>
    <w:rsid w:val="00B13566"/>
    <w:rsid w:val="00B13A54"/>
    <w:rsid w:val="00B14220"/>
    <w:rsid w:val="00B16868"/>
    <w:rsid w:val="00B17251"/>
    <w:rsid w:val="00B174E8"/>
    <w:rsid w:val="00B2159A"/>
    <w:rsid w:val="00B2198E"/>
    <w:rsid w:val="00B21D32"/>
    <w:rsid w:val="00B27678"/>
    <w:rsid w:val="00B313B2"/>
    <w:rsid w:val="00B315C8"/>
    <w:rsid w:val="00B336FC"/>
    <w:rsid w:val="00B34A43"/>
    <w:rsid w:val="00B36912"/>
    <w:rsid w:val="00B404A0"/>
    <w:rsid w:val="00B41405"/>
    <w:rsid w:val="00B4256A"/>
    <w:rsid w:val="00B430D8"/>
    <w:rsid w:val="00B432AB"/>
    <w:rsid w:val="00B54D75"/>
    <w:rsid w:val="00B57453"/>
    <w:rsid w:val="00B60C2A"/>
    <w:rsid w:val="00B633F7"/>
    <w:rsid w:val="00B65FC0"/>
    <w:rsid w:val="00B7000C"/>
    <w:rsid w:val="00B707DD"/>
    <w:rsid w:val="00B719F4"/>
    <w:rsid w:val="00B736A8"/>
    <w:rsid w:val="00B73995"/>
    <w:rsid w:val="00B74DBC"/>
    <w:rsid w:val="00B75E08"/>
    <w:rsid w:val="00B76684"/>
    <w:rsid w:val="00B7698F"/>
    <w:rsid w:val="00B76C80"/>
    <w:rsid w:val="00B85610"/>
    <w:rsid w:val="00B85F5F"/>
    <w:rsid w:val="00B86395"/>
    <w:rsid w:val="00B86E2B"/>
    <w:rsid w:val="00B91DEC"/>
    <w:rsid w:val="00B92A56"/>
    <w:rsid w:val="00B931F8"/>
    <w:rsid w:val="00B95DB0"/>
    <w:rsid w:val="00B9722F"/>
    <w:rsid w:val="00B97741"/>
    <w:rsid w:val="00BA0721"/>
    <w:rsid w:val="00BA1883"/>
    <w:rsid w:val="00BA227D"/>
    <w:rsid w:val="00BA4C84"/>
    <w:rsid w:val="00BB13B7"/>
    <w:rsid w:val="00BB5F20"/>
    <w:rsid w:val="00BC09FC"/>
    <w:rsid w:val="00BC0DD5"/>
    <w:rsid w:val="00BC60E6"/>
    <w:rsid w:val="00BC6B2F"/>
    <w:rsid w:val="00BE0187"/>
    <w:rsid w:val="00BE66AA"/>
    <w:rsid w:val="00BE73B9"/>
    <w:rsid w:val="00BF444F"/>
    <w:rsid w:val="00BF77F5"/>
    <w:rsid w:val="00C01D8A"/>
    <w:rsid w:val="00C023EF"/>
    <w:rsid w:val="00C02DA1"/>
    <w:rsid w:val="00C15415"/>
    <w:rsid w:val="00C16FE4"/>
    <w:rsid w:val="00C172EB"/>
    <w:rsid w:val="00C22F98"/>
    <w:rsid w:val="00C2363B"/>
    <w:rsid w:val="00C258CD"/>
    <w:rsid w:val="00C26560"/>
    <w:rsid w:val="00C3062F"/>
    <w:rsid w:val="00C3234E"/>
    <w:rsid w:val="00C32E7A"/>
    <w:rsid w:val="00C408D9"/>
    <w:rsid w:val="00C42DB9"/>
    <w:rsid w:val="00C43D16"/>
    <w:rsid w:val="00C447FD"/>
    <w:rsid w:val="00C44B90"/>
    <w:rsid w:val="00C51434"/>
    <w:rsid w:val="00C51743"/>
    <w:rsid w:val="00C51A61"/>
    <w:rsid w:val="00C531CB"/>
    <w:rsid w:val="00C57393"/>
    <w:rsid w:val="00C610C9"/>
    <w:rsid w:val="00C64C71"/>
    <w:rsid w:val="00C6528B"/>
    <w:rsid w:val="00C661B3"/>
    <w:rsid w:val="00C70300"/>
    <w:rsid w:val="00C7037D"/>
    <w:rsid w:val="00C70637"/>
    <w:rsid w:val="00C71DC8"/>
    <w:rsid w:val="00C73E69"/>
    <w:rsid w:val="00C74592"/>
    <w:rsid w:val="00C767BA"/>
    <w:rsid w:val="00C8048C"/>
    <w:rsid w:val="00C80C68"/>
    <w:rsid w:val="00C828D9"/>
    <w:rsid w:val="00C86E9A"/>
    <w:rsid w:val="00C904D3"/>
    <w:rsid w:val="00C928A5"/>
    <w:rsid w:val="00C93A3D"/>
    <w:rsid w:val="00C94F0A"/>
    <w:rsid w:val="00CA3203"/>
    <w:rsid w:val="00CA3BA9"/>
    <w:rsid w:val="00CA6058"/>
    <w:rsid w:val="00CA6BD1"/>
    <w:rsid w:val="00CB1B1B"/>
    <w:rsid w:val="00CB3E03"/>
    <w:rsid w:val="00CB580D"/>
    <w:rsid w:val="00CB6098"/>
    <w:rsid w:val="00CB623E"/>
    <w:rsid w:val="00CC0BA5"/>
    <w:rsid w:val="00CC14B3"/>
    <w:rsid w:val="00CC1F3E"/>
    <w:rsid w:val="00CC236E"/>
    <w:rsid w:val="00CC2B2A"/>
    <w:rsid w:val="00CC56C9"/>
    <w:rsid w:val="00CC6216"/>
    <w:rsid w:val="00CC6A8D"/>
    <w:rsid w:val="00CC70FA"/>
    <w:rsid w:val="00CD1415"/>
    <w:rsid w:val="00CD37C3"/>
    <w:rsid w:val="00CD3911"/>
    <w:rsid w:val="00CD3AD0"/>
    <w:rsid w:val="00CD3C74"/>
    <w:rsid w:val="00CD3DA4"/>
    <w:rsid w:val="00CD4828"/>
    <w:rsid w:val="00CD48EF"/>
    <w:rsid w:val="00CD4BA1"/>
    <w:rsid w:val="00CD59A6"/>
    <w:rsid w:val="00CE13CC"/>
    <w:rsid w:val="00CE33C1"/>
    <w:rsid w:val="00CE3834"/>
    <w:rsid w:val="00CF148C"/>
    <w:rsid w:val="00CF3D94"/>
    <w:rsid w:val="00CF48A3"/>
    <w:rsid w:val="00CF5081"/>
    <w:rsid w:val="00CF63B5"/>
    <w:rsid w:val="00D03790"/>
    <w:rsid w:val="00D058E4"/>
    <w:rsid w:val="00D05FDA"/>
    <w:rsid w:val="00D07178"/>
    <w:rsid w:val="00D11C0B"/>
    <w:rsid w:val="00D11EE9"/>
    <w:rsid w:val="00D13F47"/>
    <w:rsid w:val="00D14E66"/>
    <w:rsid w:val="00D17631"/>
    <w:rsid w:val="00D17CD3"/>
    <w:rsid w:val="00D21B22"/>
    <w:rsid w:val="00D22D28"/>
    <w:rsid w:val="00D24AEB"/>
    <w:rsid w:val="00D24AFD"/>
    <w:rsid w:val="00D27902"/>
    <w:rsid w:val="00D27984"/>
    <w:rsid w:val="00D31D50"/>
    <w:rsid w:val="00D323E9"/>
    <w:rsid w:val="00D34F5B"/>
    <w:rsid w:val="00D35023"/>
    <w:rsid w:val="00D403B8"/>
    <w:rsid w:val="00D4202D"/>
    <w:rsid w:val="00D45C1B"/>
    <w:rsid w:val="00D45E14"/>
    <w:rsid w:val="00D51C9A"/>
    <w:rsid w:val="00D5318C"/>
    <w:rsid w:val="00D53371"/>
    <w:rsid w:val="00D53BD5"/>
    <w:rsid w:val="00D5457A"/>
    <w:rsid w:val="00D55621"/>
    <w:rsid w:val="00D6000E"/>
    <w:rsid w:val="00D663A6"/>
    <w:rsid w:val="00D713D6"/>
    <w:rsid w:val="00D72DAF"/>
    <w:rsid w:val="00D75981"/>
    <w:rsid w:val="00D75BB9"/>
    <w:rsid w:val="00D76276"/>
    <w:rsid w:val="00D77919"/>
    <w:rsid w:val="00D8083C"/>
    <w:rsid w:val="00D82FB6"/>
    <w:rsid w:val="00D852E8"/>
    <w:rsid w:val="00D85F8D"/>
    <w:rsid w:val="00D87F81"/>
    <w:rsid w:val="00D90E39"/>
    <w:rsid w:val="00D911FD"/>
    <w:rsid w:val="00D97E89"/>
    <w:rsid w:val="00DA45EE"/>
    <w:rsid w:val="00DA58A3"/>
    <w:rsid w:val="00DA671A"/>
    <w:rsid w:val="00DB2F5B"/>
    <w:rsid w:val="00DB46CB"/>
    <w:rsid w:val="00DB695F"/>
    <w:rsid w:val="00DB74B0"/>
    <w:rsid w:val="00DC03E7"/>
    <w:rsid w:val="00DC122B"/>
    <w:rsid w:val="00DC1FEB"/>
    <w:rsid w:val="00DC34C6"/>
    <w:rsid w:val="00DC3710"/>
    <w:rsid w:val="00DC3B9E"/>
    <w:rsid w:val="00DC4FB9"/>
    <w:rsid w:val="00DC545F"/>
    <w:rsid w:val="00DC54A9"/>
    <w:rsid w:val="00DC6139"/>
    <w:rsid w:val="00DC6686"/>
    <w:rsid w:val="00DC6D84"/>
    <w:rsid w:val="00DC78C4"/>
    <w:rsid w:val="00DC7F68"/>
    <w:rsid w:val="00DD1119"/>
    <w:rsid w:val="00DD1D7F"/>
    <w:rsid w:val="00DD360A"/>
    <w:rsid w:val="00DD7F91"/>
    <w:rsid w:val="00DE0985"/>
    <w:rsid w:val="00DE42BF"/>
    <w:rsid w:val="00DE4A1A"/>
    <w:rsid w:val="00DE4E11"/>
    <w:rsid w:val="00DE53FE"/>
    <w:rsid w:val="00DE6ED8"/>
    <w:rsid w:val="00DF51F3"/>
    <w:rsid w:val="00DF794B"/>
    <w:rsid w:val="00E00A5F"/>
    <w:rsid w:val="00E05D64"/>
    <w:rsid w:val="00E07ABB"/>
    <w:rsid w:val="00E07D8F"/>
    <w:rsid w:val="00E13762"/>
    <w:rsid w:val="00E14A8B"/>
    <w:rsid w:val="00E14E2F"/>
    <w:rsid w:val="00E1552D"/>
    <w:rsid w:val="00E16195"/>
    <w:rsid w:val="00E1640B"/>
    <w:rsid w:val="00E17AB0"/>
    <w:rsid w:val="00E21696"/>
    <w:rsid w:val="00E26176"/>
    <w:rsid w:val="00E317A6"/>
    <w:rsid w:val="00E3190E"/>
    <w:rsid w:val="00E31F05"/>
    <w:rsid w:val="00E32285"/>
    <w:rsid w:val="00E34295"/>
    <w:rsid w:val="00E3618E"/>
    <w:rsid w:val="00E3667E"/>
    <w:rsid w:val="00E37314"/>
    <w:rsid w:val="00E4228D"/>
    <w:rsid w:val="00E4254E"/>
    <w:rsid w:val="00E4608C"/>
    <w:rsid w:val="00E47198"/>
    <w:rsid w:val="00E502A2"/>
    <w:rsid w:val="00E5100C"/>
    <w:rsid w:val="00E521B6"/>
    <w:rsid w:val="00E52931"/>
    <w:rsid w:val="00E53ACE"/>
    <w:rsid w:val="00E5519B"/>
    <w:rsid w:val="00E55FEE"/>
    <w:rsid w:val="00E57BD3"/>
    <w:rsid w:val="00E57D38"/>
    <w:rsid w:val="00E65332"/>
    <w:rsid w:val="00E65F77"/>
    <w:rsid w:val="00E664B7"/>
    <w:rsid w:val="00E670CD"/>
    <w:rsid w:val="00E67EA9"/>
    <w:rsid w:val="00E763BB"/>
    <w:rsid w:val="00E7727F"/>
    <w:rsid w:val="00E83519"/>
    <w:rsid w:val="00E91889"/>
    <w:rsid w:val="00E91F0F"/>
    <w:rsid w:val="00E944E2"/>
    <w:rsid w:val="00E959A3"/>
    <w:rsid w:val="00E95C54"/>
    <w:rsid w:val="00E96103"/>
    <w:rsid w:val="00EA027D"/>
    <w:rsid w:val="00EA1B6A"/>
    <w:rsid w:val="00EA7E79"/>
    <w:rsid w:val="00EB0BB5"/>
    <w:rsid w:val="00EB0C8E"/>
    <w:rsid w:val="00EB22CF"/>
    <w:rsid w:val="00EB3414"/>
    <w:rsid w:val="00EB39DD"/>
    <w:rsid w:val="00EB40E4"/>
    <w:rsid w:val="00EB67BA"/>
    <w:rsid w:val="00EC16F8"/>
    <w:rsid w:val="00EC306F"/>
    <w:rsid w:val="00EC408E"/>
    <w:rsid w:val="00EC41F2"/>
    <w:rsid w:val="00EC4EB3"/>
    <w:rsid w:val="00EC5617"/>
    <w:rsid w:val="00EC7C9E"/>
    <w:rsid w:val="00ED11EA"/>
    <w:rsid w:val="00ED230D"/>
    <w:rsid w:val="00ED2440"/>
    <w:rsid w:val="00EE1C0B"/>
    <w:rsid w:val="00EE59D0"/>
    <w:rsid w:val="00EE7FF3"/>
    <w:rsid w:val="00EF26BF"/>
    <w:rsid w:val="00EF3BAE"/>
    <w:rsid w:val="00EF4861"/>
    <w:rsid w:val="00EF50C7"/>
    <w:rsid w:val="00EF5E19"/>
    <w:rsid w:val="00EF779D"/>
    <w:rsid w:val="00EF7E82"/>
    <w:rsid w:val="00F01970"/>
    <w:rsid w:val="00F01B91"/>
    <w:rsid w:val="00F06AF6"/>
    <w:rsid w:val="00F079A5"/>
    <w:rsid w:val="00F07F69"/>
    <w:rsid w:val="00F10329"/>
    <w:rsid w:val="00F107F9"/>
    <w:rsid w:val="00F111E0"/>
    <w:rsid w:val="00F117D4"/>
    <w:rsid w:val="00F15102"/>
    <w:rsid w:val="00F16475"/>
    <w:rsid w:val="00F20DE9"/>
    <w:rsid w:val="00F22D55"/>
    <w:rsid w:val="00F24A9A"/>
    <w:rsid w:val="00F2592D"/>
    <w:rsid w:val="00F25C5F"/>
    <w:rsid w:val="00F3182D"/>
    <w:rsid w:val="00F34EF2"/>
    <w:rsid w:val="00F3580F"/>
    <w:rsid w:val="00F406BB"/>
    <w:rsid w:val="00F44AD0"/>
    <w:rsid w:val="00F50144"/>
    <w:rsid w:val="00F50379"/>
    <w:rsid w:val="00F51206"/>
    <w:rsid w:val="00F5315B"/>
    <w:rsid w:val="00F53E6D"/>
    <w:rsid w:val="00F55102"/>
    <w:rsid w:val="00F57115"/>
    <w:rsid w:val="00F6298B"/>
    <w:rsid w:val="00F63B02"/>
    <w:rsid w:val="00F65350"/>
    <w:rsid w:val="00F65C21"/>
    <w:rsid w:val="00F6716B"/>
    <w:rsid w:val="00F6763D"/>
    <w:rsid w:val="00F700A6"/>
    <w:rsid w:val="00F70866"/>
    <w:rsid w:val="00F760D1"/>
    <w:rsid w:val="00F808EA"/>
    <w:rsid w:val="00F8151A"/>
    <w:rsid w:val="00F83788"/>
    <w:rsid w:val="00F8495B"/>
    <w:rsid w:val="00F84D69"/>
    <w:rsid w:val="00F85054"/>
    <w:rsid w:val="00F87AEF"/>
    <w:rsid w:val="00F87C14"/>
    <w:rsid w:val="00F91C95"/>
    <w:rsid w:val="00F930D1"/>
    <w:rsid w:val="00F94F61"/>
    <w:rsid w:val="00FA17B4"/>
    <w:rsid w:val="00FA356A"/>
    <w:rsid w:val="00FA3581"/>
    <w:rsid w:val="00FA51A4"/>
    <w:rsid w:val="00FB04AD"/>
    <w:rsid w:val="00FB10B8"/>
    <w:rsid w:val="00FB24BA"/>
    <w:rsid w:val="00FB28C8"/>
    <w:rsid w:val="00FB381D"/>
    <w:rsid w:val="00FB4DFD"/>
    <w:rsid w:val="00FB6172"/>
    <w:rsid w:val="00FB6492"/>
    <w:rsid w:val="00FC007D"/>
    <w:rsid w:val="00FC131A"/>
    <w:rsid w:val="00FC224A"/>
    <w:rsid w:val="00FC3F74"/>
    <w:rsid w:val="00FC43D6"/>
    <w:rsid w:val="00FD2208"/>
    <w:rsid w:val="00FD2EC4"/>
    <w:rsid w:val="00FD60B9"/>
    <w:rsid w:val="00FD63D3"/>
    <w:rsid w:val="00FD717D"/>
    <w:rsid w:val="00FE39A5"/>
    <w:rsid w:val="00FE44CF"/>
    <w:rsid w:val="00FF1239"/>
    <w:rsid w:val="00FF1AC1"/>
    <w:rsid w:val="00FF4639"/>
    <w:rsid w:val="00FF5DE3"/>
    <w:rsid w:val="00FF62F7"/>
    <w:rsid w:val="00FF6EAF"/>
    <w:rsid w:val="00FF7408"/>
    <w:rsid w:val="01F65399"/>
    <w:rsid w:val="026A1A9F"/>
    <w:rsid w:val="03226A0E"/>
    <w:rsid w:val="04260169"/>
    <w:rsid w:val="04CC4830"/>
    <w:rsid w:val="050945F2"/>
    <w:rsid w:val="050E4034"/>
    <w:rsid w:val="056F4DC0"/>
    <w:rsid w:val="05F86FA8"/>
    <w:rsid w:val="06174B4A"/>
    <w:rsid w:val="06342461"/>
    <w:rsid w:val="06545159"/>
    <w:rsid w:val="065C2670"/>
    <w:rsid w:val="06677EA2"/>
    <w:rsid w:val="06F06056"/>
    <w:rsid w:val="07021FF9"/>
    <w:rsid w:val="071C7BC7"/>
    <w:rsid w:val="075A67A2"/>
    <w:rsid w:val="0840050B"/>
    <w:rsid w:val="086D38AF"/>
    <w:rsid w:val="08C44882"/>
    <w:rsid w:val="08C94E4D"/>
    <w:rsid w:val="0915227D"/>
    <w:rsid w:val="09164C3B"/>
    <w:rsid w:val="099842FD"/>
    <w:rsid w:val="0A3A2559"/>
    <w:rsid w:val="0A805158"/>
    <w:rsid w:val="0AF87126"/>
    <w:rsid w:val="0B4B1CD9"/>
    <w:rsid w:val="0B9B2EBC"/>
    <w:rsid w:val="0BA309DB"/>
    <w:rsid w:val="0BC90D6D"/>
    <w:rsid w:val="0BCB508B"/>
    <w:rsid w:val="0C070B14"/>
    <w:rsid w:val="0C1A22A8"/>
    <w:rsid w:val="0C26236E"/>
    <w:rsid w:val="0C9306BE"/>
    <w:rsid w:val="0CB05CD1"/>
    <w:rsid w:val="0D1B39E9"/>
    <w:rsid w:val="0DCB2021"/>
    <w:rsid w:val="0E3A01CC"/>
    <w:rsid w:val="0E9172D3"/>
    <w:rsid w:val="0EF1422C"/>
    <w:rsid w:val="0F3B23D4"/>
    <w:rsid w:val="0F3B3DD7"/>
    <w:rsid w:val="107B6AE8"/>
    <w:rsid w:val="11195DC6"/>
    <w:rsid w:val="115A70AD"/>
    <w:rsid w:val="116421D6"/>
    <w:rsid w:val="11EA1B00"/>
    <w:rsid w:val="121F5AC5"/>
    <w:rsid w:val="125037BB"/>
    <w:rsid w:val="12521250"/>
    <w:rsid w:val="12524B60"/>
    <w:rsid w:val="12E866AF"/>
    <w:rsid w:val="130C55D8"/>
    <w:rsid w:val="13244A23"/>
    <w:rsid w:val="13EE6B6B"/>
    <w:rsid w:val="1472386E"/>
    <w:rsid w:val="148F0FC6"/>
    <w:rsid w:val="151600A7"/>
    <w:rsid w:val="159F345A"/>
    <w:rsid w:val="15E43EF8"/>
    <w:rsid w:val="16A81136"/>
    <w:rsid w:val="16AC4207"/>
    <w:rsid w:val="178A56FB"/>
    <w:rsid w:val="17A8647B"/>
    <w:rsid w:val="18253B4C"/>
    <w:rsid w:val="190F1674"/>
    <w:rsid w:val="19132D2F"/>
    <w:rsid w:val="19210747"/>
    <w:rsid w:val="196E7CB2"/>
    <w:rsid w:val="198759D2"/>
    <w:rsid w:val="19D72BB5"/>
    <w:rsid w:val="1AD212BF"/>
    <w:rsid w:val="1AF900F3"/>
    <w:rsid w:val="1AFC6A2C"/>
    <w:rsid w:val="1BE0351A"/>
    <w:rsid w:val="1C120302"/>
    <w:rsid w:val="1C442FCB"/>
    <w:rsid w:val="1C532B00"/>
    <w:rsid w:val="1CCC12C5"/>
    <w:rsid w:val="1D1B1BAD"/>
    <w:rsid w:val="1D401A6B"/>
    <w:rsid w:val="1DCC5DA5"/>
    <w:rsid w:val="1E8A015B"/>
    <w:rsid w:val="1EA00E4A"/>
    <w:rsid w:val="1F4F1109"/>
    <w:rsid w:val="1F6A0646"/>
    <w:rsid w:val="206A0332"/>
    <w:rsid w:val="2091595B"/>
    <w:rsid w:val="20F51AC3"/>
    <w:rsid w:val="21AE6D2F"/>
    <w:rsid w:val="21C21552"/>
    <w:rsid w:val="21C3713A"/>
    <w:rsid w:val="24DA6297"/>
    <w:rsid w:val="252F3CBE"/>
    <w:rsid w:val="26694CDB"/>
    <w:rsid w:val="282C171E"/>
    <w:rsid w:val="2849297F"/>
    <w:rsid w:val="2936596A"/>
    <w:rsid w:val="2997006D"/>
    <w:rsid w:val="29AC5EF0"/>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7B20C5"/>
    <w:rsid w:val="32A33E31"/>
    <w:rsid w:val="32D048D8"/>
    <w:rsid w:val="32D3622F"/>
    <w:rsid w:val="32D63CF2"/>
    <w:rsid w:val="32F26097"/>
    <w:rsid w:val="3341799D"/>
    <w:rsid w:val="337A399F"/>
    <w:rsid w:val="337F2EFA"/>
    <w:rsid w:val="339029A7"/>
    <w:rsid w:val="33CC5FD9"/>
    <w:rsid w:val="34697607"/>
    <w:rsid w:val="34DC6FBF"/>
    <w:rsid w:val="352019FA"/>
    <w:rsid w:val="35731520"/>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B3315C9"/>
    <w:rsid w:val="3B3666AA"/>
    <w:rsid w:val="3B5D03F9"/>
    <w:rsid w:val="3B9C69ED"/>
    <w:rsid w:val="3C075E40"/>
    <w:rsid w:val="3C0F314C"/>
    <w:rsid w:val="3C8400FD"/>
    <w:rsid w:val="3C8D5215"/>
    <w:rsid w:val="3CB96E1E"/>
    <w:rsid w:val="3E2A5A13"/>
    <w:rsid w:val="3E6A5C1B"/>
    <w:rsid w:val="3E951BD3"/>
    <w:rsid w:val="3EB91E59"/>
    <w:rsid w:val="3FA23A80"/>
    <w:rsid w:val="3FB75DF9"/>
    <w:rsid w:val="418368ED"/>
    <w:rsid w:val="425C64FC"/>
    <w:rsid w:val="4278675D"/>
    <w:rsid w:val="431F105C"/>
    <w:rsid w:val="43F003B4"/>
    <w:rsid w:val="446458DA"/>
    <w:rsid w:val="446645C4"/>
    <w:rsid w:val="44E00C2F"/>
    <w:rsid w:val="44F12828"/>
    <w:rsid w:val="453F4EE8"/>
    <w:rsid w:val="457E0C0E"/>
    <w:rsid w:val="45A27895"/>
    <w:rsid w:val="4654463C"/>
    <w:rsid w:val="469D1E1F"/>
    <w:rsid w:val="4703453A"/>
    <w:rsid w:val="47401AE3"/>
    <w:rsid w:val="47847F9B"/>
    <w:rsid w:val="47B6276E"/>
    <w:rsid w:val="47D7714D"/>
    <w:rsid w:val="48CA305E"/>
    <w:rsid w:val="491D1161"/>
    <w:rsid w:val="4945471C"/>
    <w:rsid w:val="49C23604"/>
    <w:rsid w:val="4A6500D9"/>
    <w:rsid w:val="4B4D56DB"/>
    <w:rsid w:val="4BCB58DC"/>
    <w:rsid w:val="4BE87F26"/>
    <w:rsid w:val="4C081E20"/>
    <w:rsid w:val="4C3974A1"/>
    <w:rsid w:val="4C4D743A"/>
    <w:rsid w:val="4C561056"/>
    <w:rsid w:val="4CDC25C4"/>
    <w:rsid w:val="4D2A1AAB"/>
    <w:rsid w:val="4DBE15DE"/>
    <w:rsid w:val="4DFF45BC"/>
    <w:rsid w:val="4E61428A"/>
    <w:rsid w:val="4E7B705D"/>
    <w:rsid w:val="4ECB455C"/>
    <w:rsid w:val="4EF16D21"/>
    <w:rsid w:val="4F4E6BEF"/>
    <w:rsid w:val="4F6745C5"/>
    <w:rsid w:val="4F751E54"/>
    <w:rsid w:val="4FA9510C"/>
    <w:rsid w:val="50891C17"/>
    <w:rsid w:val="520E7D39"/>
    <w:rsid w:val="527310FD"/>
    <w:rsid w:val="52C145B3"/>
    <w:rsid w:val="532C19FA"/>
    <w:rsid w:val="536C046F"/>
    <w:rsid w:val="53777260"/>
    <w:rsid w:val="53BD324D"/>
    <w:rsid w:val="53DA3FDB"/>
    <w:rsid w:val="54B52F23"/>
    <w:rsid w:val="559025B5"/>
    <w:rsid w:val="55BE6F35"/>
    <w:rsid w:val="56AB5747"/>
    <w:rsid w:val="57466A30"/>
    <w:rsid w:val="57E7750E"/>
    <w:rsid w:val="582C3304"/>
    <w:rsid w:val="583E683E"/>
    <w:rsid w:val="584263FC"/>
    <w:rsid w:val="58AA248A"/>
    <w:rsid w:val="592757C1"/>
    <w:rsid w:val="5A097D45"/>
    <w:rsid w:val="5A232744"/>
    <w:rsid w:val="5A8E433F"/>
    <w:rsid w:val="5ACC5639"/>
    <w:rsid w:val="5AFE0937"/>
    <w:rsid w:val="5B022AFF"/>
    <w:rsid w:val="5B1C238B"/>
    <w:rsid w:val="5BB72396"/>
    <w:rsid w:val="5BDA2541"/>
    <w:rsid w:val="5C8E70AE"/>
    <w:rsid w:val="5C9700DF"/>
    <w:rsid w:val="5CFF5AEE"/>
    <w:rsid w:val="5D5260D6"/>
    <w:rsid w:val="5E4106DA"/>
    <w:rsid w:val="5E4B362D"/>
    <w:rsid w:val="5E4B3828"/>
    <w:rsid w:val="5EC32979"/>
    <w:rsid w:val="5EFC5263"/>
    <w:rsid w:val="5F2B51D9"/>
    <w:rsid w:val="5F37440C"/>
    <w:rsid w:val="609E7926"/>
    <w:rsid w:val="60CC769A"/>
    <w:rsid w:val="60F3280A"/>
    <w:rsid w:val="615A0826"/>
    <w:rsid w:val="616E5025"/>
    <w:rsid w:val="62117B48"/>
    <w:rsid w:val="6233066F"/>
    <w:rsid w:val="625714F8"/>
    <w:rsid w:val="62AF2B34"/>
    <w:rsid w:val="62D7081D"/>
    <w:rsid w:val="63687194"/>
    <w:rsid w:val="638E50BC"/>
    <w:rsid w:val="64D27A6F"/>
    <w:rsid w:val="65765688"/>
    <w:rsid w:val="65A40D91"/>
    <w:rsid w:val="66F55A6B"/>
    <w:rsid w:val="67327F2E"/>
    <w:rsid w:val="674609A7"/>
    <w:rsid w:val="67465B30"/>
    <w:rsid w:val="68082611"/>
    <w:rsid w:val="688C533B"/>
    <w:rsid w:val="692F0DD2"/>
    <w:rsid w:val="692F6DB1"/>
    <w:rsid w:val="696B16A5"/>
    <w:rsid w:val="69772905"/>
    <w:rsid w:val="6A360EF4"/>
    <w:rsid w:val="6A736A2C"/>
    <w:rsid w:val="6AC4173D"/>
    <w:rsid w:val="6B3F6E7C"/>
    <w:rsid w:val="6B4F76A1"/>
    <w:rsid w:val="6BB6746F"/>
    <w:rsid w:val="6BFD03AE"/>
    <w:rsid w:val="6BFF6077"/>
    <w:rsid w:val="6C2308EC"/>
    <w:rsid w:val="6C867767"/>
    <w:rsid w:val="6CA34648"/>
    <w:rsid w:val="6D031FFE"/>
    <w:rsid w:val="6D870368"/>
    <w:rsid w:val="6DEF74D5"/>
    <w:rsid w:val="6E9856D0"/>
    <w:rsid w:val="6EB840FC"/>
    <w:rsid w:val="6EE920DC"/>
    <w:rsid w:val="6F377C99"/>
    <w:rsid w:val="6F7E7DE2"/>
    <w:rsid w:val="6FAA433E"/>
    <w:rsid w:val="704F1D50"/>
    <w:rsid w:val="7062369D"/>
    <w:rsid w:val="70D8666D"/>
    <w:rsid w:val="70F82977"/>
    <w:rsid w:val="711203ED"/>
    <w:rsid w:val="712A76BE"/>
    <w:rsid w:val="716D6D00"/>
    <w:rsid w:val="719901C6"/>
    <w:rsid w:val="71B131C3"/>
    <w:rsid w:val="71CC5821"/>
    <w:rsid w:val="71F26BCA"/>
    <w:rsid w:val="720542F1"/>
    <w:rsid w:val="72380013"/>
    <w:rsid w:val="72540D30"/>
    <w:rsid w:val="73426C39"/>
    <w:rsid w:val="73594771"/>
    <w:rsid w:val="740F0E4D"/>
    <w:rsid w:val="7469799F"/>
    <w:rsid w:val="74A66F51"/>
    <w:rsid w:val="74E24705"/>
    <w:rsid w:val="750506F3"/>
    <w:rsid w:val="758944AE"/>
    <w:rsid w:val="758C4507"/>
    <w:rsid w:val="75AA1A6C"/>
    <w:rsid w:val="75E95813"/>
    <w:rsid w:val="76C0735A"/>
    <w:rsid w:val="76DE39EB"/>
    <w:rsid w:val="774B42DA"/>
    <w:rsid w:val="77CC2AC5"/>
    <w:rsid w:val="78AC0F28"/>
    <w:rsid w:val="78AD7E4B"/>
    <w:rsid w:val="7922758B"/>
    <w:rsid w:val="79766799"/>
    <w:rsid w:val="79B255D2"/>
    <w:rsid w:val="79B45BBB"/>
    <w:rsid w:val="79D0307E"/>
    <w:rsid w:val="79DE121D"/>
    <w:rsid w:val="79E249A2"/>
    <w:rsid w:val="7A5C7B4D"/>
    <w:rsid w:val="7B1F1C18"/>
    <w:rsid w:val="7B387938"/>
    <w:rsid w:val="7C341C52"/>
    <w:rsid w:val="7D033238"/>
    <w:rsid w:val="7D2F6ABF"/>
    <w:rsid w:val="7D50024E"/>
    <w:rsid w:val="7D637EF4"/>
    <w:rsid w:val="7E341B98"/>
    <w:rsid w:val="7E51328E"/>
    <w:rsid w:val="7E853665"/>
    <w:rsid w:val="7F14576E"/>
    <w:rsid w:val="7FB7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Char"/>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Char"/>
    <w:basedOn w:val="24"/>
    <w:link w:val="3"/>
    <w:qFormat/>
    <w:uiPriority w:val="99"/>
    <w:rPr>
      <w:rFonts w:ascii="Arial" w:hAnsi="Arial" w:eastAsia="黑体" w:cs="Times New Roman"/>
      <w:b/>
      <w:bCs/>
      <w:kern w:val="2"/>
      <w:sz w:val="32"/>
      <w:szCs w:val="32"/>
    </w:rPr>
  </w:style>
  <w:style w:type="character" w:customStyle="1" w:styleId="33">
    <w:name w:val="标题 3 Char"/>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Char"/>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Char"/>
    <w:basedOn w:val="24"/>
    <w:link w:val="6"/>
    <w:qFormat/>
    <w:uiPriority w:val="0"/>
    <w:rPr>
      <w:rFonts w:ascii="Times New Roman" w:hAnsi="Times New Roman" w:eastAsia="宋体" w:cs="Times New Roman"/>
      <w:b/>
      <w:bCs/>
      <w:kern w:val="2"/>
      <w:sz w:val="28"/>
      <w:szCs w:val="28"/>
    </w:rPr>
  </w:style>
  <w:style w:type="character" w:customStyle="1" w:styleId="36">
    <w:name w:val="标题 6 Char"/>
    <w:basedOn w:val="24"/>
    <w:link w:val="7"/>
    <w:qFormat/>
    <w:uiPriority w:val="0"/>
    <w:rPr>
      <w:rFonts w:asciiTheme="majorHAnsi" w:hAnsiTheme="majorHAnsi" w:eastAsiaTheme="majorEastAsia" w:cstheme="majorBidi"/>
      <w:b/>
      <w:bCs/>
      <w:kern w:val="2"/>
      <w:sz w:val="24"/>
      <w:szCs w:val="24"/>
    </w:rPr>
  </w:style>
  <w:style w:type="character" w:customStyle="1" w:styleId="37">
    <w:name w:val="页眉 Char"/>
    <w:basedOn w:val="24"/>
    <w:link w:val="15"/>
    <w:qFormat/>
    <w:uiPriority w:val="99"/>
    <w:rPr>
      <w:rFonts w:ascii="Tahoma" w:hAnsi="Tahoma"/>
      <w:sz w:val="18"/>
      <w:szCs w:val="18"/>
    </w:rPr>
  </w:style>
  <w:style w:type="character" w:customStyle="1" w:styleId="38">
    <w:name w:val="页脚 Char"/>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Char"/>
    <w:basedOn w:val="24"/>
    <w:link w:val="9"/>
    <w:qFormat/>
    <w:uiPriority w:val="99"/>
    <w:rPr>
      <w:rFonts w:ascii="Tahoma" w:hAnsi="Tahoma"/>
    </w:rPr>
  </w:style>
  <w:style w:type="character" w:customStyle="1" w:styleId="42">
    <w:name w:val="批注主题 Char"/>
    <w:basedOn w:val="41"/>
    <w:link w:val="22"/>
    <w:qFormat/>
    <w:uiPriority w:val="99"/>
    <w:rPr>
      <w:rFonts w:ascii="Times New Roman" w:hAnsi="Times New Roman" w:eastAsia="宋体" w:cs="Times New Roman"/>
      <w:b/>
      <w:bCs/>
      <w:kern w:val="2"/>
      <w:sz w:val="21"/>
      <w:szCs w:val="24"/>
    </w:rPr>
  </w:style>
  <w:style w:type="character" w:customStyle="1" w:styleId="43">
    <w:name w:val="文档结构图 Char"/>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Char"/>
    <w:basedOn w:val="24"/>
    <w:link w:val="10"/>
    <w:qFormat/>
    <w:uiPriority w:val="99"/>
    <w:rPr>
      <w:rFonts w:ascii="Times New Roman" w:hAnsi="Times New Roman" w:eastAsia="宋体" w:cs="Times New Roman"/>
      <w:kern w:val="2"/>
      <w:sz w:val="21"/>
      <w:szCs w:val="24"/>
    </w:rPr>
  </w:style>
  <w:style w:type="character" w:customStyle="1" w:styleId="45">
    <w:name w:val="纯文本 Char"/>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Char"/>
    <w:basedOn w:val="24"/>
    <w:link w:val="13"/>
    <w:qFormat/>
    <w:uiPriority w:val="99"/>
    <w:rPr>
      <w:rFonts w:ascii="Times New Roman" w:hAnsi="Times New Roman" w:eastAsia="宋体" w:cs="Times New Roman"/>
      <w:kern w:val="2"/>
      <w:sz w:val="18"/>
      <w:szCs w:val="18"/>
    </w:rPr>
  </w:style>
  <w:style w:type="character" w:customStyle="1" w:styleId="47">
    <w:name w:val="脚注文本 Char"/>
    <w:basedOn w:val="24"/>
    <w:link w:val="17"/>
    <w:qFormat/>
    <w:uiPriority w:val="99"/>
    <w:rPr>
      <w:rFonts w:ascii="Times New Roman" w:hAnsi="Times New Roman" w:eastAsia="宋体" w:cs="Times New Roman"/>
      <w:kern w:val="2"/>
      <w:sz w:val="18"/>
      <w:szCs w:val="18"/>
    </w:rPr>
  </w:style>
  <w:style w:type="character" w:customStyle="1" w:styleId="48">
    <w:name w:val="HTML 预设格式 Char"/>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Char"/>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9763C-5A58-4F79-A588-C62169CE69B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3955</Words>
  <Characters>4279</Characters>
  <Lines>108</Lines>
  <Paragraphs>30</Paragraphs>
  <TotalTime>6</TotalTime>
  <ScaleCrop>false</ScaleCrop>
  <LinksUpToDate>false</LinksUpToDate>
  <CharactersWithSpaces>4431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2021-01-28T03:34:00Z</dcterms:created>
  <dc:creator>Administrator</dc:creator>
  <cp:lastModifiedBy>WPS_1602455382</cp:lastModifiedBy>
  <cp:lastPrinted>2021-01-15T01:57:00Z</cp:lastPrinted>
  <dcterms:modified xsi:type="dcterms:W3CDTF">2025-05-13T07:22:32Z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8A7A13961C5A455A8A4A200572E3CD86_12</vt:lpwstr>
  </property>
  <property fmtid="{D5CDD505-2E9C-101B-9397-08002B2CF9AE}" pid="4" name="KSOTemplateDocerSaveRecord">
    <vt:lpwstr>eyJoZGlkIjoiNzFkY2NmM2RkMDVlYzQ2NzEyOTA2N2Y5ZDRjNWViNGIiLCJ1c2VySWQiOiIxMTMwMTY4NzY0In0=</vt:lpwstr>
  </property>
</Properties>
</file>