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22179">
      <w:pPr>
        <w:widowControl w:val="0"/>
        <w:adjustRightInd/>
        <w:snapToGrid/>
        <w:spacing w:after="0" w:line="540" w:lineRule="exact"/>
        <w:rPr>
          <w:rFonts w:ascii="Times New Roman" w:hAnsi="Times New Roman" w:eastAsia="宋体" w:cs="Times New Roman"/>
          <w:bCs/>
          <w:kern w:val="2"/>
          <w:sz w:val="32"/>
          <w:szCs w:val="32"/>
        </w:rPr>
      </w:pPr>
      <w:r>
        <w:rPr>
          <w:rFonts w:hint="eastAsia" w:ascii="黑体" w:hAnsi="黑体" w:eastAsia="黑体" w:cs="黑体"/>
          <w:bCs/>
          <w:kern w:val="2"/>
          <w:sz w:val="32"/>
          <w:szCs w:val="32"/>
        </w:rPr>
        <w:t>徐政财字〔2022〕96号附件</w:t>
      </w:r>
      <w:r>
        <w:rPr>
          <w:rFonts w:ascii="黑体" w:hAnsi="黑体" w:eastAsia="黑体" w:cs="黑体"/>
          <w:bCs/>
          <w:kern w:val="2"/>
          <w:sz w:val="32"/>
          <w:szCs w:val="32"/>
        </w:rPr>
        <w:t>2</w:t>
      </w:r>
    </w:p>
    <w:p w14:paraId="086574AF">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251FBC4">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保定市徐水区公安交通警察大队</w:t>
      </w:r>
    </w:p>
    <w:p w14:paraId="5440F881">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202</w:t>
      </w:r>
      <w:r>
        <w:rPr>
          <w:rFonts w:asciiTheme="majorEastAsia" w:hAnsiTheme="majorEastAsia" w:eastAsiaTheme="majorEastAsia" w:cstheme="majorEastAsia"/>
          <w:b/>
          <w:kern w:val="2"/>
          <w:sz w:val="44"/>
          <w:szCs w:val="44"/>
        </w:rPr>
        <w:t>1</w:t>
      </w:r>
      <w:r>
        <w:rPr>
          <w:rFonts w:hint="eastAsia" w:asciiTheme="majorEastAsia" w:hAnsiTheme="majorEastAsia" w:eastAsiaTheme="majorEastAsia" w:cstheme="majorEastAsia"/>
          <w:b/>
          <w:kern w:val="2"/>
          <w:sz w:val="44"/>
          <w:szCs w:val="44"/>
        </w:rPr>
        <w:t>年部门</w:t>
      </w:r>
    </w:p>
    <w:p w14:paraId="2F9202B1">
      <w:pPr>
        <w:widowControl w:val="0"/>
        <w:adjustRightInd/>
        <w:snapToGrid/>
        <w:spacing w:after="0" w:line="580" w:lineRule="exact"/>
        <w:jc w:val="center"/>
        <w:rPr>
          <w:rFonts w:ascii="黑体" w:hAnsi="黑体" w:eastAsia="黑体" w:cs="Times New Roman"/>
          <w:bCs/>
          <w:kern w:val="2"/>
          <w:sz w:val="48"/>
          <w:szCs w:val="48"/>
        </w:rPr>
      </w:pPr>
      <w:r>
        <w:rPr>
          <w:rFonts w:hint="eastAsia" w:asciiTheme="majorEastAsia" w:hAnsiTheme="majorEastAsia" w:eastAsiaTheme="majorEastAsia" w:cstheme="majorEastAsia"/>
          <w:b/>
          <w:kern w:val="2"/>
          <w:sz w:val="44"/>
          <w:szCs w:val="44"/>
        </w:rPr>
        <w:t>整体支出绩效评价自评报告</w:t>
      </w:r>
    </w:p>
    <w:p w14:paraId="6AF02161">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A6D0F60">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4A6926AE">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5D0FED0D">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4A1D054">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A4B864E">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6A35A33">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7A001A2F">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6F81E76">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4B5CEC62">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7B6BBD5A">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57599AAF">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D419F26">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5C09860">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22</w:t>
      </w:r>
      <w:r>
        <w:rPr>
          <w:rFonts w:hint="eastAsia" w:cs="Times New Roman" w:asciiTheme="minorEastAsia" w:hAnsiTheme="minorEastAsia" w:eastAsiaTheme="minorEastAsia"/>
          <w:bCs/>
          <w:kern w:val="2"/>
          <w:sz w:val="36"/>
          <w:szCs w:val="36"/>
        </w:rPr>
        <w:t>年</w:t>
      </w:r>
      <w:r>
        <w:rPr>
          <w:rFonts w:cs="Times New Roman" w:asciiTheme="minorEastAsia" w:hAnsiTheme="minorEastAsia" w:eastAsiaTheme="minorEastAsia"/>
          <w:bCs/>
          <w:kern w:val="2"/>
          <w:sz w:val="36"/>
          <w:szCs w:val="36"/>
        </w:rPr>
        <w:t>11</w:t>
      </w:r>
      <w:r>
        <w:rPr>
          <w:rFonts w:hint="eastAsia" w:cs="Times New Roman" w:asciiTheme="minorEastAsia" w:hAnsiTheme="minorEastAsia" w:eastAsiaTheme="minorEastAsia"/>
          <w:bCs/>
          <w:kern w:val="2"/>
          <w:sz w:val="36"/>
          <w:szCs w:val="36"/>
        </w:rPr>
        <w:t>月</w:t>
      </w:r>
    </w:p>
    <w:p w14:paraId="0399A782">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D6FCE44">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8C451BC">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855122D">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14:paraId="0A16084D">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14:paraId="1FCCC628">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7D548C39">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7E65FD7E">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一、保定市徐水区交通警察大队基本情况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2BC0F8E0">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0975D6C">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2B3C90F">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54A8963F">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2FF32CE">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5D9D06A2">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7453EF6E">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1E16587">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CBB81E4">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C65E999">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2CC087B">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1D96CA4B">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2B82B593">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2E64C4E">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767EF77">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1B2EE56">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2967CCB">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3D09D91">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59134422">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69EDABC5">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D95123D">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7A00BF1">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A333484">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437E1589">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5E06A539">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14:paraId="60CB667A">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14:paraId="5D4CC3E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2021</w:t>
      </w:r>
      <w:r>
        <w:rPr>
          <w:rFonts w:hint="eastAsia" w:ascii="仿宋_GB2312" w:eastAsia="仿宋_GB2312" w:cs="DengXian-Regular"/>
          <w:sz w:val="32"/>
          <w:szCs w:val="32"/>
        </w:rPr>
        <w:t>年部门整体支出情况开展了绩效自评价工作。</w:t>
      </w:r>
    </w:p>
    <w:p w14:paraId="10F1CE3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保定市徐水区公安交通警察大队为副科级行政单位，经费保障形式为财政拨款，下设</w:t>
      </w:r>
      <w:r>
        <w:rPr>
          <w:rFonts w:ascii="仿宋_GB2312" w:eastAsia="仿宋_GB2312" w:cs="DengXian-Regular"/>
          <w:sz w:val="32"/>
          <w:szCs w:val="32"/>
        </w:rPr>
        <w:t>9</w:t>
      </w:r>
      <w:r>
        <w:rPr>
          <w:rFonts w:hint="eastAsia" w:ascii="仿宋_GB2312" w:eastAsia="仿宋_GB2312" w:cs="DengXian-Regular"/>
          <w:sz w:val="32"/>
          <w:szCs w:val="32"/>
        </w:rPr>
        <w:t>个中队，分别为办公室、车管所、事故科、法治秩序中队、高林营中队、遂城中队、西市场中队、徐安中队、徐津中队，主要职责有道路交通处理与预防，机动车管理，承担道路治安巡逻责任，负责全区交通管理工作。</w:t>
      </w:r>
    </w:p>
    <w:p w14:paraId="0F660D2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14:paraId="6819D00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14:paraId="391CBC5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保定市徐水区公安交通警察大队202</w:t>
      </w:r>
      <w:r>
        <w:rPr>
          <w:rFonts w:ascii="仿宋_GB2312" w:eastAsia="仿宋_GB2312" w:cs="DengXian-Regular"/>
          <w:sz w:val="32"/>
          <w:szCs w:val="32"/>
        </w:rPr>
        <w:t>1</w:t>
      </w:r>
      <w:r>
        <w:rPr>
          <w:rFonts w:hint="eastAsia" w:ascii="仿宋_GB2312" w:eastAsia="仿宋_GB2312" w:cs="DengXian-Regular"/>
          <w:sz w:val="32"/>
          <w:szCs w:val="32"/>
        </w:rPr>
        <w:t>年部门整体支出绩效评价工作。</w:t>
      </w:r>
    </w:p>
    <w:p w14:paraId="11D8064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保定市徐水区公安交通警察大队202</w:t>
      </w:r>
      <w:r>
        <w:rPr>
          <w:rFonts w:ascii="仿宋_GB2312" w:eastAsia="仿宋_GB2312" w:cs="DengXian-Regular"/>
          <w:sz w:val="32"/>
          <w:szCs w:val="32"/>
        </w:rPr>
        <w:t>1</w:t>
      </w:r>
      <w:r>
        <w:rPr>
          <w:rFonts w:hint="eastAsia" w:ascii="仿宋_GB2312" w:eastAsia="仿宋_GB2312" w:cs="DengXian-Regular"/>
          <w:sz w:val="32"/>
          <w:szCs w:val="32"/>
        </w:rPr>
        <w:t>年部门整体支出绩效评价指标体系共设置4个一级指标、7个二级指标、27个三级指标，从投入、过程、产出、效果四个方面对保定市徐水区公安交通警察大队整体支出情况评分定级。指标体系设定满分为100分，绩效评价分值≥90为“优”；80≤分值＜90为“良”；60≤分值＜80为“合格”；60分以下为“差”。</w:t>
      </w:r>
    </w:p>
    <w:p w14:paraId="4AE2C2D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保定市徐水区公安交通警察大队202</w:t>
      </w:r>
      <w:r>
        <w:rPr>
          <w:rFonts w:ascii="仿宋_GB2312" w:eastAsia="仿宋_GB2312" w:cs="DengXian-Regular"/>
          <w:sz w:val="32"/>
          <w:szCs w:val="32"/>
        </w:rPr>
        <w:t>1</w:t>
      </w:r>
      <w:r>
        <w:rPr>
          <w:rFonts w:hint="eastAsia" w:ascii="仿宋_GB2312" w:eastAsia="仿宋_GB2312" w:cs="DengXian-Regular"/>
          <w:sz w:val="32"/>
          <w:szCs w:val="32"/>
        </w:rPr>
        <w:t>年部门整体支出综合评价得</w:t>
      </w:r>
      <w:r>
        <w:rPr>
          <w:rFonts w:hint="eastAsia" w:ascii="仿宋_GB2312" w:eastAsia="仿宋_GB2312" w:cs="DengXian-Regular"/>
          <w:color w:val="000000" w:themeColor="text1"/>
          <w:sz w:val="32"/>
          <w:szCs w:val="32"/>
          <w14:textFill>
            <w14:solidFill>
              <w14:schemeClr w14:val="tx1"/>
            </w14:solidFill>
          </w14:textFill>
        </w:rPr>
        <w:t>分为</w:t>
      </w:r>
      <w:r>
        <w:rPr>
          <w:rFonts w:ascii="仿宋_GB2312" w:eastAsia="仿宋_GB2312" w:cs="DengXian-Regular"/>
          <w:color w:val="000000" w:themeColor="text1"/>
          <w:sz w:val="32"/>
          <w:szCs w:val="32"/>
          <w14:textFill>
            <w14:solidFill>
              <w14:schemeClr w14:val="tx1"/>
            </w14:solidFill>
          </w14:textFill>
        </w:rPr>
        <w:t>95.4</w:t>
      </w:r>
      <w:r>
        <w:rPr>
          <w:rFonts w:hint="eastAsia" w:ascii="仿宋_GB2312" w:eastAsia="仿宋_GB2312" w:cs="DengXian-Regular"/>
          <w:color w:val="000000" w:themeColor="text1"/>
          <w:sz w:val="32"/>
          <w:szCs w:val="32"/>
          <w14:textFill>
            <w14:solidFill>
              <w14:schemeClr w14:val="tx1"/>
            </w14:solidFill>
          </w14:textFill>
        </w:rPr>
        <w:t>分</w:t>
      </w:r>
      <w:r>
        <w:rPr>
          <w:rFonts w:hint="eastAsia" w:ascii="仿宋_GB2312" w:eastAsia="仿宋_GB2312" w:cs="DengXian-Regular"/>
          <w:sz w:val="32"/>
          <w:szCs w:val="32"/>
        </w:rPr>
        <w:t>，评价等级为“优”。</w:t>
      </w:r>
    </w:p>
    <w:p w14:paraId="4273B2D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经评价，保定市徐水区公安交通警察大队202</w:t>
      </w:r>
      <w:r>
        <w:rPr>
          <w:rFonts w:ascii="仿宋_GB2312" w:eastAsia="仿宋_GB2312" w:cs="DengXian-Regular"/>
          <w:sz w:val="32"/>
          <w:szCs w:val="32"/>
        </w:rPr>
        <w:t>1</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14:paraId="532771C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14:paraId="3992EB30">
      <w:pPr>
        <w:spacing w:after="0" w:line="360" w:lineRule="auto"/>
        <w:ind w:firstLine="640" w:firstLineChars="200"/>
        <w:jc w:val="both"/>
        <w:textAlignment w:val="baseline"/>
        <w:rPr>
          <w:rFonts w:ascii="仿宋_GB2312" w:eastAsia="仿宋_GB2312" w:cs="DengXian-Regular"/>
          <w:sz w:val="32"/>
          <w:szCs w:val="32"/>
        </w:rPr>
      </w:pPr>
      <w:bookmarkStart w:id="1" w:name="_Toc4346"/>
      <w:r>
        <w:rPr>
          <w:rFonts w:hint="eastAsia" w:ascii="仿宋_GB2312" w:eastAsia="仿宋_GB2312" w:cs="DengXian-Regular"/>
          <w:sz w:val="32"/>
          <w:szCs w:val="32"/>
        </w:rPr>
        <w:t>1.绩效指标方面</w:t>
      </w:r>
    </w:p>
    <w:p w14:paraId="34EA8E1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2.预算支出方面</w:t>
      </w:r>
    </w:p>
    <w:p w14:paraId="6F4EB90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3.道路交通事故案件处理方面</w:t>
      </w:r>
    </w:p>
    <w:p w14:paraId="2D4E1E6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14:paraId="0E4915B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14:paraId="1B0F898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14:paraId="501DE1D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2.预算支出方面</w:t>
      </w:r>
    </w:p>
    <w:p w14:paraId="0AFC462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项目资金方面：202</w:t>
      </w:r>
      <w:r>
        <w:rPr>
          <w:rFonts w:ascii="仿宋_GB2312" w:eastAsia="仿宋_GB2312" w:cs="DengXian-Regular"/>
          <w:sz w:val="32"/>
          <w:szCs w:val="32"/>
        </w:rPr>
        <w:t>1年</w:t>
      </w:r>
      <w:r>
        <w:rPr>
          <w:rFonts w:hint="eastAsia" w:ascii="仿宋_GB2312" w:eastAsia="仿宋_GB2312" w:cs="DengXian-Regular"/>
          <w:sz w:val="32"/>
          <w:szCs w:val="32"/>
        </w:rPr>
        <w:t>追加</w:t>
      </w:r>
      <w:r>
        <w:rPr>
          <w:rFonts w:ascii="仿宋_GB2312" w:eastAsia="仿宋_GB2312" w:cs="DengXian-Regular"/>
          <w:sz w:val="32"/>
          <w:szCs w:val="32"/>
        </w:rPr>
        <w:t>项目支出资金</w:t>
      </w:r>
      <w:r>
        <w:rPr>
          <w:rFonts w:hint="eastAsia" w:ascii="仿宋_GB2312" w:eastAsia="仿宋_GB2312" w:cs="DengXian-Regular"/>
          <w:sz w:val="32"/>
          <w:szCs w:val="32"/>
        </w:rPr>
        <w:t>较多</w:t>
      </w:r>
      <w:r>
        <w:rPr>
          <w:rFonts w:ascii="仿宋_GB2312" w:eastAsia="仿宋_GB2312" w:cs="DengXian-Regular"/>
          <w:sz w:val="32"/>
          <w:szCs w:val="32"/>
        </w:rPr>
        <w:t>，</w:t>
      </w:r>
      <w:r>
        <w:rPr>
          <w:rFonts w:hint="eastAsia" w:ascii="仿宋_GB2312" w:eastAsia="仿宋_GB2312" w:cs="DengXian-Regular"/>
          <w:sz w:val="32"/>
          <w:szCs w:val="32"/>
        </w:rPr>
        <w:t>建议</w:t>
      </w:r>
      <w:r>
        <w:rPr>
          <w:rFonts w:ascii="仿宋_GB2312" w:eastAsia="仿宋_GB2312" w:cs="DengXian-Regular"/>
          <w:sz w:val="32"/>
          <w:szCs w:val="32"/>
        </w:rPr>
        <w:t>2022年预算</w:t>
      </w:r>
      <w:r>
        <w:rPr>
          <w:rFonts w:hint="eastAsia" w:ascii="仿宋_GB2312" w:eastAsia="仿宋_GB2312" w:cs="DengXian-Regular"/>
          <w:sz w:val="32"/>
          <w:szCs w:val="32"/>
        </w:rPr>
        <w:t>该部分</w:t>
      </w:r>
      <w:r>
        <w:rPr>
          <w:rFonts w:ascii="仿宋_GB2312" w:eastAsia="仿宋_GB2312" w:cs="DengXian-Regular"/>
          <w:sz w:val="32"/>
          <w:szCs w:val="32"/>
        </w:rPr>
        <w:t>项目资金</w:t>
      </w:r>
      <w:r>
        <w:rPr>
          <w:rFonts w:hint="eastAsia" w:ascii="仿宋_GB2312" w:eastAsia="仿宋_GB2312" w:cs="DengXian-Regular"/>
          <w:sz w:val="32"/>
          <w:szCs w:val="32"/>
        </w:rPr>
        <w:t>及时做好</w:t>
      </w:r>
      <w:r>
        <w:rPr>
          <w:rFonts w:ascii="仿宋_GB2312" w:eastAsia="仿宋_GB2312" w:cs="DengXian-Regular"/>
          <w:sz w:val="32"/>
          <w:szCs w:val="32"/>
        </w:rPr>
        <w:t>预算</w:t>
      </w:r>
      <w:r>
        <w:rPr>
          <w:rFonts w:hint="eastAsia" w:ascii="仿宋_GB2312" w:eastAsia="仿宋_GB2312" w:cs="DengXian-Regular"/>
          <w:sz w:val="32"/>
          <w:szCs w:val="32"/>
        </w:rPr>
        <w:t>；</w:t>
      </w:r>
      <w:r>
        <w:rPr>
          <w:rFonts w:ascii="仿宋_GB2312" w:eastAsia="仿宋_GB2312" w:cs="DengXian-Regular"/>
          <w:sz w:val="32"/>
          <w:szCs w:val="32"/>
        </w:rPr>
        <w:t>其他项目资金根据实际情况予以保持或适当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14:paraId="5FF56AA7">
      <w:pPr>
        <w:adjustRightInd/>
        <w:snapToGrid/>
        <w:spacing w:after="0"/>
        <w:ind w:firstLine="640" w:firstLineChars="200"/>
        <w:rPr>
          <w:rFonts w:ascii="仿宋_GB2312" w:eastAsia="仿宋_GB2312" w:cs="DengXian-Regular"/>
          <w:sz w:val="32"/>
          <w:szCs w:val="32"/>
        </w:rPr>
      </w:pPr>
      <w:r>
        <w:rPr>
          <w:rFonts w:hint="eastAsia" w:ascii="仿宋_GB2312" w:eastAsia="仿宋_GB2312" w:cs="DengXian-Regular"/>
          <w:sz w:val="32"/>
          <w:szCs w:val="32"/>
        </w:rPr>
        <w:t>3.提高交通事故处理效率</w:t>
      </w:r>
    </w:p>
    <w:p w14:paraId="1CC775FA">
      <w:pPr>
        <w:adjustRightInd/>
        <w:snapToGrid/>
        <w:spacing w:after="0"/>
        <w:rPr>
          <w:rFonts w:ascii="仿宋_GB2312" w:eastAsia="仿宋_GB2312" w:cs="DengXian-Regular"/>
          <w:sz w:val="32"/>
          <w:szCs w:val="32"/>
        </w:rPr>
      </w:pPr>
      <w:r>
        <w:rPr>
          <w:rFonts w:hint="eastAsia" w:ascii="仿宋_GB2312" w:eastAsia="仿宋_GB2312" w:cs="DengXian-Regular"/>
          <w:sz w:val="32"/>
          <w:szCs w:val="32"/>
        </w:rPr>
        <w:t>根据交通事故的时效，提高交通事故处理效率，保障道路的畅通，提高道路通行能力，认真做好责任履职工作。</w:t>
      </w:r>
    </w:p>
    <w:p w14:paraId="548DA08B">
      <w:pPr>
        <w:adjustRightInd/>
        <w:snapToGrid/>
        <w:spacing w:after="0"/>
        <w:rPr>
          <w:rFonts w:ascii="仿宋_GB2312" w:eastAsia="仿宋_GB2312" w:cs="DengXian-Regular"/>
          <w:sz w:val="32"/>
          <w:szCs w:val="32"/>
        </w:rPr>
      </w:pPr>
      <w:r>
        <w:rPr>
          <w:rFonts w:ascii="仿宋_GB2312" w:eastAsia="仿宋_GB2312" w:cs="DengXian-Regular"/>
          <w:sz w:val="32"/>
          <w:szCs w:val="32"/>
        </w:rPr>
        <w:br w:type="page"/>
      </w:r>
    </w:p>
    <w:p w14:paraId="49D65BF1">
      <w:pPr>
        <w:pStyle w:val="3"/>
        <w:spacing w:line="540" w:lineRule="exact"/>
        <w:jc w:val="center"/>
        <w:rPr>
          <w:rFonts w:ascii="黑体" w:hAnsi="黑体"/>
          <w:b w:val="0"/>
        </w:rPr>
      </w:pPr>
      <w:r>
        <w:rPr>
          <w:rFonts w:hint="eastAsia" w:ascii="黑体" w:hAnsi="黑体"/>
          <w:b w:val="0"/>
        </w:rPr>
        <w:t>第二部分   绩效评价报告</w:t>
      </w:r>
      <w:bookmarkEnd w:id="1"/>
    </w:p>
    <w:p w14:paraId="2C096A7F">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一、保定市徐水区公安交通警察大队基本情况</w:t>
      </w:r>
      <w:bookmarkEnd w:id="2"/>
      <w:bookmarkEnd w:id="3"/>
      <w:bookmarkStart w:id="4" w:name="_Toc492652764"/>
    </w:p>
    <w:p w14:paraId="4B5D7B71">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14:paraId="106878E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区公安交通警察大队单位职能配置内设机构和人员编制规定》的通知，保定市徐水区公安交通警察大队为区政府工作部门，副科级单位，下设</w:t>
      </w:r>
      <w:r>
        <w:rPr>
          <w:rFonts w:ascii="仿宋_GB2312" w:eastAsia="仿宋_GB2312" w:cs="DengXian-Regular"/>
          <w:sz w:val="32"/>
          <w:szCs w:val="32"/>
        </w:rPr>
        <w:t>8</w:t>
      </w:r>
      <w:r>
        <w:rPr>
          <w:rFonts w:hint="eastAsia" w:ascii="仿宋_GB2312" w:eastAsia="仿宋_GB2312" w:cs="DengXian-Regular"/>
          <w:sz w:val="32"/>
          <w:szCs w:val="32"/>
        </w:rPr>
        <w:t>个中队。保定市徐水区公安交通警察大队根据绩效预算管理改革的相关要求，按照“部门职责—工作活动绩效目标”的层级设立了绩效预算架构，职责活动包括</w:t>
      </w:r>
      <w:bookmarkStart w:id="6" w:name="_Toc465149499"/>
      <w:bookmarkStart w:id="7" w:name="_Toc492652765"/>
      <w:r>
        <w:rPr>
          <w:rFonts w:hint="eastAsia" w:ascii="仿宋_GB2312" w:eastAsia="仿宋_GB2312" w:cs="DengXian-Regular"/>
          <w:sz w:val="32"/>
          <w:szCs w:val="32"/>
        </w:rPr>
        <w:t>道路交通管理、车辆和驾驶人管理、交管政务管理共三部分。</w:t>
      </w:r>
    </w:p>
    <w:p w14:paraId="54564FE0">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14:paraId="4500612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w:t>
      </w:r>
      <w:r>
        <w:rPr>
          <w:rFonts w:ascii="仿宋_GB2312" w:eastAsia="仿宋_GB2312" w:cs="DengXian-Regular"/>
          <w:sz w:val="32"/>
          <w:szCs w:val="32"/>
        </w:rPr>
        <w:t>1</w:t>
      </w:r>
      <w:r>
        <w:rPr>
          <w:rFonts w:hint="eastAsia" w:ascii="仿宋_GB2312" w:eastAsia="仿宋_GB2312" w:cs="DengXian-Regular"/>
          <w:sz w:val="32"/>
          <w:szCs w:val="32"/>
        </w:rPr>
        <w:t>年绩效预算编制要求，保定市徐水区公安交通警察大队设置的年度发展规划总体目标为：</w:t>
      </w:r>
    </w:p>
    <w:p w14:paraId="0F31923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负责贯彻执行党和国家关于制定全区交通管理工作要点，并监督实施。指导全区道路治安巡逻工作。制定规划并组织实施，指导检查全区道路交通指挥工作。负责全区机动车管理工作，负责全区事故处理与预防工作。</w:t>
      </w:r>
    </w:p>
    <w:p w14:paraId="419BB23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14:paraId="053DA4C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1.开展机动车管理工作。</w:t>
      </w:r>
    </w:p>
    <w:p w14:paraId="43475FB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2.开展交通事故处理与预防工作。</w:t>
      </w:r>
    </w:p>
    <w:p w14:paraId="6D74021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3.开展综合业务管理工作。</w:t>
      </w:r>
      <w:bookmarkStart w:id="9" w:name="_Toc1678"/>
      <w:bookmarkStart w:id="10" w:name="_Toc465149500"/>
      <w:bookmarkStart w:id="11" w:name="_Toc492652766"/>
    </w:p>
    <w:p w14:paraId="5708849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14:paraId="3609B9B5">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年保定市徐水区公安交通警察大队预算收入</w:t>
      </w:r>
      <w:r>
        <w:rPr>
          <w:rFonts w:ascii="仿宋_GB2312" w:eastAsia="仿宋_GB2312" w:cs="DengXian-Regular"/>
          <w:color w:val="000000" w:themeColor="text1"/>
          <w:sz w:val="32"/>
          <w:szCs w:val="32"/>
          <w14:textFill>
            <w14:solidFill>
              <w14:schemeClr w14:val="tx1"/>
            </w14:solidFill>
          </w14:textFill>
        </w:rPr>
        <w:t>736.44</w:t>
      </w:r>
      <w:r>
        <w:rPr>
          <w:rFonts w:hint="eastAsia" w:ascii="仿宋_GB2312" w:eastAsia="仿宋_GB2312" w:cs="DengXian-Regular"/>
          <w:color w:val="000000" w:themeColor="text1"/>
          <w:sz w:val="32"/>
          <w:szCs w:val="32"/>
          <w14:textFill>
            <w14:solidFill>
              <w14:schemeClr w14:val="tx1"/>
            </w14:solidFill>
          </w14:textFill>
        </w:rPr>
        <w:t>万元，均为一般公共预算拨款，其中：财政拨款</w:t>
      </w:r>
      <w:r>
        <w:rPr>
          <w:rFonts w:ascii="仿宋_GB2312" w:eastAsia="仿宋_GB2312" w:cs="DengXian-Regular"/>
          <w:color w:val="000000" w:themeColor="text1"/>
          <w:sz w:val="32"/>
          <w:szCs w:val="32"/>
          <w14:textFill>
            <w14:solidFill>
              <w14:schemeClr w14:val="tx1"/>
            </w14:solidFill>
          </w14:textFill>
        </w:rPr>
        <w:t>736.44</w:t>
      </w:r>
      <w:r>
        <w:rPr>
          <w:rFonts w:hint="eastAsia" w:ascii="仿宋_GB2312" w:eastAsia="仿宋_GB2312" w:cs="DengXian-Regular"/>
          <w:color w:val="000000" w:themeColor="text1"/>
          <w:sz w:val="32"/>
          <w:szCs w:val="32"/>
          <w14:textFill>
            <w14:solidFill>
              <w14:schemeClr w14:val="tx1"/>
            </w14:solidFill>
          </w14:textFill>
        </w:rPr>
        <w:t>万元，中央财政提前通知转移支付</w:t>
      </w:r>
      <w:r>
        <w:rPr>
          <w:rFonts w:ascii="仿宋_GB2312" w:eastAsia="仿宋_GB2312" w:cs="DengXian-Regular"/>
          <w:color w:val="000000" w:themeColor="text1"/>
          <w:sz w:val="32"/>
          <w:szCs w:val="32"/>
          <w14:textFill>
            <w14:solidFill>
              <w14:schemeClr w14:val="tx1"/>
            </w14:solidFill>
          </w14:textFill>
        </w:rPr>
        <w:t>0</w:t>
      </w:r>
      <w:r>
        <w:rPr>
          <w:rFonts w:hint="eastAsia" w:ascii="仿宋_GB2312" w:eastAsia="仿宋_GB2312" w:cs="DengXian-Regular"/>
          <w:color w:val="000000" w:themeColor="text1"/>
          <w:sz w:val="32"/>
          <w:szCs w:val="32"/>
          <w14:textFill>
            <w14:solidFill>
              <w14:schemeClr w14:val="tx1"/>
            </w14:solidFill>
          </w14:textFill>
        </w:rPr>
        <w:t>万元。预算收入按功能分类包含：公共安全支出</w:t>
      </w:r>
      <w:r>
        <w:rPr>
          <w:rFonts w:ascii="仿宋_GB2312" w:eastAsia="仿宋_GB2312" w:cs="DengXian-Regular"/>
          <w:color w:val="000000" w:themeColor="text1"/>
          <w:sz w:val="32"/>
          <w:szCs w:val="32"/>
          <w14:textFill>
            <w14:solidFill>
              <w14:schemeClr w14:val="tx1"/>
            </w14:solidFill>
          </w14:textFill>
        </w:rPr>
        <w:t>711.14</w:t>
      </w:r>
      <w:r>
        <w:rPr>
          <w:rFonts w:hint="eastAsia" w:ascii="仿宋_GB2312" w:eastAsia="仿宋_GB2312" w:cs="DengXian-Regular"/>
          <w:color w:val="000000" w:themeColor="text1"/>
          <w:sz w:val="32"/>
          <w:szCs w:val="32"/>
          <w14:textFill>
            <w14:solidFill>
              <w14:schemeClr w14:val="tx1"/>
            </w14:solidFill>
          </w14:textFill>
        </w:rPr>
        <w:t>万元，社会保障和就业支出</w:t>
      </w:r>
      <w:r>
        <w:rPr>
          <w:rFonts w:ascii="仿宋_GB2312" w:eastAsia="仿宋_GB2312" w:cs="DengXian-Regular"/>
          <w:color w:val="000000" w:themeColor="text1"/>
          <w:sz w:val="32"/>
          <w:szCs w:val="32"/>
          <w14:textFill>
            <w14:solidFill>
              <w14:schemeClr w14:val="tx1"/>
            </w14:solidFill>
          </w14:textFill>
        </w:rPr>
        <w:t>16.63</w:t>
      </w:r>
      <w:r>
        <w:rPr>
          <w:rFonts w:hint="eastAsia" w:ascii="仿宋_GB2312" w:eastAsia="仿宋_GB2312" w:cs="DengXian-Regular"/>
          <w:color w:val="000000" w:themeColor="text1"/>
          <w:sz w:val="32"/>
          <w:szCs w:val="32"/>
          <w14:textFill>
            <w14:solidFill>
              <w14:schemeClr w14:val="tx1"/>
            </w14:solidFill>
          </w14:textFill>
        </w:rPr>
        <w:t>万元，医疗卫生与计划生育支出</w:t>
      </w:r>
      <w:r>
        <w:rPr>
          <w:rFonts w:ascii="仿宋_GB2312" w:eastAsia="仿宋_GB2312" w:cs="DengXian-Regular"/>
          <w:color w:val="000000" w:themeColor="text1"/>
          <w:sz w:val="32"/>
          <w:szCs w:val="32"/>
          <w14:textFill>
            <w14:solidFill>
              <w14:schemeClr w14:val="tx1"/>
            </w14:solidFill>
          </w14:textFill>
        </w:rPr>
        <w:t>7.54</w:t>
      </w:r>
      <w:r>
        <w:rPr>
          <w:rFonts w:hint="eastAsia" w:ascii="仿宋_GB2312" w:eastAsia="仿宋_GB2312" w:cs="DengXian-Regular"/>
          <w:color w:val="000000" w:themeColor="text1"/>
          <w:sz w:val="32"/>
          <w:szCs w:val="32"/>
          <w14:textFill>
            <w14:solidFill>
              <w14:schemeClr w14:val="tx1"/>
            </w14:solidFill>
          </w14:textFill>
        </w:rPr>
        <w:t>万元，</w:t>
      </w:r>
      <w:r>
        <w:rPr>
          <w:rFonts w:hint="eastAsia" w:ascii="仿宋_GB2312" w:hAnsi="Times New Roman" w:eastAsia="仿宋_GB2312" w:cs="Wingdings"/>
          <w:color w:val="000000" w:themeColor="text1"/>
          <w:sz w:val="32"/>
          <w:szCs w:val="32"/>
          <w14:textFill>
            <w14:solidFill>
              <w14:schemeClr w14:val="tx1"/>
            </w14:solidFill>
          </w14:textFill>
        </w:rPr>
        <w:t>城乡社区（类）支出</w:t>
      </w:r>
      <w:r>
        <w:rPr>
          <w:rFonts w:ascii="仿宋_GB2312" w:hAnsi="Times New Roman" w:eastAsia="仿宋_GB2312" w:cs="Wingdings"/>
          <w:color w:val="000000" w:themeColor="text1"/>
          <w:sz w:val="32"/>
          <w:szCs w:val="32"/>
          <w14:textFill>
            <w14:solidFill>
              <w14:schemeClr w14:val="tx1"/>
            </w14:solidFill>
          </w14:textFill>
        </w:rPr>
        <w:t>0</w:t>
      </w:r>
      <w:r>
        <w:rPr>
          <w:rFonts w:hint="eastAsia" w:ascii="仿宋_GB2312" w:hAnsi="Times New Roman" w:eastAsia="仿宋_GB2312" w:cs="Wingdings"/>
          <w:color w:val="000000" w:themeColor="text1"/>
          <w:sz w:val="32"/>
          <w:szCs w:val="32"/>
          <w14:textFill>
            <w14:solidFill>
              <w14:schemeClr w14:val="tx1"/>
            </w14:solidFill>
          </w14:textFill>
        </w:rPr>
        <w:t>万元，</w:t>
      </w:r>
      <w:r>
        <w:rPr>
          <w:rFonts w:hint="eastAsia" w:ascii="仿宋_GB2312" w:eastAsia="仿宋_GB2312" w:cs="DengXian-Regular"/>
          <w:color w:val="000000" w:themeColor="text1"/>
          <w:sz w:val="32"/>
          <w:szCs w:val="32"/>
          <w14:textFill>
            <w14:solidFill>
              <w14:schemeClr w14:val="tx1"/>
            </w14:solidFill>
          </w14:textFill>
        </w:rPr>
        <w:t>住房保障支出</w:t>
      </w:r>
      <w:r>
        <w:rPr>
          <w:rFonts w:ascii="仿宋_GB2312" w:eastAsia="仿宋_GB2312" w:cs="DengXian-Regular"/>
          <w:color w:val="000000" w:themeColor="text1"/>
          <w:sz w:val="32"/>
          <w:szCs w:val="32"/>
          <w14:textFill>
            <w14:solidFill>
              <w14:schemeClr w14:val="tx1"/>
            </w14:solidFill>
          </w14:textFill>
        </w:rPr>
        <w:t>1.13</w:t>
      </w:r>
      <w:r>
        <w:rPr>
          <w:rFonts w:hint="eastAsia" w:ascii="仿宋_GB2312" w:eastAsia="仿宋_GB2312" w:cs="DengXian-Regular"/>
          <w:color w:val="000000" w:themeColor="text1"/>
          <w:sz w:val="32"/>
          <w:szCs w:val="32"/>
          <w14:textFill>
            <w14:solidFill>
              <w14:schemeClr w14:val="tx1"/>
            </w14:solidFill>
          </w14:textFill>
        </w:rPr>
        <w:t>万元。具体预算收入详见附件2。</w:t>
      </w:r>
    </w:p>
    <w:p w14:paraId="2A62304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年保定市徐水区公安交通警察大队决算收入</w:t>
      </w:r>
      <w:r>
        <w:rPr>
          <w:rFonts w:ascii="仿宋_GB2312" w:eastAsia="仿宋_GB2312" w:cs="DengXian-Regular"/>
          <w:sz w:val="32"/>
          <w:szCs w:val="32"/>
        </w:rPr>
        <w:t>983.61</w:t>
      </w:r>
      <w:r>
        <w:rPr>
          <w:rFonts w:hint="eastAsia" w:ascii="仿宋_GB2312" w:eastAsia="仿宋_GB2312" w:cs="DengXian-Regular"/>
          <w:sz w:val="32"/>
          <w:szCs w:val="32"/>
        </w:rPr>
        <w:t>万元，其中：财政拨款收入</w:t>
      </w:r>
      <w:r>
        <w:rPr>
          <w:rFonts w:ascii="仿宋_GB2312" w:eastAsia="仿宋_GB2312" w:cs="DengXian-Regular"/>
          <w:sz w:val="32"/>
          <w:szCs w:val="32"/>
        </w:rPr>
        <w:t>983.60</w:t>
      </w:r>
      <w:r>
        <w:rPr>
          <w:rFonts w:hint="eastAsia" w:ascii="仿宋_GB2312" w:eastAsia="仿宋_GB2312" w:cs="DengXian-Regular"/>
          <w:sz w:val="32"/>
          <w:szCs w:val="32"/>
        </w:rPr>
        <w:t>万元，其他收入</w:t>
      </w:r>
      <w:r>
        <w:rPr>
          <w:rFonts w:ascii="仿宋_GB2312" w:eastAsia="仿宋_GB2312" w:cs="DengXian-Regular"/>
          <w:sz w:val="32"/>
          <w:szCs w:val="32"/>
        </w:rPr>
        <w:t>0.01</w:t>
      </w:r>
      <w:r>
        <w:rPr>
          <w:rFonts w:hint="eastAsia" w:ascii="仿宋_GB2312" w:eastAsia="仿宋_GB2312" w:cs="DengXian-Regular"/>
          <w:sz w:val="32"/>
          <w:szCs w:val="32"/>
        </w:rPr>
        <w:t>万元（全部为利息收入）。决算收入按功能分类包含：公共安全支出</w:t>
      </w:r>
      <w:r>
        <w:rPr>
          <w:rFonts w:ascii="仿宋_GB2312" w:eastAsia="仿宋_GB2312" w:cs="DengXian-Regular"/>
          <w:sz w:val="32"/>
          <w:szCs w:val="32"/>
        </w:rPr>
        <w:t>815.66</w:t>
      </w:r>
      <w:r>
        <w:rPr>
          <w:rFonts w:hint="eastAsia" w:ascii="仿宋_GB2312" w:eastAsia="仿宋_GB2312" w:cs="DengXian-Regular"/>
          <w:sz w:val="32"/>
          <w:szCs w:val="32"/>
        </w:rPr>
        <w:t>万元，占比8</w:t>
      </w:r>
      <w:r>
        <w:rPr>
          <w:rFonts w:ascii="仿宋_GB2312" w:eastAsia="仿宋_GB2312" w:cs="DengXian-Regular"/>
          <w:sz w:val="32"/>
          <w:szCs w:val="32"/>
        </w:rPr>
        <w:t>2.93</w:t>
      </w:r>
      <w:r>
        <w:rPr>
          <w:rFonts w:hint="eastAsia" w:ascii="仿宋_GB2312" w:eastAsia="仿宋_GB2312" w:cs="DengXian-Regular"/>
          <w:sz w:val="32"/>
          <w:szCs w:val="32"/>
        </w:rPr>
        <w:t>%；社会保障和就业支出</w:t>
      </w:r>
      <w:r>
        <w:rPr>
          <w:rFonts w:ascii="仿宋_GB2312" w:eastAsia="仿宋_GB2312" w:cs="DengXian-Regular"/>
          <w:sz w:val="32"/>
          <w:szCs w:val="32"/>
        </w:rPr>
        <w:t>16.97</w:t>
      </w:r>
      <w:r>
        <w:rPr>
          <w:rFonts w:hint="eastAsia" w:ascii="仿宋_GB2312" w:eastAsia="仿宋_GB2312" w:cs="DengXian-Regular"/>
          <w:sz w:val="32"/>
          <w:szCs w:val="32"/>
        </w:rPr>
        <w:t>万元，占比</w:t>
      </w:r>
      <w:r>
        <w:rPr>
          <w:rFonts w:ascii="仿宋_GB2312" w:eastAsia="仿宋_GB2312" w:cs="DengXian-Regular"/>
          <w:sz w:val="32"/>
          <w:szCs w:val="32"/>
        </w:rPr>
        <w:t>1.72</w:t>
      </w:r>
      <w:r>
        <w:rPr>
          <w:rFonts w:hint="eastAsia" w:ascii="仿宋_GB2312" w:eastAsia="仿宋_GB2312" w:cs="DengXian-Regular"/>
          <w:sz w:val="32"/>
          <w:szCs w:val="32"/>
        </w:rPr>
        <w:t>%；医疗卫生与计划生育支出</w:t>
      </w:r>
      <w:r>
        <w:rPr>
          <w:rFonts w:ascii="仿宋_GB2312" w:eastAsia="仿宋_GB2312" w:cs="DengXian-Regular"/>
          <w:sz w:val="32"/>
          <w:szCs w:val="32"/>
        </w:rPr>
        <w:t>2.03</w:t>
      </w:r>
      <w:r>
        <w:rPr>
          <w:rFonts w:hint="eastAsia" w:ascii="仿宋_GB2312" w:eastAsia="仿宋_GB2312" w:cs="DengXian-Regular"/>
          <w:sz w:val="32"/>
          <w:szCs w:val="32"/>
        </w:rPr>
        <w:t>万元，占比</w:t>
      </w:r>
      <w:r>
        <w:rPr>
          <w:rFonts w:ascii="仿宋_GB2312" w:eastAsia="仿宋_GB2312" w:cs="DengXian-Regular"/>
          <w:sz w:val="32"/>
          <w:szCs w:val="32"/>
        </w:rPr>
        <w:t>0.21</w:t>
      </w:r>
      <w:r>
        <w:rPr>
          <w:rFonts w:hint="eastAsia" w:ascii="仿宋_GB2312" w:eastAsia="仿宋_GB2312" w:cs="DengXian-Regular"/>
          <w:sz w:val="32"/>
          <w:szCs w:val="32"/>
        </w:rPr>
        <w:t>%；</w:t>
      </w:r>
      <w:r>
        <w:rPr>
          <w:rFonts w:hint="eastAsia" w:ascii="仿宋_GB2312" w:hAnsi="Times New Roman" w:eastAsia="仿宋_GB2312" w:cs="Wingdings"/>
          <w:sz w:val="32"/>
          <w:szCs w:val="32"/>
        </w:rPr>
        <w:t>城乡社区（类）支出</w:t>
      </w:r>
      <w:r>
        <w:rPr>
          <w:rFonts w:ascii="仿宋_GB2312" w:hAnsi="Times New Roman" w:eastAsia="仿宋_GB2312" w:cs="Wingdings"/>
          <w:sz w:val="32"/>
          <w:szCs w:val="32"/>
        </w:rPr>
        <w:t>147.80</w:t>
      </w:r>
      <w:r>
        <w:rPr>
          <w:rFonts w:hint="eastAsia" w:ascii="仿宋_GB2312" w:hAnsi="Times New Roman" w:eastAsia="仿宋_GB2312" w:cs="Wingdings"/>
          <w:sz w:val="32"/>
          <w:szCs w:val="32"/>
        </w:rPr>
        <w:t>万元，占</w:t>
      </w:r>
      <w:r>
        <w:rPr>
          <w:rFonts w:ascii="仿宋_GB2312" w:hAnsi="Times New Roman" w:eastAsia="仿宋_GB2312" w:cs="Wingdings"/>
          <w:sz w:val="32"/>
          <w:szCs w:val="32"/>
        </w:rPr>
        <w:t>15.03</w:t>
      </w:r>
      <w:r>
        <w:rPr>
          <w:rFonts w:hint="eastAsia" w:ascii="仿宋_GB2312" w:hAnsi="Times New Roman" w:eastAsia="仿宋_GB2312" w:cs="Wingdings"/>
          <w:sz w:val="32"/>
          <w:szCs w:val="32"/>
        </w:rPr>
        <w:t>%；</w:t>
      </w:r>
      <w:r>
        <w:rPr>
          <w:rFonts w:hint="eastAsia" w:ascii="仿宋_GB2312" w:eastAsia="仿宋_GB2312" w:cs="DengXian-Regular"/>
          <w:sz w:val="32"/>
          <w:szCs w:val="32"/>
        </w:rPr>
        <w:t>住房保障支出1</w:t>
      </w:r>
      <w:r>
        <w:rPr>
          <w:rFonts w:ascii="仿宋_GB2312" w:eastAsia="仿宋_GB2312" w:cs="DengXian-Regular"/>
          <w:sz w:val="32"/>
          <w:szCs w:val="32"/>
        </w:rPr>
        <w:t>.13</w:t>
      </w:r>
      <w:r>
        <w:rPr>
          <w:rFonts w:hint="eastAsia" w:ascii="仿宋_GB2312" w:eastAsia="仿宋_GB2312" w:cs="DengXian-Regular"/>
          <w:sz w:val="32"/>
          <w:szCs w:val="32"/>
        </w:rPr>
        <w:t>万元，占比</w:t>
      </w:r>
      <w:r>
        <w:rPr>
          <w:rFonts w:ascii="仿宋_GB2312" w:eastAsia="仿宋_GB2312" w:cs="DengXian-Regular"/>
          <w:sz w:val="32"/>
          <w:szCs w:val="32"/>
        </w:rPr>
        <w:t>0.11</w:t>
      </w:r>
      <w:r>
        <w:rPr>
          <w:rFonts w:hint="eastAsia" w:ascii="仿宋_GB2312" w:eastAsia="仿宋_GB2312" w:cs="DengXian-Regular"/>
          <w:sz w:val="32"/>
          <w:szCs w:val="32"/>
        </w:rPr>
        <w:t>%。具体决算收入详见附件</w:t>
      </w:r>
    </w:p>
    <w:p w14:paraId="138B4D3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14:paraId="332DC24D">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asciiTheme="minorEastAsia" w:hAnsiTheme="minorEastAsia" w:eastAsiaTheme="minorEastAsia" w:cstheme="minorEastAsia"/>
          <w:b/>
          <w:bCs/>
          <w:sz w:val="32"/>
          <w:szCs w:val="32"/>
        </w:rPr>
        <w:t>1</w:t>
      </w:r>
      <w:r>
        <w:rPr>
          <w:rFonts w:hint="eastAsia" w:asciiTheme="minorEastAsia" w:hAnsiTheme="minorEastAsia" w:eastAsiaTheme="minorEastAsia" w:cstheme="minorEastAsia"/>
          <w:b/>
          <w:bCs/>
          <w:sz w:val="32"/>
          <w:szCs w:val="32"/>
        </w:rPr>
        <w:t>年度保定市公安交通警察大队决算收入结构图</w:t>
      </w:r>
    </w:p>
    <w:p w14:paraId="45D375A8">
      <w:pPr>
        <w:spacing w:after="0" w:line="540" w:lineRule="exact"/>
        <w:ind w:firstLine="440" w:firstLineChars="200"/>
        <w:jc w:val="both"/>
        <w:rPr>
          <w:rFonts w:ascii="仿宋_GB2312" w:eastAsia="仿宋_GB2312" w:cs="Times New Roman" w:hAnsiTheme="minorEastAsia"/>
          <w:sz w:val="32"/>
          <w:szCs w:val="32"/>
          <w:u w:color="000000"/>
        </w:rPr>
      </w:pPr>
      <w:r>
        <w:drawing>
          <wp:anchor distT="0" distB="0" distL="114300" distR="114300" simplePos="0" relativeHeight="251659264" behindDoc="0" locked="0" layoutInCell="1" allowOverlap="1">
            <wp:simplePos x="0" y="0"/>
            <wp:positionH relativeFrom="column">
              <wp:posOffset>394970</wp:posOffset>
            </wp:positionH>
            <wp:positionV relativeFrom="paragraph">
              <wp:posOffset>56515</wp:posOffset>
            </wp:positionV>
            <wp:extent cx="4562475" cy="2866390"/>
            <wp:effectExtent l="0" t="0" r="9525" b="1016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31F45AF5">
      <w:pPr>
        <w:spacing w:after="0" w:line="540" w:lineRule="exact"/>
        <w:jc w:val="both"/>
        <w:rPr>
          <w:rFonts w:hint="eastAsia" w:ascii="仿宋_GB2312" w:eastAsia="仿宋_GB2312" w:cs="DengXian-Regular"/>
          <w:sz w:val="32"/>
          <w:szCs w:val="32"/>
        </w:rPr>
      </w:pPr>
    </w:p>
    <w:p w14:paraId="01C02E96">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保定市徐水区公安交通警察大队一般公共预算财政拨款决算收入比年初预算增加2</w:t>
      </w:r>
      <w:r>
        <w:rPr>
          <w:rFonts w:ascii="仿宋_GB2312" w:eastAsia="仿宋_GB2312" w:cs="DengXian-Regular"/>
          <w:sz w:val="32"/>
          <w:szCs w:val="32"/>
        </w:rPr>
        <w:t>47.16</w:t>
      </w:r>
      <w:r>
        <w:rPr>
          <w:rFonts w:hint="eastAsia" w:ascii="仿宋_GB2312" w:eastAsia="仿宋_GB2312" w:cs="DengXian-Regular"/>
          <w:sz w:val="32"/>
          <w:szCs w:val="32"/>
        </w:rPr>
        <w:t>万元，完成年初预算的</w:t>
      </w:r>
      <w:r>
        <w:rPr>
          <w:rFonts w:ascii="仿宋_GB2312" w:eastAsia="仿宋_GB2312" w:cs="DengXian-Regular"/>
          <w:sz w:val="32"/>
          <w:szCs w:val="32"/>
        </w:rPr>
        <w:t>100</w:t>
      </w:r>
      <w:r>
        <w:rPr>
          <w:rFonts w:hint="eastAsia" w:ascii="仿宋_GB2312" w:eastAsia="仿宋_GB2312" w:cs="DengXian-Regular"/>
          <w:sz w:val="32"/>
          <w:szCs w:val="32"/>
        </w:rPr>
        <w:t>%。决算收入大于预算收入的主要原因为202</w:t>
      </w:r>
      <w:r>
        <w:rPr>
          <w:rFonts w:ascii="仿宋_GB2312" w:eastAsia="仿宋_GB2312" w:cs="DengXian-Regular"/>
          <w:sz w:val="32"/>
          <w:szCs w:val="32"/>
        </w:rPr>
        <w:t>1</w:t>
      </w:r>
      <w:r>
        <w:rPr>
          <w:rFonts w:hint="eastAsia" w:ascii="仿宋_GB2312" w:eastAsia="仿宋_GB2312" w:cs="DengXian-Regular"/>
          <w:sz w:val="32"/>
          <w:szCs w:val="32"/>
        </w:rPr>
        <w:t>年度区交通警察大队本年度追加项目增加。预算收入与决算收入对比情况见图2。</w:t>
      </w:r>
    </w:p>
    <w:p w14:paraId="19BFCCAE">
      <w:pPr>
        <w:spacing w:after="0" w:line="360" w:lineRule="auto"/>
        <w:jc w:val="center"/>
        <w:rPr>
          <w:rFonts w:ascii="仿宋_GB2312" w:eastAsia="仿宋_GB2312" w:cs="Times New Roman" w:hAnsiTheme="minorEastAsia"/>
          <w:bCs/>
          <w:sz w:val="32"/>
          <w:szCs w:val="32"/>
          <w:u w:color="000000"/>
        </w:rPr>
      </w:pPr>
      <w:r>
        <w:rPr>
          <w:rFonts w:hint="eastAsia" w:asciiTheme="minorEastAsia" w:hAnsiTheme="minorEastAsia" w:eastAsiaTheme="minorEastAsia" w:cstheme="minorEastAsia"/>
          <w:b/>
          <w:sz w:val="32"/>
          <w:szCs w:val="32"/>
          <w:u w:color="000000"/>
        </w:rPr>
        <w:t>图2 202</w:t>
      </w:r>
      <w:r>
        <w:rPr>
          <w:rFonts w:asciiTheme="minorEastAsia" w:hAnsiTheme="minorEastAsia" w:eastAsiaTheme="minorEastAsia" w:cstheme="minorEastAsia"/>
          <w:b/>
          <w:sz w:val="32"/>
          <w:szCs w:val="32"/>
          <w:u w:color="000000"/>
        </w:rPr>
        <w:t>1</w:t>
      </w:r>
      <w:r>
        <w:rPr>
          <w:rFonts w:hint="eastAsia" w:asciiTheme="minorEastAsia" w:hAnsiTheme="minorEastAsia" w:eastAsiaTheme="minorEastAsia" w:cstheme="minorEastAsia"/>
          <w:b/>
          <w:sz w:val="32"/>
          <w:szCs w:val="32"/>
          <w:u w:color="000000"/>
        </w:rPr>
        <w:t>年度区交通警察大队预算收入与决算收入对比图</w:t>
      </w:r>
    </w:p>
    <w:p w14:paraId="5C2F9EE0">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drawing>
          <wp:anchor distT="0" distB="0" distL="114300" distR="114300" simplePos="0" relativeHeight="251660288" behindDoc="0" locked="0" layoutInCell="1" allowOverlap="1">
            <wp:simplePos x="0" y="0"/>
            <wp:positionH relativeFrom="column">
              <wp:posOffset>77470</wp:posOffset>
            </wp:positionH>
            <wp:positionV relativeFrom="paragraph">
              <wp:posOffset>126365</wp:posOffset>
            </wp:positionV>
            <wp:extent cx="5122545" cy="2747010"/>
            <wp:effectExtent l="0" t="0" r="1905" b="15240"/>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14:paraId="087FFE9E">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年度保定市徐水区公安交通警察大队</w:t>
      </w:r>
      <w:r>
        <w:rPr>
          <w:rFonts w:hint="eastAsia" w:ascii="仿宋_GB2312" w:eastAsia="仿宋_GB2312" w:cs="Times New Roman" w:hAnsiTheme="minorEastAsia"/>
          <w:sz w:val="32"/>
          <w:szCs w:val="32"/>
          <w:u w:color="000000"/>
        </w:rPr>
        <w:t>预算支出安排</w:t>
      </w:r>
      <w:r>
        <w:rPr>
          <w:rFonts w:ascii="仿宋_GB2312" w:eastAsia="仿宋_GB2312" w:cs="Times New Roman" w:hAnsiTheme="minorEastAsia"/>
          <w:sz w:val="32"/>
          <w:szCs w:val="32"/>
          <w:u w:color="000000"/>
        </w:rPr>
        <w:t>736.44</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87.27</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649.17</w:t>
      </w:r>
      <w:r>
        <w:rPr>
          <w:rFonts w:hint="eastAsia" w:ascii="仿宋_GB2312" w:eastAsia="仿宋_GB2312" w:cs="Times New Roman" w:hAnsiTheme="minorEastAsia"/>
          <w:sz w:val="32"/>
          <w:szCs w:val="32"/>
          <w:u w:color="000000"/>
        </w:rPr>
        <w:t>万元。预算支出按功能分类包含：公共安全支出</w:t>
      </w:r>
      <w:r>
        <w:rPr>
          <w:rFonts w:ascii="仿宋_GB2312" w:eastAsia="仿宋_GB2312" w:cs="Times New Roman" w:hAnsiTheme="minorEastAsia"/>
          <w:sz w:val="32"/>
          <w:szCs w:val="32"/>
          <w:u w:color="000000"/>
        </w:rPr>
        <w:t>711.14</w:t>
      </w:r>
      <w:r>
        <w:rPr>
          <w:rFonts w:hint="eastAsia" w:ascii="仿宋_GB2312" w:eastAsia="仿宋_GB2312" w:cs="Times New Roman" w:hAnsiTheme="minorEastAsia"/>
          <w:sz w:val="32"/>
          <w:szCs w:val="32"/>
          <w:u w:color="000000"/>
        </w:rPr>
        <w:t>万元，社会保障和就业支出</w:t>
      </w:r>
      <w:r>
        <w:rPr>
          <w:rFonts w:ascii="仿宋_GB2312" w:eastAsia="仿宋_GB2312" w:cs="Times New Roman" w:hAnsiTheme="minorEastAsia"/>
          <w:sz w:val="32"/>
          <w:szCs w:val="32"/>
          <w:u w:color="000000"/>
        </w:rPr>
        <w:t>16.63</w:t>
      </w:r>
      <w:r>
        <w:rPr>
          <w:rFonts w:hint="eastAsia" w:ascii="仿宋_GB2312" w:eastAsia="仿宋_GB2312" w:cs="Times New Roman" w:hAnsiTheme="minorEastAsia"/>
          <w:sz w:val="32"/>
          <w:szCs w:val="32"/>
          <w:u w:color="000000"/>
        </w:rPr>
        <w:t>万元，医疗卫生与计划教育支出</w:t>
      </w:r>
      <w:r>
        <w:rPr>
          <w:rFonts w:ascii="仿宋_GB2312" w:eastAsia="仿宋_GB2312" w:cs="Times New Roman" w:hAnsiTheme="minorEastAsia"/>
          <w:sz w:val="32"/>
          <w:szCs w:val="32"/>
          <w:u w:color="000000"/>
        </w:rPr>
        <w:t>7.54</w:t>
      </w:r>
      <w:r>
        <w:rPr>
          <w:rFonts w:hint="eastAsia" w:ascii="仿宋_GB2312" w:eastAsia="仿宋_GB2312" w:cs="Times New Roman" w:hAnsiTheme="minorEastAsia"/>
          <w:sz w:val="32"/>
          <w:szCs w:val="32"/>
          <w:u w:color="000000"/>
        </w:rPr>
        <w:t>万元，住房保障支出</w:t>
      </w:r>
      <w:r>
        <w:rPr>
          <w:rFonts w:ascii="仿宋_GB2312" w:eastAsia="仿宋_GB2312" w:cs="Times New Roman" w:hAnsiTheme="minorEastAsia"/>
          <w:sz w:val="32"/>
          <w:szCs w:val="32"/>
          <w:u w:color="000000"/>
        </w:rPr>
        <w:t>1.13</w:t>
      </w:r>
      <w:r>
        <w:rPr>
          <w:rFonts w:hint="eastAsia" w:ascii="仿宋_GB2312" w:eastAsia="仿宋_GB2312" w:cs="Times New Roman" w:hAnsiTheme="minorEastAsia"/>
          <w:sz w:val="32"/>
          <w:szCs w:val="32"/>
          <w:u w:color="000000"/>
        </w:rPr>
        <w:t>万元。具体预算支出详见附件2。</w:t>
      </w:r>
    </w:p>
    <w:p w14:paraId="3C251CDE">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年度保定市徐水区公安交通警察大队</w:t>
      </w:r>
      <w:r>
        <w:rPr>
          <w:rFonts w:hint="eastAsia" w:ascii="仿宋_GB2312" w:eastAsia="仿宋_GB2312" w:cs="Times New Roman" w:hAnsiTheme="minorEastAsia"/>
          <w:sz w:val="32"/>
          <w:szCs w:val="32"/>
          <w:u w:color="000000"/>
        </w:rPr>
        <w:t>决算支出为</w:t>
      </w:r>
      <w:r>
        <w:rPr>
          <w:rFonts w:ascii="仿宋_GB2312" w:eastAsia="仿宋_GB2312" w:cs="Times New Roman" w:hAnsiTheme="minorEastAsia"/>
          <w:sz w:val="32"/>
          <w:szCs w:val="32"/>
          <w:u w:color="000000"/>
        </w:rPr>
        <w:t>983.61</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37.60</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946.01</w:t>
      </w:r>
      <w:r>
        <w:rPr>
          <w:rFonts w:hint="eastAsia" w:ascii="仿宋_GB2312" w:eastAsia="仿宋_GB2312" w:cs="Times New Roman" w:hAnsiTheme="minorEastAsia"/>
          <w:sz w:val="32"/>
          <w:szCs w:val="32"/>
          <w:u w:color="000000"/>
        </w:rPr>
        <w:t>万元。决算支出按功能分类包含：公共安全支出</w:t>
      </w:r>
      <w:r>
        <w:rPr>
          <w:rFonts w:ascii="仿宋_GB2312" w:eastAsia="仿宋_GB2312" w:cs="Times New Roman" w:hAnsiTheme="minorEastAsia"/>
          <w:sz w:val="32"/>
          <w:szCs w:val="32"/>
          <w:u w:color="000000"/>
        </w:rPr>
        <w:t>815.66</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82.93</w:t>
      </w:r>
      <w:r>
        <w:rPr>
          <w:rFonts w:hint="eastAsia" w:ascii="仿宋_GB2312" w:eastAsia="仿宋_GB2312" w:cs="Times New Roman" w:hAnsiTheme="minorEastAsia"/>
          <w:sz w:val="32"/>
          <w:szCs w:val="32"/>
          <w:u w:color="000000"/>
        </w:rPr>
        <w:t>%；社会保障和就业支出</w:t>
      </w:r>
      <w:r>
        <w:rPr>
          <w:rFonts w:ascii="仿宋_GB2312" w:eastAsia="仿宋_GB2312" w:cs="Times New Roman" w:hAnsiTheme="minorEastAsia"/>
          <w:sz w:val="32"/>
          <w:szCs w:val="32"/>
          <w:u w:color="000000"/>
        </w:rPr>
        <w:t>16.97</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1.72</w:t>
      </w:r>
      <w:r>
        <w:rPr>
          <w:rFonts w:hint="eastAsia" w:ascii="仿宋_GB2312" w:eastAsia="仿宋_GB2312" w:cs="Times New Roman" w:hAnsiTheme="minorEastAsia"/>
          <w:sz w:val="32"/>
          <w:szCs w:val="32"/>
          <w:u w:color="000000"/>
        </w:rPr>
        <w:t>%；医疗卫生与计划教育支出</w:t>
      </w:r>
      <w:r>
        <w:rPr>
          <w:rFonts w:ascii="仿宋_GB2312" w:eastAsia="仿宋_GB2312" w:cs="Times New Roman" w:hAnsiTheme="minorEastAsia"/>
          <w:sz w:val="32"/>
          <w:szCs w:val="32"/>
          <w:u w:color="000000"/>
        </w:rPr>
        <w:t>2.03</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0.21</w:t>
      </w:r>
      <w:r>
        <w:rPr>
          <w:rFonts w:hint="eastAsia" w:ascii="仿宋_GB2312" w:eastAsia="仿宋_GB2312" w:cs="Times New Roman" w:hAnsiTheme="minorEastAsia"/>
          <w:sz w:val="32"/>
          <w:szCs w:val="32"/>
          <w:u w:color="000000"/>
        </w:rPr>
        <w:t>%；</w:t>
      </w:r>
      <w:r>
        <w:rPr>
          <w:rFonts w:hint="eastAsia" w:ascii="仿宋_GB2312" w:hAnsi="Times New Roman" w:eastAsia="仿宋_GB2312" w:cs="Wingdings"/>
          <w:sz w:val="32"/>
          <w:szCs w:val="32"/>
        </w:rPr>
        <w:t>城乡社区（类）支出</w:t>
      </w:r>
      <w:r>
        <w:rPr>
          <w:rFonts w:ascii="仿宋_GB2312" w:hAnsi="Times New Roman" w:eastAsia="仿宋_GB2312" w:cs="Wingdings"/>
          <w:sz w:val="32"/>
          <w:szCs w:val="32"/>
        </w:rPr>
        <w:t>147.80</w:t>
      </w:r>
      <w:r>
        <w:rPr>
          <w:rFonts w:hint="eastAsia" w:ascii="仿宋_GB2312" w:hAnsi="Times New Roman" w:eastAsia="仿宋_GB2312" w:cs="Wingdings"/>
          <w:sz w:val="32"/>
          <w:szCs w:val="32"/>
        </w:rPr>
        <w:t>万元，占</w:t>
      </w:r>
      <w:r>
        <w:rPr>
          <w:rFonts w:ascii="仿宋_GB2312" w:hAnsi="Times New Roman" w:eastAsia="仿宋_GB2312" w:cs="Wingdings"/>
          <w:sz w:val="32"/>
          <w:szCs w:val="32"/>
        </w:rPr>
        <w:t>15.03</w:t>
      </w:r>
      <w:r>
        <w:rPr>
          <w:rFonts w:hint="eastAsia" w:ascii="仿宋_GB2312" w:hAnsi="Times New Roman" w:eastAsia="仿宋_GB2312" w:cs="Wingdings"/>
          <w:sz w:val="32"/>
          <w:szCs w:val="32"/>
        </w:rPr>
        <w:t>%；</w:t>
      </w:r>
      <w:r>
        <w:rPr>
          <w:rFonts w:hint="eastAsia" w:ascii="仿宋_GB2312" w:eastAsia="仿宋_GB2312" w:cs="Times New Roman" w:hAnsiTheme="minorEastAsia"/>
          <w:sz w:val="32"/>
          <w:szCs w:val="32"/>
          <w:u w:color="000000"/>
        </w:rPr>
        <w:t>住房保障支出</w:t>
      </w:r>
      <w:r>
        <w:rPr>
          <w:rFonts w:ascii="仿宋_GB2312" w:eastAsia="仿宋_GB2312" w:cs="Times New Roman" w:hAnsiTheme="minorEastAsia"/>
          <w:sz w:val="32"/>
          <w:szCs w:val="32"/>
          <w:u w:color="000000"/>
        </w:rPr>
        <w:t>1.13</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0.11</w:t>
      </w:r>
      <w:r>
        <w:rPr>
          <w:rFonts w:hint="eastAsia" w:ascii="仿宋_GB2312" w:eastAsia="仿宋_GB2312" w:cs="Times New Roman" w:hAnsiTheme="minorEastAsia"/>
          <w:sz w:val="32"/>
          <w:szCs w:val="32"/>
          <w:u w:color="000000"/>
        </w:rPr>
        <w:t>%。具体决算支出详见附件2。</w:t>
      </w:r>
    </w:p>
    <w:p w14:paraId="00C9D14F">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14:paraId="165923F3">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年度区交通警察大队</w:t>
      </w:r>
      <w:r>
        <w:rPr>
          <w:rFonts w:hint="eastAsia" w:asciiTheme="minorEastAsia" w:hAnsiTheme="minorEastAsia" w:eastAsiaTheme="minorEastAsia" w:cstheme="minorEastAsia"/>
          <w:b/>
          <w:bCs/>
          <w:sz w:val="32"/>
          <w:szCs w:val="32"/>
          <w:u w:color="000000"/>
        </w:rPr>
        <w:t>决算支出结构图</w:t>
      </w:r>
    </w:p>
    <w:p w14:paraId="47134A15">
      <w:pPr>
        <w:spacing w:after="0" w:line="360" w:lineRule="auto"/>
        <w:ind w:firstLine="440" w:firstLineChars="200"/>
        <w:jc w:val="both"/>
        <w:rPr>
          <w:rFonts w:ascii="仿宋" w:hAnsi="仿宋" w:eastAsia="仿宋"/>
          <w:snapToGrid w:val="0"/>
          <w:sz w:val="32"/>
          <w:szCs w:val="32"/>
        </w:rPr>
      </w:pPr>
      <w:r>
        <w:drawing>
          <wp:anchor distT="0" distB="0" distL="90170" distR="90170" simplePos="0" relativeHeight="251661312" behindDoc="0" locked="0" layoutInCell="1" allowOverlap="1">
            <wp:simplePos x="0" y="0"/>
            <wp:positionH relativeFrom="column">
              <wp:posOffset>143510</wp:posOffset>
            </wp:positionH>
            <wp:positionV relativeFrom="paragraph">
              <wp:posOffset>109220</wp:posOffset>
            </wp:positionV>
            <wp:extent cx="4991100" cy="2790825"/>
            <wp:effectExtent l="0" t="0" r="0" b="9525"/>
            <wp:wrapSquare wrapText="bothSides"/>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eastAsia="仿宋_GB2312" w:cs="DengXian-Regular"/>
          <w:sz w:val="32"/>
          <w:szCs w:val="32"/>
        </w:rPr>
        <w:t>财政拨款决算支出比年初预算增加</w:t>
      </w:r>
      <w:r>
        <w:rPr>
          <w:rFonts w:ascii="仿宋_GB2312" w:eastAsia="仿宋_GB2312" w:cs="DengXian-Regular"/>
          <w:sz w:val="32"/>
          <w:szCs w:val="32"/>
        </w:rPr>
        <w:t>247.16</w:t>
      </w:r>
      <w:r>
        <w:rPr>
          <w:rFonts w:hint="eastAsia" w:ascii="仿宋_GB2312" w:eastAsia="仿宋_GB2312" w:cs="DengXian-Regular"/>
          <w:sz w:val="32"/>
          <w:szCs w:val="32"/>
        </w:rPr>
        <w:t>万元。决算支出完成年初预算的</w:t>
      </w:r>
      <w:r>
        <w:rPr>
          <w:rFonts w:ascii="仿宋_GB2312" w:eastAsia="仿宋_GB2312" w:cs="DengXian-Regular"/>
          <w:sz w:val="32"/>
          <w:szCs w:val="32"/>
        </w:rPr>
        <w:t>100</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w:t>
      </w:r>
      <w:r>
        <w:rPr>
          <w:rFonts w:hint="eastAsia" w:ascii="仿宋_GB2312" w:hAnsi="Times New Roman" w:eastAsia="仿宋_GB2312" w:cs="Wingdings"/>
          <w:sz w:val="32"/>
          <w:szCs w:val="32"/>
        </w:rPr>
        <w:t>本年度追加项目增加，</w:t>
      </w:r>
      <w:r>
        <w:rPr>
          <w:rFonts w:ascii="仿宋_GB2312" w:hAnsi="Times New Roman" w:eastAsia="仿宋_GB2312" w:cs="Wingdings"/>
          <w:sz w:val="32"/>
          <w:szCs w:val="32"/>
        </w:rPr>
        <w:t>工程类</w:t>
      </w:r>
      <w:r>
        <w:rPr>
          <w:rFonts w:hint="eastAsia" w:ascii="仿宋_GB2312" w:hAnsi="Times New Roman" w:eastAsia="仿宋_GB2312" w:cs="Wingdings"/>
          <w:sz w:val="32"/>
          <w:szCs w:val="32"/>
        </w:rPr>
        <w:t>项目经费增加</w:t>
      </w:r>
      <w:r>
        <w:rPr>
          <w:rFonts w:hint="eastAsia" w:ascii="仿宋" w:hAnsi="仿宋" w:eastAsia="仿宋"/>
          <w:snapToGrid w:val="0"/>
          <w:sz w:val="32"/>
          <w:szCs w:val="32"/>
        </w:rPr>
        <w:t>。预算支出与决算支出对比情况如图4。</w:t>
      </w:r>
    </w:p>
    <w:p w14:paraId="31CAC890">
      <w:pPr>
        <w:spacing w:after="0" w:line="360" w:lineRule="auto"/>
        <w:jc w:val="center"/>
        <w:rPr>
          <w:rFonts w:ascii="仿宋_GB2312" w:eastAsia="仿宋_GB2312" w:cs="DengXian-Regular"/>
          <w:sz w:val="32"/>
          <w:szCs w:val="32"/>
        </w:rPr>
      </w:pPr>
      <w:r>
        <w:rPr>
          <w:rFonts w:hint="eastAsia" w:asciiTheme="minorEastAsia" w:hAnsiTheme="minorEastAsia" w:eastAsiaTheme="minorEastAsia" w:cstheme="minorEastAsia"/>
          <w:b/>
          <w:bCs/>
          <w:sz w:val="32"/>
          <w:szCs w:val="32"/>
        </w:rPr>
        <w:drawing>
          <wp:anchor distT="0" distB="0" distL="114300" distR="114300" simplePos="0" relativeHeight="251662336" behindDoc="0" locked="0" layoutInCell="1" allowOverlap="1">
            <wp:simplePos x="0" y="0"/>
            <wp:positionH relativeFrom="column">
              <wp:posOffset>144145</wp:posOffset>
            </wp:positionH>
            <wp:positionV relativeFrom="paragraph">
              <wp:posOffset>499745</wp:posOffset>
            </wp:positionV>
            <wp:extent cx="5102225" cy="2717165"/>
            <wp:effectExtent l="0" t="0" r="3175" b="6985"/>
            <wp:wrapSquare wrapText="bothSides"/>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年度区交通警察大队</w:t>
      </w:r>
      <w:r>
        <w:rPr>
          <w:rFonts w:hint="eastAsia" w:asciiTheme="minorEastAsia" w:hAnsiTheme="minorEastAsia" w:eastAsiaTheme="minorEastAsia" w:cstheme="minorEastAsia"/>
          <w:b/>
          <w:bCs/>
          <w:sz w:val="32"/>
          <w:szCs w:val="32"/>
        </w:rPr>
        <w:t>预算支出与决算支出对比图</w:t>
      </w:r>
    </w:p>
    <w:p w14:paraId="7BF61D5B">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保定市徐水区公安交通警察大队202</w:t>
      </w:r>
      <w:r>
        <w:rPr>
          <w:rFonts w:ascii="仿宋_GB2312" w:eastAsia="仿宋_GB2312" w:cs="DengXian-Regular"/>
          <w:sz w:val="32"/>
          <w:szCs w:val="32"/>
        </w:rPr>
        <w:t>1</w:t>
      </w:r>
      <w:r>
        <w:rPr>
          <w:rFonts w:hint="eastAsia" w:ascii="仿宋_GB2312" w:eastAsia="仿宋_GB2312" w:cs="DengXian-Regular"/>
          <w:sz w:val="32"/>
          <w:szCs w:val="32"/>
        </w:rPr>
        <w:t>年实际项目支出</w:t>
      </w:r>
      <w:r>
        <w:rPr>
          <w:rFonts w:ascii="仿宋_GB2312" w:eastAsia="仿宋_GB2312" w:cs="DengXian-Regular"/>
          <w:color w:val="000000" w:themeColor="text1"/>
          <w:sz w:val="32"/>
          <w:szCs w:val="32"/>
          <w14:textFill>
            <w14:solidFill>
              <w14:schemeClr w14:val="tx1"/>
            </w14:solidFill>
          </w14:textFill>
        </w:rPr>
        <w:t>946.02</w:t>
      </w:r>
      <w:r>
        <w:rPr>
          <w:rFonts w:hint="eastAsia" w:ascii="仿宋_GB2312" w:eastAsia="仿宋_GB2312" w:cs="DengXian-Regular"/>
          <w:color w:val="000000" w:themeColor="text1"/>
          <w:sz w:val="32"/>
          <w:szCs w:val="32"/>
          <w14:textFill>
            <w14:solidFill>
              <w14:schemeClr w14:val="tx1"/>
            </w14:solidFill>
          </w14:textFill>
        </w:rPr>
        <w:t>万元，决算报表中项目支出</w:t>
      </w:r>
      <w:r>
        <w:rPr>
          <w:rFonts w:ascii="仿宋_GB2312" w:eastAsia="仿宋_GB2312" w:cs="DengXian-Regular"/>
          <w:color w:val="000000" w:themeColor="text1"/>
          <w:sz w:val="32"/>
          <w:szCs w:val="32"/>
          <w14:textFill>
            <w14:solidFill>
              <w14:schemeClr w14:val="tx1"/>
            </w14:solidFill>
          </w14:textFill>
        </w:rPr>
        <w:t>946.02</w:t>
      </w:r>
      <w:r>
        <w:rPr>
          <w:rFonts w:hint="eastAsia" w:ascii="仿宋_GB2312" w:eastAsia="仿宋_GB2312" w:cs="DengXian-Regular"/>
          <w:color w:val="000000" w:themeColor="text1"/>
          <w:sz w:val="32"/>
          <w:szCs w:val="32"/>
          <w14:textFill>
            <w14:solidFill>
              <w14:schemeClr w14:val="tx1"/>
            </w14:solidFill>
          </w14:textFill>
        </w:rPr>
        <w:t>万元，</w:t>
      </w:r>
      <w:r>
        <w:rPr>
          <w:rFonts w:hint="eastAsia" w:ascii="仿宋_GB2312" w:eastAsia="仿宋_GB2312" w:cs="DengXian-Regular"/>
          <w:sz w:val="32"/>
          <w:szCs w:val="32"/>
        </w:rPr>
        <w:t>实际支出与决算报表相同。</w:t>
      </w:r>
    </w:p>
    <w:p w14:paraId="549305D0">
      <w:pPr>
        <w:pStyle w:val="4"/>
        <w:spacing w:before="0" w:after="0"/>
        <w:ind w:firstLine="643" w:firstLineChars="200"/>
        <w:jc w:val="both"/>
        <w:rPr>
          <w:rFonts w:ascii="仿宋_GB2312" w:hAnsi="Tahoma" w:cs="DengXian-Regular"/>
          <w:sz w:val="32"/>
        </w:rPr>
      </w:pPr>
      <w:bookmarkStart w:id="13" w:name="_Toc465149503"/>
      <w:bookmarkStart w:id="14" w:name="_Toc492652769"/>
      <w:bookmarkStart w:id="15" w:name="_Toc19291"/>
      <w:r>
        <w:rPr>
          <w:rFonts w:hint="eastAsia" w:ascii="仿宋_GB2312" w:hAnsi="Tahoma" w:cs="DengXian-Regular"/>
          <w:sz w:val="32"/>
        </w:rPr>
        <w:t>（五）“三公”经费预算安排及支出情况</w:t>
      </w:r>
      <w:bookmarkEnd w:id="13"/>
      <w:bookmarkEnd w:id="14"/>
      <w:bookmarkEnd w:id="15"/>
    </w:p>
    <w:p w14:paraId="6FCAF3FD">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年保定市徐水区公安交通警察大队 “三公”经费预算</w:t>
      </w:r>
      <w:r>
        <w:rPr>
          <w:rFonts w:ascii="仿宋_GB2312" w:eastAsia="仿宋_GB2312" w:cs="DengXian-Regular"/>
          <w:sz w:val="32"/>
          <w:szCs w:val="32"/>
        </w:rPr>
        <w:t>9.95</w:t>
      </w:r>
      <w:r>
        <w:rPr>
          <w:rFonts w:hint="eastAsia" w:ascii="仿宋_GB2312" w:eastAsia="仿宋_GB2312" w:cs="DengXian-Regular"/>
          <w:sz w:val="32"/>
          <w:szCs w:val="32"/>
        </w:rPr>
        <w:t>万元（公务用车运行维护费9</w:t>
      </w:r>
      <w:r>
        <w:rPr>
          <w:rFonts w:ascii="仿宋_GB2312" w:eastAsia="仿宋_GB2312" w:cs="DengXian-Regular"/>
          <w:sz w:val="32"/>
          <w:szCs w:val="32"/>
        </w:rPr>
        <w:t>.95</w:t>
      </w:r>
      <w:r>
        <w:rPr>
          <w:rFonts w:hint="eastAsia" w:ascii="仿宋_GB2312" w:eastAsia="仿宋_GB2312" w:cs="DengXian-Regular"/>
          <w:sz w:val="32"/>
          <w:szCs w:val="32"/>
        </w:rPr>
        <w:t>万元），实际支出9</w:t>
      </w:r>
      <w:r>
        <w:rPr>
          <w:rFonts w:ascii="仿宋_GB2312" w:eastAsia="仿宋_GB2312" w:cs="DengXian-Regular"/>
          <w:sz w:val="32"/>
          <w:szCs w:val="32"/>
        </w:rPr>
        <w:t>.28</w:t>
      </w:r>
      <w:r>
        <w:rPr>
          <w:rFonts w:hint="eastAsia" w:ascii="仿宋_GB2312" w:eastAsia="仿宋_GB2312" w:cs="DengXian-Regular"/>
          <w:sz w:val="32"/>
          <w:szCs w:val="32"/>
        </w:rPr>
        <w:t>万元（公务用车运行维护费9</w:t>
      </w:r>
      <w:r>
        <w:rPr>
          <w:rFonts w:ascii="仿宋_GB2312" w:eastAsia="仿宋_GB2312" w:cs="DengXian-Regular"/>
          <w:sz w:val="32"/>
          <w:szCs w:val="32"/>
        </w:rPr>
        <w:t>.28</w:t>
      </w:r>
      <w:r>
        <w:rPr>
          <w:rFonts w:hint="eastAsia" w:ascii="仿宋_GB2312" w:eastAsia="仿宋_GB2312" w:cs="DengXian-Regular"/>
          <w:sz w:val="32"/>
          <w:szCs w:val="32"/>
        </w:rPr>
        <w:t>万元），比预算减少0</w:t>
      </w:r>
      <w:r>
        <w:rPr>
          <w:rFonts w:ascii="仿宋_GB2312" w:eastAsia="仿宋_GB2312" w:cs="DengXian-Regular"/>
          <w:sz w:val="32"/>
          <w:szCs w:val="32"/>
        </w:rPr>
        <w:t>.67</w:t>
      </w:r>
      <w:r>
        <w:rPr>
          <w:rFonts w:hint="eastAsia" w:ascii="仿宋_GB2312" w:eastAsia="仿宋_GB2312" w:cs="DengXian-Regular"/>
          <w:sz w:val="32"/>
          <w:szCs w:val="32"/>
        </w:rPr>
        <w:t>万元，节约率</w:t>
      </w:r>
      <w:r>
        <w:rPr>
          <w:rFonts w:ascii="仿宋_GB2312" w:eastAsia="仿宋_GB2312" w:cs="DengXian-Regular"/>
          <w:sz w:val="32"/>
          <w:szCs w:val="32"/>
        </w:rPr>
        <w:t>7.22</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年“三公”经费预算数与</w:t>
      </w:r>
      <w:r>
        <w:rPr>
          <w:rFonts w:ascii="仿宋_GB2312" w:eastAsia="仿宋_GB2312" w:cs="DengXian-Regular"/>
          <w:sz w:val="32"/>
          <w:szCs w:val="32"/>
        </w:rPr>
        <w:t>2020</w:t>
      </w:r>
      <w:r>
        <w:rPr>
          <w:rFonts w:hint="eastAsia" w:ascii="仿宋_GB2312" w:eastAsia="仿宋_GB2312" w:cs="DengXian-Regular"/>
          <w:sz w:val="32"/>
          <w:szCs w:val="32"/>
        </w:rPr>
        <w:t>年预算数相比无变化，决算数与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年实际支出相比，减少</w:t>
      </w:r>
      <w:r>
        <w:rPr>
          <w:rFonts w:ascii="仿宋_GB2312" w:eastAsia="仿宋_GB2312" w:cs="DengXian-Regular"/>
          <w:sz w:val="32"/>
          <w:szCs w:val="32"/>
        </w:rPr>
        <w:t>1.67</w:t>
      </w:r>
      <w:r>
        <w:rPr>
          <w:rFonts w:hint="eastAsia" w:ascii="仿宋_GB2312" w:eastAsia="仿宋_GB2312" w:cs="DengXian-Regular"/>
          <w:sz w:val="32"/>
          <w:szCs w:val="32"/>
        </w:rPr>
        <w:t>万元。具体详见表1。</w:t>
      </w:r>
    </w:p>
    <w:p w14:paraId="12ACDDF8">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区交通警察大队</w:t>
      </w:r>
      <w:r>
        <w:rPr>
          <w:rFonts w:hint="eastAsia" w:asciiTheme="minorEastAsia" w:hAnsiTheme="minorEastAsia" w:eastAsiaTheme="minorEastAsia" w:cstheme="minorEastAsia"/>
          <w:b/>
          <w:bCs/>
          <w:sz w:val="32"/>
          <w:szCs w:val="32"/>
        </w:rPr>
        <w:t>“三公”经费预算及决算明细表</w:t>
      </w:r>
    </w:p>
    <w:p w14:paraId="36357063">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14:paraId="1F65053B">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EA7E8">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BEECDE">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4D05F5">
            <w:pPr>
              <w:spacing w:after="0"/>
              <w:ind w:firstLine="422" w:firstLineChars="200"/>
              <w:jc w:val="center"/>
              <w:textAlignment w:val="center"/>
              <w:rPr>
                <w:rFonts w:ascii="宋体" w:hAnsi="宋体" w:eastAsia="宋体" w:cs="宋体"/>
                <w:b/>
                <w:bCs/>
                <w:color w:val="000000"/>
                <w:sz w:val="21"/>
                <w:szCs w:val="21"/>
              </w:rPr>
            </w:pPr>
            <w:r>
              <w:rPr>
                <w:rFonts w:ascii="宋体" w:hAnsi="宋体" w:eastAsia="宋体" w:cs="宋体"/>
                <w:b/>
                <w:bCs/>
                <w:color w:val="000000"/>
                <w:sz w:val="21"/>
                <w:szCs w:val="21"/>
              </w:rPr>
              <w:t>2020</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57D564D5">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ascii="宋体" w:hAnsi="宋体" w:eastAsia="宋体" w:cs="宋体"/>
                <w:b/>
                <w:bCs/>
                <w:color w:val="000000"/>
                <w:sz w:val="21"/>
                <w:szCs w:val="21"/>
              </w:rPr>
              <w:t>1</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9BD5C">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14:paraId="46BD121C">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0FEEB6">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59403C">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DE2526">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A682C82">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CD5F44F">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47ED7B5">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48FC91A">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85FF2ED">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14:paraId="732FB675">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0F21">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5589B5BB">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1ABCF">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B0E61">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B5BD3">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3F97A5">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AF9E93">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A253C3">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14:paraId="04B37110">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8725">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D050F1E">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B62D">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r>
              <w:rPr>
                <w:rFonts w:asciiTheme="minorEastAsia" w:hAnsiTheme="minorEastAsia" w:eastAsiaTheme="minorEastAsia" w:cstheme="minorEastAsia"/>
                <w:color w:val="000000"/>
                <w:sz w:val="21"/>
                <w:szCs w:val="21"/>
              </w:rPr>
              <w:t>.95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B405B">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r>
              <w:rPr>
                <w:rFonts w:asciiTheme="minorEastAsia" w:hAnsiTheme="minorEastAsia" w:eastAsiaTheme="minorEastAsia" w:cstheme="minorEastAsia"/>
                <w:color w:val="000000"/>
                <w:sz w:val="21"/>
                <w:szCs w:val="21"/>
              </w:rPr>
              <w:t>.95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B50E">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r>
              <w:rPr>
                <w:rFonts w:asciiTheme="minorEastAsia" w:hAnsiTheme="minorEastAsia" w:eastAsiaTheme="minorEastAsia" w:cstheme="minorEastAsia"/>
                <w:color w:val="000000"/>
                <w:sz w:val="21"/>
                <w:szCs w:val="21"/>
              </w:rPr>
              <w:t>.95</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88825">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r>
              <w:rPr>
                <w:rFonts w:asciiTheme="minorEastAsia" w:hAnsiTheme="minorEastAsia" w:eastAsiaTheme="minorEastAsia" w:cstheme="minorEastAsia"/>
                <w:color w:val="000000"/>
                <w:sz w:val="21"/>
                <w:szCs w:val="21"/>
              </w:rPr>
              <w:t>.28</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5E0B5C">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72F78E">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asciiTheme="minorEastAsia" w:hAnsiTheme="minorEastAsia" w:eastAsiaTheme="minorEastAsia" w:cstheme="minorEastAsia"/>
                <w:color w:val="000000"/>
                <w:sz w:val="21"/>
                <w:szCs w:val="21"/>
              </w:rPr>
              <w:t>.67</w:t>
            </w:r>
          </w:p>
        </w:tc>
      </w:tr>
      <w:tr w14:paraId="54E7114A">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20399">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AE422">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E141">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D690">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C165">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BC8AB">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D64ACD">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B36626">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14:paraId="1B019BA9">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8F54">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C5CC38">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F2B1">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r>
              <w:rPr>
                <w:rFonts w:asciiTheme="minorEastAsia" w:hAnsiTheme="minorEastAsia" w:eastAsiaTheme="minorEastAsia" w:cstheme="minorEastAsia"/>
                <w:color w:val="000000"/>
                <w:sz w:val="21"/>
                <w:szCs w:val="21"/>
              </w:rPr>
              <w:t>.95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B2A8B">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r>
              <w:rPr>
                <w:rFonts w:asciiTheme="minorEastAsia" w:hAnsiTheme="minorEastAsia" w:eastAsiaTheme="minorEastAsia" w:cstheme="minorEastAsia"/>
                <w:color w:val="000000"/>
                <w:sz w:val="21"/>
                <w:szCs w:val="21"/>
              </w:rPr>
              <w:t>.95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45E2">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r>
              <w:rPr>
                <w:rFonts w:asciiTheme="minorEastAsia" w:hAnsiTheme="minorEastAsia" w:eastAsiaTheme="minorEastAsia" w:cstheme="minorEastAsia"/>
                <w:color w:val="000000"/>
                <w:sz w:val="21"/>
                <w:szCs w:val="21"/>
              </w:rPr>
              <w:t>.95</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A1DAC0">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r>
              <w:rPr>
                <w:rFonts w:asciiTheme="minorEastAsia" w:hAnsiTheme="minorEastAsia" w:eastAsiaTheme="minorEastAsia" w:cstheme="minorEastAsia"/>
                <w:color w:val="000000"/>
                <w:sz w:val="21"/>
                <w:szCs w:val="21"/>
              </w:rPr>
              <w:t>.28</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72B32E">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41CD52">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asciiTheme="minorEastAsia" w:hAnsiTheme="minorEastAsia" w:eastAsiaTheme="minorEastAsia" w:cstheme="minorEastAsia"/>
                <w:color w:val="000000"/>
                <w:sz w:val="21"/>
                <w:szCs w:val="21"/>
              </w:rPr>
              <w:t>.67</w:t>
            </w:r>
          </w:p>
        </w:tc>
      </w:tr>
    </w:tbl>
    <w:p w14:paraId="40B78D62">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ascii="仿宋_GB2312" w:eastAsia="仿宋_GB2312" w:cs="DengXian-Regular"/>
          <w:sz w:val="32"/>
          <w:szCs w:val="32"/>
        </w:rPr>
        <w:t>1</w:t>
      </w:r>
      <w:r>
        <w:rPr>
          <w:rFonts w:hint="eastAsia" w:ascii="仿宋_GB2312" w:eastAsia="仿宋_GB2312" w:cs="DengXian-Regular"/>
          <w:sz w:val="32"/>
          <w:szCs w:val="32"/>
        </w:rPr>
        <w:t>年底保定市徐水区公安交通警察大队车辆合计</w:t>
      </w:r>
      <w:r>
        <w:rPr>
          <w:rFonts w:ascii="仿宋_GB2312" w:eastAsia="仿宋_GB2312" w:cs="DengXian-Regular"/>
          <w:sz w:val="32"/>
          <w:szCs w:val="32"/>
        </w:rPr>
        <w:t>21</w:t>
      </w:r>
      <w:r>
        <w:rPr>
          <w:rFonts w:hint="eastAsia" w:ascii="仿宋_GB2312" w:eastAsia="仿宋_GB2312" w:cs="DengXian-Regular"/>
          <w:sz w:val="32"/>
          <w:szCs w:val="32"/>
        </w:rPr>
        <w:t>辆，其中执法执勤用车2</w:t>
      </w:r>
      <w:r>
        <w:rPr>
          <w:rFonts w:ascii="仿宋_GB2312" w:eastAsia="仿宋_GB2312" w:cs="DengXian-Regular"/>
          <w:sz w:val="32"/>
          <w:szCs w:val="32"/>
        </w:rPr>
        <w:t>1</w:t>
      </w:r>
      <w:r>
        <w:rPr>
          <w:rFonts w:hint="eastAsia" w:ascii="仿宋_GB2312" w:eastAsia="仿宋_GB2312" w:cs="DengXian-Regular"/>
          <w:sz w:val="32"/>
          <w:szCs w:val="32"/>
        </w:rPr>
        <w:t>辆，其他用车</w:t>
      </w:r>
      <w:r>
        <w:rPr>
          <w:rFonts w:ascii="仿宋_GB2312" w:eastAsia="仿宋_GB2312" w:cs="DengXian-Regular"/>
          <w:sz w:val="32"/>
          <w:szCs w:val="32"/>
        </w:rPr>
        <w:t>0</w:t>
      </w:r>
      <w:r>
        <w:rPr>
          <w:rFonts w:hint="eastAsia" w:ascii="仿宋_GB2312" w:eastAsia="仿宋_GB2312" w:cs="DengXian-Regular"/>
          <w:sz w:val="32"/>
          <w:szCs w:val="32"/>
        </w:rPr>
        <w:t>辆。202</w:t>
      </w:r>
      <w:r>
        <w:rPr>
          <w:rFonts w:ascii="仿宋_GB2312" w:eastAsia="仿宋_GB2312" w:cs="DengXian-Regular"/>
          <w:sz w:val="32"/>
          <w:szCs w:val="32"/>
        </w:rPr>
        <w:t>1</w:t>
      </w:r>
      <w:r>
        <w:rPr>
          <w:rFonts w:hint="eastAsia" w:ascii="仿宋_GB2312" w:eastAsia="仿宋_GB2312" w:cs="DengXian-Regular"/>
          <w:sz w:val="32"/>
          <w:szCs w:val="32"/>
        </w:rPr>
        <w:t>年公务用车购置及运维费年初预算</w:t>
      </w:r>
      <w:r>
        <w:rPr>
          <w:rFonts w:ascii="仿宋_GB2312" w:eastAsia="仿宋_GB2312" w:cs="DengXian-Regular"/>
          <w:sz w:val="32"/>
          <w:szCs w:val="32"/>
        </w:rPr>
        <w:t>9.95</w:t>
      </w:r>
      <w:r>
        <w:rPr>
          <w:rFonts w:hint="eastAsia" w:ascii="仿宋_GB2312" w:eastAsia="仿宋_GB2312" w:cs="DengXian-Regular"/>
          <w:sz w:val="32"/>
          <w:szCs w:val="32"/>
        </w:rPr>
        <w:t>万元，全部为公务用车运行维护费，实际支出</w:t>
      </w:r>
      <w:r>
        <w:rPr>
          <w:rFonts w:ascii="仿宋_GB2312" w:eastAsia="仿宋_GB2312" w:cs="DengXian-Regular"/>
          <w:sz w:val="32"/>
          <w:szCs w:val="32"/>
        </w:rPr>
        <w:t>9.28</w:t>
      </w:r>
      <w:r>
        <w:rPr>
          <w:rFonts w:hint="eastAsia" w:ascii="仿宋_GB2312" w:eastAsia="仿宋_GB2312" w:cs="DengXian-Regular"/>
          <w:sz w:val="32"/>
          <w:szCs w:val="32"/>
        </w:rPr>
        <w:t>万元，比预算减少</w:t>
      </w:r>
      <w:r>
        <w:rPr>
          <w:rFonts w:ascii="仿宋_GB2312" w:eastAsia="仿宋_GB2312" w:cs="DengXian-Regular"/>
          <w:sz w:val="32"/>
          <w:szCs w:val="32"/>
        </w:rPr>
        <w:t>1.67</w:t>
      </w:r>
      <w:r>
        <w:rPr>
          <w:rFonts w:hint="eastAsia" w:ascii="仿宋_GB2312" w:eastAsia="仿宋_GB2312" w:cs="DengXian-Regular"/>
          <w:sz w:val="32"/>
          <w:szCs w:val="32"/>
        </w:rPr>
        <w:t>万元，节约率</w:t>
      </w:r>
      <w:r>
        <w:rPr>
          <w:rFonts w:ascii="仿宋_GB2312" w:eastAsia="仿宋_GB2312" w:cs="DengXian-Regular"/>
          <w:sz w:val="32"/>
          <w:szCs w:val="32"/>
        </w:rPr>
        <w:t>7.22</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年预算数与</w:t>
      </w:r>
      <w:r>
        <w:rPr>
          <w:rFonts w:ascii="仿宋_GB2312" w:eastAsia="仿宋_GB2312" w:cs="DengXian-Regular"/>
          <w:sz w:val="32"/>
          <w:szCs w:val="32"/>
        </w:rPr>
        <w:t>2020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年实际支出相比，减少</w:t>
      </w:r>
      <w:r>
        <w:rPr>
          <w:rFonts w:ascii="仿宋_GB2312" w:eastAsia="仿宋_GB2312" w:cs="DengXian-Regular"/>
          <w:sz w:val="32"/>
          <w:szCs w:val="32"/>
        </w:rPr>
        <w:t>1.67</w:t>
      </w:r>
      <w:r>
        <w:rPr>
          <w:rFonts w:hint="eastAsia" w:ascii="仿宋_GB2312" w:eastAsia="仿宋_GB2312" w:cs="DengXian-Regular"/>
          <w:sz w:val="32"/>
          <w:szCs w:val="32"/>
        </w:rPr>
        <w:t>万元。</w:t>
      </w:r>
    </w:p>
    <w:p w14:paraId="1138BBF4">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ascii="仿宋_GB2312" w:eastAsia="仿宋_GB2312" w:cs="DengXian-Regular"/>
          <w:sz w:val="32"/>
          <w:szCs w:val="32"/>
        </w:rPr>
        <w:t>1</w:t>
      </w:r>
      <w:r>
        <w:rPr>
          <w:rFonts w:hint="eastAsia" w:ascii="仿宋_GB2312" w:eastAsia="仿宋_GB2312" w:cs="DengXian-Regular"/>
          <w:sz w:val="32"/>
          <w:szCs w:val="32"/>
        </w:rPr>
        <w:t>年保定市徐水区公安交通警察大队公务接待费年初预算</w:t>
      </w:r>
      <w:r>
        <w:rPr>
          <w:rFonts w:ascii="仿宋_GB2312" w:eastAsia="仿宋_GB2312" w:cs="DengXian-Regular"/>
          <w:sz w:val="32"/>
          <w:szCs w:val="32"/>
        </w:rPr>
        <w:t>0</w:t>
      </w:r>
      <w:r>
        <w:rPr>
          <w:rFonts w:hint="eastAsia" w:ascii="仿宋_GB2312" w:eastAsia="仿宋_GB2312" w:cs="DengXian-Regular"/>
          <w:sz w:val="32"/>
          <w:szCs w:val="32"/>
        </w:rPr>
        <w:t>万元，实际支出</w:t>
      </w:r>
      <w:r>
        <w:rPr>
          <w:rFonts w:ascii="仿宋_GB2312" w:eastAsia="仿宋_GB2312" w:cs="DengXian-Regular"/>
          <w:sz w:val="32"/>
          <w:szCs w:val="32"/>
        </w:rPr>
        <w:t>0</w:t>
      </w:r>
      <w:r>
        <w:rPr>
          <w:rFonts w:hint="eastAsia" w:ascii="仿宋_GB2312" w:eastAsia="仿宋_GB2312" w:cs="DengXian-Regular"/>
          <w:sz w:val="32"/>
          <w:szCs w:val="32"/>
        </w:rPr>
        <w:t>万元，比预算减少了</w:t>
      </w:r>
      <w:r>
        <w:rPr>
          <w:rFonts w:ascii="仿宋_GB2312" w:eastAsia="仿宋_GB2312" w:cs="DengXian-Regular"/>
          <w:sz w:val="32"/>
          <w:szCs w:val="32"/>
        </w:rPr>
        <w:t>0</w:t>
      </w:r>
      <w:r>
        <w:rPr>
          <w:rFonts w:hint="eastAsia" w:ascii="仿宋_GB2312" w:eastAsia="仿宋_GB2312" w:cs="DengXian-Regular"/>
          <w:sz w:val="32"/>
          <w:szCs w:val="32"/>
        </w:rPr>
        <w:t>万元，节约率</w:t>
      </w:r>
      <w:r>
        <w:rPr>
          <w:rFonts w:ascii="仿宋_GB2312" w:eastAsia="仿宋_GB2312" w:cs="DengXian-Regular"/>
          <w:sz w:val="32"/>
          <w:szCs w:val="32"/>
        </w:rPr>
        <w:t>0</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年预算数与</w:t>
      </w:r>
      <w:r>
        <w:rPr>
          <w:rFonts w:ascii="仿宋_GB2312" w:eastAsia="仿宋_GB2312" w:cs="DengXian-Regular"/>
          <w:sz w:val="32"/>
          <w:szCs w:val="32"/>
        </w:rPr>
        <w:t>2020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年实际支出相比，增加</w:t>
      </w:r>
      <w:r>
        <w:rPr>
          <w:rFonts w:ascii="仿宋_GB2312" w:eastAsia="仿宋_GB2312" w:cs="DengXian-Regular"/>
          <w:sz w:val="32"/>
          <w:szCs w:val="32"/>
        </w:rPr>
        <w:t>0</w:t>
      </w:r>
      <w:r>
        <w:rPr>
          <w:rFonts w:hint="eastAsia" w:ascii="仿宋_GB2312" w:eastAsia="仿宋_GB2312" w:cs="DengXian-Regular"/>
          <w:sz w:val="32"/>
          <w:szCs w:val="32"/>
        </w:rPr>
        <w:t>万元。</w:t>
      </w:r>
    </w:p>
    <w:p w14:paraId="73C238EE">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14:paraId="10047A9F">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根据绩效预算管理改革的有关政策和文件规定，并与保定市徐水区公安交通警察大队沟通，绩效评价工作组以绩效预算架构为指导，以部门预算文本及相关资料为基础，制定了部门整体支出绩效评价指标体系。</w:t>
      </w:r>
    </w:p>
    <w:p w14:paraId="53D793BC">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14:paraId="53710238">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14:paraId="3C579C18">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14:paraId="64761B3A">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14:paraId="480B0A50">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14:paraId="71B78BF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14:paraId="51BE8DB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14:paraId="18F91B3F">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14:paraId="5A872C72">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14:paraId="5210DC8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14:paraId="661B4758">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bookmarkStart w:id="80" w:name="_GoBack"/>
      <w:bookmarkEnd w:id="80"/>
    </w:p>
    <w:p w14:paraId="5829C947">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14:paraId="69AE7EF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14:paraId="127E41EC">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14:paraId="26BB3C5E">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14:paraId="4986F078">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通过对保定市徐水区公安交通警察大队202</w:t>
      </w:r>
      <w:r>
        <w:rPr>
          <w:rFonts w:ascii="仿宋_GB2312" w:eastAsia="仿宋_GB2312" w:cs="DengXian-Regular"/>
          <w:sz w:val="32"/>
          <w:szCs w:val="32"/>
        </w:rPr>
        <w:t>1</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14:paraId="15BFADD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14:paraId="2D757ADA">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14:paraId="4F917A10">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14:paraId="5F68D75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14:paraId="2852C00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14:paraId="0060CD5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14:paraId="7DE5CD0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14:paraId="622A996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14:paraId="3415464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14:paraId="4489BB1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14:paraId="3847060E">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14:paraId="6385D9D0">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保定市徐水区公安交通警察大队202</w:t>
      </w:r>
      <w:r>
        <w:rPr>
          <w:rFonts w:ascii="仿宋_GB2312" w:eastAsia="仿宋_GB2312" w:cs="DengXian-Regular"/>
          <w:sz w:val="32"/>
          <w:szCs w:val="32"/>
        </w:rPr>
        <w:t>1</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14:paraId="0575FEAC">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14:paraId="4480BD7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14:paraId="11D3476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14:paraId="499DCAE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14:paraId="1D08702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14:paraId="33B2BB35">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14:paraId="25CC4A5C">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14:paraId="0B5A96CB">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14:paraId="4853F411">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14:paraId="78C69838">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14:paraId="1F7864B6">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14:paraId="55D5320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14:paraId="283E70B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14:paraId="0A8205D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经与保定市徐水区公安交通警察大队充分沟通，并充分收集相关资料，主要包括部门职责、工作活动、预决算文本、相关管理制度、资金使用等相关资料，为制定绩效评价实施方案和指标体系奠定了基础。</w:t>
      </w:r>
    </w:p>
    <w:p w14:paraId="29429C1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14:paraId="576F1B6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基于对保定市徐水区公安交通警察大队相关资料的收集，制定绩效评价实施方案和体系,确定最终方案。</w:t>
      </w:r>
    </w:p>
    <w:p w14:paraId="0982FD4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14:paraId="1DF2ED1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保定市徐水区公安交通警察大队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14:paraId="61D501B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14:paraId="2FAFF8A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14:paraId="21D03FF6">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14:paraId="7DB800ED">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保定市徐水区公安交通警察大队部门整体支出绩效评价总得分为</w:t>
      </w:r>
      <w:r>
        <w:rPr>
          <w:rFonts w:ascii="仿宋_GB2312" w:eastAsia="仿宋_GB2312" w:cs="DengXian-Regular"/>
          <w:color w:val="000000" w:themeColor="text1"/>
          <w:sz w:val="32"/>
          <w:szCs w:val="32"/>
          <w14:textFill>
            <w14:solidFill>
              <w14:schemeClr w14:val="tx1"/>
            </w14:solidFill>
          </w14:textFill>
        </w:rPr>
        <w:t>95.4</w:t>
      </w:r>
      <w:r>
        <w:rPr>
          <w:rFonts w:hint="eastAsia" w:ascii="仿宋_GB2312" w:eastAsia="仿宋_GB2312" w:cs="DengXian-Regular"/>
          <w:sz w:val="32"/>
          <w:szCs w:val="32"/>
        </w:rPr>
        <w:t>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14:paraId="1B64615C">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14:paraId="41B2DAEF">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14:paraId="491421ED">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14:paraId="21987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14:paraId="567EBE22">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14:paraId="5C54109E">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14:paraId="58EF46F4">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14:paraId="5921F6F5">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14:paraId="6B26AC0A">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14:paraId="610B2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14:paraId="33359E0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14:paraId="50520971">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14:paraId="53241C96">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14:paraId="0C2977D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14:paraId="5AD2B02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64070AA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4E4D8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4ABEC4AA">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14AE7A45">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5971C4D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14:paraId="6349944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39DF9FDB">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2</w:t>
            </w:r>
          </w:p>
        </w:tc>
      </w:tr>
      <w:tr w14:paraId="7AB2C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57F19591">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3E3AEE18">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2BBCD36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14:paraId="043A81C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55848CB5">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w:t>
            </w:r>
          </w:p>
        </w:tc>
      </w:tr>
      <w:tr w14:paraId="70371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2B29BAA5">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14:paraId="4B4D52F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14:paraId="53AA28E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14:paraId="2CEA853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14:paraId="4DBFCDA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51E481F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7CE8A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26D171B9">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06C34C3B">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0AA6F25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14:paraId="2D0998F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01AE2CB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399D3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7D321305">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724D875C">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20F4273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14:paraId="5C86E92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12538C6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2F83D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14:paraId="5667EF5F">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14:paraId="62FDA432">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14:paraId="262A3C6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14:paraId="7DFC36F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1</w:t>
            </w:r>
          </w:p>
        </w:tc>
      </w:tr>
    </w:tbl>
    <w:p w14:paraId="3E1B0E29">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r>
        <w:rPr>
          <w:rFonts w:hint="eastAsia" w:ascii="仿宋_GB2312" w:eastAsia="仿宋_GB2312" w:cs="DengXian-Regular"/>
          <w:sz w:val="32"/>
          <w:szCs w:val="32"/>
        </w:rPr>
        <w:t>1.绩效目标设定（6分）</w:t>
      </w:r>
    </w:p>
    <w:p w14:paraId="6F10587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14:paraId="79B3FE2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14:paraId="1738C97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通过对比保定市徐水区委办公室及保定市徐水区人民政府办公室印发的《保定市徐水区公安交通警察大队职能配置内设机构和人员编制规定》和徐水区公安交通警察大队202</w:t>
      </w:r>
      <w:r>
        <w:rPr>
          <w:rFonts w:ascii="仿宋_GB2312" w:eastAsia="仿宋_GB2312" w:cs="DengXian-Regular"/>
          <w:sz w:val="32"/>
          <w:szCs w:val="32"/>
        </w:rPr>
        <w:t>1</w:t>
      </w:r>
      <w:r>
        <w:rPr>
          <w:rFonts w:hint="eastAsia" w:ascii="仿宋_GB2312" w:eastAsia="仿宋_GB2312" w:cs="DengXian-Regular"/>
          <w:sz w:val="32"/>
          <w:szCs w:val="32"/>
        </w:rPr>
        <w:t>年预算文本—部门职责工作活动绩效目标，评价工作组认为区公安交通警察大队部门职责符合“三定”方案中所赋予的职责，绩效目标设立依据充分，符合客观实际，与部门职责、工作规划和重点工作相关，工作活动和项目预算安排合理。</w:t>
      </w:r>
    </w:p>
    <w:p w14:paraId="1ABD736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14:paraId="5E41B66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14:paraId="4D72C4F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14:paraId="6A33FF3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根据区公安交通警察大队202</w:t>
      </w:r>
      <w:r>
        <w:rPr>
          <w:rFonts w:ascii="仿宋_GB2312" w:eastAsia="仿宋_GB2312" w:cs="DengXian-Regular"/>
          <w:sz w:val="32"/>
          <w:szCs w:val="32"/>
        </w:rPr>
        <w:t>1</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14:paraId="1ABD0BD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14:paraId="62C81AA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14:paraId="4CDA1EF8">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14:paraId="72BA7A4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根据区公安交通警察大队202</w:t>
      </w:r>
      <w:r>
        <w:rPr>
          <w:rFonts w:ascii="仿宋_GB2312" w:eastAsia="仿宋_GB2312" w:cs="DengXian-Regular"/>
          <w:sz w:val="32"/>
          <w:szCs w:val="32"/>
        </w:rPr>
        <w:t>1</w:t>
      </w:r>
      <w:r>
        <w:rPr>
          <w:rFonts w:hint="eastAsia" w:ascii="仿宋_GB2312" w:eastAsia="仿宋_GB2312" w:cs="DengXian-Regular"/>
          <w:sz w:val="32"/>
          <w:szCs w:val="32"/>
        </w:rPr>
        <w:t>年预算文本—部门职责工作活动绩效目标,该指标实际得分</w:t>
      </w:r>
      <w:r>
        <w:rPr>
          <w:rFonts w:ascii="仿宋_GB2312" w:eastAsia="仿宋_GB2312" w:cs="DengXian-Regular"/>
          <w:sz w:val="32"/>
          <w:szCs w:val="32"/>
        </w:rPr>
        <w:t>1</w:t>
      </w:r>
      <w:r>
        <w:rPr>
          <w:rFonts w:hint="eastAsia" w:ascii="仿宋_GB2312" w:eastAsia="仿宋_GB2312" w:cs="DengXian-Regular"/>
          <w:sz w:val="32"/>
          <w:szCs w:val="32"/>
        </w:rPr>
        <w:t>分。</w:t>
      </w:r>
    </w:p>
    <w:p w14:paraId="3FDFA11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14:paraId="1A4C47A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14:paraId="116E09B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14:paraId="4531E8E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根据区公安交通警察大队202</w:t>
      </w:r>
      <w:r>
        <w:rPr>
          <w:rFonts w:ascii="仿宋_GB2312" w:eastAsia="仿宋_GB2312" w:cs="DengXian-Regular"/>
          <w:sz w:val="32"/>
          <w:szCs w:val="32"/>
        </w:rPr>
        <w:t>1</w:t>
      </w:r>
      <w:r>
        <w:rPr>
          <w:rFonts w:hint="eastAsia" w:ascii="仿宋_GB2312" w:eastAsia="仿宋_GB2312" w:cs="DengXian-Regular"/>
          <w:sz w:val="32"/>
          <w:szCs w:val="32"/>
        </w:rPr>
        <w:t>年预算文本及相关会计资料，区公安交通警察大队所有收入均已纳入部门预算，部门支出按基本支出、项目支出分别编制。</w:t>
      </w:r>
    </w:p>
    <w:p w14:paraId="229469D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14:paraId="67C4295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14:paraId="6AC8065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14:paraId="773FED09">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sz w:val="32"/>
          <w:szCs w:val="32"/>
        </w:rPr>
        <w:t>项目预算细化率=细化的项目金额/实际编报的项目金额</w:t>
      </w:r>
      <w:r>
        <w:rPr>
          <w:rFonts w:hint="eastAsia" w:ascii="仿宋_GB2312" w:eastAsia="仿宋_GB2312" w:cs="DengXian-Regular"/>
          <w:color w:val="000000" w:themeColor="text1"/>
          <w:sz w:val="32"/>
          <w:szCs w:val="32"/>
          <w14:textFill>
            <w14:solidFill>
              <w14:schemeClr w14:val="tx1"/>
            </w14:solidFill>
          </w14:textFill>
        </w:rPr>
        <w:t>×100%。</w:t>
      </w:r>
    </w:p>
    <w:p w14:paraId="02568F12">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根据区公安交通警察大队202</w:t>
      </w:r>
      <w:r>
        <w:rPr>
          <w:rFonts w:ascii="仿宋_GB2312" w:eastAsia="仿宋_GB2312" w:cs="DengXian-Regular"/>
          <w:color w:val="000000" w:themeColor="text1"/>
          <w:sz w:val="32"/>
          <w:szCs w:val="32"/>
          <w14:textFill>
            <w14:solidFill>
              <w14:schemeClr w14:val="tx1"/>
            </w14:solidFill>
          </w14:textFill>
        </w:rPr>
        <w:t>1</w:t>
      </w:r>
      <w:r>
        <w:rPr>
          <w:rFonts w:hint="eastAsia" w:ascii="仿宋_GB2312" w:eastAsia="仿宋_GB2312" w:cs="DengXian-Regular"/>
          <w:color w:val="000000" w:themeColor="text1"/>
          <w:sz w:val="32"/>
          <w:szCs w:val="32"/>
          <w14:textFill>
            <w14:solidFill>
              <w14:schemeClr w14:val="tx1"/>
            </w14:solidFill>
          </w14:textFill>
        </w:rPr>
        <w:t>年预算文本—部门项目支出预算表，区公安交通警察大队202</w:t>
      </w:r>
      <w:r>
        <w:rPr>
          <w:rFonts w:ascii="仿宋_GB2312" w:eastAsia="仿宋_GB2312" w:cs="DengXian-Regular"/>
          <w:color w:val="000000" w:themeColor="text1"/>
          <w:sz w:val="32"/>
          <w:szCs w:val="32"/>
          <w14:textFill>
            <w14:solidFill>
              <w14:schemeClr w14:val="tx1"/>
            </w14:solidFill>
          </w14:textFill>
        </w:rPr>
        <w:t>1</w:t>
      </w:r>
      <w:r>
        <w:rPr>
          <w:rFonts w:hint="eastAsia" w:ascii="仿宋_GB2312" w:eastAsia="仿宋_GB2312" w:cs="DengXian-Regular"/>
          <w:color w:val="000000" w:themeColor="text1"/>
          <w:sz w:val="32"/>
          <w:szCs w:val="32"/>
          <w14:textFill>
            <w14:solidFill>
              <w14:schemeClr w14:val="tx1"/>
            </w14:solidFill>
          </w14:textFill>
        </w:rPr>
        <w:t>年预算项目共</w:t>
      </w:r>
      <w:r>
        <w:rPr>
          <w:rFonts w:ascii="仿宋_GB2312" w:eastAsia="仿宋_GB2312" w:cs="DengXian-Regular"/>
          <w:color w:val="000000" w:themeColor="text1"/>
          <w:sz w:val="32"/>
          <w:szCs w:val="32"/>
          <w14:textFill>
            <w14:solidFill>
              <w14:schemeClr w14:val="tx1"/>
            </w14:solidFill>
          </w14:textFill>
        </w:rPr>
        <w:t>4</w:t>
      </w:r>
      <w:r>
        <w:rPr>
          <w:rFonts w:hint="eastAsia" w:ascii="仿宋_GB2312" w:eastAsia="仿宋_GB2312" w:cs="DengXian-Regular"/>
          <w:color w:val="000000" w:themeColor="text1"/>
          <w:sz w:val="32"/>
          <w:szCs w:val="32"/>
          <w14:textFill>
            <w14:solidFill>
              <w14:schemeClr w14:val="tx1"/>
            </w14:solidFill>
          </w14:textFill>
        </w:rPr>
        <w:t>个（详见附件2-2-2），涉及资金</w:t>
      </w:r>
      <w:r>
        <w:rPr>
          <w:rFonts w:ascii="仿宋_GB2312" w:eastAsia="仿宋_GB2312" w:cs="DengXian-Regular"/>
          <w:color w:val="000000" w:themeColor="text1"/>
          <w:sz w:val="32"/>
          <w:szCs w:val="32"/>
          <w14:textFill>
            <w14:solidFill>
              <w14:schemeClr w14:val="tx1"/>
            </w14:solidFill>
          </w14:textFill>
        </w:rPr>
        <w:t>649.17</w:t>
      </w:r>
      <w:r>
        <w:rPr>
          <w:rFonts w:hint="eastAsia" w:ascii="仿宋_GB2312" w:eastAsia="仿宋_GB2312" w:cs="DengXian-Regular"/>
          <w:color w:val="000000" w:themeColor="text1"/>
          <w:sz w:val="32"/>
          <w:szCs w:val="32"/>
          <w14:textFill>
            <w14:solidFill>
              <w14:schemeClr w14:val="tx1"/>
            </w14:solidFill>
          </w14:textFill>
        </w:rPr>
        <w:t>万元，所有项目均细化到具体用款单位及项目资金额度。项目预算细化率=（</w:t>
      </w:r>
      <w:r>
        <w:rPr>
          <w:rFonts w:ascii="仿宋_GB2312" w:eastAsia="仿宋_GB2312" w:cs="DengXian-Regular"/>
          <w:color w:val="000000" w:themeColor="text1"/>
          <w:sz w:val="32"/>
          <w:szCs w:val="32"/>
          <w14:textFill>
            <w14:solidFill>
              <w14:schemeClr w14:val="tx1"/>
            </w14:solidFill>
          </w14:textFill>
        </w:rPr>
        <w:t>649.17</w:t>
      </w:r>
      <w:r>
        <w:rPr>
          <w:rFonts w:hint="eastAsia" w:ascii="仿宋_GB2312" w:eastAsia="仿宋_GB2312" w:cs="DengXian-Regular"/>
          <w:color w:val="000000" w:themeColor="text1"/>
          <w:sz w:val="32"/>
          <w:szCs w:val="32"/>
          <w14:textFill>
            <w14:solidFill>
              <w14:schemeClr w14:val="tx1"/>
            </w14:solidFill>
          </w14:textFill>
        </w:rPr>
        <w:t>/</w:t>
      </w:r>
      <w:r>
        <w:rPr>
          <w:rFonts w:ascii="仿宋_GB2312" w:eastAsia="仿宋_GB2312" w:cs="DengXian-Regular"/>
          <w:color w:val="000000" w:themeColor="text1"/>
          <w:sz w:val="32"/>
          <w:szCs w:val="32"/>
          <w14:textFill>
            <w14:solidFill>
              <w14:schemeClr w14:val="tx1"/>
            </w14:solidFill>
          </w14:textFill>
        </w:rPr>
        <w:t>649.17</w:t>
      </w:r>
      <w:r>
        <w:rPr>
          <w:rFonts w:hint="eastAsia" w:ascii="仿宋_GB2312" w:eastAsia="仿宋_GB2312" w:cs="DengXian-Regular"/>
          <w:color w:val="000000" w:themeColor="text1"/>
          <w:sz w:val="32"/>
          <w:szCs w:val="32"/>
          <w14:textFill>
            <w14:solidFill>
              <w14:schemeClr w14:val="tx1"/>
            </w14:solidFill>
          </w14:textFill>
        </w:rPr>
        <w:t>）*100%=100%</w:t>
      </w:r>
    </w:p>
    <w:p w14:paraId="77F17723">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该指标实际得分</w:t>
      </w:r>
      <w:r>
        <w:rPr>
          <w:rFonts w:ascii="仿宋_GB2312" w:eastAsia="仿宋_GB2312" w:cs="DengXian-Regular"/>
          <w:color w:val="000000" w:themeColor="text1"/>
          <w:sz w:val="32"/>
          <w:szCs w:val="32"/>
          <w14:textFill>
            <w14:solidFill>
              <w14:schemeClr w14:val="tx1"/>
            </w14:solidFill>
          </w14:textFill>
        </w:rPr>
        <w:t>2</w:t>
      </w:r>
      <w:r>
        <w:rPr>
          <w:rFonts w:hint="eastAsia" w:ascii="仿宋_GB2312" w:eastAsia="仿宋_GB2312" w:cs="DengXian-Regular"/>
          <w:color w:val="000000" w:themeColor="text1"/>
          <w:sz w:val="32"/>
          <w:szCs w:val="32"/>
          <w14:textFill>
            <w14:solidFill>
              <w14:schemeClr w14:val="tx1"/>
            </w14:solidFill>
          </w14:textFill>
        </w:rPr>
        <w:t>分。</w:t>
      </w:r>
    </w:p>
    <w:p w14:paraId="0E264F7A">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（3）在职人员控制率（2分）</w:t>
      </w:r>
    </w:p>
    <w:p w14:paraId="34C0764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ascii="仿宋_GB2312" w:eastAsia="仿宋_GB2312" w:cs="DengXian-Regular"/>
          <w:sz w:val="32"/>
          <w:szCs w:val="32"/>
        </w:rPr>
        <w:t>1</w:t>
      </w:r>
      <w:r>
        <w:rPr>
          <w:rFonts w:hint="eastAsia" w:ascii="仿宋_GB2312" w:eastAsia="仿宋_GB2312" w:cs="DengXian-Regular"/>
          <w:sz w:val="32"/>
          <w:szCs w:val="32"/>
        </w:rPr>
        <w:t>年底区公安交通警察大队单位在职人员控制情况，通过在职人员控制率衡量。</w:t>
      </w:r>
    </w:p>
    <w:p w14:paraId="36E69A1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14:paraId="00F313A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根据保定市徐水区委办公室及保定市徐水区人民政府办公室关于印发《保定市徐水区公安交通警察大队职能配置内设机构和人员编制规定》的通知，区公安交通警察大队人员编制为</w:t>
      </w:r>
      <w:r>
        <w:rPr>
          <w:rFonts w:ascii="仿宋_GB2312" w:eastAsia="仿宋_GB2312" w:cs="DengXian-Regular"/>
          <w:sz w:val="32"/>
          <w:szCs w:val="32"/>
        </w:rPr>
        <w:t>21</w:t>
      </w:r>
      <w:r>
        <w:rPr>
          <w:rFonts w:hint="eastAsia" w:ascii="仿宋_GB2312" w:eastAsia="仿宋_GB2312" w:cs="DengXian-Regular"/>
          <w:sz w:val="32"/>
          <w:szCs w:val="32"/>
        </w:rPr>
        <w:t>人，根据区公安交通警察大队202</w:t>
      </w:r>
      <w:r>
        <w:rPr>
          <w:rFonts w:ascii="仿宋_GB2312" w:eastAsia="仿宋_GB2312" w:cs="DengXian-Regular"/>
          <w:sz w:val="32"/>
          <w:szCs w:val="32"/>
        </w:rPr>
        <w:t>1</w:t>
      </w:r>
      <w:r>
        <w:rPr>
          <w:rFonts w:hint="eastAsia" w:ascii="仿宋_GB2312" w:eastAsia="仿宋_GB2312" w:cs="DengXian-Regular"/>
          <w:sz w:val="32"/>
          <w:szCs w:val="32"/>
        </w:rPr>
        <w:t>年决算文本-部门基本情况表，截至202</w:t>
      </w:r>
      <w:r>
        <w:rPr>
          <w:rFonts w:ascii="仿宋_GB2312" w:eastAsia="仿宋_GB2312" w:cs="DengXian-Regular"/>
          <w:sz w:val="32"/>
          <w:szCs w:val="32"/>
        </w:rPr>
        <w:t>1</w:t>
      </w:r>
      <w:r>
        <w:rPr>
          <w:rFonts w:hint="eastAsia" w:ascii="仿宋_GB2312" w:eastAsia="仿宋_GB2312" w:cs="DengXian-Regular"/>
          <w:sz w:val="32"/>
          <w:szCs w:val="32"/>
        </w:rPr>
        <w:t>年底，在职人员</w:t>
      </w:r>
      <w:r>
        <w:rPr>
          <w:rFonts w:ascii="仿宋_GB2312" w:eastAsia="仿宋_GB2312" w:cs="DengXian-Regular"/>
          <w:sz w:val="32"/>
          <w:szCs w:val="32"/>
        </w:rPr>
        <w:t>1</w:t>
      </w:r>
      <w:r>
        <w:rPr>
          <w:rFonts w:hint="eastAsia" w:ascii="仿宋_GB2312" w:eastAsia="仿宋_GB2312" w:cs="DengXian-Regular"/>
          <w:sz w:val="32"/>
          <w:szCs w:val="32"/>
        </w:rPr>
        <w:t>人，在职人员控制率=（1/</w:t>
      </w:r>
      <w:r>
        <w:rPr>
          <w:rFonts w:ascii="仿宋_GB2312" w:eastAsia="仿宋_GB2312" w:cs="DengXian-Regular"/>
          <w:sz w:val="32"/>
          <w:szCs w:val="32"/>
        </w:rPr>
        <w:t>21</w:t>
      </w:r>
      <w:r>
        <w:rPr>
          <w:rFonts w:hint="eastAsia" w:ascii="仿宋_GB2312" w:eastAsia="仿宋_GB2312" w:cs="DengXian-Regular"/>
          <w:sz w:val="32"/>
          <w:szCs w:val="32"/>
        </w:rPr>
        <w:t>）*100%=</w:t>
      </w:r>
      <w:r>
        <w:rPr>
          <w:rFonts w:ascii="仿宋_GB2312" w:eastAsia="仿宋_GB2312" w:cs="DengXian-Regular"/>
          <w:sz w:val="32"/>
          <w:szCs w:val="32"/>
        </w:rPr>
        <w:t>4.76</w:t>
      </w:r>
      <w:r>
        <w:rPr>
          <w:rFonts w:hint="eastAsia" w:ascii="仿宋_GB2312" w:eastAsia="仿宋_GB2312" w:cs="DengXian-Regular"/>
          <w:sz w:val="32"/>
          <w:szCs w:val="32"/>
        </w:rPr>
        <w:t>%。</w:t>
      </w:r>
    </w:p>
    <w:p w14:paraId="214DE59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bookmarkEnd w:id="60"/>
    <w:bookmarkEnd w:id="61"/>
    <w:p w14:paraId="3A7EB330">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14:paraId="28472DF3">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14:paraId="039DB914">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14:paraId="662A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14:paraId="1EED6247">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14:paraId="3920FA20">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14:paraId="590DBB85">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14:paraId="6D9BC5A1">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14:paraId="04506B28">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268E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14:paraId="73E27A8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14:paraId="56AE342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14:paraId="6DA76DB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14:paraId="36EB118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14:paraId="49155E7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14:paraId="3518ACF4">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1.4</w:t>
            </w:r>
          </w:p>
        </w:tc>
      </w:tr>
      <w:tr w14:paraId="6EDD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120A7C30">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44196284">
            <w:pPr>
              <w:spacing w:line="420" w:lineRule="exact"/>
              <w:jc w:val="center"/>
              <w:rPr>
                <w:rFonts w:cs="宋体" w:asciiTheme="minorEastAsia" w:hAnsiTheme="minorEastAsia" w:eastAsiaTheme="minorEastAsia"/>
                <w:sz w:val="21"/>
                <w:szCs w:val="21"/>
              </w:rPr>
            </w:pPr>
          </w:p>
        </w:tc>
        <w:tc>
          <w:tcPr>
            <w:tcW w:w="2277" w:type="dxa"/>
            <w:vAlign w:val="center"/>
          </w:tcPr>
          <w:p w14:paraId="47498E5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14:paraId="5D7A27B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7F502DA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7811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65744122">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0307F5EE">
            <w:pPr>
              <w:spacing w:line="420" w:lineRule="exact"/>
              <w:jc w:val="center"/>
              <w:rPr>
                <w:rFonts w:cs="宋体" w:asciiTheme="minorEastAsia" w:hAnsiTheme="minorEastAsia" w:eastAsiaTheme="minorEastAsia"/>
                <w:sz w:val="21"/>
                <w:szCs w:val="21"/>
              </w:rPr>
            </w:pPr>
          </w:p>
        </w:tc>
        <w:tc>
          <w:tcPr>
            <w:tcW w:w="2277" w:type="dxa"/>
            <w:vAlign w:val="center"/>
          </w:tcPr>
          <w:p w14:paraId="4B691CC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14:paraId="0431766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14:paraId="53DEC0C1">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0</w:t>
            </w:r>
          </w:p>
        </w:tc>
      </w:tr>
      <w:tr w14:paraId="75CD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6BF52141">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11AB6649">
            <w:pPr>
              <w:spacing w:line="420" w:lineRule="exact"/>
              <w:jc w:val="center"/>
              <w:rPr>
                <w:rFonts w:cs="宋体" w:asciiTheme="minorEastAsia" w:hAnsiTheme="minorEastAsia" w:eastAsiaTheme="minorEastAsia"/>
                <w:sz w:val="21"/>
                <w:szCs w:val="21"/>
              </w:rPr>
            </w:pPr>
          </w:p>
        </w:tc>
        <w:tc>
          <w:tcPr>
            <w:tcW w:w="2277" w:type="dxa"/>
            <w:vAlign w:val="center"/>
          </w:tcPr>
          <w:p w14:paraId="36F7B34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14:paraId="66BD5C5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0A8AF1F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51EE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287BF784">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70BFBFA2">
            <w:pPr>
              <w:spacing w:line="420" w:lineRule="exact"/>
              <w:jc w:val="center"/>
              <w:rPr>
                <w:rFonts w:cs="宋体" w:asciiTheme="minorEastAsia" w:hAnsiTheme="minorEastAsia" w:eastAsiaTheme="minorEastAsia"/>
                <w:sz w:val="21"/>
                <w:szCs w:val="21"/>
              </w:rPr>
            </w:pPr>
          </w:p>
        </w:tc>
        <w:tc>
          <w:tcPr>
            <w:tcW w:w="2277" w:type="dxa"/>
            <w:vAlign w:val="center"/>
          </w:tcPr>
          <w:p w14:paraId="7CF9E9C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14:paraId="5996C92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0C2F35E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1871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41A59E28">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3348C17A">
            <w:pPr>
              <w:spacing w:line="420" w:lineRule="exact"/>
              <w:jc w:val="center"/>
              <w:rPr>
                <w:rFonts w:cs="宋体" w:asciiTheme="minorEastAsia" w:hAnsiTheme="minorEastAsia" w:eastAsiaTheme="minorEastAsia"/>
                <w:sz w:val="21"/>
                <w:szCs w:val="21"/>
              </w:rPr>
            </w:pPr>
          </w:p>
        </w:tc>
        <w:tc>
          <w:tcPr>
            <w:tcW w:w="2277" w:type="dxa"/>
            <w:vAlign w:val="center"/>
          </w:tcPr>
          <w:p w14:paraId="68CC68B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14:paraId="59F4532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50C7105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48DD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45D19D78">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4E6B209B">
            <w:pPr>
              <w:spacing w:line="420" w:lineRule="exact"/>
              <w:jc w:val="center"/>
              <w:rPr>
                <w:rFonts w:cs="宋体" w:asciiTheme="minorEastAsia" w:hAnsiTheme="minorEastAsia" w:eastAsiaTheme="minorEastAsia"/>
                <w:sz w:val="21"/>
                <w:szCs w:val="21"/>
              </w:rPr>
            </w:pPr>
          </w:p>
        </w:tc>
        <w:tc>
          <w:tcPr>
            <w:tcW w:w="2277" w:type="dxa"/>
            <w:vAlign w:val="center"/>
          </w:tcPr>
          <w:p w14:paraId="0C0BB2F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14:paraId="5B0A34A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1882B1A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087A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49C43C12">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09AE4C2D">
            <w:pPr>
              <w:spacing w:line="420" w:lineRule="exact"/>
              <w:jc w:val="center"/>
              <w:rPr>
                <w:rFonts w:cs="宋体" w:asciiTheme="minorEastAsia" w:hAnsiTheme="minorEastAsia" w:eastAsiaTheme="minorEastAsia"/>
                <w:sz w:val="21"/>
                <w:szCs w:val="21"/>
              </w:rPr>
            </w:pPr>
          </w:p>
        </w:tc>
        <w:tc>
          <w:tcPr>
            <w:tcW w:w="2277" w:type="dxa"/>
            <w:vAlign w:val="center"/>
          </w:tcPr>
          <w:p w14:paraId="16481D6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14:paraId="4F927A5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3B0C1CF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7875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2FA99FD1">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115EF5C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14:paraId="0EE12AA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14:paraId="4F67789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14:paraId="1AFB617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65279F4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00A4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90EE9ED">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7BF893FB">
            <w:pPr>
              <w:spacing w:line="420" w:lineRule="exact"/>
              <w:jc w:val="center"/>
              <w:rPr>
                <w:rFonts w:cs="宋体" w:asciiTheme="minorEastAsia" w:hAnsiTheme="minorEastAsia" w:eastAsiaTheme="minorEastAsia"/>
                <w:sz w:val="21"/>
                <w:szCs w:val="21"/>
              </w:rPr>
            </w:pPr>
          </w:p>
        </w:tc>
        <w:tc>
          <w:tcPr>
            <w:tcW w:w="2277" w:type="dxa"/>
            <w:vAlign w:val="center"/>
          </w:tcPr>
          <w:p w14:paraId="327B654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14:paraId="2D355D2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6DAC738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238A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0CB3A58">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5D6DEB19">
            <w:pPr>
              <w:spacing w:line="420" w:lineRule="exact"/>
              <w:jc w:val="center"/>
              <w:rPr>
                <w:rFonts w:cs="宋体" w:asciiTheme="minorEastAsia" w:hAnsiTheme="minorEastAsia" w:eastAsiaTheme="minorEastAsia"/>
                <w:sz w:val="21"/>
                <w:szCs w:val="21"/>
              </w:rPr>
            </w:pPr>
          </w:p>
        </w:tc>
        <w:tc>
          <w:tcPr>
            <w:tcW w:w="2277" w:type="dxa"/>
            <w:vAlign w:val="center"/>
          </w:tcPr>
          <w:p w14:paraId="77AE9BC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14:paraId="396B03B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5C1CA2B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3D23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7FE5D3B">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4E4431A9">
            <w:pPr>
              <w:spacing w:line="420" w:lineRule="exact"/>
              <w:jc w:val="center"/>
              <w:rPr>
                <w:rFonts w:cs="宋体" w:asciiTheme="minorEastAsia" w:hAnsiTheme="minorEastAsia" w:eastAsiaTheme="minorEastAsia"/>
                <w:sz w:val="21"/>
                <w:szCs w:val="21"/>
              </w:rPr>
            </w:pPr>
          </w:p>
        </w:tc>
        <w:tc>
          <w:tcPr>
            <w:tcW w:w="2277" w:type="dxa"/>
            <w:vAlign w:val="center"/>
          </w:tcPr>
          <w:p w14:paraId="2F64A8A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14:paraId="52F95DB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27B3454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2992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14:paraId="0282346A">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6D30416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14:paraId="750A901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14:paraId="2BE7775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14:paraId="6D00C25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549E5E5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2AF9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14:paraId="21957411">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7A32355A">
            <w:pPr>
              <w:spacing w:line="420" w:lineRule="exact"/>
              <w:jc w:val="center"/>
              <w:rPr>
                <w:rFonts w:cs="宋体" w:asciiTheme="minorEastAsia" w:hAnsiTheme="minorEastAsia" w:eastAsiaTheme="minorEastAsia"/>
                <w:sz w:val="21"/>
                <w:szCs w:val="21"/>
              </w:rPr>
            </w:pPr>
          </w:p>
        </w:tc>
        <w:tc>
          <w:tcPr>
            <w:tcW w:w="2277" w:type="dxa"/>
            <w:vAlign w:val="center"/>
          </w:tcPr>
          <w:p w14:paraId="16162EF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14:paraId="7062BC8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6A013DC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314E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14:paraId="20A51C2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14:paraId="03407252">
            <w:pPr>
              <w:spacing w:line="420" w:lineRule="exact"/>
              <w:jc w:val="center"/>
              <w:rPr>
                <w:rFonts w:cs="宋体" w:asciiTheme="minorEastAsia" w:hAnsiTheme="minorEastAsia" w:eastAsiaTheme="minorEastAsia"/>
                <w:sz w:val="21"/>
                <w:szCs w:val="21"/>
              </w:rPr>
            </w:pPr>
          </w:p>
        </w:tc>
        <w:tc>
          <w:tcPr>
            <w:tcW w:w="1155" w:type="dxa"/>
            <w:vAlign w:val="center"/>
          </w:tcPr>
          <w:p w14:paraId="6D14708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14:paraId="606C6070">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45.4</w:t>
            </w:r>
          </w:p>
        </w:tc>
      </w:tr>
      <w:bookmarkEnd w:id="63"/>
    </w:tbl>
    <w:p w14:paraId="681546F1">
      <w:pPr>
        <w:spacing w:after="0" w:line="360" w:lineRule="auto"/>
        <w:ind w:firstLine="640" w:firstLineChars="200"/>
        <w:jc w:val="both"/>
        <w:textAlignment w:val="baseline"/>
        <w:rPr>
          <w:rFonts w:ascii="仿宋_GB2312" w:eastAsia="仿宋_GB2312" w:cs="DengXian-Regular"/>
          <w:sz w:val="32"/>
          <w:szCs w:val="32"/>
        </w:rPr>
      </w:pPr>
      <w:bookmarkStart w:id="64" w:name="_Toc465149514"/>
      <w:bookmarkStart w:id="65" w:name="_Toc464638487"/>
      <w:r>
        <w:rPr>
          <w:rFonts w:hint="eastAsia" w:ascii="仿宋_GB2312" w:eastAsia="仿宋_GB2312" w:cs="DengXian-Regular"/>
          <w:sz w:val="32"/>
          <w:szCs w:val="32"/>
        </w:rPr>
        <w:t>1.预算执行（24分）</w:t>
      </w:r>
    </w:p>
    <w:p w14:paraId="61B2F6B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14:paraId="273B42A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14:paraId="7DCD70C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14:paraId="395D245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3.56%</w:t>
      </w:r>
      <w:r>
        <w:rPr>
          <w:rFonts w:hint="eastAsia" w:ascii="仿宋_GB2312" w:eastAsia="仿宋_GB2312" w:cs="DengXian-Regular"/>
          <w:sz w:val="32"/>
          <w:szCs w:val="32"/>
        </w:rPr>
        <w:t>=（9</w:t>
      </w:r>
      <w:r>
        <w:rPr>
          <w:rFonts w:ascii="仿宋_GB2312" w:eastAsia="仿宋_GB2312" w:cs="DengXian-Regular"/>
          <w:sz w:val="32"/>
          <w:szCs w:val="32"/>
        </w:rPr>
        <w:t>83.61</w:t>
      </w:r>
      <w:r>
        <w:rPr>
          <w:rFonts w:hint="eastAsia" w:ascii="仿宋_GB2312" w:eastAsia="仿宋_GB2312" w:cs="DengXian-Regular"/>
          <w:sz w:val="32"/>
          <w:szCs w:val="32"/>
        </w:rPr>
        <w:t>-7</w:t>
      </w:r>
      <w:r>
        <w:rPr>
          <w:rFonts w:ascii="仿宋_GB2312" w:eastAsia="仿宋_GB2312" w:cs="DengXian-Regular"/>
          <w:sz w:val="32"/>
          <w:szCs w:val="32"/>
        </w:rPr>
        <w:t>36.44</w:t>
      </w:r>
      <w:r>
        <w:rPr>
          <w:rFonts w:hint="eastAsia" w:ascii="仿宋_GB2312" w:eastAsia="仿宋_GB2312" w:cs="DengXian-Regular"/>
          <w:sz w:val="32"/>
          <w:szCs w:val="32"/>
        </w:rPr>
        <w:t>）/7</w:t>
      </w:r>
      <w:r>
        <w:rPr>
          <w:rFonts w:ascii="仿宋_GB2312" w:eastAsia="仿宋_GB2312" w:cs="DengXian-Regular"/>
          <w:sz w:val="32"/>
          <w:szCs w:val="32"/>
        </w:rPr>
        <w:t>36.44</w:t>
      </w:r>
      <w:r>
        <w:rPr>
          <w:rFonts w:hint="eastAsia" w:ascii="仿宋_GB2312" w:eastAsia="仿宋_GB2312" w:cs="DengXian-Regular"/>
          <w:sz w:val="32"/>
          <w:szCs w:val="32"/>
        </w:rPr>
        <w:t>*100%</w:t>
      </w:r>
    </w:p>
    <w:p w14:paraId="13073F83">
      <w:pPr>
        <w:spacing w:after="0" w:line="360" w:lineRule="auto"/>
        <w:ind w:firstLine="640" w:firstLineChars="200"/>
        <w:jc w:val="both"/>
        <w:textAlignment w:val="baseline"/>
        <w:rPr>
          <w:rFonts w:ascii="仿宋_GB2312" w:eastAsia="仿宋_GB2312" w:cs="DengXian-Regular"/>
          <w:sz w:val="32"/>
          <w:szCs w:val="32"/>
        </w:rPr>
      </w:pPr>
    </w:p>
    <w:p w14:paraId="30968BB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区公安交通警察大队2020年度预算收入的追加数为0元，</w:t>
      </w:r>
      <w:r>
        <w:rPr>
          <w:rFonts w:ascii="仿宋_GB2312" w:eastAsia="仿宋_GB2312" w:cs="DengXian-Regular"/>
          <w:sz w:val="32"/>
          <w:szCs w:val="32"/>
        </w:rPr>
        <w:t>年初预算数</w:t>
      </w:r>
      <w:r>
        <w:rPr>
          <w:rFonts w:hint="eastAsia" w:ascii="仿宋_GB2312" w:eastAsia="仿宋_GB2312" w:cs="DengXian-Regular"/>
          <w:sz w:val="32"/>
          <w:szCs w:val="32"/>
        </w:rPr>
        <w:t>为</w:t>
      </w:r>
      <w:r>
        <w:rPr>
          <w:rFonts w:ascii="仿宋_GB2312" w:eastAsia="仿宋_GB2312" w:cs="DengXian-Regular"/>
          <w:sz w:val="32"/>
          <w:szCs w:val="32"/>
        </w:rPr>
        <w:t>736.44</w:t>
      </w:r>
      <w:r>
        <w:rPr>
          <w:rFonts w:hint="eastAsia" w:ascii="仿宋_GB2312" w:eastAsia="仿宋_GB2312" w:cs="DengXian-Regular"/>
          <w:sz w:val="32"/>
          <w:szCs w:val="32"/>
        </w:rPr>
        <w:t>万元，</w:t>
      </w:r>
      <w:r>
        <w:rPr>
          <w:rFonts w:ascii="仿宋_GB2312" w:eastAsia="仿宋_GB2312" w:cs="DengXian-Regular"/>
          <w:sz w:val="32"/>
          <w:szCs w:val="32"/>
        </w:rPr>
        <w:t>预算收入</w:t>
      </w:r>
      <w:r>
        <w:rPr>
          <w:rFonts w:hint="eastAsia" w:ascii="仿宋_GB2312" w:eastAsia="仿宋_GB2312" w:cs="DengXian-Regular"/>
          <w:sz w:val="32"/>
          <w:szCs w:val="32"/>
        </w:rPr>
        <w:t>调整率为</w:t>
      </w:r>
      <w:r>
        <w:rPr>
          <w:rFonts w:ascii="仿宋_GB2312" w:eastAsia="仿宋_GB2312" w:cs="DengXian-Regular"/>
          <w:sz w:val="32"/>
          <w:szCs w:val="32"/>
        </w:rPr>
        <w:t>33.56%，预算</w:t>
      </w:r>
      <w:r>
        <w:rPr>
          <w:rFonts w:hint="eastAsia" w:ascii="仿宋_GB2312" w:eastAsia="仿宋_GB2312" w:cs="DengXian-Regular"/>
          <w:sz w:val="32"/>
          <w:szCs w:val="32"/>
        </w:rPr>
        <w:t>调整增加了</w:t>
      </w:r>
      <w:r>
        <w:rPr>
          <w:rFonts w:ascii="仿宋_GB2312" w:eastAsia="仿宋_GB2312" w:cs="DengXian-Regular"/>
          <w:sz w:val="32"/>
          <w:szCs w:val="32"/>
        </w:rPr>
        <w:t>3</w:t>
      </w:r>
      <w:r>
        <w:rPr>
          <w:rFonts w:hint="eastAsia" w:ascii="仿宋_GB2312" w:eastAsia="仿宋_GB2312" w:cs="DengXian-Regular"/>
          <w:sz w:val="32"/>
          <w:szCs w:val="32"/>
        </w:rPr>
        <w:t>个百分点，</w:t>
      </w:r>
      <w:r>
        <w:rPr>
          <w:rFonts w:ascii="仿宋_GB2312" w:eastAsia="仿宋_GB2312" w:cs="DengXian-Regular"/>
          <w:sz w:val="32"/>
          <w:szCs w:val="32"/>
        </w:rPr>
        <w:t>扣3*0.1*2=0.6</w:t>
      </w:r>
      <w:r>
        <w:rPr>
          <w:rFonts w:hint="eastAsia" w:ascii="仿宋_GB2312" w:eastAsia="仿宋_GB2312" w:cs="DengXian-Regular"/>
          <w:sz w:val="32"/>
          <w:szCs w:val="32"/>
        </w:rPr>
        <w:t>分。</w:t>
      </w:r>
    </w:p>
    <w:p w14:paraId="55C68A5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1.4</w:t>
      </w:r>
      <w:r>
        <w:rPr>
          <w:rFonts w:hint="eastAsia" w:ascii="仿宋_GB2312" w:eastAsia="仿宋_GB2312" w:cs="DengXian-Regular"/>
          <w:sz w:val="32"/>
          <w:szCs w:val="32"/>
        </w:rPr>
        <w:t>分。</w:t>
      </w:r>
    </w:p>
    <w:p w14:paraId="3A11BC6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14:paraId="3ADE82F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14:paraId="6ADF5B7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14:paraId="377DA52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区交通警察大队202</w:t>
      </w:r>
      <w:r>
        <w:rPr>
          <w:rFonts w:ascii="仿宋_GB2312" w:eastAsia="仿宋_GB2312" w:cs="DengXian-Regular"/>
          <w:sz w:val="32"/>
          <w:szCs w:val="32"/>
        </w:rPr>
        <w:t>1</w:t>
      </w:r>
      <w:r>
        <w:rPr>
          <w:rFonts w:hint="eastAsia" w:ascii="仿宋_GB2312" w:eastAsia="仿宋_GB2312" w:cs="DengXian-Regular"/>
          <w:sz w:val="32"/>
          <w:szCs w:val="32"/>
        </w:rPr>
        <w:t>年预算文本、决算文本，202</w:t>
      </w:r>
      <w:r>
        <w:rPr>
          <w:rFonts w:ascii="仿宋_GB2312" w:eastAsia="仿宋_GB2312" w:cs="DengXian-Regular"/>
          <w:sz w:val="32"/>
          <w:szCs w:val="32"/>
        </w:rPr>
        <w:t>1</w:t>
      </w:r>
      <w:r>
        <w:rPr>
          <w:rFonts w:hint="eastAsia" w:ascii="仿宋_GB2312" w:eastAsia="仿宋_GB2312" w:cs="DengXian-Regular"/>
          <w:sz w:val="32"/>
          <w:szCs w:val="32"/>
        </w:rPr>
        <w:t>年收入预算数</w:t>
      </w:r>
      <w:r>
        <w:rPr>
          <w:rFonts w:ascii="仿宋_GB2312" w:eastAsia="仿宋_GB2312" w:cs="DengXian-Regular"/>
          <w:sz w:val="32"/>
          <w:szCs w:val="32"/>
        </w:rPr>
        <w:t>736.44</w:t>
      </w:r>
      <w:r>
        <w:rPr>
          <w:rFonts w:hint="eastAsia" w:ascii="仿宋_GB2312" w:eastAsia="仿宋_GB2312" w:cs="DengXian-Regular"/>
          <w:sz w:val="32"/>
          <w:szCs w:val="32"/>
        </w:rPr>
        <w:t>万元，收入决算数9</w:t>
      </w:r>
      <w:r>
        <w:rPr>
          <w:rFonts w:ascii="仿宋_GB2312" w:eastAsia="仿宋_GB2312" w:cs="DengXian-Regular"/>
          <w:sz w:val="32"/>
          <w:szCs w:val="32"/>
        </w:rPr>
        <w:t>83.61</w:t>
      </w:r>
      <w:r>
        <w:rPr>
          <w:rFonts w:hint="eastAsia" w:ascii="仿宋_GB2312" w:eastAsia="仿宋_GB2312" w:cs="DengXian-Regular"/>
          <w:sz w:val="32"/>
          <w:szCs w:val="32"/>
        </w:rPr>
        <w:t>万元，收入完成率=（决算数/预算数）*100%=</w:t>
      </w:r>
      <w:r>
        <w:rPr>
          <w:rFonts w:ascii="仿宋_GB2312" w:eastAsia="仿宋_GB2312" w:cs="DengXian-Regular"/>
          <w:sz w:val="32"/>
          <w:szCs w:val="32"/>
        </w:rPr>
        <w:t>133.56</w:t>
      </w:r>
      <w:r>
        <w:rPr>
          <w:rFonts w:hint="eastAsia" w:ascii="仿宋_GB2312" w:eastAsia="仿宋_GB2312" w:cs="DengXian-Regular"/>
          <w:sz w:val="32"/>
          <w:szCs w:val="32"/>
        </w:rPr>
        <w:t>%。</w:t>
      </w:r>
    </w:p>
    <w:p w14:paraId="0C38F8B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3F3E013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14:paraId="02153B4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14:paraId="7B518B4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14:paraId="2140D92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区交通警察大队202</w:t>
      </w:r>
      <w:r>
        <w:rPr>
          <w:rFonts w:ascii="仿宋_GB2312" w:eastAsia="仿宋_GB2312" w:cs="DengXian-Regular"/>
          <w:sz w:val="32"/>
          <w:szCs w:val="32"/>
        </w:rPr>
        <w:t>1</w:t>
      </w:r>
      <w:r>
        <w:rPr>
          <w:rFonts w:hint="eastAsia" w:ascii="仿宋_GB2312" w:eastAsia="仿宋_GB2312" w:cs="DengXian-Regular"/>
          <w:sz w:val="32"/>
          <w:szCs w:val="32"/>
        </w:rPr>
        <w:t>年度预算支出的追加数合计</w:t>
      </w:r>
      <w:r>
        <w:rPr>
          <w:rFonts w:ascii="仿宋_GB2312" w:eastAsia="仿宋_GB2312" w:cs="DengXian-Regular"/>
          <w:sz w:val="32"/>
          <w:szCs w:val="32"/>
        </w:rPr>
        <w:t>0</w:t>
      </w:r>
      <w:r>
        <w:rPr>
          <w:rFonts w:hint="eastAsia" w:ascii="仿宋_GB2312" w:eastAsia="仿宋_GB2312" w:cs="DengXian-Regular"/>
          <w:sz w:val="32"/>
          <w:szCs w:val="32"/>
        </w:rPr>
        <w:t>万元，年初预算数为</w:t>
      </w:r>
      <w:r>
        <w:rPr>
          <w:rFonts w:ascii="仿宋_GB2312" w:eastAsia="仿宋_GB2312" w:cs="DengXian-Regular"/>
          <w:sz w:val="32"/>
          <w:szCs w:val="32"/>
        </w:rPr>
        <w:t>736.44</w:t>
      </w:r>
      <w:r>
        <w:rPr>
          <w:rFonts w:hint="eastAsia" w:ascii="仿宋_GB2312" w:eastAsia="仿宋_GB2312" w:cs="DengXian-Regular"/>
          <w:sz w:val="32"/>
          <w:szCs w:val="32"/>
        </w:rPr>
        <w:t>万元，预算支出调整率为</w:t>
      </w:r>
      <w:r>
        <w:rPr>
          <w:rFonts w:ascii="仿宋_GB2312" w:eastAsia="仿宋_GB2312" w:cs="DengXian-Regular"/>
          <w:sz w:val="32"/>
          <w:szCs w:val="32"/>
        </w:rPr>
        <w:t>33.56</w:t>
      </w:r>
      <w:r>
        <w:rPr>
          <w:rFonts w:hint="eastAsia" w:ascii="仿宋_GB2312" w:eastAsia="仿宋_GB2312" w:cs="DengXian-Regular"/>
          <w:sz w:val="32"/>
          <w:szCs w:val="32"/>
        </w:rPr>
        <w:t>%，预算调整增加了</w:t>
      </w:r>
      <w:r>
        <w:rPr>
          <w:rFonts w:ascii="仿宋_GB2312" w:eastAsia="仿宋_GB2312" w:cs="DengXian-Regular"/>
          <w:sz w:val="32"/>
          <w:szCs w:val="32"/>
        </w:rPr>
        <w:t>3</w:t>
      </w:r>
      <w:r>
        <w:rPr>
          <w:rFonts w:hint="eastAsia" w:ascii="仿宋_GB2312" w:eastAsia="仿宋_GB2312" w:cs="DengXian-Regular"/>
          <w:sz w:val="32"/>
          <w:szCs w:val="32"/>
        </w:rPr>
        <w:t>个百分点，扣</w:t>
      </w:r>
      <w:r>
        <w:rPr>
          <w:rFonts w:ascii="仿宋_GB2312" w:eastAsia="仿宋_GB2312" w:cs="DengXian-Regular"/>
          <w:sz w:val="32"/>
          <w:szCs w:val="32"/>
        </w:rPr>
        <w:t>2</w:t>
      </w:r>
      <w:r>
        <w:rPr>
          <w:rFonts w:hint="eastAsia" w:ascii="仿宋_GB2312" w:eastAsia="仿宋_GB2312" w:cs="DengXian-Regular"/>
          <w:sz w:val="32"/>
          <w:szCs w:val="32"/>
        </w:rPr>
        <w:t>分。</w:t>
      </w:r>
    </w:p>
    <w:p w14:paraId="672461E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0</w:t>
      </w:r>
      <w:r>
        <w:rPr>
          <w:rFonts w:hint="eastAsia" w:ascii="仿宋_GB2312" w:eastAsia="仿宋_GB2312" w:cs="DengXian-Regular"/>
          <w:sz w:val="32"/>
          <w:szCs w:val="32"/>
        </w:rPr>
        <w:t>分。</w:t>
      </w:r>
    </w:p>
    <w:p w14:paraId="660573F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14:paraId="4A405FA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14:paraId="199391A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14:paraId="12911BC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区公安交通警察大队提供的202</w:t>
      </w:r>
      <w:r>
        <w:rPr>
          <w:rFonts w:ascii="仿宋_GB2312" w:eastAsia="仿宋_GB2312" w:cs="DengXian-Regular"/>
          <w:sz w:val="32"/>
          <w:szCs w:val="32"/>
        </w:rPr>
        <w:t>1</w:t>
      </w:r>
      <w:r>
        <w:rPr>
          <w:rFonts w:hint="eastAsia" w:ascii="仿宋_GB2312" w:eastAsia="仿宋_GB2312" w:cs="DengXian-Regular"/>
          <w:sz w:val="32"/>
          <w:szCs w:val="32"/>
        </w:rPr>
        <w:t>年决算文本，部门决算财政拨款支出数</w:t>
      </w:r>
      <w:r>
        <w:rPr>
          <w:rFonts w:ascii="仿宋_GB2312" w:eastAsia="仿宋_GB2312" w:cs="DengXian-Regular"/>
          <w:sz w:val="32"/>
          <w:szCs w:val="32"/>
        </w:rPr>
        <w:t>983.60</w:t>
      </w:r>
      <w:r>
        <w:rPr>
          <w:rFonts w:hint="eastAsia" w:ascii="仿宋_GB2312" w:eastAsia="仿宋_GB2312" w:cs="DengXian-Regular"/>
          <w:sz w:val="32"/>
          <w:szCs w:val="32"/>
        </w:rPr>
        <w:t>万元，财政拨款收入数</w:t>
      </w:r>
      <w:r>
        <w:rPr>
          <w:rFonts w:ascii="仿宋_GB2312" w:eastAsia="仿宋_GB2312" w:cs="DengXian-Regular"/>
          <w:sz w:val="32"/>
          <w:szCs w:val="32"/>
        </w:rPr>
        <w:t>983.60</w:t>
      </w:r>
      <w:r>
        <w:rPr>
          <w:rFonts w:hint="eastAsia" w:ascii="仿宋_GB2312" w:eastAsia="仿宋_GB2312" w:cs="DengXian-Regular"/>
          <w:sz w:val="32"/>
          <w:szCs w:val="32"/>
        </w:rPr>
        <w:t>万元，财政拨款支出率=（财政拨款支出数/财政拨款收入数）*100%=</w:t>
      </w:r>
      <w:r>
        <w:rPr>
          <w:rFonts w:ascii="仿宋_GB2312" w:eastAsia="仿宋_GB2312" w:cs="DengXian-Regular"/>
          <w:sz w:val="32"/>
          <w:szCs w:val="32"/>
        </w:rPr>
        <w:t>100</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90%。区公安交通警察大队202</w:t>
      </w:r>
      <w:r>
        <w:rPr>
          <w:rFonts w:ascii="仿宋_GB2312" w:eastAsia="仿宋_GB2312" w:cs="DengXian-Regular"/>
          <w:sz w:val="32"/>
          <w:szCs w:val="32"/>
        </w:rPr>
        <w:t>1</w:t>
      </w:r>
      <w:r>
        <w:rPr>
          <w:rFonts w:hint="eastAsia" w:ascii="仿宋_GB2312" w:eastAsia="仿宋_GB2312" w:cs="DengXian-Regular"/>
          <w:sz w:val="32"/>
          <w:szCs w:val="32"/>
        </w:rPr>
        <w:t>年年初结转和结余</w:t>
      </w:r>
      <w:r>
        <w:rPr>
          <w:rFonts w:ascii="仿宋_GB2312" w:eastAsia="仿宋_GB2312" w:cs="DengXian-Regular"/>
          <w:sz w:val="32"/>
          <w:szCs w:val="32"/>
        </w:rPr>
        <w:t>0</w:t>
      </w:r>
      <w:r>
        <w:rPr>
          <w:rFonts w:hint="eastAsia" w:ascii="仿宋_GB2312" w:eastAsia="仿宋_GB2312" w:cs="DengXian-Regular"/>
          <w:sz w:val="32"/>
          <w:szCs w:val="32"/>
        </w:rPr>
        <w:t>万元，故支出数等于收入数。</w:t>
      </w:r>
    </w:p>
    <w:p w14:paraId="21C781E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145CC69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14:paraId="0ABCA37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14:paraId="472F6F3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14:paraId="2FC0869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根据区公安交通警察大队202</w:t>
      </w:r>
      <w:r>
        <w:rPr>
          <w:rFonts w:ascii="仿宋_GB2312" w:eastAsia="仿宋_GB2312" w:cs="DengXian-Regular"/>
          <w:sz w:val="32"/>
          <w:szCs w:val="32"/>
        </w:rPr>
        <w:t>1</w:t>
      </w:r>
      <w:r>
        <w:rPr>
          <w:rFonts w:hint="eastAsia" w:ascii="仿宋_GB2312" w:eastAsia="仿宋_GB2312" w:cs="DengXian-Regular"/>
          <w:sz w:val="32"/>
          <w:szCs w:val="32"/>
        </w:rPr>
        <w:t>年预算文本及决算文本，“三公”经费年初预算数</w:t>
      </w:r>
      <w:r>
        <w:rPr>
          <w:rFonts w:ascii="仿宋_GB2312" w:eastAsia="仿宋_GB2312" w:cs="DengXian-Regular"/>
          <w:sz w:val="32"/>
          <w:szCs w:val="32"/>
        </w:rPr>
        <w:t>9.95</w:t>
      </w:r>
      <w:r>
        <w:rPr>
          <w:rFonts w:hint="eastAsia" w:ascii="仿宋_GB2312" w:eastAsia="仿宋_GB2312" w:cs="DengXian-Regular"/>
          <w:sz w:val="32"/>
          <w:szCs w:val="32"/>
        </w:rPr>
        <w:t>万元，年末决算数</w:t>
      </w:r>
      <w:r>
        <w:rPr>
          <w:rFonts w:ascii="仿宋_GB2312" w:eastAsia="仿宋_GB2312" w:cs="DengXian-Regular"/>
          <w:sz w:val="32"/>
          <w:szCs w:val="32"/>
        </w:rPr>
        <w:t>9.28</w:t>
      </w:r>
      <w:r>
        <w:rPr>
          <w:rFonts w:hint="eastAsia" w:ascii="仿宋_GB2312" w:eastAsia="仿宋_GB2312" w:cs="DengXian-Regular"/>
          <w:sz w:val="32"/>
          <w:szCs w:val="32"/>
        </w:rPr>
        <w:t>万元，“三公”经费控制率=（年末决算数/年初预算数）*100%=</w:t>
      </w:r>
      <w:r>
        <w:rPr>
          <w:rFonts w:ascii="仿宋_GB2312" w:eastAsia="仿宋_GB2312" w:cs="DengXian-Regular"/>
          <w:sz w:val="32"/>
          <w:szCs w:val="32"/>
        </w:rPr>
        <w:t>93.27</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14:paraId="753C5BE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684362E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14:paraId="15C78D2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14:paraId="4603880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14:paraId="0FAD6AC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根据区公安交通警察大队202</w:t>
      </w:r>
      <w:r>
        <w:rPr>
          <w:rFonts w:ascii="仿宋_GB2312" w:eastAsia="仿宋_GB2312" w:cs="DengXian-Regular"/>
          <w:sz w:val="32"/>
          <w:szCs w:val="32"/>
        </w:rPr>
        <w:t>1</w:t>
      </w:r>
      <w:r>
        <w:rPr>
          <w:rFonts w:hint="eastAsia" w:ascii="仿宋_GB2312" w:eastAsia="仿宋_GB2312" w:cs="DengXian-Regular"/>
          <w:sz w:val="32"/>
          <w:szCs w:val="32"/>
        </w:rPr>
        <w:t>年预算文本及决算文本，政府采购年初预算数</w:t>
      </w:r>
      <w:r>
        <w:rPr>
          <w:rFonts w:ascii="仿宋_GB2312" w:eastAsia="仿宋_GB2312" w:cs="DengXian-Regular"/>
          <w:sz w:val="32"/>
          <w:szCs w:val="32"/>
        </w:rPr>
        <w:t>0</w:t>
      </w:r>
      <w:r>
        <w:rPr>
          <w:rFonts w:hint="eastAsia" w:ascii="仿宋_GB2312" w:eastAsia="仿宋_GB2312" w:cs="DengXian-Regular"/>
          <w:sz w:val="32"/>
          <w:szCs w:val="32"/>
        </w:rPr>
        <w:t>万元，年末决算数</w:t>
      </w:r>
      <w:r>
        <w:rPr>
          <w:rFonts w:ascii="仿宋_GB2312" w:eastAsia="仿宋_GB2312" w:cs="DengXian-Regular"/>
          <w:sz w:val="32"/>
          <w:szCs w:val="32"/>
        </w:rPr>
        <w:t>35.60</w:t>
      </w:r>
      <w:r>
        <w:rPr>
          <w:rFonts w:hint="eastAsia" w:ascii="仿宋_GB2312" w:eastAsia="仿宋_GB2312" w:cs="DengXian-Regular"/>
          <w:sz w:val="32"/>
          <w:szCs w:val="32"/>
        </w:rPr>
        <w:t>万元，政府采购执行率为</w:t>
      </w:r>
      <w:r>
        <w:rPr>
          <w:rFonts w:ascii="仿宋_GB2312" w:eastAsia="仿宋_GB2312" w:cs="DengXian-Regular"/>
          <w:sz w:val="32"/>
          <w:szCs w:val="32"/>
        </w:rPr>
        <w:t>0</w:t>
      </w:r>
      <w:r>
        <w:rPr>
          <w:rFonts w:hint="eastAsia" w:ascii="仿宋_GB2312" w:eastAsia="仿宋_GB2312" w:cs="DengXian-Regular"/>
          <w:sz w:val="32"/>
          <w:szCs w:val="32"/>
        </w:rPr>
        <w:t>。</w:t>
      </w:r>
    </w:p>
    <w:p w14:paraId="270FDF9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ascii="仿宋_GB2312" w:eastAsia="仿宋_GB2312" w:cs="DengXian-Regular"/>
          <w:sz w:val="32"/>
          <w:szCs w:val="32"/>
        </w:rPr>
        <w:t>3</w:t>
      </w:r>
      <w:r>
        <w:rPr>
          <w:rFonts w:hint="eastAsia" w:ascii="仿宋_GB2312" w:eastAsia="仿宋_GB2312" w:cs="DengXian-Regular"/>
          <w:sz w:val="32"/>
          <w:szCs w:val="32"/>
        </w:rPr>
        <w:t>分。</w:t>
      </w:r>
    </w:p>
    <w:p w14:paraId="6AFC904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14:paraId="47E1491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14:paraId="51B781C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根据区公安交通警察大队202</w:t>
      </w:r>
      <w:r>
        <w:rPr>
          <w:rFonts w:ascii="仿宋_GB2312" w:eastAsia="仿宋_GB2312" w:cs="DengXian-Regular"/>
          <w:sz w:val="32"/>
          <w:szCs w:val="32"/>
        </w:rPr>
        <w:t>1</w:t>
      </w:r>
      <w:r>
        <w:rPr>
          <w:rFonts w:hint="eastAsia" w:ascii="仿宋_GB2312" w:eastAsia="仿宋_GB2312" w:cs="DengXian-Regular"/>
          <w:sz w:val="32"/>
          <w:szCs w:val="32"/>
        </w:rPr>
        <w:t>年明细账、会计凭证等相关资料，区公安交通警察大队资金使用符合相关会计准则和财务制度，资金拨付有完备的审批程序和手续，资金使用符合部门预算批复的用途，未发现截留、挤占、挪用财政资金的情况。</w:t>
      </w:r>
    </w:p>
    <w:p w14:paraId="2051618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4F1ECF9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14:paraId="278312A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14:paraId="4CAA906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经核查区公安交通警察大队202</w:t>
      </w:r>
      <w:r>
        <w:rPr>
          <w:rFonts w:ascii="仿宋_GB2312" w:eastAsia="仿宋_GB2312" w:cs="DengXian-Regular"/>
          <w:sz w:val="32"/>
          <w:szCs w:val="32"/>
        </w:rPr>
        <w:t>1</w:t>
      </w:r>
      <w:r>
        <w:rPr>
          <w:rFonts w:hint="eastAsia" w:ascii="仿宋_GB2312" w:eastAsia="仿宋_GB2312" w:cs="DengXian-Regular"/>
          <w:sz w:val="32"/>
          <w:szCs w:val="32"/>
        </w:rPr>
        <w:t>年决算文本、明细账及总账，区公安交通警察大队决算文本数据均与明细账、总账一致。</w:t>
      </w:r>
    </w:p>
    <w:p w14:paraId="74364AE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74784F0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14:paraId="47073EC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14:paraId="166C62B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14:paraId="6FE2609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区公安交通警察大队工作制度涵盖了财务制度、网络安全制度、公务用车制度等相关制度，经检查区公安交通警察大队付款流程审批单、资产盘点表等资料，区公安交通警察大队已按照相关管理制度的规定执行。</w:t>
      </w:r>
    </w:p>
    <w:p w14:paraId="27E8229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18E7E6C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14:paraId="3B80C2F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14:paraId="328FD61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区公安交通警察大队202</w:t>
      </w:r>
      <w:r>
        <w:rPr>
          <w:rFonts w:ascii="仿宋_GB2312" w:eastAsia="仿宋_GB2312" w:cs="DengXian-Regular"/>
          <w:sz w:val="32"/>
          <w:szCs w:val="32"/>
        </w:rPr>
        <w:t>1</w:t>
      </w:r>
      <w:r>
        <w:rPr>
          <w:rFonts w:hint="eastAsia" w:ascii="仿宋_GB2312" w:eastAsia="仿宋_GB2312" w:cs="DengXian-Regular"/>
          <w:sz w:val="32"/>
          <w:szCs w:val="32"/>
        </w:rPr>
        <w:t>年按政府信息公开的有关要求在保定市徐水区人民政府网公开了202</w:t>
      </w:r>
      <w:r>
        <w:rPr>
          <w:rFonts w:ascii="仿宋_GB2312" w:eastAsia="仿宋_GB2312" w:cs="DengXian-Regular"/>
          <w:sz w:val="32"/>
          <w:szCs w:val="32"/>
        </w:rPr>
        <w:t>1</w:t>
      </w:r>
      <w:r>
        <w:rPr>
          <w:rFonts w:hint="eastAsia" w:ascii="仿宋_GB2312" w:eastAsia="仿宋_GB2312" w:cs="DengXian-Regular"/>
          <w:sz w:val="32"/>
          <w:szCs w:val="32"/>
        </w:rPr>
        <w:t>年的预决算情况、部门责任清单、行政监督清单等相关信息。</w:t>
      </w:r>
    </w:p>
    <w:p w14:paraId="5600345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182DD0F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14:paraId="0075AB1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14:paraId="406B08A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根据区公安交通警察大队提供的会计账簿、凭证及其他相关资料，区公安交通警察大队会计信息资料真实完整，</w:t>
      </w:r>
    </w:p>
    <w:p w14:paraId="2E59483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2033BBC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14:paraId="061DC76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14:paraId="16A3049B">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sz w:val="32"/>
          <w:szCs w:val="32"/>
        </w:rPr>
        <w:t>区公安交通警察大队建立了固定资产台账、无形资产台账，资产保存完整，202</w:t>
      </w:r>
      <w:r>
        <w:rPr>
          <w:rFonts w:ascii="仿宋_GB2312" w:eastAsia="仿宋_GB2312" w:cs="DengXian-Regular"/>
          <w:sz w:val="32"/>
          <w:szCs w:val="32"/>
        </w:rPr>
        <w:t>1</w:t>
      </w:r>
      <w:r>
        <w:rPr>
          <w:rFonts w:hint="eastAsia" w:ascii="仿宋_GB2312" w:eastAsia="仿宋_GB2312" w:cs="DengXian-Regular"/>
          <w:sz w:val="32"/>
          <w:szCs w:val="32"/>
        </w:rPr>
        <w:t>年新增资产</w:t>
      </w:r>
      <w:r>
        <w:rPr>
          <w:rFonts w:ascii="仿宋_GB2312" w:eastAsia="仿宋_GB2312" w:cs="DengXian-Regular"/>
          <w:color w:val="000000" w:themeColor="text1"/>
          <w:sz w:val="32"/>
          <w:szCs w:val="32"/>
          <w14:textFill>
            <w14:solidFill>
              <w14:schemeClr w14:val="tx1"/>
            </w14:solidFill>
          </w14:textFill>
        </w:rPr>
        <w:t>83.49</w:t>
      </w:r>
      <w:r>
        <w:rPr>
          <w:rFonts w:hint="eastAsia" w:ascii="仿宋_GB2312" w:eastAsia="仿宋_GB2312" w:cs="DengXian-Regular"/>
          <w:color w:val="000000" w:themeColor="text1"/>
          <w:sz w:val="32"/>
          <w:szCs w:val="32"/>
          <w14:textFill>
            <w14:solidFill>
              <w14:schemeClr w14:val="tx1"/>
            </w14:solidFill>
          </w14:textFill>
        </w:rPr>
        <w:t>万元，包含：专用设备（</w:t>
      </w:r>
      <w:r>
        <w:rPr>
          <w:rFonts w:ascii="仿宋_GB2312" w:eastAsia="仿宋_GB2312" w:cs="DengXian-Regular"/>
          <w:color w:val="000000" w:themeColor="text1"/>
          <w:sz w:val="32"/>
          <w:szCs w:val="32"/>
          <w14:textFill>
            <w14:solidFill>
              <w14:schemeClr w14:val="tx1"/>
            </w14:solidFill>
          </w14:textFill>
        </w:rPr>
        <w:t>18.61</w:t>
      </w:r>
      <w:r>
        <w:rPr>
          <w:rFonts w:hint="eastAsia" w:ascii="仿宋_GB2312" w:eastAsia="仿宋_GB2312" w:cs="DengXian-Regular"/>
          <w:color w:val="000000" w:themeColor="text1"/>
          <w:sz w:val="32"/>
          <w:szCs w:val="32"/>
          <w14:textFill>
            <w14:solidFill>
              <w14:schemeClr w14:val="tx1"/>
            </w14:solidFill>
          </w14:textFill>
        </w:rPr>
        <w:t>万元）、通用设备（</w:t>
      </w:r>
      <w:r>
        <w:rPr>
          <w:rFonts w:ascii="仿宋_GB2312" w:eastAsia="仿宋_GB2312" w:cs="DengXian-Regular"/>
          <w:color w:val="000000" w:themeColor="text1"/>
          <w:sz w:val="32"/>
          <w:szCs w:val="32"/>
          <w14:textFill>
            <w14:solidFill>
              <w14:schemeClr w14:val="tx1"/>
            </w14:solidFill>
          </w14:textFill>
        </w:rPr>
        <w:t>63.44</w:t>
      </w:r>
      <w:r>
        <w:rPr>
          <w:rFonts w:hint="eastAsia" w:ascii="仿宋_GB2312" w:eastAsia="仿宋_GB2312" w:cs="DengXian-Regular"/>
          <w:color w:val="000000" w:themeColor="text1"/>
          <w:sz w:val="32"/>
          <w:szCs w:val="32"/>
          <w14:textFill>
            <w14:solidFill>
              <w14:schemeClr w14:val="tx1"/>
            </w14:solidFill>
          </w14:textFill>
        </w:rPr>
        <w:t>万元）、家具用具（1</w:t>
      </w:r>
      <w:r>
        <w:rPr>
          <w:rFonts w:ascii="仿宋_GB2312" w:eastAsia="仿宋_GB2312" w:cs="DengXian-Regular"/>
          <w:color w:val="000000" w:themeColor="text1"/>
          <w:sz w:val="32"/>
          <w:szCs w:val="32"/>
          <w14:textFill>
            <w14:solidFill>
              <w14:schemeClr w14:val="tx1"/>
            </w14:solidFill>
          </w14:textFill>
        </w:rPr>
        <w:t>.44</w:t>
      </w:r>
      <w:r>
        <w:rPr>
          <w:rFonts w:hint="eastAsia" w:ascii="仿宋_GB2312" w:eastAsia="仿宋_GB2312" w:cs="DengXian-Regular"/>
          <w:color w:val="000000" w:themeColor="text1"/>
          <w:sz w:val="32"/>
          <w:szCs w:val="32"/>
          <w14:textFill>
            <w14:solidFill>
              <w14:schemeClr w14:val="tx1"/>
            </w14:solidFill>
          </w14:textFill>
        </w:rPr>
        <w:t>万元）其中电脑及计算机设备（</w:t>
      </w:r>
      <w:r>
        <w:rPr>
          <w:rFonts w:ascii="仿宋_GB2312" w:eastAsia="仿宋_GB2312" w:cs="DengXian-Regular"/>
          <w:color w:val="000000" w:themeColor="text1"/>
          <w:sz w:val="32"/>
          <w:szCs w:val="32"/>
          <w14:textFill>
            <w14:solidFill>
              <w14:schemeClr w14:val="tx1"/>
            </w14:solidFill>
          </w14:textFill>
        </w:rPr>
        <w:t>6.63</w:t>
      </w:r>
      <w:r>
        <w:rPr>
          <w:rFonts w:hint="eastAsia" w:ascii="仿宋_GB2312" w:eastAsia="仿宋_GB2312" w:cs="DengXian-Regular"/>
          <w:color w:val="000000" w:themeColor="text1"/>
          <w:sz w:val="32"/>
          <w:szCs w:val="32"/>
          <w14:textFill>
            <w14:solidFill>
              <w14:schemeClr w14:val="tx1"/>
            </w14:solidFill>
          </w14:textFill>
        </w:rPr>
        <w:t>万元），资产购置手续完备，配置符合要求，资产管理整体较规范。</w:t>
      </w:r>
    </w:p>
    <w:p w14:paraId="7779B769">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该项指标实际得分4分。</w:t>
      </w:r>
    </w:p>
    <w:p w14:paraId="5599950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14:paraId="06C6D0A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14:paraId="391D842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14:paraId="4AD53CF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14:paraId="528B20D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w:t>
      </w:r>
      <w:r>
        <w:rPr>
          <w:rFonts w:ascii="仿宋_GB2312" w:eastAsia="仿宋_GB2312" w:cs="DengXian-Regular"/>
          <w:sz w:val="32"/>
          <w:szCs w:val="32"/>
        </w:rPr>
        <w:t>1</w:t>
      </w:r>
      <w:r>
        <w:rPr>
          <w:rFonts w:hint="eastAsia" w:ascii="仿宋_GB2312" w:eastAsia="仿宋_GB2312" w:cs="DengXian-Regular"/>
          <w:sz w:val="32"/>
          <w:szCs w:val="32"/>
        </w:rPr>
        <w:t>年度财政专项资金部门绩效自评价工作的通知》及徐水区公安交通警察大队202</w:t>
      </w:r>
      <w:r>
        <w:rPr>
          <w:rFonts w:ascii="仿宋_GB2312" w:eastAsia="仿宋_GB2312" w:cs="DengXian-Regular"/>
          <w:sz w:val="32"/>
          <w:szCs w:val="32"/>
        </w:rPr>
        <w:t>1</w:t>
      </w:r>
      <w:r>
        <w:rPr>
          <w:rFonts w:hint="eastAsia" w:ascii="仿宋_GB2312" w:eastAsia="仿宋_GB2312" w:cs="DengXian-Regular"/>
          <w:sz w:val="32"/>
          <w:szCs w:val="32"/>
        </w:rPr>
        <w:t>年一般项目部门绩效自评表，区公安交通警察大队202</w:t>
      </w:r>
      <w:r>
        <w:rPr>
          <w:rFonts w:ascii="仿宋_GB2312" w:eastAsia="仿宋_GB2312" w:cs="DengXian-Regular"/>
          <w:sz w:val="32"/>
          <w:szCs w:val="32"/>
        </w:rPr>
        <w:t>1</w:t>
      </w:r>
      <w:r>
        <w:rPr>
          <w:rFonts w:hint="eastAsia" w:ascii="仿宋_GB2312" w:eastAsia="仿宋_GB2312" w:cs="DengXian-Regular"/>
          <w:sz w:val="32"/>
          <w:szCs w:val="32"/>
        </w:rPr>
        <w:t>年开展绩效自评的项目数为</w:t>
      </w:r>
      <w:r>
        <w:rPr>
          <w:rFonts w:ascii="仿宋_GB2312" w:eastAsia="仿宋_GB2312" w:cs="DengXian-Regular"/>
          <w:sz w:val="32"/>
          <w:szCs w:val="32"/>
        </w:rPr>
        <w:t>5</w:t>
      </w:r>
      <w:r>
        <w:rPr>
          <w:rFonts w:hint="eastAsia" w:ascii="仿宋_GB2312" w:eastAsia="仿宋_GB2312" w:cs="DengXian-Regular"/>
          <w:sz w:val="32"/>
          <w:szCs w:val="32"/>
        </w:rPr>
        <w:t>个，年初预算文本项目数</w:t>
      </w:r>
      <w:r>
        <w:rPr>
          <w:rFonts w:ascii="仿宋_GB2312" w:eastAsia="仿宋_GB2312" w:cs="DengXian-Regular"/>
          <w:sz w:val="32"/>
          <w:szCs w:val="32"/>
        </w:rPr>
        <w:t>4</w:t>
      </w:r>
      <w:r>
        <w:rPr>
          <w:rFonts w:hint="eastAsia" w:ascii="仿宋_GB2312" w:eastAsia="仿宋_GB2312" w:cs="DengXian-Regular"/>
          <w:sz w:val="32"/>
          <w:szCs w:val="32"/>
        </w:rPr>
        <w:t>个，要求自评项目个数</w:t>
      </w:r>
      <w:r>
        <w:rPr>
          <w:rFonts w:ascii="仿宋_GB2312" w:eastAsia="仿宋_GB2312" w:cs="DengXian-Regular"/>
          <w:sz w:val="32"/>
          <w:szCs w:val="32"/>
        </w:rPr>
        <w:t>5</w:t>
      </w:r>
      <w:r>
        <w:rPr>
          <w:rFonts w:hint="eastAsia" w:ascii="仿宋_GB2312" w:eastAsia="仿宋_GB2312" w:cs="DengXian-Regular"/>
          <w:sz w:val="32"/>
          <w:szCs w:val="32"/>
        </w:rPr>
        <w:t xml:space="preserve">个，自评覆盖率为 </w:t>
      </w:r>
      <w:r>
        <w:rPr>
          <w:rFonts w:ascii="仿宋_GB2312" w:eastAsia="仿宋_GB2312" w:cs="DengXian-Regular"/>
          <w:sz w:val="32"/>
          <w:szCs w:val="32"/>
        </w:rPr>
        <w:t>100</w:t>
      </w:r>
      <w:r>
        <w:rPr>
          <w:rFonts w:hint="eastAsia" w:ascii="仿宋_GB2312" w:eastAsia="仿宋_GB2312" w:cs="DengXian-Regular"/>
          <w:sz w:val="32"/>
          <w:szCs w:val="32"/>
        </w:rPr>
        <w:t>%。</w:t>
      </w:r>
    </w:p>
    <w:p w14:paraId="33ED0FB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1705686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14:paraId="615F27E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14:paraId="7CE850D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14:paraId="75155F5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区公安交通警察大队202</w:t>
      </w:r>
      <w:r>
        <w:rPr>
          <w:rFonts w:ascii="仿宋_GB2312" w:eastAsia="仿宋_GB2312" w:cs="DengXian-Regular"/>
          <w:sz w:val="32"/>
          <w:szCs w:val="32"/>
        </w:rPr>
        <w:t>1</w:t>
      </w:r>
      <w:r>
        <w:rPr>
          <w:rFonts w:hint="eastAsia" w:ascii="仿宋_GB2312" w:eastAsia="仿宋_GB2312" w:cs="DengXian-Regular"/>
          <w:sz w:val="32"/>
          <w:szCs w:val="32"/>
        </w:rPr>
        <w:t>年参评数量</w:t>
      </w:r>
      <w:r>
        <w:rPr>
          <w:rFonts w:ascii="仿宋_GB2312" w:eastAsia="仿宋_GB2312" w:cs="DengXian-Regular"/>
          <w:sz w:val="32"/>
          <w:szCs w:val="32"/>
        </w:rPr>
        <w:t>5</w:t>
      </w:r>
      <w:r>
        <w:rPr>
          <w:rFonts w:hint="eastAsia" w:ascii="仿宋_GB2312" w:eastAsia="仿宋_GB2312" w:cs="DengXian-Regular"/>
          <w:sz w:val="32"/>
          <w:szCs w:val="32"/>
        </w:rPr>
        <w:t>个，绩效评价结果达到优等的数量</w:t>
      </w:r>
      <w:r>
        <w:rPr>
          <w:rFonts w:ascii="仿宋_GB2312" w:eastAsia="仿宋_GB2312" w:cs="DengXian-Regular"/>
          <w:sz w:val="32"/>
          <w:szCs w:val="32"/>
        </w:rPr>
        <w:t>5</w:t>
      </w:r>
      <w:r>
        <w:rPr>
          <w:rFonts w:hint="eastAsia" w:ascii="仿宋_GB2312" w:eastAsia="仿宋_GB2312" w:cs="DengXian-Regular"/>
          <w:sz w:val="32"/>
          <w:szCs w:val="32"/>
        </w:rPr>
        <w:t>个，绩效评价优等率为</w:t>
      </w:r>
      <w:r>
        <w:rPr>
          <w:rFonts w:ascii="仿宋_GB2312" w:eastAsia="仿宋_GB2312" w:cs="DengXian-Regular"/>
          <w:sz w:val="32"/>
          <w:szCs w:val="32"/>
        </w:rPr>
        <w:t>100</w:t>
      </w:r>
      <w:r>
        <w:rPr>
          <w:rFonts w:hint="eastAsia" w:ascii="仿宋_GB2312" w:eastAsia="仿宋_GB2312" w:cs="DengXian-Regular"/>
          <w:sz w:val="32"/>
          <w:szCs w:val="32"/>
        </w:rPr>
        <w:t>%。</w:t>
      </w:r>
    </w:p>
    <w:p w14:paraId="5337FDD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bookmarkEnd w:id="64"/>
      <w:bookmarkEnd w:id="65"/>
    </w:p>
    <w:p w14:paraId="70E9F9CA">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14:paraId="4A27112E">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bookmarkStart w:id="67" w:name="_Toc465149515"/>
      <w:bookmarkStart w:id="68" w:name="_Toc464638518"/>
      <w:bookmarkStart w:id="69" w:name="_Toc28363"/>
      <w:r>
        <w:rPr>
          <w:rFonts w:hint="eastAsia" w:ascii="仿宋_GB2312" w:eastAsia="仿宋_GB2312" w:cs="DengXian-Regular"/>
          <w:sz w:val="32"/>
          <w:szCs w:val="32"/>
        </w:rPr>
        <w:t>该一级指标包含责任履行一个二级指标，主要反映结</w:t>
      </w:r>
      <w:r>
        <w:rPr>
          <w:rFonts w:hint="eastAsia" w:ascii="仿宋_GB2312" w:eastAsia="仿宋_GB2312" w:cs="DengXian-Regular"/>
          <w:color w:val="000000" w:themeColor="text1"/>
          <w:sz w:val="32"/>
          <w:szCs w:val="32"/>
          <w14:textFill>
            <w14:solidFill>
              <w14:schemeClr w14:val="tx1"/>
            </w14:solidFill>
          </w14:textFill>
        </w:rPr>
        <w:t>转结余率，项目资金使用率，驾驶人互联网平台注册率，</w:t>
      </w:r>
      <w:r>
        <w:rPr>
          <w:rFonts w:ascii="仿宋_GB2312" w:eastAsia="仿宋_GB2312" w:cs="DengXian-Regular"/>
          <w:color w:val="000000" w:themeColor="text1"/>
          <w:sz w:val="32"/>
          <w:szCs w:val="32"/>
          <w14:textFill>
            <w14:solidFill>
              <w14:schemeClr w14:val="tx1"/>
            </w14:solidFill>
          </w14:textFill>
        </w:rPr>
        <w:t>道路</w:t>
      </w:r>
      <w:r>
        <w:rPr>
          <w:rFonts w:hint="eastAsia" w:ascii="仿宋_GB2312" w:eastAsia="仿宋_GB2312" w:cs="DengXian-Regular"/>
          <w:color w:val="000000" w:themeColor="text1"/>
          <w:sz w:val="32"/>
          <w:szCs w:val="32"/>
          <w14:textFill>
            <w14:solidFill>
              <w14:schemeClr w14:val="tx1"/>
            </w14:solidFill>
          </w14:textFill>
        </w:rPr>
        <w:t>交通事故案件办结率。</w:t>
      </w:r>
    </w:p>
    <w:p w14:paraId="72C50225">
      <w:pPr>
        <w:spacing w:after="0" w:line="360" w:lineRule="auto"/>
        <w:jc w:val="center"/>
        <w:textAlignment w:val="baseline"/>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14:paraId="5DED2827">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14:paraId="19A3B710">
            <w:pPr>
              <w:spacing w:after="0"/>
              <w:jc w:val="center"/>
              <w:textAlignment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cs="宋体" w:asciiTheme="minorEastAsia" w:hAnsiTheme="minorEastAsia" w:eastAsiaTheme="minorEastAsia"/>
                <w:b/>
                <w:color w:val="000000" w:themeColor="text1"/>
                <w:sz w:val="21"/>
                <w:szCs w:val="21"/>
                <w14:textFill>
                  <w14:solidFill>
                    <w14:schemeClr w14:val="tx1"/>
                  </w14:solidFill>
                </w14:textFill>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14:paraId="32DC1E1C">
            <w:pPr>
              <w:spacing w:after="0"/>
              <w:jc w:val="center"/>
              <w:textAlignment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cs="宋体" w:asciiTheme="minorEastAsia" w:hAnsiTheme="minorEastAsia" w:eastAsiaTheme="minorEastAsia"/>
                <w:b/>
                <w:color w:val="000000" w:themeColor="text1"/>
                <w:sz w:val="21"/>
                <w:szCs w:val="21"/>
                <w14:textFill>
                  <w14:solidFill>
                    <w14:schemeClr w14:val="tx1"/>
                  </w14:solidFill>
                </w14:textFill>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14:paraId="405ACFAD">
            <w:pPr>
              <w:spacing w:after="0"/>
              <w:jc w:val="center"/>
              <w:textAlignment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cs="宋体" w:asciiTheme="minorEastAsia" w:hAnsiTheme="minorEastAsia" w:eastAsiaTheme="minorEastAsia"/>
                <w:b/>
                <w:color w:val="000000" w:themeColor="text1"/>
                <w:sz w:val="21"/>
                <w:szCs w:val="21"/>
                <w14:textFill>
                  <w14:solidFill>
                    <w14:schemeClr w14:val="tx1"/>
                  </w14:solidFill>
                </w14:textFill>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14:paraId="3BC04A5D">
            <w:pPr>
              <w:spacing w:after="0"/>
              <w:jc w:val="center"/>
              <w:textAlignment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cs="宋体" w:asciiTheme="minorEastAsia" w:hAnsiTheme="minorEastAsia" w:eastAsiaTheme="minorEastAsia"/>
                <w:b/>
                <w:color w:val="000000" w:themeColor="text1"/>
                <w:sz w:val="21"/>
                <w:szCs w:val="21"/>
                <w14:textFill>
                  <w14:solidFill>
                    <w14:schemeClr w14:val="tx1"/>
                  </w14:solidFill>
                </w14:textFill>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14:paraId="510FF724">
            <w:pPr>
              <w:spacing w:after="0"/>
              <w:jc w:val="center"/>
              <w:textAlignment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cs="宋体" w:asciiTheme="minorEastAsia" w:hAnsiTheme="minorEastAsia" w:eastAsiaTheme="minorEastAsia"/>
                <w:b/>
                <w:color w:val="000000" w:themeColor="text1"/>
                <w:sz w:val="21"/>
                <w:szCs w:val="21"/>
                <w14:textFill>
                  <w14:solidFill>
                    <w14:schemeClr w14:val="tx1"/>
                  </w14:solidFill>
                </w14:textFill>
              </w:rPr>
              <w:t>得分</w:t>
            </w:r>
          </w:p>
        </w:tc>
      </w:tr>
      <w:tr w14:paraId="1CE39BCA">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14:paraId="73302290">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产出</w:t>
            </w:r>
          </w:p>
          <w:p w14:paraId="23D1FC1C">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（25分）</w:t>
            </w:r>
          </w:p>
        </w:tc>
        <w:tc>
          <w:tcPr>
            <w:tcW w:w="1004" w:type="dxa"/>
            <w:vMerge w:val="restart"/>
            <w:tcBorders>
              <w:top w:val="single" w:color="000000" w:sz="4" w:space="0"/>
              <w:left w:val="single" w:color="000000" w:sz="4" w:space="0"/>
              <w:right w:val="single" w:color="000000" w:sz="4" w:space="0"/>
            </w:tcBorders>
            <w:vAlign w:val="center"/>
          </w:tcPr>
          <w:p w14:paraId="179CB405">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14:paraId="04871AB5">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3C344E3D">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5B2EE57E">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5</w:t>
            </w:r>
          </w:p>
        </w:tc>
      </w:tr>
      <w:tr w14:paraId="254CA300">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761275AB">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004" w:type="dxa"/>
            <w:vMerge w:val="continue"/>
            <w:tcBorders>
              <w:left w:val="single" w:color="000000" w:sz="4" w:space="0"/>
              <w:right w:val="single" w:color="000000" w:sz="4" w:space="0"/>
            </w:tcBorders>
            <w:vAlign w:val="center"/>
          </w:tcPr>
          <w:p w14:paraId="4C941519">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0A9492C7">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3BE320F8">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10</w:t>
            </w:r>
          </w:p>
        </w:tc>
        <w:tc>
          <w:tcPr>
            <w:tcW w:w="853" w:type="dxa"/>
            <w:tcBorders>
              <w:top w:val="single" w:color="000000" w:sz="4" w:space="0"/>
              <w:left w:val="single" w:color="000000" w:sz="4" w:space="0"/>
              <w:bottom w:val="single" w:color="000000" w:sz="4" w:space="0"/>
              <w:right w:val="single" w:color="000000" w:sz="4" w:space="0"/>
            </w:tcBorders>
            <w:vAlign w:val="center"/>
          </w:tcPr>
          <w:p w14:paraId="2E2E935E">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10</w:t>
            </w:r>
          </w:p>
        </w:tc>
      </w:tr>
      <w:tr w14:paraId="6FE2ADD1">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4CE2E42B">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004" w:type="dxa"/>
            <w:vMerge w:val="continue"/>
            <w:tcBorders>
              <w:left w:val="single" w:color="000000" w:sz="4" w:space="0"/>
              <w:right w:val="single" w:color="000000" w:sz="4" w:space="0"/>
            </w:tcBorders>
            <w:vAlign w:val="center"/>
          </w:tcPr>
          <w:p w14:paraId="636860F6">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17680608">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驾驶人互联网平台注册率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535B807B">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0EC8414D">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5</w:t>
            </w:r>
          </w:p>
        </w:tc>
      </w:tr>
      <w:tr w14:paraId="4B39B5EE">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61CB0B2E">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004" w:type="dxa"/>
            <w:vMerge w:val="continue"/>
            <w:tcBorders>
              <w:left w:val="single" w:color="000000" w:sz="4" w:space="0"/>
              <w:right w:val="single" w:color="000000" w:sz="4" w:space="0"/>
            </w:tcBorders>
            <w:vAlign w:val="center"/>
          </w:tcPr>
          <w:p w14:paraId="463B4CB1">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1C7B686D">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道路交通事故案件办结率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25519436">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364F3026">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4</w:t>
            </w:r>
          </w:p>
        </w:tc>
      </w:tr>
      <w:tr w14:paraId="5E1A41D3">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14:paraId="39E7A977">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14:paraId="1D1A2E30">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6BBD9911">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EAD6">
            <w:pPr>
              <w:spacing w:line="42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24</w:t>
            </w:r>
          </w:p>
        </w:tc>
      </w:tr>
    </w:tbl>
    <w:p w14:paraId="2363617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1.结转结余率（5分）</w:t>
      </w:r>
    </w:p>
    <w:p w14:paraId="32CE77B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14:paraId="21BACDC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14:paraId="5E330177">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sz w:val="32"/>
          <w:szCs w:val="32"/>
        </w:rPr>
        <w:t>根据区公安交通警察大队202</w:t>
      </w:r>
      <w:r>
        <w:rPr>
          <w:rFonts w:ascii="仿宋_GB2312" w:eastAsia="仿宋_GB2312" w:cs="DengXian-Regular"/>
          <w:sz w:val="32"/>
          <w:szCs w:val="32"/>
        </w:rPr>
        <w:t>1</w:t>
      </w:r>
      <w:r>
        <w:rPr>
          <w:rFonts w:hint="eastAsia" w:ascii="仿宋_GB2312" w:eastAsia="仿宋_GB2312" w:cs="DengXian-Regular"/>
          <w:sz w:val="32"/>
          <w:szCs w:val="32"/>
        </w:rPr>
        <w:t>年决算文本及相关资料</w:t>
      </w:r>
      <w:r>
        <w:rPr>
          <w:rFonts w:hint="eastAsia" w:ascii="仿宋_GB2312" w:eastAsia="仿宋_GB2312" w:cs="DengXian-Regular"/>
          <w:color w:val="000000" w:themeColor="text1"/>
          <w:sz w:val="32"/>
          <w:szCs w:val="32"/>
          <w14:textFill>
            <w14:solidFill>
              <w14:schemeClr w14:val="tx1"/>
            </w14:solidFill>
          </w14:textFill>
        </w:rPr>
        <w:t>，区公安交通警察大队202</w:t>
      </w:r>
      <w:r>
        <w:rPr>
          <w:rFonts w:ascii="仿宋_GB2312" w:eastAsia="仿宋_GB2312" w:cs="DengXian-Regular"/>
          <w:color w:val="000000" w:themeColor="text1"/>
          <w:sz w:val="32"/>
          <w:szCs w:val="32"/>
          <w14:textFill>
            <w14:solidFill>
              <w14:schemeClr w14:val="tx1"/>
            </w14:solidFill>
          </w14:textFill>
        </w:rPr>
        <w:t>1</w:t>
      </w:r>
      <w:r>
        <w:rPr>
          <w:rFonts w:hint="eastAsia" w:ascii="仿宋_GB2312" w:eastAsia="仿宋_GB2312" w:cs="DengXian-Regular"/>
          <w:color w:val="000000" w:themeColor="text1"/>
          <w:sz w:val="32"/>
          <w:szCs w:val="32"/>
          <w14:textFill>
            <w14:solidFill>
              <w14:schemeClr w14:val="tx1"/>
            </w14:solidFill>
          </w14:textFill>
        </w:rPr>
        <w:t>年结转结余资金</w:t>
      </w:r>
      <w:r>
        <w:rPr>
          <w:rFonts w:ascii="仿宋_GB2312" w:eastAsia="仿宋_GB2312" w:cs="DengXian-Regular"/>
          <w:color w:val="000000" w:themeColor="text1"/>
          <w:sz w:val="32"/>
          <w:szCs w:val="32"/>
          <w14:textFill>
            <w14:solidFill>
              <w14:schemeClr w14:val="tx1"/>
            </w14:solidFill>
          </w14:textFill>
        </w:rPr>
        <w:t>0</w:t>
      </w:r>
      <w:r>
        <w:rPr>
          <w:rFonts w:hint="eastAsia" w:ascii="仿宋_GB2312" w:eastAsia="仿宋_GB2312" w:cs="DengXian-Regular"/>
          <w:color w:val="000000" w:themeColor="text1"/>
          <w:sz w:val="32"/>
          <w:szCs w:val="32"/>
          <w14:textFill>
            <w14:solidFill>
              <w14:schemeClr w14:val="tx1"/>
            </w14:solidFill>
          </w14:textFill>
        </w:rPr>
        <w:t>万元，决算收入</w:t>
      </w:r>
      <w:r>
        <w:rPr>
          <w:rFonts w:ascii="仿宋_GB2312" w:eastAsia="仿宋_GB2312" w:cs="DengXian-Regular"/>
          <w:color w:val="000000" w:themeColor="text1"/>
          <w:sz w:val="32"/>
          <w:szCs w:val="32"/>
          <w14:textFill>
            <w14:solidFill>
              <w14:schemeClr w14:val="tx1"/>
            </w14:solidFill>
          </w14:textFill>
        </w:rPr>
        <w:t>983.61</w:t>
      </w:r>
      <w:r>
        <w:rPr>
          <w:rFonts w:hint="eastAsia" w:ascii="仿宋_GB2312" w:eastAsia="仿宋_GB2312" w:cs="DengXian-Regular"/>
          <w:color w:val="000000" w:themeColor="text1"/>
          <w:sz w:val="32"/>
          <w:szCs w:val="32"/>
          <w14:textFill>
            <w14:solidFill>
              <w14:schemeClr w14:val="tx1"/>
            </w14:solidFill>
          </w14:textFill>
        </w:rPr>
        <w:t>万元，结转结余率0%，小于5%。</w:t>
      </w:r>
    </w:p>
    <w:p w14:paraId="0C487D16">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该项指标实际得分5分。</w:t>
      </w:r>
    </w:p>
    <w:p w14:paraId="0211EC5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14:paraId="2EBFEA8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14:paraId="0257271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14:paraId="608CFA94">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区公安交通警察大队202</w:t>
      </w:r>
      <w:r>
        <w:rPr>
          <w:rFonts w:ascii="仿宋_GB2312" w:eastAsia="仿宋_GB2312" w:cs="DengXian-Regular"/>
          <w:color w:val="000000" w:themeColor="text1"/>
          <w:sz w:val="32"/>
          <w:szCs w:val="32"/>
          <w14:textFill>
            <w14:solidFill>
              <w14:schemeClr w14:val="tx1"/>
            </w14:solidFill>
          </w14:textFill>
        </w:rPr>
        <w:t>1</w:t>
      </w:r>
      <w:r>
        <w:rPr>
          <w:rFonts w:hint="eastAsia" w:ascii="仿宋_GB2312" w:eastAsia="仿宋_GB2312" w:cs="DengXian-Regular"/>
          <w:color w:val="000000" w:themeColor="text1"/>
          <w:sz w:val="32"/>
          <w:szCs w:val="32"/>
          <w14:textFill>
            <w14:solidFill>
              <w14:schemeClr w14:val="tx1"/>
            </w14:solidFill>
          </w14:textFill>
        </w:rPr>
        <w:t>年实际支出项目资金总额</w:t>
      </w:r>
      <w:r>
        <w:rPr>
          <w:rFonts w:ascii="仿宋_GB2312" w:eastAsia="仿宋_GB2312" w:cs="DengXian-Regular"/>
          <w:color w:val="000000" w:themeColor="text1"/>
          <w:sz w:val="32"/>
          <w:szCs w:val="32"/>
          <w14:textFill>
            <w14:solidFill>
              <w14:schemeClr w14:val="tx1"/>
            </w14:solidFill>
          </w14:textFill>
        </w:rPr>
        <w:t>946.01</w:t>
      </w:r>
      <w:r>
        <w:rPr>
          <w:rFonts w:hint="eastAsia" w:ascii="仿宋_GB2312" w:eastAsia="仿宋_GB2312" w:cs="DengXian-Regular"/>
          <w:color w:val="000000" w:themeColor="text1"/>
          <w:sz w:val="32"/>
          <w:szCs w:val="32"/>
          <w14:textFill>
            <w14:solidFill>
              <w14:schemeClr w14:val="tx1"/>
            </w14:solidFill>
          </w14:textFill>
        </w:rPr>
        <w:t>万元，年初预算共</w:t>
      </w:r>
      <w:r>
        <w:rPr>
          <w:rFonts w:ascii="仿宋_GB2312" w:eastAsia="仿宋_GB2312" w:cs="DengXian-Regular"/>
          <w:color w:val="000000" w:themeColor="text1"/>
          <w:sz w:val="32"/>
          <w:szCs w:val="32"/>
          <w14:textFill>
            <w14:solidFill>
              <w14:schemeClr w14:val="tx1"/>
            </w14:solidFill>
          </w14:textFill>
        </w:rPr>
        <w:t>4</w:t>
      </w:r>
      <w:r>
        <w:rPr>
          <w:rFonts w:hint="eastAsia" w:ascii="仿宋_GB2312" w:eastAsia="仿宋_GB2312" w:cs="DengXian-Regular"/>
          <w:color w:val="000000" w:themeColor="text1"/>
          <w:sz w:val="32"/>
          <w:szCs w:val="32"/>
          <w14:textFill>
            <w14:solidFill>
              <w14:schemeClr w14:val="tx1"/>
            </w14:solidFill>
          </w14:textFill>
        </w:rPr>
        <w:t>个项目，预算数</w:t>
      </w:r>
      <w:r>
        <w:rPr>
          <w:rFonts w:ascii="仿宋_GB2312" w:eastAsia="仿宋_GB2312" w:cs="DengXian-Regular"/>
          <w:color w:val="000000" w:themeColor="text1"/>
          <w:sz w:val="32"/>
          <w:szCs w:val="32"/>
          <w14:textFill>
            <w14:solidFill>
              <w14:schemeClr w14:val="tx1"/>
            </w14:solidFill>
          </w14:textFill>
        </w:rPr>
        <w:t>649.17</w:t>
      </w:r>
      <w:r>
        <w:rPr>
          <w:rFonts w:hint="eastAsia" w:ascii="仿宋_GB2312" w:eastAsia="仿宋_GB2312" w:cs="DengXian-Regular"/>
          <w:color w:val="000000" w:themeColor="text1"/>
          <w:sz w:val="32"/>
          <w:szCs w:val="32"/>
          <w14:textFill>
            <w14:solidFill>
              <w14:schemeClr w14:val="tx1"/>
            </w14:solidFill>
          </w14:textFill>
        </w:rPr>
        <w:t>万元，年中追加项目资金</w:t>
      </w:r>
      <w:r>
        <w:rPr>
          <w:rFonts w:ascii="仿宋_GB2312" w:eastAsia="仿宋_GB2312" w:cs="DengXian-Regular"/>
          <w:color w:val="000000" w:themeColor="text1"/>
          <w:sz w:val="32"/>
          <w:szCs w:val="32"/>
          <w14:textFill>
            <w14:solidFill>
              <w14:schemeClr w14:val="tx1"/>
            </w14:solidFill>
          </w14:textFill>
        </w:rPr>
        <w:t>296.84</w:t>
      </w:r>
      <w:r>
        <w:rPr>
          <w:rFonts w:hint="eastAsia" w:ascii="仿宋_GB2312" w:eastAsia="仿宋_GB2312" w:cs="DengXian-Regular"/>
          <w:color w:val="000000" w:themeColor="text1"/>
          <w:sz w:val="32"/>
          <w:szCs w:val="32"/>
          <w14:textFill>
            <w14:solidFill>
              <w14:schemeClr w14:val="tx1"/>
            </w14:solidFill>
          </w14:textFill>
        </w:rPr>
        <w:t>万元，项目资金使用率为</w:t>
      </w:r>
      <w:r>
        <w:rPr>
          <w:rFonts w:ascii="仿宋_GB2312" w:eastAsia="仿宋_GB2312" w:cs="DengXian-Regular"/>
          <w:color w:val="000000" w:themeColor="text1"/>
          <w:sz w:val="32"/>
          <w:szCs w:val="32"/>
          <w14:textFill>
            <w14:solidFill>
              <w14:schemeClr w14:val="tx1"/>
            </w14:solidFill>
          </w14:textFill>
        </w:rPr>
        <w:t>145.73</w:t>
      </w:r>
      <w:r>
        <w:rPr>
          <w:rFonts w:hint="eastAsia" w:ascii="仿宋_GB2312" w:eastAsia="仿宋_GB2312" w:cs="DengXian-Regular"/>
          <w:color w:val="000000" w:themeColor="text1"/>
          <w:sz w:val="32"/>
          <w:szCs w:val="32"/>
          <w14:textFill>
            <w14:solidFill>
              <w14:schemeClr w14:val="tx1"/>
            </w14:solidFill>
          </w14:textFill>
        </w:rPr>
        <w:t>%。</w:t>
      </w:r>
    </w:p>
    <w:p w14:paraId="195D39A6">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该指标实际得分5分。</w:t>
      </w:r>
    </w:p>
    <w:p w14:paraId="39C6F95A">
      <w:pPr>
        <w:numPr>
          <w:ilvl w:val="0"/>
          <w:numId w:val="1"/>
        </w:numPr>
        <w:spacing w:after="0" w:line="360" w:lineRule="auto"/>
        <w:ind w:firstLine="640" w:firstLineChars="200"/>
        <w:jc w:val="both"/>
        <w:textAlignment w:val="baseline"/>
        <w:rPr>
          <w:rFonts w:ascii="仿宋" w:hAnsi="仿宋" w:eastAsia="仿宋" w:cs="仿宋"/>
          <w:sz w:val="32"/>
          <w:szCs w:val="32"/>
        </w:rPr>
      </w:pPr>
      <w:r>
        <w:rPr>
          <w:rFonts w:hint="eastAsia" w:ascii="仿宋" w:hAnsi="仿宋" w:eastAsia="仿宋" w:cs="仿宋"/>
          <w:sz w:val="32"/>
          <w:szCs w:val="32"/>
        </w:rPr>
        <w:t>驾驶人互联网平台注册率（5分）</w:t>
      </w:r>
    </w:p>
    <w:p w14:paraId="0C6F3A30">
      <w:pPr>
        <w:spacing w:after="0" w:line="360" w:lineRule="auto"/>
        <w:ind w:firstLine="640" w:firstLineChars="200"/>
        <w:jc w:val="both"/>
        <w:textAlignment w:val="baseline"/>
        <w:rPr>
          <w:rFonts w:ascii="仿宋" w:hAnsi="仿宋" w:eastAsia="仿宋" w:cs="仿宋"/>
          <w:sz w:val="32"/>
          <w:szCs w:val="32"/>
        </w:rPr>
      </w:pPr>
      <w:r>
        <w:rPr>
          <w:rFonts w:hint="eastAsia" w:ascii="仿宋" w:hAnsi="仿宋" w:eastAsia="仿宋" w:cs="仿宋"/>
          <w:sz w:val="32"/>
          <w:szCs w:val="32"/>
        </w:rPr>
        <w:t>该指标主要评价</w:t>
      </w:r>
      <w:r>
        <w:rPr>
          <w:rFonts w:hint="eastAsia" w:ascii="仿宋_GB2312" w:eastAsia="仿宋_GB2312" w:cs="DengXian-Regular"/>
          <w:sz w:val="32"/>
          <w:szCs w:val="32"/>
        </w:rPr>
        <w:t>区公安交通警察大队的责任履行情况，通过</w:t>
      </w:r>
      <w:r>
        <w:rPr>
          <w:rFonts w:hint="eastAsia" w:ascii="仿宋" w:hAnsi="仿宋" w:eastAsia="仿宋" w:cs="仿宋"/>
          <w:sz w:val="32"/>
          <w:szCs w:val="32"/>
        </w:rPr>
        <w:t>驾驶人互联网平台注册率来衡量。</w:t>
      </w:r>
    </w:p>
    <w:p w14:paraId="1E0D804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区公安交通警察大队20</w:t>
      </w:r>
      <w:r>
        <w:rPr>
          <w:rFonts w:ascii="仿宋_GB2312" w:eastAsia="仿宋_GB2312" w:cs="DengXian-Regular"/>
          <w:sz w:val="32"/>
          <w:szCs w:val="32"/>
        </w:rPr>
        <w:t>21</w:t>
      </w:r>
      <w:r>
        <w:rPr>
          <w:rFonts w:hint="eastAsia" w:ascii="仿宋_GB2312" w:eastAsia="仿宋_GB2312" w:cs="DengXian-Regular"/>
          <w:sz w:val="32"/>
          <w:szCs w:val="32"/>
        </w:rPr>
        <w:t>年驾驶人互联网平台注册率≥90%，故等级为“优”。</w:t>
      </w:r>
    </w:p>
    <w:p w14:paraId="4AF2719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14:paraId="7D3B633F">
      <w:pPr>
        <w:numPr>
          <w:ilvl w:val="0"/>
          <w:numId w:val="1"/>
        </w:numPr>
        <w:spacing w:after="0" w:line="360" w:lineRule="auto"/>
        <w:ind w:firstLine="640" w:firstLineChars="200"/>
        <w:jc w:val="both"/>
        <w:textAlignment w:val="baseline"/>
        <w:rPr>
          <w:rFonts w:ascii="仿宋" w:hAnsi="仿宋" w:eastAsia="仿宋" w:cs="仿宋"/>
          <w:sz w:val="32"/>
          <w:szCs w:val="32"/>
        </w:rPr>
      </w:pPr>
      <w:r>
        <w:rPr>
          <w:rFonts w:hint="eastAsia" w:ascii="仿宋" w:hAnsi="仿宋" w:eastAsia="仿宋" w:cs="仿宋"/>
          <w:sz w:val="32"/>
          <w:szCs w:val="32"/>
        </w:rPr>
        <w:t>道路交通事故案件办结率（5分）</w:t>
      </w:r>
    </w:p>
    <w:p w14:paraId="357E36CB">
      <w:pPr>
        <w:spacing w:after="0" w:line="360" w:lineRule="auto"/>
        <w:ind w:firstLine="640" w:firstLineChars="200"/>
        <w:jc w:val="both"/>
        <w:textAlignment w:val="baseline"/>
        <w:rPr>
          <w:rFonts w:ascii="仿宋" w:hAnsi="仿宋" w:eastAsia="仿宋" w:cs="仿宋"/>
          <w:sz w:val="32"/>
          <w:szCs w:val="32"/>
        </w:rPr>
      </w:pPr>
      <w:r>
        <w:rPr>
          <w:rFonts w:hint="eastAsia" w:ascii="仿宋" w:hAnsi="仿宋" w:eastAsia="仿宋" w:cs="仿宋"/>
          <w:sz w:val="32"/>
          <w:szCs w:val="32"/>
        </w:rPr>
        <w:t>该指标主要评价</w:t>
      </w:r>
      <w:r>
        <w:rPr>
          <w:rFonts w:hint="eastAsia" w:ascii="仿宋_GB2312" w:eastAsia="仿宋_GB2312" w:cs="DengXian-Regular"/>
          <w:sz w:val="32"/>
          <w:szCs w:val="32"/>
        </w:rPr>
        <w:t>区公安交通警察大队的责任履行情况，通过</w:t>
      </w:r>
      <w:r>
        <w:rPr>
          <w:rFonts w:hint="eastAsia" w:ascii="仿宋" w:hAnsi="仿宋" w:eastAsia="仿宋" w:cs="仿宋"/>
          <w:sz w:val="32"/>
          <w:szCs w:val="32"/>
        </w:rPr>
        <w:t>道路交通事故案件办结率来衡量。</w:t>
      </w:r>
    </w:p>
    <w:p w14:paraId="1AEE4A56">
      <w:pPr>
        <w:spacing w:after="0" w:line="360" w:lineRule="auto"/>
        <w:ind w:firstLine="640" w:firstLineChars="200"/>
        <w:jc w:val="both"/>
        <w:textAlignment w:val="baseline"/>
        <w:rPr>
          <w:rFonts w:ascii="仿宋" w:hAnsi="仿宋" w:eastAsia="仿宋" w:cs="仿宋"/>
          <w:sz w:val="32"/>
          <w:szCs w:val="32"/>
        </w:rPr>
      </w:pPr>
      <w:r>
        <w:rPr>
          <w:rFonts w:hint="eastAsia" w:ascii="仿宋_GB2312" w:eastAsia="仿宋_GB2312" w:cs="DengXian-Regular"/>
          <w:sz w:val="32"/>
          <w:szCs w:val="32"/>
        </w:rPr>
        <w:t>区公安交通警察大队202</w:t>
      </w:r>
      <w:r>
        <w:rPr>
          <w:rFonts w:ascii="仿宋_GB2312" w:eastAsia="仿宋_GB2312" w:cs="DengXian-Regular"/>
          <w:sz w:val="32"/>
          <w:szCs w:val="32"/>
        </w:rPr>
        <w:t>1</w:t>
      </w:r>
      <w:r>
        <w:rPr>
          <w:rFonts w:hint="eastAsia" w:ascii="仿宋_GB2312" w:eastAsia="仿宋_GB2312" w:cs="DengXian-Regular"/>
          <w:sz w:val="32"/>
          <w:szCs w:val="32"/>
        </w:rPr>
        <w:t>年</w:t>
      </w:r>
      <w:r>
        <w:rPr>
          <w:rFonts w:hint="eastAsia" w:ascii="仿宋" w:hAnsi="仿宋" w:eastAsia="仿宋" w:cs="仿宋"/>
          <w:sz w:val="32"/>
          <w:szCs w:val="32"/>
        </w:rPr>
        <w:t>道路交通事故案件办结率</w:t>
      </w:r>
      <w:r>
        <w:rPr>
          <w:rFonts w:hint="eastAsia" w:ascii="仿宋_GB2312" w:eastAsia="仿宋_GB2312" w:cs="DengXian-Regular"/>
          <w:sz w:val="32"/>
          <w:szCs w:val="32"/>
        </w:rPr>
        <w:t>≥97%，故等级为“良”</w:t>
      </w:r>
    </w:p>
    <w:p w14:paraId="7AA288EB">
      <w:pPr>
        <w:spacing w:after="0" w:line="360" w:lineRule="auto"/>
        <w:ind w:firstLine="640" w:firstLineChars="200"/>
        <w:jc w:val="both"/>
        <w:textAlignment w:val="baseline"/>
        <w:rPr>
          <w:rFonts w:ascii="仿宋" w:hAnsi="仿宋" w:eastAsia="仿宋" w:cs="仿宋"/>
          <w:sz w:val="32"/>
          <w:szCs w:val="32"/>
        </w:rPr>
      </w:pPr>
      <w:r>
        <w:rPr>
          <w:rFonts w:hint="eastAsia" w:ascii="仿宋_GB2312" w:eastAsia="仿宋_GB2312" w:cs="DengXian-Regular"/>
          <w:sz w:val="32"/>
          <w:szCs w:val="32"/>
        </w:rPr>
        <w:t>该指标实际得分4分</w:t>
      </w:r>
    </w:p>
    <w:p w14:paraId="01767A4B">
      <w:pPr>
        <w:pStyle w:val="4"/>
        <w:spacing w:before="0" w:after="0"/>
        <w:ind w:firstLine="643" w:firstLineChars="200"/>
        <w:jc w:val="both"/>
        <w:rPr>
          <w:rFonts w:ascii="楷体" w:hAnsi="楷体" w:eastAsia="楷体"/>
          <w:sz w:val="32"/>
        </w:rPr>
      </w:pPr>
      <w:r>
        <w:rPr>
          <w:rFonts w:hint="eastAsia" w:ascii="楷体" w:hAnsi="楷体" w:eastAsia="楷体"/>
          <w:sz w:val="32"/>
        </w:rPr>
        <w:t>（四）效果</w:t>
      </w:r>
      <w:bookmarkEnd w:id="67"/>
      <w:bookmarkEnd w:id="68"/>
      <w:r>
        <w:rPr>
          <w:rFonts w:hint="eastAsia" w:ascii="楷体" w:hAnsi="楷体" w:eastAsia="楷体"/>
          <w:sz w:val="32"/>
        </w:rPr>
        <w:t>（15分）</w:t>
      </w:r>
      <w:bookmarkEnd w:id="69"/>
    </w:p>
    <w:p w14:paraId="74E2DDB6">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14:paraId="0CD43FB8">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14:paraId="3DB3C899">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14:paraId="5B3DAA0E">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14:paraId="35AFA31B">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14:paraId="6667DD9B">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14:paraId="4AB4D0B8">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14:paraId="2DD22558">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5C1BDD42">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14:paraId="62B908FF">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14:paraId="352207BE">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14:paraId="16335638">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14:paraId="39E92CFD">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14:paraId="778BA97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14:paraId="5565355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14:paraId="29A6CE8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0</w:t>
            </w:r>
          </w:p>
        </w:tc>
      </w:tr>
      <w:tr w14:paraId="52A59DFD">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14:paraId="31D28244">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386C4EB4">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14:paraId="029816F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14:paraId="72C479D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14:paraId="209005C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14:paraId="05232FA9">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14:paraId="09FB160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14:paraId="44FCDCF3">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10D9E3E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14:paraId="3E132E2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5</w:t>
            </w:r>
          </w:p>
        </w:tc>
      </w:tr>
      <w:bookmarkEnd w:id="70"/>
    </w:tbl>
    <w:p w14:paraId="4EF76638">
      <w:pPr>
        <w:spacing w:after="0" w:line="360" w:lineRule="auto"/>
        <w:ind w:firstLine="640" w:firstLineChars="200"/>
        <w:jc w:val="both"/>
        <w:textAlignment w:val="baseline"/>
        <w:rPr>
          <w:rFonts w:ascii="仿宋_GB2312" w:eastAsia="仿宋_GB2312" w:cs="DengXian-Regular"/>
          <w:sz w:val="32"/>
          <w:szCs w:val="32"/>
        </w:rPr>
      </w:pPr>
      <w:bookmarkStart w:id="71" w:name="_Toc492652784"/>
      <w:bookmarkStart w:id="72" w:name="_Toc465149516"/>
      <w:bookmarkStart w:id="73" w:name="_Toc464638561"/>
      <w:r>
        <w:rPr>
          <w:rFonts w:hint="eastAsia" w:ascii="仿宋_GB2312" w:eastAsia="仿宋_GB2312" w:cs="DengXian-Regular"/>
          <w:sz w:val="32"/>
          <w:szCs w:val="32"/>
        </w:rPr>
        <w:t>1.部门整体效益（10分）</w:t>
      </w:r>
    </w:p>
    <w:p w14:paraId="53FA378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14:paraId="1A86DB7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经查看区公安交通警察大队提供的相关资料，区公安交通警察大队履行职责对社会发展所带来的社会效益较显著，有效的提高了社会公众的交通安全意识，减少了社会交通不安因素。</w:t>
      </w:r>
    </w:p>
    <w:p w14:paraId="73CBA51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10</w:t>
      </w:r>
      <w:r>
        <w:rPr>
          <w:rFonts w:hint="eastAsia" w:ascii="仿宋_GB2312" w:eastAsia="仿宋_GB2312" w:cs="DengXian-Regular"/>
          <w:sz w:val="32"/>
          <w:szCs w:val="32"/>
        </w:rPr>
        <w:t>分。</w:t>
      </w:r>
    </w:p>
    <w:p w14:paraId="05D39A6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14:paraId="2AF70D76">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14:paraId="30048309">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14:paraId="5CFF83FA">
      <w:pPr>
        <w:spacing w:after="0" w:line="360" w:lineRule="auto"/>
        <w:jc w:val="center"/>
        <w:textAlignment w:val="baseline"/>
        <w:rPr>
          <w:rFonts w:asciiTheme="minorEastAsia" w:hAnsiTheme="minorEastAsia" w:eastAsiaTheme="minorEastAsia" w:cstheme="minorEastAsia"/>
          <w:b/>
          <w:bCs/>
          <w:sz w:val="32"/>
          <w:szCs w:val="32"/>
          <w:u w:color="000000"/>
        </w:rPr>
      </w:pPr>
      <w:bookmarkStart w:id="74" w:name="_Toc13757"/>
      <w:r>
        <w:rPr>
          <w:rFonts w:hint="eastAsia" w:asciiTheme="minorEastAsia" w:hAnsiTheme="minorEastAsia" w:eastAsiaTheme="minorEastAsia" w:cstheme="minorEastAsia"/>
          <w:b/>
          <w:bCs/>
          <w:sz w:val="32"/>
          <w:szCs w:val="32"/>
          <w:u w:color="000000"/>
        </w:rPr>
        <w:t>表6  服务对象满意度调查问卷汇总表</w:t>
      </w:r>
    </w:p>
    <w:p w14:paraId="50FCEE46">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14:paraId="6165065F">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14:paraId="3FE1D843">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14:paraId="7E091175">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14:paraId="7F872B72">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14:paraId="7E524214">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14:paraId="7026B7A7">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14:paraId="537C67A8">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14:paraId="16823DB6">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78B5DA45">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交通事故处理工作</w:t>
            </w:r>
          </w:p>
        </w:tc>
        <w:tc>
          <w:tcPr>
            <w:tcW w:w="1114" w:type="dxa"/>
            <w:tcBorders>
              <w:top w:val="single" w:color="000000" w:sz="4" w:space="0"/>
              <w:left w:val="single" w:color="000000" w:sz="4" w:space="0"/>
              <w:bottom w:val="single" w:color="000000" w:sz="4" w:space="0"/>
              <w:right w:val="single" w:color="000000" w:sz="4" w:space="0"/>
            </w:tcBorders>
            <w:vAlign w:val="center"/>
          </w:tcPr>
          <w:p w14:paraId="3F60CC22">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48</w:t>
            </w:r>
          </w:p>
        </w:tc>
        <w:tc>
          <w:tcPr>
            <w:tcW w:w="1134" w:type="dxa"/>
            <w:tcBorders>
              <w:top w:val="single" w:color="000000" w:sz="4" w:space="0"/>
              <w:left w:val="single" w:color="000000" w:sz="4" w:space="0"/>
              <w:bottom w:val="single" w:color="000000" w:sz="4" w:space="0"/>
              <w:right w:val="single" w:color="000000" w:sz="4" w:space="0"/>
            </w:tcBorders>
            <w:vAlign w:val="center"/>
          </w:tcPr>
          <w:p w14:paraId="2EC8FE8C">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2</w:t>
            </w:r>
          </w:p>
        </w:tc>
        <w:tc>
          <w:tcPr>
            <w:tcW w:w="1218" w:type="dxa"/>
            <w:tcBorders>
              <w:top w:val="single" w:color="000000" w:sz="4" w:space="0"/>
              <w:left w:val="single" w:color="000000" w:sz="4" w:space="0"/>
              <w:bottom w:val="single" w:color="000000" w:sz="4" w:space="0"/>
              <w:right w:val="single" w:color="000000" w:sz="4" w:space="0"/>
            </w:tcBorders>
            <w:vAlign w:val="center"/>
          </w:tcPr>
          <w:p w14:paraId="7EEEB063">
            <w:pPr>
              <w:spacing w:after="0" w:line="360" w:lineRule="auto"/>
              <w:jc w:val="center"/>
              <w:textAlignment w:val="baseline"/>
              <w:rPr>
                <w:rFonts w:cs="Times New Roman" w:asciiTheme="minorEastAsia" w:hAnsiTheme="minorEastAsia" w:eastAsiaTheme="minorEastAsia"/>
                <w:sz w:val="21"/>
                <w:szCs w:val="21"/>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229752E6">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629B2D72">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9</w:t>
            </w:r>
            <w:r>
              <w:rPr>
                <w:rFonts w:cs="Times New Roman" w:asciiTheme="minorEastAsia" w:hAnsiTheme="minorEastAsia" w:eastAsiaTheme="minorEastAsia"/>
                <w:sz w:val="21"/>
                <w:szCs w:val="21"/>
                <w:u w:color="000000"/>
              </w:rPr>
              <w:t>7</w:t>
            </w:r>
          </w:p>
        </w:tc>
      </w:tr>
      <w:tr w14:paraId="7BAC2F54">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17D0143A">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对交通事故处理流程是否满意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14:paraId="714CDB12">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46</w:t>
            </w:r>
          </w:p>
        </w:tc>
        <w:tc>
          <w:tcPr>
            <w:tcW w:w="1134" w:type="dxa"/>
            <w:tcBorders>
              <w:top w:val="single" w:color="000000" w:sz="4" w:space="0"/>
              <w:left w:val="single" w:color="000000" w:sz="4" w:space="0"/>
              <w:bottom w:val="single" w:color="000000" w:sz="4" w:space="0"/>
              <w:right w:val="single" w:color="000000" w:sz="4" w:space="0"/>
            </w:tcBorders>
            <w:vAlign w:val="center"/>
          </w:tcPr>
          <w:p w14:paraId="60B54884">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4</w:t>
            </w:r>
          </w:p>
        </w:tc>
        <w:tc>
          <w:tcPr>
            <w:tcW w:w="1218" w:type="dxa"/>
            <w:tcBorders>
              <w:top w:val="single" w:color="000000" w:sz="4" w:space="0"/>
              <w:left w:val="single" w:color="000000" w:sz="4" w:space="0"/>
              <w:bottom w:val="single" w:color="000000" w:sz="4" w:space="0"/>
              <w:right w:val="single" w:color="000000" w:sz="4" w:space="0"/>
            </w:tcBorders>
            <w:vAlign w:val="center"/>
          </w:tcPr>
          <w:p w14:paraId="7958A89B">
            <w:pPr>
              <w:spacing w:after="0" w:line="360" w:lineRule="auto"/>
              <w:jc w:val="center"/>
              <w:textAlignment w:val="baseline"/>
              <w:rPr>
                <w:rFonts w:cs="Times New Roman" w:asciiTheme="minorEastAsia" w:hAnsiTheme="minorEastAsia" w:eastAsiaTheme="minorEastAsia"/>
                <w:sz w:val="21"/>
                <w:szCs w:val="21"/>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0419AD83">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270B8764">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9</w:t>
            </w:r>
            <w:r>
              <w:rPr>
                <w:rFonts w:cs="Times New Roman" w:asciiTheme="minorEastAsia" w:hAnsiTheme="minorEastAsia" w:eastAsiaTheme="minorEastAsia"/>
                <w:sz w:val="21"/>
                <w:szCs w:val="21"/>
                <w:u w:color="000000"/>
              </w:rPr>
              <w:t>8</w:t>
            </w:r>
          </w:p>
        </w:tc>
      </w:tr>
      <w:tr w14:paraId="4FE13D8F">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34E324BE">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您对交通事故处理工作了解程度如何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14:paraId="447B80AA">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14:paraId="1F226BD7">
            <w:pPr>
              <w:spacing w:after="0" w:line="360" w:lineRule="auto"/>
              <w:jc w:val="center"/>
              <w:textAlignment w:val="baseline"/>
              <w:rPr>
                <w:rFonts w:cs="Times New Roman" w:asciiTheme="minorEastAsia" w:hAnsiTheme="minorEastAsia" w:eastAsiaTheme="minorEastAsia"/>
                <w:sz w:val="21"/>
                <w:szCs w:val="21"/>
                <w:u w:color="000000"/>
              </w:rPr>
            </w:pPr>
          </w:p>
        </w:tc>
        <w:tc>
          <w:tcPr>
            <w:tcW w:w="1218" w:type="dxa"/>
            <w:tcBorders>
              <w:top w:val="single" w:color="000000" w:sz="4" w:space="0"/>
              <w:left w:val="single" w:color="000000" w:sz="4" w:space="0"/>
              <w:bottom w:val="single" w:color="000000" w:sz="4" w:space="0"/>
              <w:right w:val="single" w:color="000000" w:sz="4" w:space="0"/>
            </w:tcBorders>
            <w:vAlign w:val="center"/>
          </w:tcPr>
          <w:p w14:paraId="7342FC8D">
            <w:pPr>
              <w:spacing w:after="0" w:line="360" w:lineRule="auto"/>
              <w:jc w:val="center"/>
              <w:textAlignment w:val="baseline"/>
              <w:rPr>
                <w:rFonts w:cs="Times New Roman" w:asciiTheme="minorEastAsia" w:hAnsiTheme="minorEastAsia" w:eastAsiaTheme="minorEastAsia"/>
                <w:sz w:val="21"/>
                <w:szCs w:val="21"/>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306E5C0C">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07C9F878">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bl>
    <w:p w14:paraId="580E4E83">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14:paraId="449A077B">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14:paraId="1A6C1AA6">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14:paraId="34FDA9D3">
      <w:pPr>
        <w:spacing w:after="0" w:line="360" w:lineRule="auto"/>
        <w:ind w:firstLine="640" w:firstLineChars="200"/>
        <w:jc w:val="both"/>
        <w:textAlignment w:val="baseline"/>
        <w:rPr>
          <w:rFonts w:ascii="仿宋_GB2312" w:eastAsia="仿宋_GB2312" w:cs="Times New Roman" w:hAnsiTheme="minorEastAsia"/>
          <w:color w:val="000000" w:themeColor="text1"/>
          <w:sz w:val="32"/>
          <w:szCs w:val="32"/>
          <w:u w:color="000000"/>
          <w14:textFill>
            <w14:solidFill>
              <w14:schemeClr w14:val="tx1"/>
            </w14:solidFill>
          </w14:textFill>
        </w:rPr>
      </w:pPr>
      <w:r>
        <w:rPr>
          <w:rFonts w:hint="eastAsia" w:ascii="仿宋_GB2312" w:eastAsia="仿宋_GB2312" w:cs="Times New Roman" w:hAnsiTheme="minorEastAsia"/>
          <w:sz w:val="32"/>
          <w:szCs w:val="32"/>
          <w:u w:color="000000"/>
        </w:rPr>
        <w:t>经计算，总体得分为</w:t>
      </w:r>
      <w:r>
        <w:rPr>
          <w:rFonts w:ascii="仿宋_GB2312" w:eastAsia="仿宋_GB2312" w:cs="Times New Roman" w:hAnsiTheme="minorEastAsia"/>
          <w:color w:val="000000" w:themeColor="text1"/>
          <w:sz w:val="32"/>
          <w:szCs w:val="32"/>
          <w:u w:color="000000"/>
          <w14:textFill>
            <w14:solidFill>
              <w14:schemeClr w14:val="tx1"/>
            </w14:solidFill>
          </w14:textFill>
        </w:rPr>
        <w:t>98.3</w:t>
      </w:r>
      <w:r>
        <w:rPr>
          <w:rFonts w:hint="eastAsia" w:ascii="仿宋_GB2312" w:eastAsia="仿宋_GB2312" w:cs="Times New Roman" w:hAnsiTheme="minorEastAsia"/>
          <w:color w:val="000000" w:themeColor="text1"/>
          <w:sz w:val="32"/>
          <w:szCs w:val="32"/>
          <w:u w:color="000000"/>
          <w14:textFill>
            <w14:solidFill>
              <w14:schemeClr w14:val="tx1"/>
            </w14:solidFill>
          </w14:textFill>
        </w:rPr>
        <w:t>分，大于90分，评价等级为“优”。</w:t>
      </w:r>
    </w:p>
    <w:p w14:paraId="5D5B3DB5">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color w:val="000000" w:themeColor="text1"/>
          <w:sz w:val="32"/>
          <w:szCs w:val="32"/>
          <w:u w:color="000000"/>
          <w14:textFill>
            <w14:solidFill>
              <w14:schemeClr w14:val="tx1"/>
            </w14:solidFill>
          </w14:textFill>
        </w:rPr>
        <w:t>该指标实际得分5分。</w:t>
      </w:r>
    </w:p>
    <w:p w14:paraId="3017D9DA">
      <w:pPr>
        <w:pStyle w:val="3"/>
        <w:keepNext w:val="0"/>
        <w:keepLines w:val="0"/>
        <w:suppressLineNumbers/>
        <w:spacing w:before="0" w:after="0" w:line="360" w:lineRule="auto"/>
        <w:ind w:firstLine="643" w:firstLineChars="200"/>
        <w:rPr>
          <w:rFonts w:ascii="黑体"/>
        </w:rPr>
      </w:pPr>
      <w:r>
        <w:rPr>
          <w:rFonts w:hint="eastAsia" w:ascii="黑体"/>
        </w:rPr>
        <w:t>五、绩效评价发现的问题</w:t>
      </w:r>
      <w:bookmarkEnd w:id="71"/>
      <w:bookmarkEnd w:id="72"/>
      <w:bookmarkEnd w:id="73"/>
      <w:bookmarkEnd w:id="74"/>
      <w:bookmarkStart w:id="75" w:name="_Toc492652789"/>
    </w:p>
    <w:bookmarkEnd w:id="75"/>
    <w:p w14:paraId="69995D9B">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区公安交通警察大队</w:t>
      </w:r>
      <w:r>
        <w:rPr>
          <w:rFonts w:hint="eastAsia" w:ascii="仿宋_GB2312" w:eastAsia="仿宋_GB2312" w:cs="Times New Roman" w:hAnsiTheme="minorEastAsia"/>
          <w:sz w:val="32"/>
          <w:szCs w:val="32"/>
          <w:u w:color="000000"/>
        </w:rPr>
        <w:t>202</w:t>
      </w:r>
      <w:r>
        <w:rPr>
          <w:rFonts w:ascii="仿宋_GB2312" w:eastAsia="仿宋_GB2312" w:cs="Times New Roman" w:hAnsiTheme="minorEastAsia"/>
          <w:sz w:val="32"/>
          <w:szCs w:val="32"/>
          <w:u w:color="000000"/>
        </w:rPr>
        <w:t>1</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p w14:paraId="58FA6428">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w:t>
      </w:r>
    </w:p>
    <w:p w14:paraId="634B0BB1">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2.预算支出方面。</w:t>
      </w:r>
    </w:p>
    <w:p w14:paraId="4EC81653">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3.道路交通事故案件处理方面。</w:t>
      </w:r>
    </w:p>
    <w:p w14:paraId="0530927E">
      <w:pPr>
        <w:spacing w:after="0" w:line="360" w:lineRule="auto"/>
        <w:ind w:firstLine="640" w:firstLineChars="200"/>
        <w:jc w:val="both"/>
        <w:textAlignment w:val="baseline"/>
        <w:rPr>
          <w:rFonts w:ascii="仿宋_GB2312" w:eastAsia="仿宋_GB2312" w:cs="Times New Roman" w:hAnsiTheme="minorEastAsia"/>
          <w:color w:val="FF0000"/>
          <w:sz w:val="32"/>
          <w:szCs w:val="32"/>
          <w:u w:color="000000"/>
        </w:rPr>
      </w:pPr>
    </w:p>
    <w:bookmarkEnd w:id="76"/>
    <w:p w14:paraId="35D3102C">
      <w:pPr>
        <w:spacing w:after="0" w:line="360" w:lineRule="auto"/>
        <w:jc w:val="both"/>
        <w:textAlignment w:val="baseline"/>
        <w:rPr>
          <w:rFonts w:ascii="仿宋_GB2312" w:eastAsia="仿宋_GB2312" w:cs="Times New Roman" w:hAnsiTheme="minorEastAsia"/>
          <w:sz w:val="32"/>
          <w:szCs w:val="32"/>
          <w:u w:color="000000"/>
        </w:rPr>
      </w:pPr>
      <w:bookmarkStart w:id="77" w:name="_Toc465149521"/>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区公安交通警察大队</w:t>
      </w:r>
      <w:r>
        <w:rPr>
          <w:rFonts w:hint="eastAsia" w:ascii="仿宋_GB2312" w:eastAsia="仿宋_GB2312" w:cs="Times New Roman" w:hAnsiTheme="minorEastAsia"/>
          <w:sz w:val="32"/>
          <w:szCs w:val="32"/>
          <w:u w:color="000000"/>
        </w:rPr>
        <w:t>部门基本情况及主要职责</w:t>
      </w:r>
    </w:p>
    <w:p w14:paraId="74D2546A">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2021</w:t>
      </w:r>
      <w:r>
        <w:rPr>
          <w:rFonts w:hint="eastAsia" w:ascii="仿宋_GB2312" w:eastAsia="仿宋_GB2312" w:cs="Times New Roman" w:hAnsiTheme="minorEastAsia"/>
          <w:sz w:val="32"/>
          <w:szCs w:val="32"/>
          <w:u w:color="000000"/>
        </w:rPr>
        <w:t>年度保定市徐水区</w:t>
      </w:r>
      <w:r>
        <w:rPr>
          <w:rFonts w:hint="eastAsia" w:ascii="仿宋_GB2312" w:eastAsia="仿宋_GB2312" w:cs="DengXian-Regular"/>
          <w:sz w:val="32"/>
          <w:szCs w:val="32"/>
        </w:rPr>
        <w:t>区公安交通警察大队</w:t>
      </w:r>
      <w:r>
        <w:rPr>
          <w:rFonts w:hint="eastAsia" w:ascii="仿宋_GB2312" w:eastAsia="仿宋_GB2312" w:cs="Times New Roman" w:hAnsiTheme="minorEastAsia"/>
          <w:sz w:val="32"/>
          <w:szCs w:val="32"/>
          <w:u w:color="000000"/>
        </w:rPr>
        <w:t>收支预算及决算明细表</w:t>
      </w:r>
    </w:p>
    <w:p w14:paraId="75F965CE">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14:paraId="650AE538">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ascii="仿宋_GB2312" w:eastAsia="仿宋_GB2312" w:cs="Times New Roman" w:hAnsiTheme="minorEastAsia"/>
          <w:sz w:val="32"/>
          <w:szCs w:val="32"/>
          <w:u w:color="000000"/>
        </w:rPr>
        <w:t>2021</w:t>
      </w:r>
      <w:r>
        <w:rPr>
          <w:rFonts w:hint="eastAsia" w:ascii="仿宋_GB2312" w:eastAsia="仿宋_GB2312" w:cs="Times New Roman" w:hAnsiTheme="minorEastAsia"/>
          <w:sz w:val="32"/>
          <w:szCs w:val="32"/>
          <w:u w:color="000000"/>
        </w:rPr>
        <w:t>年徐水区</w:t>
      </w:r>
      <w:r>
        <w:rPr>
          <w:rFonts w:hint="eastAsia" w:ascii="仿宋_GB2312" w:eastAsia="仿宋_GB2312" w:cs="DengXian-Regular"/>
          <w:sz w:val="32"/>
          <w:szCs w:val="32"/>
        </w:rPr>
        <w:t>公安交通警察大队</w:t>
      </w:r>
      <w:r>
        <w:rPr>
          <w:rFonts w:hint="eastAsia" w:ascii="仿宋_GB2312" w:eastAsia="仿宋_GB2312" w:cs="Times New Roman" w:hAnsiTheme="minorEastAsia"/>
          <w:sz w:val="32"/>
          <w:szCs w:val="32"/>
          <w:u w:color="000000"/>
        </w:rPr>
        <w:t>工作活动绩效目标、绩效指标一览表</w:t>
      </w:r>
      <w:bookmarkEnd w:id="77"/>
    </w:p>
    <w:p w14:paraId="3155F2A4">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05E957BC">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22B61312">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1422EE65">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1608BFDE">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2698976E">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0F93202D">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7C1B6">
    <w:pPr>
      <w:pStyle w:val="14"/>
      <w:jc w:val="center"/>
    </w:pPr>
  </w:p>
  <w:p w14:paraId="3BE4243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E581F">
    <w:pPr>
      <w:pStyle w:val="14"/>
      <w:jc w:val="center"/>
    </w:pPr>
    <w:r>
      <w:fldChar w:fldCharType="begin"/>
    </w:r>
    <w:r>
      <w:instrText xml:space="preserve"> PAGE   \* MERGEFORMAT </w:instrText>
    </w:r>
    <w:r>
      <w:fldChar w:fldCharType="separate"/>
    </w:r>
    <w:r>
      <w:rPr>
        <w:lang w:val="zh-CN"/>
      </w:rPr>
      <w:t>14</w:t>
    </w:r>
    <w:r>
      <w:rPr>
        <w:lang w:val="zh-CN"/>
      </w:rPr>
      <w:fldChar w:fldCharType="end"/>
    </w:r>
  </w:p>
  <w:p w14:paraId="4F75E9AB">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8B5F1"/>
    <w:multiLevelType w:val="singleLevel"/>
    <w:tmpl w:val="0268B5F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jZWE1MTc1NDE5Nzc4NjkwNzYyODdhZTdkM2IyZGUifQ=="/>
  </w:docVars>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2C18"/>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26584"/>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406E"/>
    <w:rsid w:val="002959A3"/>
    <w:rsid w:val="0029626E"/>
    <w:rsid w:val="00296E59"/>
    <w:rsid w:val="00297CEF"/>
    <w:rsid w:val="002A0220"/>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A6821"/>
    <w:rsid w:val="003B1702"/>
    <w:rsid w:val="003B57F3"/>
    <w:rsid w:val="003B6DEC"/>
    <w:rsid w:val="003B79D3"/>
    <w:rsid w:val="003C2B92"/>
    <w:rsid w:val="003D126B"/>
    <w:rsid w:val="003D1D33"/>
    <w:rsid w:val="003D22C9"/>
    <w:rsid w:val="003D28AC"/>
    <w:rsid w:val="003D37D8"/>
    <w:rsid w:val="003D7B2A"/>
    <w:rsid w:val="003E266C"/>
    <w:rsid w:val="003E3C05"/>
    <w:rsid w:val="003F282F"/>
    <w:rsid w:val="003F75B2"/>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6D17"/>
    <w:rsid w:val="00457E00"/>
    <w:rsid w:val="00461E7C"/>
    <w:rsid w:val="004639E0"/>
    <w:rsid w:val="00463A6D"/>
    <w:rsid w:val="00465A21"/>
    <w:rsid w:val="0047047F"/>
    <w:rsid w:val="00472C49"/>
    <w:rsid w:val="00474DE3"/>
    <w:rsid w:val="004778BF"/>
    <w:rsid w:val="00477959"/>
    <w:rsid w:val="00486217"/>
    <w:rsid w:val="00486A56"/>
    <w:rsid w:val="00494D73"/>
    <w:rsid w:val="004A19C4"/>
    <w:rsid w:val="004A3030"/>
    <w:rsid w:val="004A3DE6"/>
    <w:rsid w:val="004A6EA4"/>
    <w:rsid w:val="004B146A"/>
    <w:rsid w:val="004B1DA2"/>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0F5"/>
    <w:rsid w:val="004D55F1"/>
    <w:rsid w:val="004D578A"/>
    <w:rsid w:val="004D656B"/>
    <w:rsid w:val="004D7523"/>
    <w:rsid w:val="004E0AA9"/>
    <w:rsid w:val="004E1AEF"/>
    <w:rsid w:val="004E3774"/>
    <w:rsid w:val="004E446B"/>
    <w:rsid w:val="004E5448"/>
    <w:rsid w:val="004E5DFC"/>
    <w:rsid w:val="004E629A"/>
    <w:rsid w:val="004E642E"/>
    <w:rsid w:val="004E7ADC"/>
    <w:rsid w:val="004F4875"/>
    <w:rsid w:val="00500072"/>
    <w:rsid w:val="005031BA"/>
    <w:rsid w:val="00507211"/>
    <w:rsid w:val="00507934"/>
    <w:rsid w:val="00507D5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4A80"/>
    <w:rsid w:val="005D5617"/>
    <w:rsid w:val="005D6591"/>
    <w:rsid w:val="005D6869"/>
    <w:rsid w:val="005D7446"/>
    <w:rsid w:val="005E5F88"/>
    <w:rsid w:val="005F06F5"/>
    <w:rsid w:val="005F46C0"/>
    <w:rsid w:val="005F471D"/>
    <w:rsid w:val="005F48C9"/>
    <w:rsid w:val="005F720A"/>
    <w:rsid w:val="005F7467"/>
    <w:rsid w:val="005F78E7"/>
    <w:rsid w:val="006007F3"/>
    <w:rsid w:val="0060402C"/>
    <w:rsid w:val="0061252A"/>
    <w:rsid w:val="006135B3"/>
    <w:rsid w:val="006138D4"/>
    <w:rsid w:val="006148E4"/>
    <w:rsid w:val="00616C03"/>
    <w:rsid w:val="00616F30"/>
    <w:rsid w:val="00617A13"/>
    <w:rsid w:val="006215A2"/>
    <w:rsid w:val="00621F7D"/>
    <w:rsid w:val="0062246B"/>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132B"/>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3C4"/>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07F6"/>
    <w:rsid w:val="00831065"/>
    <w:rsid w:val="008337A7"/>
    <w:rsid w:val="008353EA"/>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7719B"/>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2B8"/>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45C"/>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A69B4"/>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E7AB1"/>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5BFB"/>
    <w:rsid w:val="00AB632D"/>
    <w:rsid w:val="00AC5444"/>
    <w:rsid w:val="00AC70E1"/>
    <w:rsid w:val="00AD1D29"/>
    <w:rsid w:val="00AD328E"/>
    <w:rsid w:val="00AD5147"/>
    <w:rsid w:val="00AE0837"/>
    <w:rsid w:val="00AE11C8"/>
    <w:rsid w:val="00AE355C"/>
    <w:rsid w:val="00AE4EFC"/>
    <w:rsid w:val="00AE5731"/>
    <w:rsid w:val="00AE7127"/>
    <w:rsid w:val="00AF265B"/>
    <w:rsid w:val="00AF6BA2"/>
    <w:rsid w:val="00AF7801"/>
    <w:rsid w:val="00B019E2"/>
    <w:rsid w:val="00B020ED"/>
    <w:rsid w:val="00B036CB"/>
    <w:rsid w:val="00B130D5"/>
    <w:rsid w:val="00B13566"/>
    <w:rsid w:val="00B13A54"/>
    <w:rsid w:val="00B14220"/>
    <w:rsid w:val="00B16868"/>
    <w:rsid w:val="00B17251"/>
    <w:rsid w:val="00B2159A"/>
    <w:rsid w:val="00B21D32"/>
    <w:rsid w:val="00B277B6"/>
    <w:rsid w:val="00B313B2"/>
    <w:rsid w:val="00B337AE"/>
    <w:rsid w:val="00B34A43"/>
    <w:rsid w:val="00B36912"/>
    <w:rsid w:val="00B404A0"/>
    <w:rsid w:val="00B405BE"/>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B73E2"/>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152D"/>
    <w:rsid w:val="00C42DB9"/>
    <w:rsid w:val="00C447FD"/>
    <w:rsid w:val="00C44B90"/>
    <w:rsid w:val="00C51434"/>
    <w:rsid w:val="00C51743"/>
    <w:rsid w:val="00C51A61"/>
    <w:rsid w:val="00C57393"/>
    <w:rsid w:val="00C631F0"/>
    <w:rsid w:val="00C64C71"/>
    <w:rsid w:val="00C6528B"/>
    <w:rsid w:val="00C661B3"/>
    <w:rsid w:val="00C70300"/>
    <w:rsid w:val="00C7037D"/>
    <w:rsid w:val="00C70637"/>
    <w:rsid w:val="00C71DC8"/>
    <w:rsid w:val="00C73E69"/>
    <w:rsid w:val="00C74592"/>
    <w:rsid w:val="00C767BA"/>
    <w:rsid w:val="00C8048C"/>
    <w:rsid w:val="00C80C68"/>
    <w:rsid w:val="00C835B8"/>
    <w:rsid w:val="00C86E9A"/>
    <w:rsid w:val="00C90CE5"/>
    <w:rsid w:val="00C93A3D"/>
    <w:rsid w:val="00C94F0A"/>
    <w:rsid w:val="00C955F1"/>
    <w:rsid w:val="00CA1283"/>
    <w:rsid w:val="00CA3203"/>
    <w:rsid w:val="00CA6058"/>
    <w:rsid w:val="00CA6BD1"/>
    <w:rsid w:val="00CB1989"/>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2141"/>
    <w:rsid w:val="00D058E4"/>
    <w:rsid w:val="00D0608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0233"/>
    <w:rsid w:val="00D713D6"/>
    <w:rsid w:val="00D72DAF"/>
    <w:rsid w:val="00D72E20"/>
    <w:rsid w:val="00D75BB9"/>
    <w:rsid w:val="00D76276"/>
    <w:rsid w:val="00D77919"/>
    <w:rsid w:val="00D8083C"/>
    <w:rsid w:val="00D83A5B"/>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38A9"/>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202AC"/>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0BBC"/>
    <w:rsid w:val="00EF26BF"/>
    <w:rsid w:val="00EF4861"/>
    <w:rsid w:val="00EF50C7"/>
    <w:rsid w:val="00EF5E19"/>
    <w:rsid w:val="00EF6BF6"/>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A4B73"/>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4F2F"/>
    <w:rsid w:val="00FF5DE3"/>
    <w:rsid w:val="00FF62F7"/>
    <w:rsid w:val="00FF63BB"/>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1F735727"/>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89532\Desktop\&#24213;&#31295;---&#33258;&#24049;&#3034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89532\Desktop\&#24213;&#31295;---&#33258;&#24049;&#3034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89532\Desktop\&#24213;&#31295;---&#33258;&#24049;&#3034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89532\Desktop\&#24213;&#31295;---&#33258;&#24049;&#303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2021</a:t>
            </a:r>
            <a:r>
              <a:rPr lang="zh-CN" altLang="en-US" sz="1400" b="0">
                <a:latin typeface="仿宋" panose="02010609060101010101" pitchFamily="3" charset="-122"/>
                <a:ea typeface="仿宋" panose="02010609060101010101" pitchFamily="3" charset="-122"/>
                <a:cs typeface="仿宋" panose="02010609060101010101" pitchFamily="3" charset="-122"/>
              </a:rPr>
              <a:t>年决算收入结构图</a:t>
            </a:r>
            <a:endParaRPr lang="zh-CN" altLang="en-US"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295138888888892"/>
          <c:y val="0.00694444444444448"/>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layout>
                <c:manualLayout>
                  <c:x val="-0.139737751531059"/>
                  <c:y val="-0.17813939924176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82.93%</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65094050743657"/>
                  <c:y val="0.026053878681831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1.72%</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baseline="0"/>
                      <a:t>0.21%</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1039807524059"/>
                  <c:y val="-0.026103091280256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0.11%</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en-US" altLang="en-US" sz="1400" b="0" i="0" u="none" strike="noStrike" kern="1200" baseline="0">
                <a:solidFill>
                  <a:sysClr val="windowText" lastClr="000000"/>
                </a:solidFill>
                <a:latin typeface="仿宋" panose="02010609060101010101" pitchFamily="3" charset="-122"/>
                <a:ea typeface="仿宋" panose="02010609060101010101" pitchFamily="3" charset="-122"/>
                <a:cs typeface="仿宋" panose="02010609060101010101" pitchFamily="3" charset="-122"/>
              </a:rPr>
              <a:t>2021</a:t>
            </a:r>
            <a:r>
              <a:rPr lang="zh-CN" altLang="en-US" sz="1400" b="0" i="0" u="none" strike="noStrike" kern="1200" baseline="0">
                <a:solidFill>
                  <a:sysClr val="windowText" lastClr="000000"/>
                </a:solidFill>
                <a:latin typeface="仿宋" panose="02010609060101010101" pitchFamily="3" charset="-122"/>
                <a:ea typeface="仿宋" panose="02010609060101010101" pitchFamily="3" charset="-122"/>
                <a:cs typeface="仿宋" panose="02010609060101010101" pitchFamily="3" charset="-122"/>
              </a:rPr>
              <a:t>年</a:t>
            </a:r>
            <a:r>
              <a:rPr lang="zh-CN" altLang="en-US" sz="1400" b="0">
                <a:latin typeface="仿宋" panose="02010609060101010101" pitchFamily="3" charset="-122"/>
                <a:ea typeface="仿宋" panose="02010609060101010101" pitchFamily="3" charset="-122"/>
                <a:cs typeface="仿宋" panose="02010609060101010101" pitchFamily="3" charset="-122"/>
              </a:rPr>
              <a:t>度预算收入与决算收入对比图</a:t>
            </a:r>
            <a:endParaRPr lang="zh-CN" altLang="en-US"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186409052606237"/>
          <c:y val="0.00684150513112889"/>
        </c:manualLayout>
      </c:layout>
      <c:overlay val="0"/>
    </c:title>
    <c:autoTitleDeleted val="0"/>
    <c:plotArea>
      <c:layout>
        <c:manualLayout>
          <c:layoutTarget val="inner"/>
          <c:xMode val="edge"/>
          <c:yMode val="edge"/>
          <c:x val="0.159427550004525"/>
          <c:y val="0.174797092671109"/>
          <c:w val="0.684520830835232"/>
          <c:h val="0.388237431859482"/>
        </c:manualLayout>
      </c:layout>
      <c:barChart>
        <c:barDir val="col"/>
        <c:grouping val="clustered"/>
        <c:varyColors val="0"/>
        <c:ser>
          <c:idx val="0"/>
          <c:order val="0"/>
          <c:tx>
            <c:strRef>
              <c:f>'[底稿---自己的.xlsx]Sheet1'!$B$3</c:f>
              <c:strCache>
                <c:ptCount val="1"/>
                <c:pt idx="0">
                  <c:v>预算</c:v>
                </c:pt>
              </c:strCache>
            </c:strRef>
          </c:tx>
          <c:invertIfNegative val="0"/>
          <c:dLbls>
            <c:dLbl>
              <c:idx val="0"/>
              <c:layout>
                <c:manualLayout>
                  <c:x val="-0.0203045685279188"/>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711.14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76818950930626"/>
                  <c:y val="-0.076923076923076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16.63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5363790186126"/>
                  <c:y val="-0.038461538461538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7.54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7094017094017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1.13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c:v>
                </c:pt>
              </c:numCache>
            </c:numRef>
          </c:val>
        </c:ser>
        <c:ser>
          <c:idx val="1"/>
          <c:order val="1"/>
          <c:tx>
            <c:strRef>
              <c:f>'[底稿---自己的.xlsx]Sheet1'!$C$3</c:f>
              <c:strCache>
                <c:ptCount val="1"/>
                <c:pt idx="0">
                  <c:v>决算</c:v>
                </c:pt>
              </c:strCache>
            </c:strRef>
          </c:tx>
          <c:invertIfNegative val="0"/>
          <c:dLbls>
            <c:dLbl>
              <c:idx val="0"/>
              <c:layout>
                <c:manualLayout>
                  <c:x val="0.00225606316976875"/>
                  <c:y val="0.017094017094017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815.66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16.97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00676818950930618"/>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2.03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2820512820512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1.13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ser>
        <c:dLbls>
          <c:showLegendKey val="0"/>
          <c:showVal val="1"/>
          <c:showCatName val="0"/>
          <c:showSerName val="0"/>
          <c:showPercent val="0"/>
          <c:showBubbleSize val="0"/>
        </c:dLbls>
        <c:gapWidth val="150"/>
        <c:axId val="157344128"/>
        <c:axId val="157345664"/>
      </c:barChart>
      <c:catAx>
        <c:axId val="15734412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345664"/>
        <c:crosses val="autoZero"/>
        <c:auto val="1"/>
        <c:lblAlgn val="ctr"/>
        <c:lblOffset val="100"/>
        <c:noMultiLvlLbl val="0"/>
      </c:catAx>
      <c:valAx>
        <c:axId val="157345664"/>
        <c:scaling>
          <c:orientation val="minMax"/>
        </c:scaling>
        <c:delete val="0"/>
        <c:axPos val="l"/>
        <c:majorGridlines>
          <c:spPr>
            <a:ln w="9525" cap="flat" cmpd="sng" algn="ctr">
              <a:solidFill>
                <a:srgbClr val="4F81BD"/>
              </a:solid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3441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2021</a:t>
            </a:r>
            <a:r>
              <a:rPr lang="zh-CN" altLang="en-US" sz="1400" b="0">
                <a:latin typeface="仿宋" panose="02010609060101010101" pitchFamily="3" charset="-122"/>
                <a:ea typeface="仿宋" panose="02010609060101010101" pitchFamily="3" charset="-122"/>
                <a:cs typeface="仿宋" panose="02010609060101010101" pitchFamily="3" charset="-122"/>
              </a:rPr>
              <a:t>年度决算支出结构图</a:t>
            </a:r>
            <a:endParaRPr lang="zh-CN" altLang="en-US"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298346055979648"/>
          <c:y val="0.00682593856655289"/>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layout>
                <c:manualLayout>
                  <c:x val="-0.139737751531059"/>
                  <c:y val="-0.17813939924176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82.93%</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65094050743657"/>
                  <c:y val="0.026053878681831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1.72</a:t>
                    </a:r>
                    <a:r>
                      <a:rPr lang="en-US" altLang="zh-CN" baseline="0"/>
                      <a:t>%</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0.21</a:t>
                    </a:r>
                    <a:r>
                      <a:rPr lang="en-US" altLang="zh-CN" baseline="0"/>
                      <a:t>%</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1039807524059"/>
                  <c:y val="-0.026103091280256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0.11%</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2021</a:t>
            </a:r>
            <a:r>
              <a:rPr lang="zh-CN" altLang="en-US" sz="1400" b="0">
                <a:latin typeface="仿宋" panose="02010609060101010101" pitchFamily="3" charset="-122"/>
                <a:ea typeface="仿宋" panose="02010609060101010101" pitchFamily="3" charset="-122"/>
                <a:cs typeface="仿宋" panose="02010609060101010101" pitchFamily="3" charset="-122"/>
              </a:rPr>
              <a:t>年预算支出与决算支出对比图</a:t>
            </a:r>
            <a:endParaRPr lang="zh-CN" altLang="en-US"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212023186761504"/>
          <c:y val="0.00789265982636148"/>
        </c:manualLayout>
      </c:layout>
      <c:overlay val="0"/>
    </c:title>
    <c:autoTitleDeleted val="0"/>
    <c:plotArea>
      <c:layout>
        <c:manualLayout>
          <c:layoutTarget val="inner"/>
          <c:xMode val="edge"/>
          <c:yMode val="edge"/>
          <c:x val="0.176327804291726"/>
          <c:y val="0.151059495972789"/>
          <c:w val="0.677196941205967"/>
          <c:h val="0.388318863456989"/>
        </c:manualLayout>
      </c:layout>
      <c:barChart>
        <c:barDir val="col"/>
        <c:grouping val="clustered"/>
        <c:varyColors val="0"/>
        <c:ser>
          <c:idx val="0"/>
          <c:order val="0"/>
          <c:tx>
            <c:strRef>
              <c:f>'[底稿---自己的.xlsx]Sheet1'!$B$3</c:f>
              <c:strCache>
                <c:ptCount val="1"/>
                <c:pt idx="0">
                  <c:v>预算</c:v>
                </c:pt>
              </c:strCache>
            </c:strRef>
          </c:tx>
          <c:invertIfNegative val="0"/>
          <c:dLbls>
            <c:dLbl>
              <c:idx val="0"/>
              <c:layout>
                <c:manualLayout>
                  <c:x val="-0.0203045685279188"/>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711.14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76818950930626"/>
                  <c:y val="-0.076923076923076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16.63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5363790186126"/>
                  <c:y val="-0.038461538461538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7.54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7094017094017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1.13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c:v>
                </c:pt>
              </c:numCache>
            </c:numRef>
          </c:val>
        </c:ser>
        <c:ser>
          <c:idx val="1"/>
          <c:order val="1"/>
          <c:tx>
            <c:strRef>
              <c:f>'[底稿---自己的.xlsx]Sheet1'!$C$3</c:f>
              <c:strCache>
                <c:ptCount val="1"/>
                <c:pt idx="0">
                  <c:v>决算</c:v>
                </c:pt>
              </c:strCache>
            </c:strRef>
          </c:tx>
          <c:invertIfNegative val="0"/>
          <c:dLbls>
            <c:dLbl>
              <c:idx val="0"/>
              <c:layout>
                <c:manualLayout>
                  <c:x val="0.00225606316976875"/>
                  <c:y val="0.017094017094017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815.66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16.97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00676818950930618"/>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2.03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2820512820512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1.13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c:v>
                </c:pt>
                <c:pt idx="1">
                  <c:v>105.54</c:v>
                </c:pt>
                <c:pt idx="2">
                  <c:v>23.94</c:v>
                </c:pt>
                <c:pt idx="3">
                  <c:v>45.89</c:v>
                </c:pt>
              </c:numCache>
            </c:numRef>
          </c:val>
        </c:ser>
        <c:dLbls>
          <c:showLegendKey val="0"/>
          <c:showVal val="1"/>
          <c:showCatName val="0"/>
          <c:showSerName val="0"/>
          <c:showPercent val="0"/>
          <c:showBubbleSize val="0"/>
        </c:dLbls>
        <c:gapWidth val="150"/>
        <c:axId val="165905536"/>
        <c:axId val="174944640"/>
      </c:barChart>
      <c:catAx>
        <c:axId val="16590553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4944640"/>
        <c:crosses val="autoZero"/>
        <c:auto val="1"/>
        <c:lblAlgn val="ctr"/>
        <c:lblOffset val="100"/>
        <c:noMultiLvlLbl val="0"/>
      </c:catAx>
      <c:valAx>
        <c:axId val="174944640"/>
        <c:scaling>
          <c:orientation val="minMax"/>
        </c:scaling>
        <c:delete val="0"/>
        <c:axPos val="l"/>
        <c:majorGridlines>
          <c:spPr>
            <a:ln w="9525" cap="flat" cmpd="sng" algn="ctr">
              <a:solidFill>
                <a:srgbClr val="4F81BD"/>
              </a:solid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59055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0.7875</cdr:x>
      <cdr:y>0.125</cdr:y>
    </cdr:from>
    <cdr:to>
      <cdr:x>0.99375</cdr:x>
      <cdr:y>0.21181</cdr:y>
    </cdr:to>
    <cdr:sp>
      <cdr:nvSpPr>
        <cdr:cNvPr id="2" name="矩形 1"/>
        <cdr:cNvSpPr/>
      </cdr:nvSpPr>
      <cdr:spPr xmlns:a="http://schemas.openxmlformats.org/drawingml/2006/main">
        <a:xfrm xmlns:a="http://schemas.openxmlformats.org/drawingml/2006/main">
          <a:off x="3600451" y="342900"/>
          <a:ext cx="942974"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0.86294</cdr:x>
      <cdr:y>0.13462</cdr:y>
    </cdr:from>
    <cdr:to>
      <cdr:x>0.99831</cdr:x>
      <cdr:y>0.21474</cdr:y>
    </cdr:to>
    <cdr:sp>
      <cdr:nvSpPr>
        <cdr:cNvPr id="2" name="矩形 1"/>
        <cdr:cNvSpPr/>
      </cdr:nvSpPr>
      <cdr:spPr xmlns:a="http://schemas.openxmlformats.org/drawingml/2006/main">
        <a:xfrm xmlns:a="http://schemas.openxmlformats.org/drawingml/2006/main">
          <a:off x="3608362" y="174387"/>
          <a:ext cx="566046" cy="103787"/>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900"/>
            <a:t>单位：万元</a:t>
          </a:r>
          <a:endParaRPr lang="zh-CN" altLang="en-US" sz="900"/>
        </a:p>
      </cdr:txBody>
    </cdr:sp>
  </cdr:relSizeAnchor>
</c:userShapes>
</file>

<file path=word/drawings/drawing3.xml><?xml version="1.0" encoding="utf-8"?>
<c:userShapes xmlns:c="http://schemas.openxmlformats.org/drawingml/2006/chart">
  <cdr:relSizeAnchor xmlns:cdr="http://schemas.openxmlformats.org/drawingml/2006/chartDrawing">
    <cdr:from>
      <cdr:x>0.7875</cdr:x>
      <cdr:y>0.125</cdr:y>
    </cdr:from>
    <cdr:to>
      <cdr:x>0.99375</cdr:x>
      <cdr:y>0.21181</cdr:y>
    </cdr:to>
    <cdr:sp>
      <cdr:nvSpPr>
        <cdr:cNvPr id="2" name="矩形 1"/>
        <cdr:cNvSpPr/>
      </cdr:nvSpPr>
      <cdr:spPr xmlns:a="http://schemas.openxmlformats.org/drawingml/2006/main">
        <a:xfrm xmlns:a="http://schemas.openxmlformats.org/drawingml/2006/main">
          <a:off x="3600451" y="342900"/>
          <a:ext cx="942974"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drawings/drawing4.xml><?xml version="1.0" encoding="utf-8"?>
<c:userShapes xmlns:c="http://schemas.openxmlformats.org/drawingml/2006/chart">
  <cdr:relSizeAnchor xmlns:cdr="http://schemas.openxmlformats.org/drawingml/2006/chartDrawing">
    <cdr:from>
      <cdr:x>0.86294</cdr:x>
      <cdr:y>0.13462</cdr:y>
    </cdr:from>
    <cdr:to>
      <cdr:x>0.99831</cdr:x>
      <cdr:y>0.21474</cdr:y>
    </cdr:to>
    <cdr:sp>
      <cdr:nvSpPr>
        <cdr:cNvPr id="2" name="矩形 1"/>
        <cdr:cNvSpPr/>
      </cdr:nvSpPr>
      <cdr:spPr xmlns:a="http://schemas.openxmlformats.org/drawingml/2006/main">
        <a:xfrm xmlns:a="http://schemas.openxmlformats.org/drawingml/2006/main">
          <a:off x="4857751" y="400050"/>
          <a:ext cx="762000" cy="23812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900"/>
            <a:t>单位：万元</a:t>
          </a:r>
          <a:endParaRPr lang="zh-CN" altLang="en-US" sz="9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AC5B1-724C-4221-A861-1EEED4CA3A1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11576</Words>
  <Characters>12519</Characters>
  <Lines>103</Lines>
  <Paragraphs>29</Paragraphs>
  <TotalTime>1313</TotalTime>
  <ScaleCrop>false</ScaleCrop>
  <LinksUpToDate>false</LinksUpToDate>
  <CharactersWithSpaces>12686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2022-11-14T09:17:00Z</dcterms:created>
  <dc:creator>Administrator</dc:creator>
  <cp:lastModifiedBy>zzzz……</cp:lastModifiedBy>
  <cp:lastPrinted>2022-11-17T03:18:00Z</cp:lastPrinted>
  <dcterms:modified xsi:type="dcterms:W3CDTF">2025-05-12T03:20:43Z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0112467F6A804803AEF219862303B819_13</vt:lpwstr>
  </property>
</Properties>
</file>