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539E1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2015年</w:t>
      </w:r>
      <w:r>
        <w:rPr>
          <w:b/>
          <w:sz w:val="44"/>
          <w:szCs w:val="44"/>
        </w:rPr>
        <w:t>部门决算情况说明</w:t>
      </w:r>
    </w:p>
    <w:p w14:paraId="32A7DD74">
      <w:pPr>
        <w:jc w:val="center"/>
        <w:rPr>
          <w:b/>
          <w:sz w:val="28"/>
          <w:szCs w:val="28"/>
        </w:rPr>
      </w:pPr>
    </w:p>
    <w:p w14:paraId="471EA972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 w14:paraId="43D06F8B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本部门2015年本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</w:rPr>
        <w:t xml:space="preserve"> 2450.98万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>152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1479.88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>2308.08万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149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1382万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 xml:space="preserve"> 388.7万</w:t>
      </w:r>
      <w:r>
        <w:rPr>
          <w:snapToGrid w:val="0"/>
          <w:kern w:val="0"/>
          <w:sz w:val="28"/>
          <w:szCs w:val="28"/>
        </w:rPr>
        <w:t>元。</w:t>
      </w:r>
    </w:p>
    <w:p w14:paraId="5B69D66B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 w14:paraId="279A7771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</w:rPr>
        <w:t>2450.98万元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>2449.13元</w:t>
      </w:r>
      <w:r>
        <w:rPr>
          <w:snapToGrid w:val="0"/>
          <w:kern w:val="0"/>
          <w:sz w:val="28"/>
          <w:szCs w:val="28"/>
        </w:rPr>
        <w:t>，其他收入</w:t>
      </w:r>
      <w:r>
        <w:rPr>
          <w:rFonts w:hint="eastAsia"/>
          <w:snapToGrid w:val="0"/>
          <w:kern w:val="0"/>
          <w:sz w:val="28"/>
          <w:szCs w:val="28"/>
        </w:rPr>
        <w:t>1.85万</w:t>
      </w:r>
      <w:r>
        <w:rPr>
          <w:snapToGrid w:val="0"/>
          <w:kern w:val="0"/>
          <w:sz w:val="28"/>
          <w:szCs w:val="28"/>
        </w:rPr>
        <w:t>元。</w:t>
      </w:r>
    </w:p>
    <w:p w14:paraId="79A48696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 w14:paraId="6B94B261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 xml:space="preserve"> 2308.08万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>544.62  万</w:t>
      </w:r>
      <w:r>
        <w:rPr>
          <w:snapToGrid w:val="0"/>
          <w:kern w:val="0"/>
          <w:sz w:val="28"/>
          <w:szCs w:val="28"/>
        </w:rPr>
        <w:t>元，项目支出</w:t>
      </w:r>
      <w:r>
        <w:rPr>
          <w:rFonts w:hint="eastAsia"/>
          <w:snapToGrid w:val="0"/>
          <w:kern w:val="0"/>
          <w:sz w:val="28"/>
          <w:szCs w:val="28"/>
        </w:rPr>
        <w:t>1763.46万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 w14:paraId="6B46F1F8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 w14:paraId="764F68B7"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计2449.13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>153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1479.56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>2308.08万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149</w:t>
      </w:r>
      <w:r>
        <w:rPr>
          <w:snapToGrid w:val="0"/>
          <w:kern w:val="0"/>
          <w:sz w:val="28"/>
          <w:szCs w:val="28"/>
        </w:rPr>
        <w:t>%，增支1382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末财政拨款结转结余369.68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 w14:paraId="6B73034D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14:paraId="1D13DA6C"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2015年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公务用车运行维护费12.9万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；较2014年下降，主要原因是根据中央八项规定，各部门压减公务用车费用所致。</w:t>
      </w:r>
    </w:p>
    <w:p w14:paraId="54B6117C">
      <w:pPr>
        <w:pStyle w:val="4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公务接待费全年支出9.1 万元，较2014年下降，主要原因是根据中央八项规定，各部门压减公务接待费用所致。</w:t>
      </w:r>
    </w:p>
    <w:p w14:paraId="5ECC32B0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、机关运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经费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支出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情况说明</w:t>
      </w:r>
    </w:p>
    <w:p w14:paraId="302C158E">
      <w:pPr>
        <w:pStyle w:val="4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2015年本部门机关运行经费支出68.6万元，比2014年减少</w:t>
      </w:r>
      <w:r>
        <w:rPr>
          <w:snapToGrid w:val="0"/>
          <w:kern w:val="0"/>
          <w:sz w:val="28"/>
          <w:szCs w:val="28"/>
        </w:rPr>
        <w:t>13.6</w:t>
      </w:r>
      <w:r>
        <w:rPr>
          <w:rFonts w:hint="eastAsia"/>
          <w:snapToGrid w:val="0"/>
          <w:kern w:val="0"/>
          <w:sz w:val="28"/>
          <w:szCs w:val="28"/>
        </w:rPr>
        <w:t xml:space="preserve">  万元，降低16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%。主要原因是根据中央八项规定，各部压减各项费用所致。</w:t>
      </w:r>
    </w:p>
    <w:p w14:paraId="3F08C3F3"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、政府采购情况说明</w:t>
      </w:r>
    </w:p>
    <w:p w14:paraId="5B768C55">
      <w:pPr>
        <w:pStyle w:val="4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2015年本部门政府采购支出总额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106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106万元。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035DEC"/>
    <w:rsid w:val="0010049F"/>
    <w:rsid w:val="0014444E"/>
    <w:rsid w:val="0015089B"/>
    <w:rsid w:val="00152908"/>
    <w:rsid w:val="0058572E"/>
    <w:rsid w:val="005A7D81"/>
    <w:rsid w:val="005B3169"/>
    <w:rsid w:val="0060361A"/>
    <w:rsid w:val="006E71D0"/>
    <w:rsid w:val="007400FC"/>
    <w:rsid w:val="007E04DC"/>
    <w:rsid w:val="0082704B"/>
    <w:rsid w:val="008423F5"/>
    <w:rsid w:val="00945D0B"/>
    <w:rsid w:val="009B74FB"/>
    <w:rsid w:val="00B005DA"/>
    <w:rsid w:val="00B40ED6"/>
    <w:rsid w:val="00C222CB"/>
    <w:rsid w:val="00C82568"/>
    <w:rsid w:val="00CA2480"/>
    <w:rsid w:val="00CB45AA"/>
    <w:rsid w:val="00D9008B"/>
    <w:rsid w:val="00F00F83"/>
    <w:rsid w:val="00F7078F"/>
    <w:rsid w:val="4DB1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503</Words>
  <Characters>647</Characters>
  <Lines>4</Lines>
  <Paragraphs>1</Paragraphs>
  <TotalTime>1123</TotalTime>
  <ScaleCrop>false</ScaleCrop>
  <LinksUpToDate>false</LinksUpToDate>
  <CharactersWithSpaces>660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田彬彬</cp:lastModifiedBy>
  <dcterms:modified xsi:type="dcterms:W3CDTF">2025-05-13T01:34:26Z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B4AFA5C2570541CBA25C1DA856384C52_13</vt:lpwstr>
  </property>
</Properties>
</file>