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CD5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01C26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78D41AF">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w:t>
      </w:r>
      <w:r>
        <w:rPr>
          <w:rFonts w:hint="eastAsia" w:asciiTheme="majorEastAsia" w:hAnsiTheme="majorEastAsia" w:eastAsiaTheme="majorEastAsia" w:cstheme="majorEastAsia"/>
          <w:b/>
          <w:kern w:val="2"/>
          <w:sz w:val="44"/>
          <w:szCs w:val="44"/>
          <w:lang w:eastAsia="zh-CN"/>
        </w:rPr>
        <w:t>区政法委</w:t>
      </w:r>
      <w:r>
        <w:rPr>
          <w:rFonts w:hint="eastAsia" w:asciiTheme="majorEastAsia" w:hAnsiTheme="majorEastAsia" w:eastAsiaTheme="majorEastAsia" w:cstheme="majorEastAsia"/>
          <w:b/>
          <w:kern w:val="2"/>
          <w:sz w:val="44"/>
          <w:szCs w:val="44"/>
        </w:rPr>
        <w:t>202</w:t>
      </w:r>
      <w:r>
        <w:rPr>
          <w:rFonts w:hint="default" w:asciiTheme="majorEastAsia" w:hAnsiTheme="majorEastAsia" w:eastAsiaTheme="majorEastAsia" w:cstheme="majorEastAsia"/>
          <w:b/>
          <w:kern w:val="2"/>
          <w:sz w:val="44"/>
          <w:szCs w:val="44"/>
          <w:lang w:val="en-US"/>
        </w:rPr>
        <w:t>2</w:t>
      </w:r>
      <w:r>
        <w:rPr>
          <w:rFonts w:hint="eastAsia" w:asciiTheme="majorEastAsia" w:hAnsiTheme="majorEastAsia" w:eastAsiaTheme="majorEastAsia" w:cstheme="majorEastAsia"/>
          <w:b/>
          <w:kern w:val="2"/>
          <w:sz w:val="44"/>
          <w:szCs w:val="44"/>
        </w:rPr>
        <w:t>年部门</w:t>
      </w:r>
    </w:p>
    <w:p w14:paraId="60CAC141">
      <w:pPr>
        <w:widowControl w:val="0"/>
        <w:adjustRightInd/>
        <w:snapToGrid/>
        <w:spacing w:after="0" w:line="540" w:lineRule="exact"/>
        <w:ind w:firstLine="1767" w:firstLineChars="400"/>
        <w:jc w:val="both"/>
        <w:rPr>
          <w:rFonts w:ascii="Times New Roman" w:hAnsi="Times New Roman" w:eastAsia="宋体" w:cs="Times New Roman"/>
          <w:bCs/>
          <w:kern w:val="2"/>
          <w:sz w:val="72"/>
          <w:szCs w:val="24"/>
        </w:rPr>
      </w:pPr>
      <w:r>
        <w:rPr>
          <w:rFonts w:hint="eastAsia" w:asciiTheme="majorEastAsia" w:hAnsiTheme="majorEastAsia" w:eastAsiaTheme="majorEastAsia" w:cstheme="majorEastAsia"/>
          <w:b/>
          <w:kern w:val="2"/>
          <w:sz w:val="44"/>
          <w:szCs w:val="44"/>
        </w:rPr>
        <w:t>整体支出绩效评价自评报告</w:t>
      </w:r>
    </w:p>
    <w:p w14:paraId="4EA9D31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BDA1DD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1EE64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87C30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C3E6F8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B251C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3730C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DF45D9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2544B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768EE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559099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55594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2D39C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9EB25F">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14:paraId="16610C7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64D0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8F69A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C244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13BC9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859CA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DB2E5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E84BF2A">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AB4CC44">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3BC5A1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7</w:t>
          </w:r>
          <w:r>
            <w:rPr>
              <w:rFonts w:hint="eastAsia" w:asciiTheme="majorEastAsia" w:hAnsiTheme="majorEastAsia" w:eastAsiaTheme="majorEastAsia" w:cstheme="majorEastAsia"/>
              <w:b/>
              <w:bCs/>
              <w:sz w:val="24"/>
            </w:rPr>
            <w:fldChar w:fldCharType="end"/>
          </w:r>
        </w:p>
        <w:p w14:paraId="1A9C1FD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政法委</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19901E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C0AF76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1BD8C8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E5A95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9EB2DB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A0A225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1F1CD80">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2BD4A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F7272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18D25E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93AF7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6CA51D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CF6DB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F31D12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ABDB3C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52CA83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28BCA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EBD1DF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F45EF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77241A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2F5CE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65D97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B9F6AC0">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DDA7897">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4D46EF1">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DC4584B">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7C7CF8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14:paraId="2156A6E6">
      <w:pPr>
        <w:spacing w:line="580" w:lineRule="exact"/>
        <w:ind w:firstLine="640" w:firstLineChars="200"/>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4</w:t>
      </w:r>
      <w:r>
        <w:rPr>
          <w:rFonts w:hint="eastAsia" w:ascii="仿宋_GB2312" w:eastAsia="仿宋_GB2312" w:cs="DengXian-Regular"/>
          <w:sz w:val="32"/>
          <w:szCs w:val="32"/>
        </w:rPr>
        <w:t>个股室，分别为</w:t>
      </w:r>
      <w:r>
        <w:rPr>
          <w:rFonts w:hint="eastAsia" w:ascii="仿宋_GB2312" w:eastAsia="仿宋_GB2312"/>
          <w:sz w:val="32"/>
          <w:szCs w:val="32"/>
        </w:rPr>
        <w:t>办公室、政治工作室、综治指导室、维稳指导室</w:t>
      </w:r>
      <w:r>
        <w:rPr>
          <w:rFonts w:hint="eastAsia" w:ascii="仿宋_GB2312" w:eastAsia="仿宋_GB2312" w:cs="DengXian-Regular"/>
          <w:sz w:val="32"/>
          <w:szCs w:val="32"/>
        </w:rPr>
        <w:t>，主要职责有：根据中共保定市徐水区委办公室《中共保定市徐水区委办公室关于印发&lt;中共保定市徐水区委政法委员会职能配置、内设机构和人员编制规定&gt;的通知》（徐办字[2019]34号），保定市徐水区委政法委员会的主要职责：</w:t>
      </w:r>
    </w:p>
    <w:p w14:paraId="3523DB6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（一）深入贯彻习近平新时代中国特色社会主义思想，坚持党对政法工作的绝对领导，坚决执行党的路线方针政策和党中央重大决策部署，推动完善和落实政治轮训和政治督察制度。</w:t>
      </w:r>
    </w:p>
    <w:p w14:paraId="15B72032">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（二）贯彻党中央以及上级党组织决定，研究协调政法单位之间、政法单位和有关部门之间有关重大事项，统一政法单位思想和行动。</w:t>
      </w:r>
    </w:p>
    <w:p w14:paraId="5103DA1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（三）加强对政法领域重大实践和理论问题调查研究，提出重大决策部署和改革措施的意见和建议，协助区委决策和统筹推进政法改革等各项工作。</w:t>
      </w:r>
    </w:p>
    <w:p w14:paraId="19B6277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工作。</w:t>
      </w:r>
    </w:p>
    <w:p w14:paraId="0D06863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（五）加强对政法工作的督查，统筹协调社会治安综合治理、维护社会稳定等有关国家法律法规和政策的实施工作。</w:t>
      </w:r>
    </w:p>
    <w:p w14:paraId="10341CA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14:paraId="59771F9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七）指导和推动政法单位党的建设和政法队伍建设，协助区委及其组织部门加强政法单位领导班子和干部队伍建设，协助区委和纪检监察机关做好监督检查、审查调查工作，派员列席同级政法单位党组（党委）民主生活会。</w:t>
      </w:r>
    </w:p>
    <w:p w14:paraId="371021F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14:paraId="4C2371F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（九）掌握分析政法舆情动态，指导和协调政法单位和有关部门做好依法办理、宣传报道和舆论引导等相关工作。</w:t>
      </w:r>
    </w:p>
    <w:p w14:paraId="315FA53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（十）组织研究政法改革中带有方向性、倾向性和普遍性的重大问题，深化政法改革，联系区委全面依法治区委员会办公室。</w:t>
      </w:r>
    </w:p>
    <w:p w14:paraId="4A2F0D0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（十一）统筹推动全区政法系统信息化工作，指导政法智能化建设。</w:t>
      </w:r>
    </w:p>
    <w:p w14:paraId="20D43B4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（十二）完成区委和上级党委政法委员会交办的其他任务。</w:t>
      </w:r>
    </w:p>
    <w:p w14:paraId="27CC50F7">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承担主体责任，负责全区政法工作。</w:t>
      </w:r>
    </w:p>
    <w:p w14:paraId="55D316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92EFF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4B6C18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保定市徐水区政法委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14:paraId="6391E7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XXX单位部门整体支出情况评分定级。指标体系设定满分为100分，绩效评价分值≥90为“优”；80≤分值＜90为“良”；60≤分值＜80为“合格”；60分以下为“差”。</w:t>
      </w:r>
    </w:p>
    <w:p w14:paraId="67090F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97.4</w:t>
      </w:r>
      <w:r>
        <w:rPr>
          <w:rFonts w:hint="eastAsia" w:ascii="仿宋_GB2312" w:eastAsia="仿宋_GB2312" w:cs="DengXian-Regular"/>
          <w:sz w:val="32"/>
          <w:szCs w:val="32"/>
        </w:rPr>
        <w:t>分，评价等级为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w:t>
      </w:r>
    </w:p>
    <w:p w14:paraId="24DB01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70B25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489A653">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1.绩效指标方面</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指标</w:t>
      </w:r>
      <w:r>
        <w:rPr>
          <w:rFonts w:ascii="仿宋_GB2312" w:eastAsia="仿宋_GB2312" w:cs="DengXian-Regular"/>
          <w:color w:val="auto"/>
          <w:sz w:val="32"/>
          <w:szCs w:val="32"/>
          <w:highlight w:val="none"/>
        </w:rPr>
        <w:t>有待进一步完善细化</w:t>
      </w:r>
      <w:r>
        <w:rPr>
          <w:rFonts w:hint="eastAsia" w:ascii="仿宋_GB2312" w:eastAsia="仿宋_GB2312" w:cs="DengXian-Regular"/>
          <w:color w:val="auto"/>
          <w:sz w:val="32"/>
          <w:szCs w:val="32"/>
          <w:highlight w:val="none"/>
        </w:rPr>
        <w:t>，需要</w:t>
      </w:r>
      <w:r>
        <w:rPr>
          <w:rFonts w:ascii="仿宋_GB2312" w:eastAsia="仿宋_GB2312" w:cs="DengXian-Regular"/>
          <w:color w:val="auto"/>
          <w:sz w:val="32"/>
          <w:szCs w:val="32"/>
          <w:highlight w:val="none"/>
        </w:rPr>
        <w:t>完善体现本单位工作特色的个性指标。</w:t>
      </w:r>
    </w:p>
    <w:p w14:paraId="6ED4B5A6">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2.预算决算比较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预算决算</w:t>
      </w:r>
      <w:r>
        <w:rPr>
          <w:rFonts w:ascii="仿宋_GB2312" w:eastAsia="仿宋_GB2312" w:cs="DengXian-Regular"/>
          <w:color w:val="auto"/>
          <w:sz w:val="32"/>
          <w:szCs w:val="32"/>
          <w:highlight w:val="none"/>
        </w:rPr>
        <w:t>总体比较</w:t>
      </w:r>
      <w:r>
        <w:rPr>
          <w:rFonts w:hint="eastAsia" w:ascii="仿宋_GB2312" w:eastAsia="仿宋_GB2312" w:cs="DengXian-Regular"/>
          <w:color w:val="auto"/>
          <w:sz w:val="32"/>
          <w:szCs w:val="32"/>
          <w:highlight w:val="none"/>
          <w:lang w:eastAsia="zh-CN"/>
        </w:rPr>
        <w:t>存在一些差异</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仍</w:t>
      </w:r>
      <w:r>
        <w:rPr>
          <w:rFonts w:ascii="仿宋_GB2312" w:eastAsia="仿宋_GB2312" w:cs="DengXian-Regular"/>
          <w:color w:val="auto"/>
          <w:sz w:val="32"/>
          <w:szCs w:val="32"/>
          <w:highlight w:val="none"/>
        </w:rPr>
        <w:t>需</w:t>
      </w:r>
      <w:r>
        <w:rPr>
          <w:rFonts w:hint="eastAsia" w:ascii="仿宋_GB2312" w:eastAsia="仿宋_GB2312" w:cs="DengXian-Regular"/>
          <w:color w:val="auto"/>
          <w:sz w:val="32"/>
          <w:szCs w:val="32"/>
          <w:highlight w:val="none"/>
        </w:rPr>
        <w:t>要准确</w:t>
      </w:r>
      <w:r>
        <w:rPr>
          <w:rFonts w:ascii="仿宋_GB2312" w:eastAsia="仿宋_GB2312" w:cs="DengXian-Regular"/>
          <w:color w:val="auto"/>
          <w:sz w:val="32"/>
          <w:szCs w:val="32"/>
          <w:highlight w:val="none"/>
        </w:rPr>
        <w:t>细化</w:t>
      </w:r>
      <w:r>
        <w:rPr>
          <w:rFonts w:hint="eastAsia" w:ascii="仿宋_GB2312" w:eastAsia="仿宋_GB2312" w:cs="DengXian-Regular"/>
          <w:color w:val="auto"/>
          <w:sz w:val="32"/>
          <w:szCs w:val="32"/>
          <w:highlight w:val="none"/>
        </w:rPr>
        <w:t>编制</w:t>
      </w:r>
      <w:r>
        <w:rPr>
          <w:rFonts w:ascii="仿宋_GB2312" w:eastAsia="仿宋_GB2312" w:cs="DengXian-Regular"/>
          <w:color w:val="auto"/>
          <w:sz w:val="32"/>
          <w:szCs w:val="32"/>
          <w:highlight w:val="none"/>
        </w:rPr>
        <w:t>年初预算</w:t>
      </w:r>
      <w:r>
        <w:rPr>
          <w:rFonts w:hint="eastAsia" w:ascii="仿宋_GB2312" w:eastAsia="仿宋_GB2312" w:cs="DengXian-Regular"/>
          <w:color w:val="auto"/>
          <w:sz w:val="32"/>
          <w:szCs w:val="32"/>
          <w:highlight w:val="none"/>
        </w:rPr>
        <w:t>。</w:t>
      </w:r>
    </w:p>
    <w:p w14:paraId="4AF1CC8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3.预算追加方面</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准确</w:t>
      </w:r>
      <w:r>
        <w:rPr>
          <w:rFonts w:ascii="仿宋_GB2312" w:eastAsia="仿宋_GB2312" w:cs="DengXian-Regular"/>
          <w:color w:val="auto"/>
          <w:sz w:val="32"/>
          <w:szCs w:val="32"/>
          <w:highlight w:val="none"/>
        </w:rPr>
        <w:t>编制年初预算，减少预算年度内预算追加。</w:t>
      </w:r>
    </w:p>
    <w:p w14:paraId="048A03FC">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4.政府采购方面</w:t>
      </w:r>
      <w:r>
        <w:rPr>
          <w:rFonts w:hint="eastAsia" w:ascii="仿宋_GB2312" w:eastAsia="仿宋_GB2312" w:cs="DengXian-Regular"/>
          <w:color w:val="auto"/>
          <w:sz w:val="32"/>
          <w:szCs w:val="32"/>
          <w:highlight w:val="none"/>
          <w:lang w:eastAsia="zh-CN"/>
        </w:rPr>
        <w:t>，</w:t>
      </w:r>
      <w:r>
        <w:rPr>
          <w:rFonts w:ascii="仿宋_GB2312" w:eastAsia="仿宋_GB2312" w:cs="DengXian-Regular"/>
          <w:color w:val="auto"/>
          <w:sz w:val="32"/>
          <w:szCs w:val="32"/>
          <w:highlight w:val="none"/>
        </w:rPr>
        <w:t>需要完善单位内部固定资产的管理，对本年度使用年</w:t>
      </w:r>
      <w:r>
        <w:rPr>
          <w:rFonts w:hint="eastAsia" w:ascii="仿宋_GB2312" w:eastAsia="仿宋_GB2312" w:cs="DengXian-Regular"/>
          <w:color w:val="auto"/>
          <w:sz w:val="32"/>
          <w:szCs w:val="32"/>
          <w:highlight w:val="none"/>
        </w:rPr>
        <w:t>限</w:t>
      </w:r>
      <w:r>
        <w:rPr>
          <w:rFonts w:ascii="仿宋_GB2312" w:eastAsia="仿宋_GB2312" w:cs="DengXian-Regular"/>
          <w:color w:val="auto"/>
          <w:sz w:val="32"/>
          <w:szCs w:val="32"/>
          <w:highlight w:val="none"/>
        </w:rPr>
        <w:t>到期需要更新的办公设备</w:t>
      </w:r>
      <w:r>
        <w:rPr>
          <w:rFonts w:hint="eastAsia" w:ascii="仿宋_GB2312" w:eastAsia="仿宋_GB2312" w:cs="DengXian-Regular"/>
          <w:color w:val="auto"/>
          <w:sz w:val="32"/>
          <w:szCs w:val="32"/>
          <w:highlight w:val="none"/>
        </w:rPr>
        <w:t>提前</w:t>
      </w:r>
      <w:r>
        <w:rPr>
          <w:rFonts w:ascii="仿宋_GB2312" w:eastAsia="仿宋_GB2312" w:cs="DengXian-Regular"/>
          <w:color w:val="auto"/>
          <w:sz w:val="32"/>
          <w:szCs w:val="32"/>
          <w:highlight w:val="none"/>
        </w:rPr>
        <w:t>做好采购预算。</w:t>
      </w:r>
    </w:p>
    <w:p w14:paraId="1B56E93A">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5.项目资金使用率</w:t>
      </w:r>
      <w:r>
        <w:rPr>
          <w:rFonts w:hint="eastAsia" w:ascii="仿宋_GB2312" w:eastAsia="仿宋_GB2312" w:cs="DengXian-Regular"/>
          <w:color w:val="auto"/>
          <w:sz w:val="32"/>
          <w:szCs w:val="32"/>
          <w:highlight w:val="none"/>
          <w:lang w:eastAsia="zh-CN"/>
        </w:rPr>
        <w:t>，</w:t>
      </w:r>
      <w:r>
        <w:rPr>
          <w:rFonts w:ascii="仿宋_GB2312" w:eastAsia="仿宋_GB2312" w:cs="DengXian-Regular"/>
          <w:color w:val="auto"/>
          <w:sz w:val="32"/>
          <w:szCs w:val="32"/>
          <w:highlight w:val="none"/>
        </w:rPr>
        <w:t>加强资金</w:t>
      </w:r>
      <w:r>
        <w:rPr>
          <w:rFonts w:hint="eastAsia" w:ascii="仿宋_GB2312" w:eastAsia="仿宋_GB2312" w:cs="DengXian-Regular"/>
          <w:color w:val="auto"/>
          <w:sz w:val="32"/>
          <w:szCs w:val="32"/>
          <w:highlight w:val="none"/>
        </w:rPr>
        <w:t>监管</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提高</w:t>
      </w:r>
      <w:r>
        <w:rPr>
          <w:rFonts w:ascii="仿宋_GB2312" w:eastAsia="仿宋_GB2312" w:cs="DengXian-Regular"/>
          <w:color w:val="auto"/>
          <w:sz w:val="32"/>
          <w:szCs w:val="32"/>
          <w:highlight w:val="none"/>
        </w:rPr>
        <w:t>资金使用效率。</w:t>
      </w:r>
    </w:p>
    <w:p w14:paraId="776724E4">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6.部分基础数据信息方面</w:t>
      </w:r>
      <w:r>
        <w:rPr>
          <w:rFonts w:hint="eastAsia" w:ascii="仿宋_GB2312" w:eastAsia="仿宋_GB2312" w:cs="DengXian-Regular"/>
          <w:color w:val="auto"/>
          <w:sz w:val="32"/>
          <w:szCs w:val="32"/>
          <w:highlight w:val="none"/>
          <w:lang w:eastAsia="zh-CN"/>
        </w:rPr>
        <w:t>，加强基础数据的完整性。</w:t>
      </w:r>
      <w:r>
        <w:rPr>
          <w:rFonts w:ascii="仿宋_GB2312" w:eastAsia="仿宋_GB2312" w:cs="DengXian-Regular"/>
          <w:color w:val="auto"/>
          <w:sz w:val="32"/>
          <w:szCs w:val="32"/>
          <w:highlight w:val="none"/>
        </w:rPr>
        <w:t>可查阅性。</w:t>
      </w:r>
    </w:p>
    <w:p w14:paraId="4B688F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4D2D3D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58816B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E1DA3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8133C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D5242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4586F7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6FDC07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550BE5C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eastAsia="zh-CN"/>
        </w:rPr>
        <w:t>政法委</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014881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3D076EC9">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7838B8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8710A4A">
      <w:pPr>
        <w:adjustRightInd w:val="0"/>
        <w:snapToGrid w:val="0"/>
        <w:spacing w:line="52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w:t>
      </w:r>
      <w:r>
        <w:rPr>
          <w:rFonts w:hint="eastAsia" w:ascii="仿宋_GB2312" w:eastAsia="仿宋_GB2312" w:cs="DengXian-Regular"/>
          <w:sz w:val="32"/>
          <w:szCs w:val="32"/>
          <w:lang w:eastAsia="zh-CN"/>
        </w:rPr>
        <w:t>减少</w:t>
      </w:r>
      <w:r>
        <w:rPr>
          <w:rFonts w:ascii="仿宋_GB2312" w:eastAsia="仿宋_GB2312" w:cs="DengXian-Regular"/>
          <w:sz w:val="32"/>
          <w:szCs w:val="32"/>
        </w:rPr>
        <w:t>比例较大，主要原因为</w:t>
      </w:r>
      <w:r>
        <w:rPr>
          <w:rFonts w:hint="eastAsia" w:ascii="仿宋_GB2312" w:hAnsi="仿宋" w:eastAsia="仿宋_GB2312"/>
          <w:sz w:val="32"/>
          <w:szCs w:val="32"/>
          <w:lang w:eastAsia="zh-CN"/>
        </w:rPr>
        <w:t>厉行节约，本年度有未纳入预算项目，减少本年支出</w:t>
      </w:r>
      <w:r>
        <w:rPr>
          <w:rFonts w:hint="eastAsia" w:ascii="仿宋_GB2312" w:hAnsi="仿宋" w:eastAsia="仿宋_GB2312"/>
          <w:sz w:val="32"/>
          <w:szCs w:val="32"/>
        </w:rPr>
        <w:t>。</w:t>
      </w:r>
    </w:p>
    <w:p w14:paraId="540E5E5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sz w:val="32"/>
          <w:szCs w:val="32"/>
          <w:highlight w:val="none"/>
        </w:rPr>
        <w:t>项目资金方面：</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22</w:t>
      </w:r>
      <w:r>
        <w:rPr>
          <w:rFonts w:ascii="仿宋_GB2312" w:eastAsia="仿宋_GB2312" w:cs="DengXian-Regular"/>
          <w:sz w:val="32"/>
          <w:szCs w:val="32"/>
          <w:highlight w:val="none"/>
        </w:rPr>
        <w:t>年项目支出资金使用率较</w:t>
      </w:r>
      <w:r>
        <w:rPr>
          <w:rFonts w:hint="eastAsia" w:ascii="仿宋_GB2312" w:eastAsia="仿宋_GB2312" w:cs="DengXian-Regular"/>
          <w:sz w:val="32"/>
          <w:szCs w:val="32"/>
          <w:highlight w:val="none"/>
          <w:lang w:eastAsia="zh-CN"/>
        </w:rPr>
        <w:t>高</w:t>
      </w:r>
      <w:r>
        <w:rPr>
          <w:rFonts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支出进度均衡</w:t>
      </w:r>
      <w:r>
        <w:rPr>
          <w:rFonts w:hint="eastAsia" w:ascii="仿宋_GB2312" w:eastAsia="仿宋_GB2312" w:cs="DengXian-Regular"/>
          <w:sz w:val="32"/>
          <w:szCs w:val="32"/>
        </w:rPr>
        <w:t>，</w:t>
      </w:r>
      <w:r>
        <w:rPr>
          <w:rFonts w:hint="eastAsia" w:ascii="仿宋_GB2312" w:eastAsia="仿宋_GB2312" w:cs="DengXian-Regular"/>
          <w:color w:val="auto"/>
          <w:sz w:val="32"/>
          <w:szCs w:val="32"/>
          <w:highlight w:val="none"/>
          <w:lang w:eastAsia="zh-CN"/>
        </w:rPr>
        <w:t>建议</w:t>
      </w:r>
      <w:r>
        <w:rPr>
          <w:rFonts w:hint="default" w:ascii="仿宋_GB2312" w:eastAsia="仿宋_GB2312" w:cs="DengXian-Regular"/>
          <w:color w:val="auto"/>
          <w:sz w:val="32"/>
          <w:szCs w:val="32"/>
          <w:highlight w:val="none"/>
          <w:lang w:val="en-US" w:eastAsia="zh-CN"/>
        </w:rPr>
        <w:t>2022</w:t>
      </w:r>
      <w:r>
        <w:rPr>
          <w:rFonts w:hint="eastAsia" w:ascii="仿宋_GB2312" w:eastAsia="仿宋_GB2312" w:cs="DengXian-Regular"/>
          <w:color w:val="auto"/>
          <w:sz w:val="32"/>
          <w:szCs w:val="32"/>
          <w:highlight w:val="none"/>
          <w:lang w:val="en-US" w:eastAsia="zh-CN"/>
        </w:rPr>
        <w:t>年度项目</w:t>
      </w:r>
      <w:r>
        <w:rPr>
          <w:rFonts w:ascii="仿宋_GB2312" w:eastAsia="仿宋_GB2312" w:cs="DengXian-Regular"/>
          <w:color w:val="auto"/>
          <w:sz w:val="32"/>
          <w:szCs w:val="32"/>
          <w:highlight w:val="none"/>
        </w:rPr>
        <w:t>资金根据实际情况予以保持或适当</w:t>
      </w:r>
      <w:r>
        <w:rPr>
          <w:rFonts w:hint="eastAsia" w:ascii="仿宋_GB2312" w:eastAsia="仿宋_GB2312" w:cs="DengXian-Regular"/>
          <w:color w:val="auto"/>
          <w:sz w:val="32"/>
          <w:szCs w:val="32"/>
          <w:highlight w:val="none"/>
        </w:rPr>
        <w:t>增减</w:t>
      </w:r>
      <w:r>
        <w:rPr>
          <w:rFonts w:ascii="仿宋_GB2312" w:eastAsia="仿宋_GB2312" w:cs="DengXian-Regular"/>
          <w:color w:val="auto"/>
          <w:sz w:val="32"/>
          <w:szCs w:val="32"/>
          <w:highlight w:val="none"/>
        </w:rPr>
        <w:t>。</w:t>
      </w:r>
    </w:p>
    <w:p w14:paraId="6D36C283">
      <w:pPr>
        <w:pStyle w:val="3"/>
        <w:spacing w:line="540" w:lineRule="exact"/>
        <w:jc w:val="center"/>
        <w:rPr>
          <w:rFonts w:ascii="黑体" w:hAnsi="黑体"/>
          <w:b w:val="0"/>
        </w:rPr>
      </w:pPr>
      <w:r>
        <w:rPr>
          <w:rFonts w:hint="eastAsia" w:ascii="黑体" w:hAnsi="黑体"/>
          <w:b w:val="0"/>
        </w:rPr>
        <w:t>第二部分   绩效评价报告</w:t>
      </w:r>
      <w:bookmarkEnd w:id="1"/>
    </w:p>
    <w:p w14:paraId="26284CDE">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w:t>
      </w:r>
      <w:r>
        <w:rPr>
          <w:rFonts w:hint="eastAsia" w:ascii="楷体" w:hAnsi="楷体" w:eastAsia="楷体" w:cs="楷体"/>
          <w:lang w:eastAsia="zh-CN"/>
        </w:rPr>
        <w:t>政法委</w:t>
      </w:r>
      <w:r>
        <w:rPr>
          <w:rFonts w:hint="eastAsia" w:ascii="楷体" w:hAnsi="楷体" w:eastAsia="楷体" w:cs="楷体"/>
        </w:rPr>
        <w:t>基本情况</w:t>
      </w:r>
      <w:bookmarkEnd w:id="2"/>
      <w:bookmarkEnd w:id="3"/>
      <w:bookmarkStart w:id="4" w:name="_Toc492652764"/>
    </w:p>
    <w:p w14:paraId="5657E292">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547453DA">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为区政府工作部门，正科级单位，下设</w:t>
      </w:r>
      <w:r>
        <w:rPr>
          <w:rFonts w:hint="default" w:ascii="仿宋_GB2312" w:eastAsia="仿宋_GB2312" w:cs="DengXian-Regular"/>
          <w:sz w:val="32"/>
          <w:szCs w:val="32"/>
          <w:lang w:val="en-US"/>
        </w:rPr>
        <w:t>4</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根据绩效预算管理改革的相关要求，按照“部门职责—工作活动绩效目标”的层级设立了绩效预算架构，职责活动包括</w:t>
      </w:r>
      <w:bookmarkStart w:id="6" w:name="_Toc465149499"/>
      <w:bookmarkStart w:id="7" w:name="_Toc492652765"/>
      <w:r>
        <w:rPr>
          <w:rFonts w:hint="eastAsia" w:ascii="仿宋_GB2312" w:eastAsia="仿宋_GB2312" w:cs="DengXian-Regular"/>
          <w:sz w:val="32"/>
          <w:szCs w:val="32"/>
        </w:rPr>
        <w:t>⑴</w:t>
      </w:r>
      <w:r>
        <w:rPr>
          <w:rFonts w:hint="eastAsia" w:ascii="仿宋" w:hAnsi="仿宋" w:eastAsia="仿宋" w:cs="仿宋"/>
          <w:sz w:val="32"/>
          <w:szCs w:val="32"/>
        </w:rPr>
        <w:t>防控各类社会风险，确保社会安全稳定、⑵实现“全域覆盖、全网共享、全时可用、全程可控”、⑶确保全区铁路畅通、⑷做好对邪教人员的教育转化共4部分</w:t>
      </w:r>
      <w:r>
        <w:rPr>
          <w:rFonts w:ascii="仿宋" w:hAnsi="仿宋" w:eastAsia="仿宋" w:cs="仿宋"/>
          <w:sz w:val="32"/>
          <w:szCs w:val="32"/>
        </w:rPr>
        <w:t>。</w:t>
      </w:r>
    </w:p>
    <w:p w14:paraId="478780FE">
      <w:pPr>
        <w:spacing w:after="0" w:line="360" w:lineRule="auto"/>
        <w:ind w:firstLine="640" w:firstLineChars="200"/>
        <w:jc w:val="both"/>
        <w:textAlignment w:val="baseline"/>
        <w:rPr>
          <w:rFonts w:ascii="仿宋_GB2312" w:eastAsia="仿宋_GB2312" w:cs="DengXian-Regular"/>
          <w:sz w:val="32"/>
          <w:szCs w:val="32"/>
        </w:rPr>
      </w:pPr>
    </w:p>
    <w:p w14:paraId="2913A344">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13D3E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设置的年度发展规划总体目标为：</w:t>
      </w:r>
    </w:p>
    <w:p w14:paraId="2E9BD2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徐水区委政法委</w:t>
      </w:r>
      <w:r>
        <w:rPr>
          <w:rFonts w:hint="eastAsia" w:ascii="仿宋_GB2312" w:eastAsia="仿宋_GB2312" w:cs="DengXian-Regular"/>
          <w:sz w:val="32"/>
          <w:szCs w:val="32"/>
        </w:rPr>
        <w:t>工作要点，并监督实施。指导徐水</w:t>
      </w:r>
      <w:r>
        <w:rPr>
          <w:rFonts w:ascii="仿宋_GB2312" w:eastAsia="仿宋_GB2312" w:cs="DengXian-Regular"/>
          <w:sz w:val="32"/>
          <w:szCs w:val="32"/>
        </w:rPr>
        <w:t>区委政法委</w:t>
      </w:r>
      <w:r>
        <w:rPr>
          <w:rFonts w:hint="eastAsia" w:ascii="仿宋_GB2312" w:eastAsia="仿宋_GB2312" w:cs="DengXian-Regular"/>
          <w:sz w:val="32"/>
          <w:szCs w:val="32"/>
        </w:rPr>
        <w:t>各项工作。制定徐水</w:t>
      </w:r>
      <w:r>
        <w:rPr>
          <w:rFonts w:ascii="仿宋_GB2312" w:eastAsia="仿宋_GB2312" w:cs="DengXian-Regular"/>
          <w:sz w:val="32"/>
          <w:szCs w:val="32"/>
        </w:rPr>
        <w:t>区委政法委</w:t>
      </w:r>
      <w:r>
        <w:rPr>
          <w:rFonts w:hint="eastAsia" w:ascii="仿宋_GB2312" w:eastAsia="仿宋_GB2312" w:cs="DengXian-Regular"/>
          <w:sz w:val="32"/>
          <w:szCs w:val="32"/>
        </w:rPr>
        <w:t>各项规划并组织实施，指导检查徐水</w:t>
      </w:r>
      <w:r>
        <w:rPr>
          <w:rFonts w:ascii="仿宋_GB2312" w:eastAsia="仿宋_GB2312" w:cs="DengXian-Regular"/>
          <w:sz w:val="32"/>
          <w:szCs w:val="32"/>
        </w:rPr>
        <w:t>区委政法委</w:t>
      </w:r>
      <w:r>
        <w:rPr>
          <w:rFonts w:hint="eastAsia" w:ascii="仿宋_GB2312" w:eastAsia="仿宋_GB2312" w:cs="DengXian-Regular"/>
          <w:sz w:val="32"/>
          <w:szCs w:val="32"/>
        </w:rPr>
        <w:t>各项工作。负责徐水</w:t>
      </w:r>
      <w:r>
        <w:rPr>
          <w:rFonts w:ascii="仿宋_GB2312" w:eastAsia="仿宋_GB2312" w:cs="DengXian-Regular"/>
          <w:sz w:val="32"/>
          <w:szCs w:val="32"/>
        </w:rPr>
        <w:t>区委政法委</w:t>
      </w:r>
      <w:r>
        <w:rPr>
          <w:rFonts w:hint="eastAsia" w:ascii="仿宋_GB2312" w:eastAsia="仿宋_GB2312" w:cs="DengXian-Regular"/>
          <w:sz w:val="32"/>
          <w:szCs w:val="32"/>
        </w:rPr>
        <w:t>总体工作。</w:t>
      </w:r>
    </w:p>
    <w:p w14:paraId="4D98F8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2385563">
      <w:pPr>
        <w:spacing w:after="0" w:line="360" w:lineRule="auto"/>
        <w:ind w:firstLine="640" w:firstLineChars="200"/>
        <w:jc w:val="both"/>
        <w:textAlignment w:val="baseline"/>
        <w:rPr>
          <w:rFonts w:ascii="仿宋" w:hAnsi="仿宋" w:eastAsia="仿宋" w:cs="仿宋"/>
          <w:sz w:val="32"/>
          <w:szCs w:val="32"/>
        </w:rPr>
      </w:pPr>
      <w:r>
        <w:rPr>
          <w:rFonts w:hint="eastAsia" w:ascii="仿宋_GB2312" w:eastAsia="仿宋_GB2312" w:cs="DengXian-Regular"/>
          <w:sz w:val="32"/>
          <w:szCs w:val="32"/>
        </w:rPr>
        <w:t>1.</w:t>
      </w:r>
      <w:r>
        <w:rPr>
          <w:rFonts w:hint="eastAsia"/>
        </w:rPr>
        <w:t xml:space="preserve"> </w:t>
      </w:r>
      <w:r>
        <w:rPr>
          <w:rFonts w:hint="eastAsia" w:ascii="仿宋" w:hAnsi="仿宋" w:eastAsia="仿宋" w:cs="仿宋"/>
          <w:sz w:val="32"/>
          <w:szCs w:val="32"/>
        </w:rPr>
        <w:t>通过指导、协调和督导各部门，预防减少不稳定因素的发生，有效化解不稳定隐患、群体性事件和突发事件，全力做好区内各种重大活动安保工作，确保社会稳定。</w:t>
      </w:r>
    </w:p>
    <w:p w14:paraId="322400B4">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2.</w:t>
      </w:r>
      <w:r>
        <w:rPr>
          <w:rFonts w:hint="eastAsia"/>
        </w:rPr>
        <w:t xml:space="preserve"> </w:t>
      </w:r>
      <w:r>
        <w:rPr>
          <w:rFonts w:hint="eastAsia" w:ascii="仿宋" w:hAnsi="仿宋" w:eastAsia="仿宋" w:cs="仿宋"/>
          <w:sz w:val="32"/>
          <w:szCs w:val="32"/>
        </w:rPr>
        <w:t>充分发挥“雪亮工程”作用，实现“全域覆盖、全网共享、全时可用、全程可控”，提高全区安全系数；视频监控网络畅通，能够顺利开展工作。</w:t>
      </w:r>
    </w:p>
    <w:p w14:paraId="365681CC">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3.</w:t>
      </w:r>
      <w:r>
        <w:rPr>
          <w:rFonts w:hint="eastAsia"/>
        </w:rPr>
        <w:t xml:space="preserve"> </w:t>
      </w:r>
      <w:r>
        <w:rPr>
          <w:rFonts w:hint="eastAsia" w:ascii="仿宋" w:hAnsi="仿宋" w:eastAsia="仿宋" w:cs="仿宋"/>
          <w:sz w:val="32"/>
          <w:szCs w:val="32"/>
        </w:rPr>
        <w:t>做好全区铁路护路日常防护工作，确保全国两会及其他重要节点的铁路顺利畅通；确保护路队员劳务费按月及时支付。</w:t>
      </w:r>
    </w:p>
    <w:p w14:paraId="11281450">
      <w:pPr>
        <w:spacing w:line="360" w:lineRule="auto"/>
        <w:ind w:firstLine="640" w:firstLineChars="200"/>
        <w:rPr>
          <w:rFonts w:ascii="仿宋_GB2312" w:eastAsia="仿宋_GB2312" w:cs="DengXian-Regular"/>
          <w:sz w:val="32"/>
          <w:szCs w:val="32"/>
        </w:rPr>
      </w:pPr>
      <w:r>
        <w:rPr>
          <w:rFonts w:hint="eastAsia" w:ascii="仿宋_GB2312" w:eastAsia="仿宋_GB2312" w:cs="DengXian-Regular"/>
          <w:sz w:val="32"/>
          <w:szCs w:val="32"/>
        </w:rPr>
        <w:t>4、</w:t>
      </w:r>
      <w:r>
        <w:rPr>
          <w:rFonts w:hint="eastAsia" w:ascii="仿宋" w:hAnsi="仿宋" w:eastAsia="仿宋" w:cs="仿宋"/>
          <w:sz w:val="32"/>
          <w:szCs w:val="32"/>
        </w:rPr>
        <w:t>做好反邪教工作的防范控制、宣传教育、深挖打击等工作，维护社会安定、政治稳定；做好对邪教人员的教育转化工作。</w:t>
      </w:r>
      <w:bookmarkStart w:id="9" w:name="_Toc1678"/>
      <w:bookmarkStart w:id="10" w:name="_Toc465149500"/>
      <w:bookmarkStart w:id="11" w:name="_Toc492652766"/>
    </w:p>
    <w:p w14:paraId="747BA3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3EF08B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993.46</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993.46</w:t>
      </w:r>
      <w:r>
        <w:rPr>
          <w:rFonts w:hint="eastAsia" w:ascii="仿宋_GB2312" w:eastAsia="仿宋_GB2312" w:cs="DengXian-Regular"/>
          <w:sz w:val="32"/>
          <w:szCs w:val="32"/>
        </w:rPr>
        <w:t>万元，预算收入按功能分类包含：公共安全支出</w:t>
      </w:r>
      <w:r>
        <w:rPr>
          <w:rFonts w:hint="default" w:ascii="仿宋_GB2312" w:eastAsia="仿宋_GB2312" w:cs="DengXian-Regular"/>
          <w:sz w:val="32"/>
          <w:szCs w:val="32"/>
          <w:lang w:val="en-US"/>
        </w:rPr>
        <w:t>921.72</w:t>
      </w:r>
      <w:r>
        <w:rPr>
          <w:rFonts w:hint="eastAsia" w:ascii="仿宋_GB2312" w:eastAsia="仿宋_GB2312" w:cs="DengXian-Regular"/>
          <w:sz w:val="32"/>
          <w:szCs w:val="32"/>
        </w:rPr>
        <w:t>万元，社会保障和就业支出</w:t>
      </w:r>
      <w:r>
        <w:rPr>
          <w:rFonts w:hint="default" w:ascii="仿宋_GB2312" w:eastAsia="仿宋_GB2312" w:cs="DengXian-Regular"/>
          <w:sz w:val="32"/>
          <w:szCs w:val="32"/>
          <w:lang w:val="en-US"/>
        </w:rPr>
        <w:t>40.8</w:t>
      </w:r>
      <w:r>
        <w:rPr>
          <w:rFonts w:hint="eastAsia" w:ascii="仿宋_GB2312" w:eastAsia="仿宋_GB2312" w:cs="DengXian-Regular"/>
          <w:sz w:val="32"/>
          <w:szCs w:val="32"/>
        </w:rPr>
        <w:t>万元，医疗卫生与计划生育支出</w:t>
      </w:r>
      <w:r>
        <w:rPr>
          <w:rFonts w:hint="default" w:ascii="仿宋_GB2312" w:eastAsia="仿宋_GB2312" w:cs="DengXian-Regular"/>
          <w:sz w:val="32"/>
          <w:szCs w:val="32"/>
          <w:lang w:val="en-US"/>
        </w:rPr>
        <w:t>17.03</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13.91</w:t>
      </w:r>
      <w:r>
        <w:rPr>
          <w:rFonts w:hint="eastAsia" w:ascii="仿宋_GB2312" w:eastAsia="仿宋_GB2312" w:cs="DengXian-Regular"/>
          <w:sz w:val="32"/>
          <w:szCs w:val="32"/>
        </w:rPr>
        <w:t>万元。具体预算收入详见附件2。</w:t>
      </w:r>
    </w:p>
    <w:p w14:paraId="11BBB8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699.43</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693.16</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6.27</w:t>
      </w:r>
      <w:r>
        <w:rPr>
          <w:rFonts w:hint="eastAsia" w:ascii="仿宋_GB2312" w:eastAsia="仿宋_GB2312" w:cs="DengXian-Regular"/>
          <w:sz w:val="32"/>
          <w:szCs w:val="32"/>
        </w:rPr>
        <w:t>万元（全部为利息收入）。决算收入按功能分类包含：公共安全支出</w:t>
      </w:r>
      <w:r>
        <w:rPr>
          <w:rFonts w:hint="default" w:ascii="仿宋_GB2312" w:eastAsia="仿宋_GB2312" w:cs="DengXian-Regular"/>
          <w:sz w:val="32"/>
          <w:szCs w:val="32"/>
          <w:lang w:val="en-US"/>
        </w:rPr>
        <w:t>641.98</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91.79</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32.94</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4.71</w:t>
      </w:r>
      <w:r>
        <w:rPr>
          <w:rFonts w:hint="eastAsia" w:ascii="仿宋_GB2312" w:eastAsia="仿宋_GB2312" w:cs="DengXian-Regular"/>
          <w:sz w:val="32"/>
          <w:szCs w:val="32"/>
        </w:rPr>
        <w:t>%；医疗卫生与计划生育支出</w:t>
      </w:r>
      <w:r>
        <w:rPr>
          <w:rFonts w:hint="default" w:ascii="仿宋_GB2312" w:eastAsia="仿宋_GB2312" w:cs="DengXian-Regular"/>
          <w:sz w:val="32"/>
          <w:szCs w:val="32"/>
          <w:lang w:val="en-US"/>
        </w:rPr>
        <w:t>12.15</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1.74</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12.37</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1.76</w:t>
      </w:r>
      <w:r>
        <w:rPr>
          <w:rFonts w:hint="eastAsia" w:ascii="仿宋_GB2312" w:eastAsia="仿宋_GB2312" w:cs="DengXian-Regular"/>
          <w:sz w:val="32"/>
          <w:szCs w:val="32"/>
        </w:rPr>
        <w:t>%。具体决算收入详见附件</w:t>
      </w:r>
    </w:p>
    <w:p w14:paraId="24C01B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4AD866ED">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lang w:eastAsia="zh-CN"/>
        </w:rPr>
        <w:t>政法委</w:t>
      </w:r>
      <w:r>
        <w:rPr>
          <w:rFonts w:hint="eastAsia" w:asciiTheme="minorEastAsia" w:hAnsiTheme="minorEastAsia" w:eastAsiaTheme="minorEastAsia" w:cstheme="minorEastAsia"/>
          <w:b/>
          <w:bCs/>
          <w:sz w:val="32"/>
          <w:szCs w:val="32"/>
        </w:rPr>
        <w:t>决算收入结构图</w:t>
      </w:r>
    </w:p>
    <w:p w14:paraId="0BFE34AC">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32DFD08">
      <w:pPr>
        <w:spacing w:after="0" w:line="540" w:lineRule="exact"/>
        <w:ind w:firstLine="640" w:firstLineChars="200"/>
        <w:jc w:val="both"/>
        <w:rPr>
          <w:rFonts w:ascii="仿宋_GB2312" w:eastAsia="仿宋_GB2312" w:cs="Times New Roman" w:hAnsiTheme="minorEastAsia"/>
          <w:sz w:val="32"/>
          <w:szCs w:val="32"/>
          <w:u w:color="000000"/>
        </w:rPr>
      </w:pPr>
    </w:p>
    <w:p w14:paraId="63A03ED9">
      <w:pPr>
        <w:spacing w:after="0" w:line="540" w:lineRule="exact"/>
        <w:ind w:firstLine="640" w:firstLineChars="200"/>
        <w:jc w:val="both"/>
        <w:rPr>
          <w:rFonts w:ascii="仿宋_GB2312" w:eastAsia="仿宋_GB2312" w:cs="DengXian-Regular"/>
          <w:sz w:val="32"/>
          <w:szCs w:val="32"/>
        </w:rPr>
      </w:pPr>
    </w:p>
    <w:p w14:paraId="1F184C19">
      <w:pPr>
        <w:spacing w:after="0" w:line="540" w:lineRule="exact"/>
        <w:ind w:firstLine="640" w:firstLineChars="200"/>
        <w:jc w:val="both"/>
        <w:rPr>
          <w:rFonts w:ascii="仿宋_GB2312" w:eastAsia="仿宋_GB2312" w:cs="DengXian-Regular"/>
          <w:sz w:val="32"/>
          <w:szCs w:val="32"/>
        </w:rPr>
      </w:pPr>
    </w:p>
    <w:p w14:paraId="0A863D16">
      <w:pPr>
        <w:spacing w:after="0" w:line="540" w:lineRule="exact"/>
        <w:ind w:firstLine="640" w:firstLineChars="200"/>
        <w:jc w:val="both"/>
        <w:rPr>
          <w:rFonts w:ascii="仿宋_GB2312" w:eastAsia="仿宋_GB2312" w:cs="DengXian-Regular"/>
          <w:sz w:val="32"/>
          <w:szCs w:val="32"/>
        </w:rPr>
      </w:pPr>
    </w:p>
    <w:p w14:paraId="4F3940AB">
      <w:pPr>
        <w:spacing w:after="0" w:line="540" w:lineRule="exact"/>
        <w:ind w:firstLine="640" w:firstLineChars="200"/>
        <w:jc w:val="both"/>
        <w:rPr>
          <w:rFonts w:ascii="仿宋_GB2312" w:eastAsia="仿宋_GB2312" w:cs="DengXian-Regular"/>
          <w:sz w:val="32"/>
          <w:szCs w:val="32"/>
        </w:rPr>
      </w:pPr>
    </w:p>
    <w:p w14:paraId="7753F774">
      <w:pPr>
        <w:spacing w:after="0" w:line="540" w:lineRule="exact"/>
        <w:ind w:firstLine="640" w:firstLineChars="200"/>
        <w:jc w:val="both"/>
        <w:rPr>
          <w:rFonts w:ascii="仿宋_GB2312" w:eastAsia="仿宋_GB2312" w:cs="DengXian-Regular"/>
          <w:sz w:val="32"/>
          <w:szCs w:val="32"/>
        </w:rPr>
      </w:pPr>
    </w:p>
    <w:p w14:paraId="13537FE6">
      <w:pPr>
        <w:spacing w:after="0" w:line="540" w:lineRule="exact"/>
        <w:ind w:firstLine="640" w:firstLineChars="200"/>
        <w:jc w:val="both"/>
        <w:rPr>
          <w:rFonts w:ascii="仿宋_GB2312" w:eastAsia="仿宋_GB2312" w:cs="DengXian-Regular"/>
          <w:sz w:val="32"/>
          <w:szCs w:val="32"/>
        </w:rPr>
      </w:pPr>
    </w:p>
    <w:p w14:paraId="644B5FE7">
      <w:pPr>
        <w:spacing w:after="0" w:line="540" w:lineRule="exact"/>
        <w:ind w:firstLine="640" w:firstLineChars="200"/>
        <w:jc w:val="both"/>
        <w:rPr>
          <w:rFonts w:ascii="仿宋_GB2312" w:eastAsia="仿宋_GB2312" w:cs="DengXian-Regular"/>
          <w:sz w:val="32"/>
          <w:szCs w:val="32"/>
        </w:rPr>
      </w:pPr>
    </w:p>
    <w:p w14:paraId="118EBE2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一般公共预算财政拨款决算收入比年初预算减少</w:t>
      </w:r>
      <w:r>
        <w:rPr>
          <w:rFonts w:hint="default" w:ascii="仿宋_GB2312" w:eastAsia="仿宋_GB2312" w:cs="DengXian-Regular"/>
          <w:sz w:val="32"/>
          <w:szCs w:val="32"/>
          <w:lang w:val="en-US"/>
        </w:rPr>
        <w:t>300.31</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69.77</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ascii="仿宋_GB2312" w:hAnsi="Times New Roman" w:eastAsia="仿宋_GB2312" w:cs="Wingdings"/>
          <w:color w:val="000000" w:themeColor="text1"/>
          <w:sz w:val="32"/>
          <w:szCs w:val="32"/>
          <w14:textFill>
            <w14:solidFill>
              <w14:schemeClr w14:val="tx1"/>
            </w14:solidFill>
          </w14:textFill>
        </w:rPr>
        <w:t>合理预算，削减财政预算收入</w:t>
      </w:r>
      <w:r>
        <w:rPr>
          <w:rFonts w:hint="eastAsia" w:ascii="仿宋_GB2312" w:eastAsia="仿宋_GB2312" w:cs="DengXian-Regular"/>
          <w:sz w:val="32"/>
          <w:szCs w:val="32"/>
        </w:rPr>
        <w:t>。预算收入与决算收入对比情况见图2。</w:t>
      </w:r>
    </w:p>
    <w:p w14:paraId="0AE5FD1C">
      <w:pPr>
        <w:spacing w:after="0" w:line="360" w:lineRule="auto"/>
        <w:jc w:val="center"/>
        <w:rPr>
          <w:rFonts w:ascii="仿宋_GB2312" w:eastAsia="仿宋_GB2312" w:cs="Times New Roman" w:hAnsiTheme="minorEastAsia"/>
          <w:bCs/>
          <w:sz w:val="32"/>
          <w:szCs w:val="32"/>
          <w:highlight w:val="none"/>
          <w:u w:color="000000"/>
        </w:rPr>
      </w:pPr>
      <w:r>
        <w:rPr>
          <w:rFonts w:hint="eastAsia" w:asciiTheme="minorEastAsia" w:hAnsiTheme="minorEastAsia" w:eastAsiaTheme="minorEastAsia" w:cstheme="minorEastAsia"/>
          <w:b/>
          <w:sz w:val="32"/>
          <w:szCs w:val="32"/>
          <w:highlight w:val="none"/>
          <w:u w:color="000000"/>
        </w:rPr>
        <w:t>图2  202</w:t>
      </w:r>
      <w:r>
        <w:rPr>
          <w:rFonts w:hint="default" w:asciiTheme="minorEastAsia" w:hAnsiTheme="minorEastAsia" w:eastAsiaTheme="minorEastAsia" w:cstheme="minorEastAsia"/>
          <w:b/>
          <w:sz w:val="32"/>
          <w:szCs w:val="32"/>
          <w:highlight w:val="none"/>
          <w:u w:color="000000"/>
          <w:lang w:val="en-US"/>
        </w:rPr>
        <w:t>2</w:t>
      </w:r>
      <w:r>
        <w:rPr>
          <w:rFonts w:hint="eastAsia" w:asciiTheme="minorEastAsia" w:hAnsiTheme="minorEastAsia" w:eastAsiaTheme="minorEastAsia" w:cstheme="minorEastAsia"/>
          <w:b/>
          <w:sz w:val="32"/>
          <w:szCs w:val="32"/>
          <w:highlight w:val="none"/>
          <w:u w:color="000000"/>
        </w:rPr>
        <w:t>年度区</w:t>
      </w:r>
      <w:r>
        <w:rPr>
          <w:rFonts w:hint="eastAsia" w:ascii="仿宋_GB2312" w:eastAsia="仿宋_GB2312" w:cs="DengXian-Regular"/>
          <w:sz w:val="32"/>
          <w:szCs w:val="32"/>
          <w:highlight w:val="none"/>
          <w:lang w:eastAsia="zh-CN"/>
        </w:rPr>
        <w:t>政法委</w:t>
      </w:r>
      <w:r>
        <w:rPr>
          <w:rFonts w:hint="eastAsia" w:asciiTheme="minorEastAsia" w:hAnsiTheme="minorEastAsia" w:eastAsiaTheme="minorEastAsia" w:cstheme="minorEastAsia"/>
          <w:b/>
          <w:sz w:val="32"/>
          <w:szCs w:val="32"/>
          <w:highlight w:val="none"/>
          <w:u w:color="000000"/>
        </w:rPr>
        <w:t>预算收入与决算收入对比图</w:t>
      </w:r>
    </w:p>
    <w:p w14:paraId="16A7FB17">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132080</wp:posOffset>
            </wp:positionH>
            <wp:positionV relativeFrom="paragraph">
              <wp:posOffset>-902970</wp:posOffset>
            </wp:positionV>
            <wp:extent cx="5320030" cy="3118485"/>
            <wp:effectExtent l="4445" t="4445" r="9525" b="2032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69B90B8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993.46</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503.61</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489.85</w:t>
      </w:r>
      <w:r>
        <w:rPr>
          <w:rFonts w:hint="eastAsia" w:ascii="仿宋_GB2312" w:eastAsia="仿宋_GB2312" w:cs="Times New Roman" w:hAnsiTheme="minorEastAsia"/>
          <w:sz w:val="32"/>
          <w:szCs w:val="32"/>
          <w:u w:color="000000"/>
        </w:rPr>
        <w:t>万元。预算支出按功能分类包含：公共安全支出</w:t>
      </w:r>
      <w:r>
        <w:rPr>
          <w:rFonts w:hint="default" w:ascii="仿宋_GB2312" w:eastAsia="仿宋_GB2312" w:cs="Times New Roman" w:hAnsiTheme="minorEastAsia"/>
          <w:sz w:val="32"/>
          <w:szCs w:val="32"/>
          <w:u w:color="000000"/>
          <w:lang w:val="en-US"/>
        </w:rPr>
        <w:t>921.72</w:t>
      </w:r>
      <w:r>
        <w:rPr>
          <w:rFonts w:hint="eastAsia" w:ascii="仿宋_GB2312" w:eastAsia="仿宋_GB2312" w:cs="Times New Roman" w:hAnsiTheme="minorEastAsia"/>
          <w:sz w:val="32"/>
          <w:szCs w:val="32"/>
          <w:u w:color="000000"/>
        </w:rPr>
        <w:t>万元，社会保障和就业支出</w:t>
      </w:r>
      <w:r>
        <w:rPr>
          <w:rFonts w:hint="default" w:ascii="仿宋_GB2312" w:eastAsia="仿宋_GB2312" w:cs="Times New Roman" w:hAnsiTheme="minorEastAsia"/>
          <w:sz w:val="32"/>
          <w:szCs w:val="32"/>
          <w:u w:color="000000"/>
          <w:lang w:val="en-US"/>
        </w:rPr>
        <w:t>40.80</w:t>
      </w:r>
      <w:r>
        <w:rPr>
          <w:rFonts w:hint="eastAsia" w:ascii="仿宋_GB2312" w:eastAsia="仿宋_GB2312" w:cs="Times New Roman" w:hAnsiTheme="minorEastAsia"/>
          <w:sz w:val="32"/>
          <w:szCs w:val="32"/>
          <w:u w:color="000000"/>
        </w:rPr>
        <w:t>万元，医疗卫生与计划教育支出</w:t>
      </w:r>
      <w:r>
        <w:rPr>
          <w:rFonts w:hint="default" w:ascii="仿宋_GB2312" w:eastAsia="仿宋_GB2312" w:cs="Times New Roman" w:hAnsiTheme="minorEastAsia"/>
          <w:sz w:val="32"/>
          <w:szCs w:val="32"/>
          <w:u w:color="000000"/>
          <w:lang w:val="en-US"/>
        </w:rPr>
        <w:t>17.03</w:t>
      </w:r>
      <w:r>
        <w:rPr>
          <w:rFonts w:hint="eastAsia" w:ascii="仿宋_GB2312" w:eastAsia="仿宋_GB2312" w:cs="Times New Roman" w:hAnsiTheme="minorEastAsia"/>
          <w:sz w:val="32"/>
          <w:szCs w:val="32"/>
          <w:u w:color="000000"/>
        </w:rPr>
        <w:t>万元，住房保障支出</w:t>
      </w:r>
      <w:r>
        <w:rPr>
          <w:rFonts w:hint="default" w:ascii="仿宋_GB2312" w:eastAsia="仿宋_GB2312" w:cs="Times New Roman" w:hAnsiTheme="minorEastAsia"/>
          <w:sz w:val="32"/>
          <w:szCs w:val="32"/>
          <w:u w:color="000000"/>
          <w:lang w:val="en-US"/>
        </w:rPr>
        <w:t>13.91</w:t>
      </w:r>
      <w:r>
        <w:rPr>
          <w:rFonts w:hint="eastAsia" w:ascii="仿宋_GB2312" w:eastAsia="仿宋_GB2312" w:cs="Times New Roman" w:hAnsiTheme="minorEastAsia"/>
          <w:sz w:val="32"/>
          <w:szCs w:val="32"/>
          <w:u w:color="000000"/>
        </w:rPr>
        <w:t>万元。具体预算支出详见附件2。</w:t>
      </w:r>
    </w:p>
    <w:p w14:paraId="201D8C9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699.43</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442.49</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256.94</w:t>
      </w:r>
      <w:r>
        <w:rPr>
          <w:rFonts w:hint="eastAsia" w:ascii="仿宋_GB2312" w:eastAsia="仿宋_GB2312" w:cs="Times New Roman" w:hAnsiTheme="minorEastAsia"/>
          <w:sz w:val="32"/>
          <w:szCs w:val="32"/>
          <w:u w:color="000000"/>
        </w:rPr>
        <w:t>万元。决算支出按功能分类包含：公共安全支出</w:t>
      </w:r>
      <w:r>
        <w:rPr>
          <w:rFonts w:hint="default" w:ascii="仿宋_GB2312" w:eastAsia="仿宋_GB2312" w:cs="Times New Roman" w:hAnsiTheme="minorEastAsia"/>
          <w:sz w:val="32"/>
          <w:szCs w:val="32"/>
          <w:u w:color="000000"/>
          <w:lang w:val="en-US"/>
        </w:rPr>
        <w:t>641.96</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91.78</w:t>
      </w:r>
      <w:r>
        <w:rPr>
          <w:rFonts w:hint="eastAsia" w:ascii="仿宋_GB2312" w:eastAsia="仿宋_GB2312" w:cs="Times New Roman" w:hAnsiTheme="minorEastAsia"/>
          <w:sz w:val="32"/>
          <w:szCs w:val="32"/>
          <w:u w:color="000000"/>
        </w:rPr>
        <w:t>%；社会保障和就业支出</w:t>
      </w:r>
      <w:r>
        <w:rPr>
          <w:rFonts w:hint="default" w:ascii="仿宋_GB2312" w:eastAsia="仿宋_GB2312" w:cs="Times New Roman" w:hAnsiTheme="minorEastAsia"/>
          <w:sz w:val="32"/>
          <w:szCs w:val="32"/>
          <w:u w:color="000000"/>
          <w:lang w:val="en-US"/>
        </w:rPr>
        <w:t>32.94</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4.71</w:t>
      </w:r>
      <w:r>
        <w:rPr>
          <w:rFonts w:hint="eastAsia" w:ascii="仿宋_GB2312" w:eastAsia="仿宋_GB2312" w:cs="Times New Roman" w:hAnsiTheme="minorEastAsia"/>
          <w:sz w:val="32"/>
          <w:szCs w:val="32"/>
          <w:u w:color="000000"/>
        </w:rPr>
        <w:t>%；医疗卫生与计划教育支出</w:t>
      </w:r>
      <w:r>
        <w:rPr>
          <w:rFonts w:hint="default" w:ascii="仿宋_GB2312" w:eastAsia="仿宋_GB2312" w:cs="Times New Roman" w:hAnsiTheme="minorEastAsia"/>
          <w:sz w:val="32"/>
          <w:szCs w:val="32"/>
          <w:u w:color="000000"/>
          <w:lang w:val="en-US"/>
        </w:rPr>
        <w:t>12.15</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1.74</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12.37</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1.77</w:t>
      </w:r>
      <w:r>
        <w:rPr>
          <w:rFonts w:hint="eastAsia" w:ascii="仿宋_GB2312" w:eastAsia="仿宋_GB2312" w:cs="Times New Roman" w:hAnsiTheme="minorEastAsia"/>
          <w:sz w:val="32"/>
          <w:szCs w:val="32"/>
          <w:u w:color="000000"/>
        </w:rPr>
        <w:t>%。具体决算支出详见附件2。</w:t>
      </w:r>
    </w:p>
    <w:p w14:paraId="54CDDC5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0E9818AB">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hint="eastAsia" w:asciiTheme="minorEastAsia" w:hAnsiTheme="minorEastAsia" w:eastAsiaTheme="minorEastAsia" w:cstheme="minorEastAsia"/>
          <w:b/>
          <w:bCs/>
          <w:sz w:val="32"/>
          <w:szCs w:val="32"/>
          <w:u w:color="000000"/>
        </w:rPr>
        <w:t>决算支出结构图</w:t>
      </w:r>
    </w:p>
    <w:p w14:paraId="2B026B6C">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rPr>
        <w:t>294.03</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70.40</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ascii="仿宋_GB2312" w:hAnsi="Times New Roman" w:eastAsia="仿宋_GB2312" w:cs="Wingdings"/>
          <w:color w:val="000000" w:themeColor="text1"/>
          <w:sz w:val="32"/>
          <w:szCs w:val="32"/>
          <w14:textFill>
            <w14:solidFill>
              <w14:schemeClr w14:val="tx1"/>
            </w14:solidFill>
          </w14:textFill>
        </w:rPr>
        <w:t>合理预算，削减财政预算</w:t>
      </w:r>
      <w:r>
        <w:rPr>
          <w:rFonts w:hint="eastAsia" w:ascii="仿宋_GB2312" w:hAnsi="Times New Roman" w:eastAsia="仿宋_GB2312" w:cs="Wingdings"/>
          <w:color w:val="000000" w:themeColor="text1"/>
          <w:sz w:val="32"/>
          <w:szCs w:val="32"/>
          <w:lang w:eastAsia="zh-CN"/>
          <w14:textFill>
            <w14:solidFill>
              <w14:schemeClr w14:val="tx1"/>
            </w14:solidFill>
          </w14:textFill>
        </w:rPr>
        <w:t>支出</w:t>
      </w:r>
      <w:r>
        <w:rPr>
          <w:rFonts w:hint="eastAsia" w:ascii="仿宋" w:hAnsi="仿宋" w:eastAsia="仿宋"/>
          <w:snapToGrid w:val="0"/>
          <w:sz w:val="32"/>
          <w:szCs w:val="32"/>
        </w:rPr>
        <w:t>。预算支出与决算支出对比情况如图4。</w:t>
      </w:r>
    </w:p>
    <w:p w14:paraId="4256D5D4">
      <w:pPr>
        <w:spacing w:after="0" w:line="360" w:lineRule="auto"/>
        <w:jc w:val="center"/>
        <w:rPr>
          <w:rFonts w:hint="eastAsia" w:asciiTheme="minorEastAsia" w:hAnsiTheme="minorEastAsia" w:eastAsiaTheme="minorEastAsia" w:cstheme="minorEastAsia"/>
          <w:b/>
          <w:bCs/>
          <w:sz w:val="32"/>
          <w:szCs w:val="32"/>
          <w:highlight w:val="red"/>
        </w:rPr>
      </w:pPr>
      <w:r>
        <w:rPr>
          <w:rFonts w:hint="eastAsia" w:asciiTheme="minorEastAsia" w:hAnsiTheme="minorEastAsia" w:eastAsiaTheme="minorEastAsia" w:cstheme="minorEastAsia"/>
          <w:b/>
          <w:bCs/>
          <w:sz w:val="32"/>
          <w:szCs w:val="32"/>
        </w:rPr>
        <w:t xml:space="preserve">图4 </w:t>
      </w:r>
      <w:r>
        <w:rPr>
          <w:rFonts w:hint="eastAsia" w:asciiTheme="minorEastAsia" w:hAnsiTheme="minorEastAsia" w:eastAsiaTheme="minorEastAsia" w:cstheme="minorEastAsia"/>
          <w:b/>
          <w:bCs/>
          <w:sz w:val="32"/>
          <w:szCs w:val="32"/>
          <w:highlight w:val="none"/>
        </w:rPr>
        <w:t xml:space="preserve"> </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年度区</w:t>
      </w:r>
      <w:r>
        <w:rPr>
          <w:rFonts w:hint="eastAsia" w:ascii="仿宋_GB2312" w:eastAsia="仿宋_GB2312" w:cs="DengXian-Regular"/>
          <w:sz w:val="32"/>
          <w:szCs w:val="32"/>
          <w:highlight w:val="none"/>
          <w:lang w:eastAsia="zh-CN"/>
        </w:rPr>
        <w:t>政法委</w:t>
      </w:r>
      <w:r>
        <w:rPr>
          <w:rFonts w:hint="eastAsia" w:asciiTheme="minorEastAsia" w:hAnsiTheme="minorEastAsia" w:eastAsiaTheme="minorEastAsia" w:cstheme="minorEastAsia"/>
          <w:b/>
          <w:bCs/>
          <w:sz w:val="32"/>
          <w:szCs w:val="32"/>
          <w:highlight w:val="none"/>
        </w:rPr>
        <w:t>预算支出与决算支出对比图</w:t>
      </w:r>
    </w:p>
    <w:p w14:paraId="50A752B0">
      <w:pPr>
        <w:spacing w:after="0" w:line="360" w:lineRule="auto"/>
        <w:jc w:val="center"/>
        <w:rPr>
          <w:rFonts w:hint="eastAsia" w:asciiTheme="minorEastAsia" w:hAnsiTheme="minorEastAsia" w:eastAsiaTheme="minorEastAsia" w:cstheme="minorEastAsia"/>
          <w:b/>
          <w:bCs/>
          <w:sz w:val="32"/>
          <w:szCs w:val="32"/>
          <w:highlight w:val="red"/>
        </w:rPr>
      </w:pPr>
      <w:r>
        <w:drawing>
          <wp:inline distT="0" distB="0" distL="114300" distR="114300">
            <wp:extent cx="5276215" cy="2676525"/>
            <wp:effectExtent l="4445" t="4445" r="1524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3D6DE6">
      <w:pPr>
        <w:spacing w:after="0" w:line="360" w:lineRule="auto"/>
        <w:jc w:val="center"/>
        <w:rPr>
          <w:rFonts w:hint="eastAsia" w:asciiTheme="minorEastAsia" w:hAnsiTheme="minorEastAsia" w:eastAsiaTheme="minorEastAsia" w:cstheme="minorEastAsia"/>
          <w:b/>
          <w:bCs/>
          <w:sz w:val="32"/>
          <w:szCs w:val="32"/>
          <w:highlight w:val="red"/>
        </w:rPr>
      </w:pPr>
    </w:p>
    <w:p w14:paraId="44300499">
      <w:pPr>
        <w:spacing w:after="0" w:line="360" w:lineRule="auto"/>
        <w:jc w:val="both"/>
        <w:rPr>
          <w:rFonts w:hint="eastAsia" w:asciiTheme="minorEastAsia" w:hAnsiTheme="minorEastAsia" w:eastAsiaTheme="minorEastAsia" w:cstheme="minorEastAsia"/>
          <w:b/>
          <w:bCs/>
          <w:sz w:val="32"/>
          <w:szCs w:val="32"/>
          <w:highlight w:val="red"/>
        </w:rPr>
      </w:pPr>
    </w:p>
    <w:p w14:paraId="30B4B542">
      <w:pPr>
        <w:spacing w:after="0" w:line="360" w:lineRule="auto"/>
        <w:jc w:val="center"/>
        <w:rPr>
          <w:rFonts w:hint="eastAsia" w:asciiTheme="minorEastAsia" w:hAnsiTheme="minorEastAsia" w:eastAsiaTheme="minorEastAsia" w:cstheme="minorEastAsia"/>
          <w:b/>
          <w:bCs/>
          <w:sz w:val="32"/>
          <w:szCs w:val="32"/>
          <w:highlight w:val="red"/>
        </w:rPr>
      </w:pPr>
    </w:p>
    <w:p w14:paraId="7E48632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256.92</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256.92</w:t>
      </w:r>
      <w:r>
        <w:rPr>
          <w:rFonts w:hint="eastAsia" w:ascii="仿宋_GB2312" w:eastAsia="仿宋_GB2312" w:cs="DengXian-Regular"/>
          <w:sz w:val="32"/>
          <w:szCs w:val="32"/>
        </w:rPr>
        <w:t>万元，实际支出与决算报表</w:t>
      </w:r>
      <w:r>
        <w:rPr>
          <w:rFonts w:hint="eastAsia" w:ascii="仿宋_GB2312" w:eastAsia="仿宋_GB2312" w:cs="DengXian-Regular"/>
          <w:sz w:val="32"/>
          <w:szCs w:val="32"/>
          <w:lang w:eastAsia="zh-CN"/>
        </w:rPr>
        <w:t>一致。</w:t>
      </w:r>
    </w:p>
    <w:p w14:paraId="68EF4E32">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14:paraId="3C7CD3B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5.34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0.48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5.34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0.48</w:t>
      </w:r>
      <w:r>
        <w:rPr>
          <w:rFonts w:hint="eastAsia" w:ascii="仿宋_GB2312" w:eastAsia="仿宋_GB2312" w:cs="DengXian-Regular"/>
          <w:sz w:val="32"/>
          <w:szCs w:val="32"/>
        </w:rPr>
        <w:t>万元），202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年预算数相比</w:t>
      </w:r>
      <w:r>
        <w:rPr>
          <w:rFonts w:hint="eastAsia" w:ascii="仿宋_GB2312" w:eastAsia="仿宋_GB2312" w:cs="DengXian-Regular"/>
          <w:sz w:val="32"/>
          <w:szCs w:val="32"/>
          <w:lang w:eastAsia="zh-CN"/>
        </w:rPr>
        <w:t>公务用车运行维护费减少</w:t>
      </w:r>
      <w:r>
        <w:rPr>
          <w:rFonts w:hint="default" w:ascii="仿宋_GB2312" w:eastAsia="仿宋_GB2312" w:cs="DengXian-Regular"/>
          <w:sz w:val="32"/>
          <w:szCs w:val="32"/>
          <w:lang w:val="en-US" w:eastAsia="zh-CN"/>
        </w:rPr>
        <w:t>10.14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hint="eastAsia" w:ascii="仿宋_GB2312" w:eastAsia="仿宋_GB2312" w:cs="DengXian-Regular"/>
          <w:sz w:val="32"/>
          <w:szCs w:val="32"/>
          <w:lang w:eastAsia="zh-CN"/>
        </w:rPr>
        <w:t>公务接待费减少</w:t>
      </w:r>
      <w:r>
        <w:rPr>
          <w:rFonts w:hint="default" w:ascii="仿宋_GB2312" w:eastAsia="仿宋_GB2312" w:cs="DengXian-Regular"/>
          <w:sz w:val="32"/>
          <w:szCs w:val="32"/>
          <w:lang w:val="en-US" w:eastAsia="zh-CN"/>
        </w:rPr>
        <w:t>2.32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具体详见表1。</w:t>
      </w:r>
    </w:p>
    <w:p w14:paraId="3481902E">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Theme="minorEastAsia" w:hAnsiTheme="minorEastAsia" w:eastAsiaTheme="minorEastAsia" w:cstheme="minorEastAsia"/>
          <w:b/>
          <w:bCs/>
          <w:sz w:val="32"/>
          <w:szCs w:val="32"/>
        </w:rPr>
        <w:t>“三公”经费预算及决算明细表</w:t>
      </w:r>
    </w:p>
    <w:p w14:paraId="446A1AD9">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BC450FF">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8628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0237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18928">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C5293B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0A09">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2CC8372">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DC4EA">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C792C">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A87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1F46B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C6BF2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0B88F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2CD68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12155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73BDD13">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BB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36BB7E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E8A0">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A06E">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8731">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BD952">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9FFC41">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2C5D10">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4690F31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0C7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CE6CA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9A7C">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220F">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6.65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7433">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8D5E">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4.86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8FF1EF">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10.14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563930">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1.79</w:t>
            </w:r>
          </w:p>
        </w:tc>
      </w:tr>
      <w:tr w14:paraId="12247D2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67B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93C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C2E6">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948F">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0.54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CEFD">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0.48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C5B0">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0.48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04BBD3">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2.32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CB097">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0.06</w:t>
            </w:r>
          </w:p>
        </w:tc>
      </w:tr>
      <w:tr w14:paraId="08F906C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C9D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C1959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77DA">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BC24">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7.18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41C0">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5.34</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800437">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color w:val="000000"/>
                <w:sz w:val="21"/>
                <w:szCs w:val="21"/>
                <w:lang w:val="en-US"/>
              </w:rPr>
              <w:t>5.34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B2D29">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12.46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6AA0B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1.85</w:t>
            </w:r>
          </w:p>
        </w:tc>
      </w:tr>
    </w:tbl>
    <w:p w14:paraId="713F93E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公务</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与预算数一致，</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预算数减少</w:t>
      </w:r>
      <w:r>
        <w:rPr>
          <w:rFonts w:hint="default" w:ascii="仿宋_GB2312" w:eastAsia="仿宋_GB2312" w:cs="DengXian-Regular"/>
          <w:sz w:val="32"/>
          <w:szCs w:val="32"/>
          <w:lang w:val="en-US" w:eastAsia="zh-CN"/>
        </w:rPr>
        <w:t>10.14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1.79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p>
    <w:p w14:paraId="62C0AF4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0.48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0.48</w:t>
      </w:r>
      <w:r>
        <w:rPr>
          <w:rFonts w:hint="eastAsia" w:ascii="仿宋_GB2312" w:eastAsia="仿宋_GB2312" w:cs="DengXian-Regular"/>
          <w:sz w:val="32"/>
          <w:szCs w:val="32"/>
        </w:rPr>
        <w:t>万元，比预算</w:t>
      </w:r>
      <w:r>
        <w:rPr>
          <w:rFonts w:hint="eastAsia" w:ascii="仿宋_GB2312" w:eastAsia="仿宋_GB2312" w:cs="DengXian-Regular"/>
          <w:sz w:val="32"/>
          <w:szCs w:val="32"/>
          <w:lang w:eastAsia="zh-CN"/>
        </w:rPr>
        <w:t>一致。</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2.32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0.06</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p>
    <w:p w14:paraId="5EE71067">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27628AF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14:paraId="5A73833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4E32BCF0">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1AA23DC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C1B095C">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6574D0BA">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785B6E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FCF29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3975267">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160F4DE4">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75D190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9A0C8DD">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82515C1">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13973D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35130EDD">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1F81C8B5">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3E8FB251">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D565F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5C8A95DD">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4828BC33">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B7240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30F166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61E7E4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6F0970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87CA0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21591D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0B87B0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6437C50B">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329958E5">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7F7E533">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7476EC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E9B7D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43BAA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DDD33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2E7CA51B">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43CC9780">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54D911AB">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1D5CB6DA">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64BD3594">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3A0E55D1">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61858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1BA2F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2946D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02FC45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0BFA3B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相关资料的收集，制定绩效评价实施方案和体系,确定最终方案。</w:t>
      </w:r>
    </w:p>
    <w:p w14:paraId="59462F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3A003C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0E9ADC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22CB89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55CED88F">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595924C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highlight w:val="none"/>
          <w:lang w:val="en-US"/>
        </w:rPr>
        <w:t>97.4</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7B7C7123">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0F04C7A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631F053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534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72066B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591245C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D7476A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95F1CD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52DBFA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7EF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C8C0B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501F221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21FA221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1783B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7A7B61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42ABAC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F83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C9F5A8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13A291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8F6EE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607B6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5D8570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C59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0B99EF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F33A31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CE1886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1C2DB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C60D45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5D1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4EBF72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B8FF6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50DB25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6BD158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5E2E36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8C3DC2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4750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EC1610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BF71EB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2B304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2EFEA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256A7C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B8F0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EA605E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92C8D7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9F998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6E5EC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A84D73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66D0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10C70E11">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5D9A72C9">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08590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6075B5A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14:paraId="031CAD97">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5259E0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428D30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18AB3C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39A9DB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960A2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52F082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8C3F8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3036A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6A4BFD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5892F5F">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99819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6</w:t>
      </w:r>
      <w:r>
        <w:rPr>
          <w:rFonts w:hint="eastAsia" w:ascii="仿宋_GB2312" w:eastAsia="仿宋_GB2312" w:cs="DengXian-Regular"/>
          <w:sz w:val="32"/>
          <w:szCs w:val="32"/>
        </w:rPr>
        <w:t>分。</w:t>
      </w:r>
    </w:p>
    <w:p w14:paraId="6C2B93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88787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EC140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8F82A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所有收入均已纳入部门预算，部门支出按基本支出、项目支出分别编制。</w:t>
      </w:r>
    </w:p>
    <w:p w14:paraId="708C50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300B84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683E40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D542B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88AE7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政法委部门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9</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256.92</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256.92</w:t>
      </w:r>
      <w:r>
        <w:rPr>
          <w:rFonts w:hint="eastAsia" w:ascii="仿宋_GB2312" w:eastAsia="仿宋_GB2312" w:cs="DengXian-Regular"/>
          <w:sz w:val="32"/>
          <w:szCs w:val="32"/>
        </w:rPr>
        <w:t>/</w:t>
      </w:r>
      <w:r>
        <w:rPr>
          <w:rFonts w:hint="default" w:ascii="仿宋_GB2312" w:eastAsia="仿宋_GB2312" w:cs="DengXian-Regular"/>
          <w:sz w:val="32"/>
          <w:szCs w:val="32"/>
          <w:lang w:val="en-US"/>
        </w:rPr>
        <w:t>256.92</w:t>
      </w:r>
      <w:r>
        <w:rPr>
          <w:rFonts w:hint="eastAsia" w:ascii="仿宋_GB2312" w:eastAsia="仿宋_GB2312" w:cs="DengXian-Regular"/>
          <w:sz w:val="32"/>
          <w:szCs w:val="32"/>
        </w:rPr>
        <w:t>）*100%=100%</w:t>
      </w:r>
    </w:p>
    <w:p w14:paraId="2DC309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31569B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6F951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在职人员控制情况，通过在职人员控制率衡量。</w:t>
      </w:r>
    </w:p>
    <w:p w14:paraId="02BE0C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8A628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政法委部门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14</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14</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14</w:t>
      </w:r>
      <w:r>
        <w:rPr>
          <w:rFonts w:hint="eastAsia" w:ascii="仿宋_GB2312" w:eastAsia="仿宋_GB2312" w:cs="DengXian-Regular"/>
          <w:sz w:val="32"/>
          <w:szCs w:val="32"/>
        </w:rPr>
        <w:t>/</w:t>
      </w:r>
      <w:r>
        <w:rPr>
          <w:rFonts w:hint="default" w:ascii="仿宋_GB2312" w:eastAsia="仿宋_GB2312" w:cs="DengXian-Regular"/>
          <w:sz w:val="32"/>
          <w:szCs w:val="32"/>
          <w:lang w:val="en-US"/>
        </w:rPr>
        <w:t>14</w:t>
      </w:r>
      <w:r>
        <w:rPr>
          <w:rFonts w:hint="eastAsia" w:ascii="仿宋_GB2312" w:eastAsia="仿宋_GB2312" w:cs="DengXian-Regular"/>
          <w:sz w:val="32"/>
          <w:szCs w:val="32"/>
        </w:rPr>
        <w:t>）*100%=100%。</w:t>
      </w:r>
    </w:p>
    <w:p w14:paraId="51B62F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14:paraId="5F489B2E">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1624E746">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204B9D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3D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EDB4FC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57C53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CD8D19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20912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642F6A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821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3C618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465E7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01681F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6C3CD6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050CE6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0C31B9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w:t>
            </w:r>
          </w:p>
        </w:tc>
      </w:tr>
      <w:tr w14:paraId="506A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49285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C54D695">
            <w:pPr>
              <w:spacing w:line="420" w:lineRule="exact"/>
              <w:jc w:val="center"/>
              <w:rPr>
                <w:rFonts w:cs="宋体" w:asciiTheme="minorEastAsia" w:hAnsiTheme="minorEastAsia" w:eastAsiaTheme="minorEastAsia"/>
                <w:sz w:val="21"/>
                <w:szCs w:val="21"/>
              </w:rPr>
            </w:pPr>
          </w:p>
        </w:tc>
        <w:tc>
          <w:tcPr>
            <w:tcW w:w="2277" w:type="dxa"/>
            <w:vAlign w:val="center"/>
          </w:tcPr>
          <w:p w14:paraId="491B6D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5ED26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F8769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3.8</w:t>
            </w:r>
          </w:p>
        </w:tc>
      </w:tr>
      <w:tr w14:paraId="61D1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344B9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AE185A5">
            <w:pPr>
              <w:spacing w:line="420" w:lineRule="exact"/>
              <w:jc w:val="center"/>
              <w:rPr>
                <w:rFonts w:cs="宋体" w:asciiTheme="minorEastAsia" w:hAnsiTheme="minorEastAsia" w:eastAsiaTheme="minorEastAsia"/>
                <w:sz w:val="21"/>
                <w:szCs w:val="21"/>
              </w:rPr>
            </w:pPr>
          </w:p>
        </w:tc>
        <w:tc>
          <w:tcPr>
            <w:tcW w:w="2277" w:type="dxa"/>
            <w:vAlign w:val="center"/>
          </w:tcPr>
          <w:p w14:paraId="4D6A0D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742A95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7CB0BD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w:t>
            </w:r>
          </w:p>
        </w:tc>
      </w:tr>
      <w:tr w14:paraId="7C0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0AA9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56AC74A">
            <w:pPr>
              <w:spacing w:line="420" w:lineRule="exact"/>
              <w:jc w:val="center"/>
              <w:rPr>
                <w:rFonts w:cs="宋体" w:asciiTheme="minorEastAsia" w:hAnsiTheme="minorEastAsia" w:eastAsiaTheme="minorEastAsia"/>
                <w:sz w:val="21"/>
                <w:szCs w:val="21"/>
              </w:rPr>
            </w:pPr>
          </w:p>
        </w:tc>
        <w:tc>
          <w:tcPr>
            <w:tcW w:w="2277" w:type="dxa"/>
            <w:vAlign w:val="center"/>
          </w:tcPr>
          <w:p w14:paraId="655123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047158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50CCD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3.8</w:t>
            </w:r>
          </w:p>
        </w:tc>
      </w:tr>
      <w:tr w14:paraId="551E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E42A3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5B68E0">
            <w:pPr>
              <w:spacing w:line="420" w:lineRule="exact"/>
              <w:jc w:val="center"/>
              <w:rPr>
                <w:rFonts w:cs="宋体" w:asciiTheme="minorEastAsia" w:hAnsiTheme="minorEastAsia" w:eastAsiaTheme="minorEastAsia"/>
                <w:sz w:val="21"/>
                <w:szCs w:val="21"/>
              </w:rPr>
            </w:pPr>
          </w:p>
        </w:tc>
        <w:tc>
          <w:tcPr>
            <w:tcW w:w="2277" w:type="dxa"/>
            <w:vAlign w:val="center"/>
          </w:tcPr>
          <w:p w14:paraId="734822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E76F4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03E521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708C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FC3AE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DB00DD9">
            <w:pPr>
              <w:spacing w:line="420" w:lineRule="exact"/>
              <w:jc w:val="center"/>
              <w:rPr>
                <w:rFonts w:cs="宋体" w:asciiTheme="minorEastAsia" w:hAnsiTheme="minorEastAsia" w:eastAsiaTheme="minorEastAsia"/>
                <w:sz w:val="21"/>
                <w:szCs w:val="21"/>
              </w:rPr>
            </w:pPr>
          </w:p>
        </w:tc>
        <w:tc>
          <w:tcPr>
            <w:tcW w:w="2277" w:type="dxa"/>
            <w:vAlign w:val="center"/>
          </w:tcPr>
          <w:p w14:paraId="3FEBE5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38F46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8B9993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0FD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27A5B0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686E44E">
            <w:pPr>
              <w:spacing w:line="420" w:lineRule="exact"/>
              <w:jc w:val="center"/>
              <w:rPr>
                <w:rFonts w:cs="宋体" w:asciiTheme="minorEastAsia" w:hAnsiTheme="minorEastAsia" w:eastAsiaTheme="minorEastAsia"/>
                <w:sz w:val="21"/>
                <w:szCs w:val="21"/>
              </w:rPr>
            </w:pPr>
          </w:p>
        </w:tc>
        <w:tc>
          <w:tcPr>
            <w:tcW w:w="2277" w:type="dxa"/>
            <w:vAlign w:val="center"/>
          </w:tcPr>
          <w:p w14:paraId="778B9F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04AF8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F15251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50B1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4C012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B61BFE0">
            <w:pPr>
              <w:spacing w:line="420" w:lineRule="exact"/>
              <w:jc w:val="center"/>
              <w:rPr>
                <w:rFonts w:cs="宋体" w:asciiTheme="minorEastAsia" w:hAnsiTheme="minorEastAsia" w:eastAsiaTheme="minorEastAsia"/>
                <w:sz w:val="21"/>
                <w:szCs w:val="21"/>
              </w:rPr>
            </w:pPr>
          </w:p>
        </w:tc>
        <w:tc>
          <w:tcPr>
            <w:tcW w:w="2277" w:type="dxa"/>
            <w:vAlign w:val="center"/>
          </w:tcPr>
          <w:p w14:paraId="20DA89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8C750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BEAD0A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489A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014EB66">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4CE55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858E5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2A024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D4B54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971E7B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77E7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72DEF5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9F691B6">
            <w:pPr>
              <w:spacing w:line="420" w:lineRule="exact"/>
              <w:jc w:val="center"/>
              <w:rPr>
                <w:rFonts w:cs="宋体" w:asciiTheme="minorEastAsia" w:hAnsiTheme="minorEastAsia" w:eastAsiaTheme="minorEastAsia"/>
                <w:sz w:val="21"/>
                <w:szCs w:val="21"/>
              </w:rPr>
            </w:pPr>
          </w:p>
        </w:tc>
        <w:tc>
          <w:tcPr>
            <w:tcW w:w="2277" w:type="dxa"/>
            <w:vAlign w:val="center"/>
          </w:tcPr>
          <w:p w14:paraId="6926E3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4E8600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0F5198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10E0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C6485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589CB9">
            <w:pPr>
              <w:spacing w:line="420" w:lineRule="exact"/>
              <w:jc w:val="center"/>
              <w:rPr>
                <w:rFonts w:cs="宋体" w:asciiTheme="minorEastAsia" w:hAnsiTheme="minorEastAsia" w:eastAsiaTheme="minorEastAsia"/>
                <w:sz w:val="21"/>
                <w:szCs w:val="21"/>
              </w:rPr>
            </w:pPr>
          </w:p>
        </w:tc>
        <w:tc>
          <w:tcPr>
            <w:tcW w:w="2277" w:type="dxa"/>
            <w:vAlign w:val="center"/>
          </w:tcPr>
          <w:p w14:paraId="2F59B0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78C5AF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EDEE44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0792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0A072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407AE26">
            <w:pPr>
              <w:spacing w:line="420" w:lineRule="exact"/>
              <w:jc w:val="center"/>
              <w:rPr>
                <w:rFonts w:cs="宋体" w:asciiTheme="minorEastAsia" w:hAnsiTheme="minorEastAsia" w:eastAsiaTheme="minorEastAsia"/>
                <w:sz w:val="21"/>
                <w:szCs w:val="21"/>
              </w:rPr>
            </w:pPr>
          </w:p>
        </w:tc>
        <w:tc>
          <w:tcPr>
            <w:tcW w:w="2277" w:type="dxa"/>
            <w:vAlign w:val="center"/>
          </w:tcPr>
          <w:p w14:paraId="71C500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77C73E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98ED4A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974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76FCE2A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0BD93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48E23F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79095A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8E945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F525C6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38E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4226641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20C1151">
            <w:pPr>
              <w:spacing w:line="420" w:lineRule="exact"/>
              <w:jc w:val="center"/>
              <w:rPr>
                <w:rFonts w:cs="宋体" w:asciiTheme="minorEastAsia" w:hAnsiTheme="minorEastAsia" w:eastAsiaTheme="minorEastAsia"/>
                <w:sz w:val="21"/>
                <w:szCs w:val="21"/>
              </w:rPr>
            </w:pPr>
          </w:p>
        </w:tc>
        <w:tc>
          <w:tcPr>
            <w:tcW w:w="2277" w:type="dxa"/>
            <w:vAlign w:val="center"/>
          </w:tcPr>
          <w:p w14:paraId="25EA0F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6ED6B9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DF2286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1E42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A1B7B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8E366FA">
            <w:pPr>
              <w:spacing w:line="420" w:lineRule="exact"/>
              <w:jc w:val="center"/>
              <w:rPr>
                <w:rFonts w:cs="宋体" w:asciiTheme="minorEastAsia" w:hAnsiTheme="minorEastAsia" w:eastAsiaTheme="minorEastAsia"/>
                <w:sz w:val="21"/>
                <w:szCs w:val="21"/>
              </w:rPr>
            </w:pPr>
          </w:p>
        </w:tc>
        <w:tc>
          <w:tcPr>
            <w:tcW w:w="1155" w:type="dxa"/>
            <w:vAlign w:val="center"/>
          </w:tcPr>
          <w:p w14:paraId="65F2D1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D7BC08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45.6</w:t>
            </w:r>
          </w:p>
        </w:tc>
      </w:tr>
      <w:bookmarkEnd w:id="63"/>
    </w:tbl>
    <w:p w14:paraId="21B4B721">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58AD94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32AADD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58F4D2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0BD23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3-0014</w:t>
      </w:r>
      <w:r>
        <w:rPr>
          <w:rFonts w:hint="eastAsia" w:ascii="仿宋_GB2312" w:eastAsia="仿宋_GB2312" w:cs="DengXian-Regular"/>
          <w:sz w:val="32"/>
          <w:szCs w:val="32"/>
        </w:rPr>
        <w:t>号追加行政运行</w:t>
      </w:r>
      <w:r>
        <w:rPr>
          <w:rFonts w:hint="eastAsia" w:ascii="仿宋_GB2312" w:eastAsia="仿宋_GB2312" w:cs="DengXian-Regular"/>
          <w:sz w:val="32"/>
          <w:szCs w:val="32"/>
          <w:lang w:eastAsia="zh-CN"/>
        </w:rPr>
        <w:t>人员经费追加</w:t>
      </w:r>
      <w:r>
        <w:rPr>
          <w:rFonts w:hint="default" w:ascii="仿宋_GB2312" w:eastAsia="仿宋_GB2312" w:cs="DengXian-Regular"/>
          <w:sz w:val="32"/>
          <w:szCs w:val="32"/>
          <w:lang w:val="en-US" w:eastAsia="zh-CN"/>
        </w:rPr>
        <w:t>5.19</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3-0004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人员经费</w:t>
      </w:r>
      <w:r>
        <w:rPr>
          <w:rFonts w:hint="eastAsia" w:ascii="仿宋_GB2312" w:eastAsia="仿宋_GB2312" w:cs="DengXian-Regular"/>
          <w:sz w:val="32"/>
          <w:szCs w:val="32"/>
        </w:rPr>
        <w:t>合计</w:t>
      </w:r>
      <w:r>
        <w:rPr>
          <w:rFonts w:hint="default" w:ascii="仿宋_GB2312" w:eastAsia="仿宋_GB2312" w:cs="DengXian-Regular"/>
          <w:sz w:val="32"/>
          <w:szCs w:val="32"/>
          <w:lang w:val="en-US"/>
        </w:rPr>
        <w:t>2.36</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3-0014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人员</w:t>
      </w:r>
      <w:r>
        <w:rPr>
          <w:rFonts w:hint="eastAsia" w:ascii="仿宋_GB2312" w:eastAsia="仿宋_GB2312" w:cs="DengXian-Regular"/>
          <w:sz w:val="32"/>
          <w:szCs w:val="32"/>
        </w:rPr>
        <w:t>经费</w:t>
      </w:r>
      <w:r>
        <w:rPr>
          <w:rFonts w:hint="default" w:ascii="仿宋_GB2312" w:eastAsia="仿宋_GB2312" w:cs="DengXian-Regular"/>
          <w:sz w:val="32"/>
          <w:szCs w:val="32"/>
          <w:lang w:val="en-US"/>
        </w:rPr>
        <w:t>25.6</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3-0023</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16.11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3-0008</w:t>
      </w:r>
      <w:r>
        <w:rPr>
          <w:rFonts w:hint="eastAsia" w:ascii="仿宋_GB2312" w:eastAsia="仿宋_GB2312" w:cs="DengXian-Regular"/>
          <w:sz w:val="32"/>
          <w:szCs w:val="32"/>
          <w:lang w:val="en-US" w:eastAsia="zh-CN"/>
        </w:rPr>
        <w:t>号公共类项目追加</w:t>
      </w:r>
      <w:r>
        <w:rPr>
          <w:rFonts w:hint="default" w:ascii="仿宋_GB2312" w:eastAsia="仿宋_GB2312" w:cs="DengXian-Regular"/>
          <w:sz w:val="32"/>
          <w:szCs w:val="32"/>
          <w:lang w:val="en-US" w:eastAsia="zh-CN"/>
        </w:rPr>
        <w:t>0.69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3-0039</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5.81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3-0044</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0.45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1-0015</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1.2352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3-1003</w:t>
      </w:r>
      <w:r>
        <w:rPr>
          <w:rFonts w:hint="eastAsia" w:ascii="仿宋_GB2312" w:eastAsia="仿宋_GB2312" w:cs="DengXian-Regular"/>
          <w:sz w:val="32"/>
          <w:szCs w:val="32"/>
          <w:lang w:val="en-US" w:eastAsia="zh-CN"/>
        </w:rPr>
        <w:t>号调剂政法稳定工作经费第一季度</w:t>
      </w:r>
      <w:r>
        <w:rPr>
          <w:rFonts w:hint="default" w:ascii="仿宋_GB2312" w:eastAsia="仿宋_GB2312" w:cs="DengXian-Regular"/>
          <w:sz w:val="32"/>
          <w:szCs w:val="32"/>
          <w:lang w:val="en-US" w:eastAsia="zh-CN"/>
        </w:rPr>
        <w:t>11.77</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3-1036</w:t>
      </w:r>
      <w:r>
        <w:rPr>
          <w:rFonts w:hint="eastAsia" w:ascii="仿宋_GB2312" w:eastAsia="仿宋_GB2312" w:cs="DengXian-Regular"/>
          <w:sz w:val="32"/>
          <w:szCs w:val="32"/>
          <w:lang w:val="en-US" w:eastAsia="zh-CN"/>
        </w:rPr>
        <w:t>号调剂政法稳定工作经费第二季度</w:t>
      </w:r>
      <w:r>
        <w:rPr>
          <w:rFonts w:hint="default" w:ascii="仿宋_GB2312" w:eastAsia="仿宋_GB2312" w:cs="DengXian-Regular"/>
          <w:sz w:val="32"/>
          <w:szCs w:val="32"/>
          <w:lang w:val="en-US" w:eastAsia="zh-CN"/>
        </w:rPr>
        <w:t>22.22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3-1051</w:t>
      </w:r>
      <w:r>
        <w:rPr>
          <w:rFonts w:hint="eastAsia" w:ascii="仿宋_GB2312" w:eastAsia="仿宋_GB2312" w:cs="DengXian-Regular"/>
          <w:sz w:val="32"/>
          <w:szCs w:val="32"/>
          <w:lang w:val="en-US" w:eastAsia="zh-CN"/>
        </w:rPr>
        <w:t>号调剂政法稳定工作经费第三季度</w:t>
      </w:r>
      <w:r>
        <w:rPr>
          <w:rFonts w:hint="default" w:ascii="仿宋_GB2312" w:eastAsia="仿宋_GB2312" w:cs="DengXian-Regular"/>
          <w:sz w:val="32"/>
          <w:szCs w:val="32"/>
          <w:lang w:val="en-US" w:eastAsia="zh-CN"/>
        </w:rPr>
        <w:t>11.265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3-1069</w:t>
      </w:r>
      <w:r>
        <w:rPr>
          <w:rFonts w:hint="eastAsia" w:ascii="仿宋_GB2312" w:eastAsia="仿宋_GB2312" w:cs="DengXian-Regular"/>
          <w:sz w:val="32"/>
          <w:szCs w:val="32"/>
          <w:lang w:val="en-US" w:eastAsia="zh-CN"/>
        </w:rPr>
        <w:t>号调剂政法稳定工作经费第四季度</w:t>
      </w:r>
      <w:r>
        <w:rPr>
          <w:rFonts w:hint="default" w:ascii="仿宋_GB2312" w:eastAsia="仿宋_GB2312" w:cs="DengXian-Regular"/>
          <w:sz w:val="32"/>
          <w:szCs w:val="32"/>
          <w:lang w:val="en-US" w:eastAsia="zh-CN"/>
        </w:rPr>
        <w:t>23.434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年初预算数为</w:t>
      </w:r>
      <w:r>
        <w:rPr>
          <w:rFonts w:hint="default" w:ascii="仿宋_GB2312" w:eastAsia="仿宋_GB2312" w:cs="DengXian-Regular"/>
          <w:sz w:val="32"/>
          <w:szCs w:val="32"/>
          <w:lang w:val="en-US"/>
        </w:rPr>
        <w:t>993.46</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-5.78</w:t>
      </w:r>
      <w:r>
        <w:rPr>
          <w:rFonts w:hint="eastAsia" w:ascii="仿宋_GB2312" w:eastAsia="仿宋_GB2312" w:cs="DengXian-Regular"/>
          <w:sz w:val="32"/>
          <w:szCs w:val="32"/>
        </w:rPr>
        <w:t>%。</w:t>
      </w:r>
    </w:p>
    <w:p w14:paraId="44CAF6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w:t>
      </w:r>
      <w:r>
        <w:rPr>
          <w:rFonts w:hint="eastAsia" w:ascii="仿宋_GB2312" w:eastAsia="仿宋_GB2312" w:cs="DengXian-Regular"/>
          <w:sz w:val="32"/>
          <w:szCs w:val="32"/>
        </w:rPr>
        <w:t>分。</w:t>
      </w:r>
    </w:p>
    <w:p w14:paraId="2BF4E0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5D05A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500576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4B739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693.15</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699.42</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1.009</w:t>
      </w:r>
      <w:r>
        <w:rPr>
          <w:rFonts w:hint="eastAsia" w:ascii="仿宋_GB2312" w:eastAsia="仿宋_GB2312" w:cs="DengXian-Regular"/>
          <w:sz w:val="32"/>
          <w:szCs w:val="32"/>
        </w:rPr>
        <w:t>%。</w:t>
      </w:r>
    </w:p>
    <w:p w14:paraId="2E48B7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3.8</w:t>
      </w:r>
      <w:r>
        <w:rPr>
          <w:rFonts w:hint="eastAsia" w:ascii="仿宋_GB2312" w:eastAsia="仿宋_GB2312" w:cs="DengXian-Regular"/>
          <w:sz w:val="32"/>
          <w:szCs w:val="32"/>
        </w:rPr>
        <w:t>分。</w:t>
      </w:r>
    </w:p>
    <w:p w14:paraId="7A8508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03C00F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9A03B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396A774">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提供的保定市财政局下发的预算指标文件，其中：徐财预指[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3-0014</w:t>
      </w:r>
      <w:r>
        <w:rPr>
          <w:rFonts w:hint="eastAsia" w:ascii="仿宋_GB2312" w:eastAsia="仿宋_GB2312" w:cs="DengXian-Regular"/>
          <w:sz w:val="32"/>
          <w:szCs w:val="32"/>
        </w:rPr>
        <w:t>号追加行政运行</w:t>
      </w:r>
      <w:r>
        <w:rPr>
          <w:rFonts w:hint="eastAsia" w:ascii="仿宋_GB2312" w:eastAsia="仿宋_GB2312" w:cs="DengXian-Regular"/>
          <w:sz w:val="32"/>
          <w:szCs w:val="32"/>
          <w:lang w:eastAsia="zh-CN"/>
        </w:rPr>
        <w:t>人员经费追加</w:t>
      </w:r>
      <w:r>
        <w:rPr>
          <w:rFonts w:hint="default" w:ascii="仿宋_GB2312" w:eastAsia="仿宋_GB2312" w:cs="DengXian-Regular"/>
          <w:sz w:val="32"/>
          <w:szCs w:val="32"/>
          <w:lang w:val="en-US" w:eastAsia="zh-CN"/>
        </w:rPr>
        <w:t>5.19</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3-0004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人员经费</w:t>
      </w:r>
      <w:r>
        <w:rPr>
          <w:rFonts w:hint="eastAsia" w:ascii="仿宋_GB2312" w:eastAsia="仿宋_GB2312" w:cs="DengXian-Regular"/>
          <w:sz w:val="32"/>
          <w:szCs w:val="32"/>
        </w:rPr>
        <w:t>合计</w:t>
      </w:r>
      <w:r>
        <w:rPr>
          <w:rFonts w:hint="default" w:ascii="仿宋_GB2312" w:eastAsia="仿宋_GB2312" w:cs="DengXian-Regular"/>
          <w:sz w:val="32"/>
          <w:szCs w:val="32"/>
          <w:lang w:val="en-US"/>
        </w:rPr>
        <w:t>2.36</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3-0014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人员</w:t>
      </w:r>
      <w:r>
        <w:rPr>
          <w:rFonts w:hint="eastAsia" w:ascii="仿宋_GB2312" w:eastAsia="仿宋_GB2312" w:cs="DengXian-Regular"/>
          <w:sz w:val="32"/>
          <w:szCs w:val="32"/>
        </w:rPr>
        <w:t>经费</w:t>
      </w:r>
      <w:r>
        <w:rPr>
          <w:rFonts w:hint="default" w:ascii="仿宋_GB2312" w:eastAsia="仿宋_GB2312" w:cs="DengXian-Regular"/>
          <w:sz w:val="32"/>
          <w:szCs w:val="32"/>
          <w:lang w:val="en-US"/>
        </w:rPr>
        <w:t>25.6</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3-0023</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16.11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3-0008</w:t>
      </w:r>
      <w:r>
        <w:rPr>
          <w:rFonts w:hint="eastAsia" w:ascii="仿宋_GB2312" w:eastAsia="仿宋_GB2312" w:cs="DengXian-Regular"/>
          <w:sz w:val="32"/>
          <w:szCs w:val="32"/>
          <w:lang w:val="en-US" w:eastAsia="zh-CN"/>
        </w:rPr>
        <w:t>号公共类项目追加</w:t>
      </w:r>
      <w:r>
        <w:rPr>
          <w:rFonts w:hint="default" w:ascii="仿宋_GB2312" w:eastAsia="仿宋_GB2312" w:cs="DengXian-Regular"/>
          <w:sz w:val="32"/>
          <w:szCs w:val="32"/>
          <w:lang w:val="en-US" w:eastAsia="zh-CN"/>
        </w:rPr>
        <w:t>0.69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3-0039</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5.81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3-0044</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0.45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1-0015</w:t>
      </w:r>
      <w:r>
        <w:rPr>
          <w:rFonts w:hint="eastAsia" w:ascii="仿宋_GB2312" w:eastAsia="仿宋_GB2312" w:cs="DengXian-Regular"/>
          <w:sz w:val="32"/>
          <w:szCs w:val="32"/>
          <w:lang w:val="en-US" w:eastAsia="zh-CN"/>
        </w:rPr>
        <w:t>号行政运行人员经费追加</w:t>
      </w:r>
      <w:r>
        <w:rPr>
          <w:rFonts w:hint="default" w:ascii="仿宋_GB2312" w:eastAsia="仿宋_GB2312" w:cs="DengXian-Regular"/>
          <w:sz w:val="32"/>
          <w:szCs w:val="32"/>
          <w:lang w:val="en-US" w:eastAsia="zh-CN"/>
        </w:rPr>
        <w:t>1.2352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3-1003</w:t>
      </w:r>
      <w:r>
        <w:rPr>
          <w:rFonts w:hint="eastAsia" w:ascii="仿宋_GB2312" w:eastAsia="仿宋_GB2312" w:cs="DengXian-Regular"/>
          <w:sz w:val="32"/>
          <w:szCs w:val="32"/>
          <w:lang w:val="en-US" w:eastAsia="zh-CN"/>
        </w:rPr>
        <w:t>号调剂政法稳定工作经费第一季度</w:t>
      </w:r>
      <w:r>
        <w:rPr>
          <w:rFonts w:hint="default" w:ascii="仿宋_GB2312" w:eastAsia="仿宋_GB2312" w:cs="DengXian-Regular"/>
          <w:sz w:val="32"/>
          <w:szCs w:val="32"/>
          <w:lang w:val="en-US" w:eastAsia="zh-CN"/>
        </w:rPr>
        <w:t>11.77</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3-1036</w:t>
      </w:r>
      <w:r>
        <w:rPr>
          <w:rFonts w:hint="eastAsia" w:ascii="仿宋_GB2312" w:eastAsia="仿宋_GB2312" w:cs="DengXian-Regular"/>
          <w:sz w:val="32"/>
          <w:szCs w:val="32"/>
          <w:lang w:val="en-US" w:eastAsia="zh-CN"/>
        </w:rPr>
        <w:t>号调剂政法稳定工作经费第二季度</w:t>
      </w:r>
      <w:r>
        <w:rPr>
          <w:rFonts w:hint="default" w:ascii="仿宋_GB2312" w:eastAsia="仿宋_GB2312" w:cs="DengXian-Regular"/>
          <w:sz w:val="32"/>
          <w:szCs w:val="32"/>
          <w:lang w:val="en-US" w:eastAsia="zh-CN"/>
        </w:rPr>
        <w:t>22.22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3-1051</w:t>
      </w:r>
      <w:r>
        <w:rPr>
          <w:rFonts w:hint="eastAsia" w:ascii="仿宋_GB2312" w:eastAsia="仿宋_GB2312" w:cs="DengXian-Regular"/>
          <w:sz w:val="32"/>
          <w:szCs w:val="32"/>
          <w:lang w:val="en-US" w:eastAsia="zh-CN"/>
        </w:rPr>
        <w:t>号调剂政法稳定工作经费第三季度</w:t>
      </w:r>
      <w:r>
        <w:rPr>
          <w:rFonts w:hint="default" w:ascii="仿宋_GB2312" w:eastAsia="仿宋_GB2312" w:cs="DengXian-Regular"/>
          <w:sz w:val="32"/>
          <w:szCs w:val="32"/>
          <w:lang w:val="en-US" w:eastAsia="zh-CN"/>
        </w:rPr>
        <w:t>11.265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3-1069</w:t>
      </w:r>
      <w:r>
        <w:rPr>
          <w:rFonts w:hint="eastAsia" w:ascii="仿宋_GB2312" w:eastAsia="仿宋_GB2312" w:cs="DengXian-Regular"/>
          <w:sz w:val="32"/>
          <w:szCs w:val="32"/>
          <w:lang w:val="en-US" w:eastAsia="zh-CN"/>
        </w:rPr>
        <w:t>号调剂政法稳定工作经费第四季度</w:t>
      </w:r>
      <w:r>
        <w:rPr>
          <w:rFonts w:hint="default" w:ascii="仿宋_GB2312" w:eastAsia="仿宋_GB2312" w:cs="DengXian-Regular"/>
          <w:sz w:val="32"/>
          <w:szCs w:val="32"/>
          <w:lang w:val="en-US" w:eastAsia="zh-CN"/>
        </w:rPr>
        <w:t>23.434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年初预算数为</w:t>
      </w:r>
      <w:r>
        <w:rPr>
          <w:rFonts w:hint="default" w:ascii="仿宋_GB2312" w:eastAsia="仿宋_GB2312" w:cs="DengXian-Regular"/>
          <w:sz w:val="32"/>
          <w:szCs w:val="32"/>
          <w:lang w:val="en-US"/>
        </w:rPr>
        <w:t>699.42</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-91.79</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p>
    <w:p w14:paraId="531E3B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1</w:t>
      </w:r>
      <w:r>
        <w:rPr>
          <w:rFonts w:hint="eastAsia" w:ascii="仿宋_GB2312" w:eastAsia="仿宋_GB2312" w:cs="DengXian-Regular"/>
          <w:sz w:val="32"/>
          <w:szCs w:val="32"/>
        </w:rPr>
        <w:t>分。</w:t>
      </w:r>
    </w:p>
    <w:p w14:paraId="1FA437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07C30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4D1BFD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88B203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641.96</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699.43</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91.78</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p>
    <w:p w14:paraId="1870E5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3.8</w:t>
      </w:r>
      <w:r>
        <w:rPr>
          <w:rFonts w:hint="eastAsia" w:ascii="仿宋_GB2312" w:eastAsia="仿宋_GB2312" w:cs="DengXian-Regular"/>
          <w:sz w:val="32"/>
          <w:szCs w:val="32"/>
        </w:rPr>
        <w:t>分。</w:t>
      </w:r>
    </w:p>
    <w:p w14:paraId="6AB502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6FA9E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7A3589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41752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5.34</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5.34</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3A7E87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60E651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52D112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FE716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79C9F6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2AF5A1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9EECC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68DE8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E089A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064E12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5D604D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9BBE0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1E3E4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决算文本数据均与明细账、总账一致。</w:t>
      </w:r>
    </w:p>
    <w:p w14:paraId="2BB922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19ACB4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6B235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3A8F7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3EE498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已按照相关管理制度的规定执行。</w:t>
      </w:r>
    </w:p>
    <w:p w14:paraId="198567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54CBC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FE03A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1A877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年的预决算情况、部门责任清单、行政监督清单等相关信息。</w:t>
      </w:r>
    </w:p>
    <w:p w14:paraId="741CDD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B002F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7377A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E3983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会计信息资料真实完整，</w:t>
      </w:r>
    </w:p>
    <w:p w14:paraId="0CF550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7B01A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0F86A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36E566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0.25</w:t>
      </w:r>
      <w:r>
        <w:rPr>
          <w:rFonts w:hint="eastAsia" w:ascii="仿宋_GB2312" w:eastAsia="仿宋_GB2312" w:cs="DengXian-Regular"/>
          <w:sz w:val="32"/>
          <w:szCs w:val="32"/>
        </w:rPr>
        <w:t>万元，包含：</w:t>
      </w:r>
      <w:r>
        <w:rPr>
          <w:rFonts w:hint="eastAsia" w:ascii="仿宋_GB2312" w:eastAsia="仿宋_GB2312" w:cs="DengXian-Regular"/>
          <w:sz w:val="32"/>
          <w:szCs w:val="32"/>
          <w:lang w:eastAsia="zh-CN"/>
        </w:rPr>
        <w:t>办公设备</w:t>
      </w:r>
      <w:r>
        <w:rPr>
          <w:rFonts w:hint="eastAsia" w:ascii="仿宋_GB2312" w:eastAsia="仿宋_GB2312" w:cs="DengXian-Regular"/>
          <w:sz w:val="32"/>
          <w:szCs w:val="32"/>
        </w:rPr>
        <w:t>（</w:t>
      </w:r>
      <w:r>
        <w:rPr>
          <w:rFonts w:hint="default" w:ascii="仿宋_GB2312" w:eastAsia="仿宋_GB2312" w:cs="DengXian-Regular"/>
          <w:sz w:val="32"/>
          <w:szCs w:val="32"/>
          <w:lang w:val="en-US"/>
        </w:rPr>
        <w:t>0.25</w:t>
      </w:r>
      <w:r>
        <w:rPr>
          <w:rFonts w:hint="eastAsia" w:ascii="仿宋_GB2312" w:eastAsia="仿宋_GB2312" w:cs="DengXian-Regular"/>
          <w:sz w:val="32"/>
          <w:szCs w:val="32"/>
        </w:rPr>
        <w:t>万元），资产购置手续完备，配置符合要求，资产管理整体较规范。</w:t>
      </w:r>
    </w:p>
    <w:p w14:paraId="54487E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3D770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E7274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85F75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DDBB0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F6D6A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9</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9</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9</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4BE65F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64408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D4E75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7B219C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6D818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9</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9</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441DBF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14:paraId="5F7E30D7">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03CC5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02A0373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D99A1AF">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8EFF91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697E2F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D20D87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C2DC38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F1C4D3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052289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8D86195">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75A93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21DE15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AC077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EB107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F8708C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063A7655">
        <w:tblPrEx>
          <w:tblCellMar>
            <w:top w:w="15" w:type="dxa"/>
            <w:left w:w="15" w:type="dxa"/>
            <w:bottom w:w="15" w:type="dxa"/>
            <w:right w:w="15" w:type="dxa"/>
          </w:tblCellMar>
        </w:tblPrEx>
        <w:trPr>
          <w:trHeight w:val="706"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D09A29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575CE8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F3E73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E8DA3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1BD2F2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756B0588">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6BC1C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2528671">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457EF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C4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14:paraId="215A1758">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625E5E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2A6CED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23A56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6.27</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699.42</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0.89</w:t>
      </w:r>
      <w:r>
        <w:rPr>
          <w:rFonts w:hint="eastAsia" w:ascii="仿宋_GB2312" w:eastAsia="仿宋_GB2312" w:cs="DengXian-Regular"/>
          <w:sz w:val="32"/>
          <w:szCs w:val="32"/>
        </w:rPr>
        <w:t>%，小于5%。</w:t>
      </w:r>
    </w:p>
    <w:p w14:paraId="0E1F2C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55BAA0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656DA5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07DEA8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39C289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256.92</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4</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489.85</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68.689</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52.45</w:t>
      </w:r>
      <w:r>
        <w:rPr>
          <w:rFonts w:hint="eastAsia" w:ascii="仿宋_GB2312" w:eastAsia="仿宋_GB2312" w:cs="DengXian-Regular"/>
          <w:sz w:val="32"/>
          <w:szCs w:val="32"/>
        </w:rPr>
        <w:t>%。</w:t>
      </w:r>
    </w:p>
    <w:p w14:paraId="47CCFB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5672A168">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1E3F47C9">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7D654C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1DB8F2C">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25F781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55D290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5841CEF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5D4866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D4B206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418471C">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76F9D46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59CAA1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A7B7873">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6ECD89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303B82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260A8D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240B15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5780CD09">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3E2BDA7">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633164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704F7F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061336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6C8741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4.8</w:t>
            </w:r>
          </w:p>
        </w:tc>
      </w:tr>
      <w:tr w14:paraId="63D3007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22331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34E3A678">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8A8CE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5266562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14.8</w:t>
            </w:r>
          </w:p>
        </w:tc>
      </w:tr>
      <w:bookmarkEnd w:id="70"/>
    </w:tbl>
    <w:p w14:paraId="7655F29B">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14:paraId="03EBFE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71B659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履行职责对社会发展所带来的社会效益较显著，有效的提高了社会公众的法律意识，减少了社会不稳定因素。</w:t>
      </w:r>
    </w:p>
    <w:p w14:paraId="78EF52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34D3B2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6426A01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6E442F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F0B581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AD975BA">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0637B090">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2A9BCD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FBE321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5ABA95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E02460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7F7C68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1D4B4BC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08F02302">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5FAF337">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政法稳定工作满意程度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2726B129">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BB824D3">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2B007C3D">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31ACE5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DBDACB2">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highlight w:val="none"/>
                <w:u w:color="000000"/>
                <w:lang w:val="en-US"/>
              </w:rPr>
              <w:t>98</w:t>
            </w:r>
          </w:p>
        </w:tc>
      </w:tr>
      <w:tr w14:paraId="2A6089F0">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8BEBE49">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政法稳定工作服务态度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5C2D3C17">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BFB7132">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0EE3D93F">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48CD2C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3A6CD2F">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highlight w:val="none"/>
                <w:u w:color="000000"/>
                <w:lang w:val="en-US"/>
              </w:rPr>
              <w:t>98</w:t>
            </w:r>
          </w:p>
        </w:tc>
      </w:tr>
      <w:tr w14:paraId="4BE0D669">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1A53511">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对政法稳定工作了解程度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57721FB0">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F74F91E">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6AF45199">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F916EB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BC4D51B">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highlight w:val="none"/>
                <w:u w:color="000000"/>
                <w:lang w:val="en-US"/>
              </w:rPr>
              <w:t>98</w:t>
            </w:r>
          </w:p>
        </w:tc>
      </w:tr>
    </w:tbl>
    <w:p w14:paraId="16CE518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6BBDAEB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48881A2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7686771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98</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5BE9BC0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4.8</w:t>
      </w:r>
      <w:r>
        <w:rPr>
          <w:rFonts w:hint="eastAsia" w:ascii="仿宋_GB2312" w:eastAsia="仿宋_GB2312" w:cs="Times New Roman" w:hAnsiTheme="minorEastAsia"/>
          <w:sz w:val="32"/>
          <w:szCs w:val="32"/>
          <w:u w:color="000000"/>
        </w:rPr>
        <w:t>分。</w:t>
      </w:r>
    </w:p>
    <w:p w14:paraId="4D4A0E06">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BE1C69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202</w:t>
      </w:r>
      <w:r>
        <w:rPr>
          <w:rFonts w:hint="default" w:ascii="仿宋_GB2312" w:eastAsia="仿宋_GB2312" w:cs="DengXian-Regular"/>
          <w:sz w:val="32"/>
          <w:szCs w:val="32"/>
          <w:lang w:val="en-US"/>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2CD1D1DA">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1.部分绩效指标方面</w:t>
      </w:r>
      <w:r>
        <w:rPr>
          <w:rFonts w:hint="eastAsia" w:ascii="仿宋_GB2312" w:eastAsia="仿宋_GB2312" w:cs="Times New Roman" w:hAnsiTheme="minorEastAsia"/>
          <w:color w:val="auto"/>
          <w:sz w:val="32"/>
          <w:szCs w:val="32"/>
          <w:highlight w:val="none"/>
          <w:u w:color="000000"/>
          <w:lang w:eastAsia="zh-CN"/>
        </w:rPr>
        <w:t>，</w:t>
      </w:r>
      <w:r>
        <w:rPr>
          <w:rFonts w:hint="eastAsia" w:ascii="仿宋_GB2312" w:hAnsi="宋体" w:eastAsia="仿宋_GB2312"/>
          <w:color w:val="auto"/>
          <w:sz w:val="32"/>
          <w:szCs w:val="32"/>
          <w:highlight w:val="none"/>
          <w:u w:color="000000"/>
        </w:rPr>
        <w:t>确保预算执行力度。</w:t>
      </w:r>
    </w:p>
    <w:p w14:paraId="6149CD0B">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2.预算决算比较</w:t>
      </w:r>
      <w:r>
        <w:rPr>
          <w:rFonts w:hint="eastAsia" w:ascii="仿宋_GB2312" w:eastAsia="仿宋_GB2312" w:cs="Times New Roman" w:hAnsiTheme="minorEastAsia"/>
          <w:color w:val="auto"/>
          <w:sz w:val="32"/>
          <w:szCs w:val="32"/>
          <w:highlight w:val="none"/>
          <w:u w:color="000000"/>
          <w:lang w:eastAsia="zh-CN"/>
        </w:rPr>
        <w:t>，需分析预算和决算之间的差额</w:t>
      </w:r>
      <w:r>
        <w:rPr>
          <w:rFonts w:hint="eastAsia" w:ascii="仿宋_GB2312" w:eastAsia="仿宋_GB2312" w:cs="Times New Roman" w:hAnsiTheme="minorEastAsia"/>
          <w:color w:val="auto"/>
          <w:sz w:val="32"/>
          <w:szCs w:val="32"/>
          <w:highlight w:val="none"/>
          <w:u w:color="000000"/>
        </w:rPr>
        <w:t>。</w:t>
      </w:r>
    </w:p>
    <w:p w14:paraId="6D9BA9A8">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3.预算追加方面</w:t>
      </w:r>
      <w:r>
        <w:rPr>
          <w:rFonts w:hint="eastAsia" w:ascii="仿宋_GB2312" w:eastAsia="仿宋_GB2312" w:cs="Times New Roman" w:hAnsiTheme="minorEastAsia"/>
          <w:color w:val="auto"/>
          <w:sz w:val="32"/>
          <w:szCs w:val="32"/>
          <w:highlight w:val="none"/>
          <w:u w:color="000000"/>
          <w:lang w:eastAsia="zh-CN"/>
        </w:rPr>
        <w:t>，预算编制进一步加强，尽量减少追加项目。</w:t>
      </w:r>
    </w:p>
    <w:p w14:paraId="0D99BA80">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4.政府采购方面</w:t>
      </w:r>
      <w:r>
        <w:rPr>
          <w:rFonts w:hint="eastAsia" w:ascii="仿宋_GB2312" w:eastAsia="仿宋_GB2312" w:cs="Times New Roman" w:hAnsiTheme="minorEastAsia"/>
          <w:color w:val="auto"/>
          <w:sz w:val="32"/>
          <w:szCs w:val="32"/>
          <w:highlight w:val="none"/>
          <w:u w:color="000000"/>
          <w:lang w:eastAsia="zh-CN"/>
        </w:rPr>
        <w:t>，需继续严格按照政府采购制度执行。</w:t>
      </w:r>
    </w:p>
    <w:p w14:paraId="5154C771">
      <w:pPr>
        <w:spacing w:after="0" w:line="360" w:lineRule="auto"/>
        <w:ind w:firstLine="640" w:firstLineChars="200"/>
        <w:jc w:val="both"/>
        <w:textAlignment w:val="baseline"/>
        <w:rPr>
          <w:rFonts w:ascii="仿宋_GB2312" w:hAnsi="宋体" w:eastAsia="仿宋_GB2312"/>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5.</w:t>
      </w:r>
      <w:bookmarkStart w:id="79" w:name="_GoBack"/>
      <w:r>
        <w:rPr>
          <w:rFonts w:hint="eastAsia" w:ascii="仿宋_GB2312" w:eastAsia="仿宋_GB2312" w:cs="Times New Roman" w:hAnsiTheme="minorEastAsia"/>
          <w:color w:val="auto"/>
          <w:sz w:val="32"/>
          <w:szCs w:val="32"/>
          <w:highlight w:val="none"/>
          <w:u w:color="000000"/>
        </w:rPr>
        <w:t>项目资金使用率</w:t>
      </w:r>
      <w:bookmarkEnd w:id="79"/>
      <w:r>
        <w:rPr>
          <w:rFonts w:hint="eastAsia" w:ascii="仿宋_GB2312" w:eastAsia="仿宋_GB2312" w:cs="Times New Roman" w:hAnsiTheme="minorEastAsia"/>
          <w:color w:val="auto"/>
          <w:sz w:val="32"/>
          <w:szCs w:val="32"/>
          <w:highlight w:val="none"/>
          <w:u w:color="000000"/>
        </w:rPr>
        <w:t>方面</w:t>
      </w:r>
      <w:r>
        <w:rPr>
          <w:rFonts w:hint="eastAsia" w:ascii="仿宋_GB2312" w:eastAsia="仿宋_GB2312" w:cs="Times New Roman" w:hAnsiTheme="minorEastAsia"/>
          <w:color w:val="auto"/>
          <w:sz w:val="32"/>
          <w:szCs w:val="32"/>
          <w:highlight w:val="none"/>
          <w:u w:color="000000"/>
          <w:lang w:eastAsia="zh-CN"/>
        </w:rPr>
        <w:t>，</w:t>
      </w:r>
      <w:r>
        <w:rPr>
          <w:rFonts w:hint="eastAsia" w:ascii="仿宋_GB2312" w:hAnsi="宋体" w:eastAsia="仿宋_GB2312"/>
          <w:color w:val="auto"/>
          <w:sz w:val="32"/>
          <w:szCs w:val="32"/>
          <w:highlight w:val="none"/>
          <w:u w:color="000000"/>
        </w:rPr>
        <w:t>财务制度执行力有待加强，资金使用计划有待细化。</w:t>
      </w:r>
    </w:p>
    <w:p w14:paraId="75E0D46A">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29378F31">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4FB6FA78">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0FB4D13B">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bookmarkEnd w:id="75"/>
    <w:bookmarkEnd w:id="76"/>
    <w:p w14:paraId="1B3FB157">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部门基本情况及主要职责</w:t>
      </w:r>
    </w:p>
    <w:p w14:paraId="426C4C75">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收支预算及决算明细表</w:t>
      </w:r>
    </w:p>
    <w:p w14:paraId="417E36A7">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14:paraId="76FABF80">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工作活动绩效目标、绩效指标一览表</w:t>
      </w:r>
    </w:p>
    <w:p w14:paraId="4DE5561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F763C68">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B6347F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A001B2A">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4D35">
    <w:pPr>
      <w:pStyle w:val="14"/>
      <w:jc w:val="center"/>
    </w:pPr>
  </w:p>
  <w:p w14:paraId="7D53A81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3021">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395EC03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0A7860"/>
    <w:rsid w:val="01564417"/>
    <w:rsid w:val="01F65399"/>
    <w:rsid w:val="026A1A9F"/>
    <w:rsid w:val="02985A9B"/>
    <w:rsid w:val="03226A0E"/>
    <w:rsid w:val="03696A83"/>
    <w:rsid w:val="04260169"/>
    <w:rsid w:val="0456350D"/>
    <w:rsid w:val="04CC4830"/>
    <w:rsid w:val="050945F2"/>
    <w:rsid w:val="050E4034"/>
    <w:rsid w:val="052D3200"/>
    <w:rsid w:val="056F4DC0"/>
    <w:rsid w:val="05E768CC"/>
    <w:rsid w:val="05F86FA8"/>
    <w:rsid w:val="06174B4A"/>
    <w:rsid w:val="06342461"/>
    <w:rsid w:val="065C2670"/>
    <w:rsid w:val="06677EA2"/>
    <w:rsid w:val="06F06056"/>
    <w:rsid w:val="07021FF9"/>
    <w:rsid w:val="071152C9"/>
    <w:rsid w:val="071C7BC7"/>
    <w:rsid w:val="075A67A2"/>
    <w:rsid w:val="0829099F"/>
    <w:rsid w:val="0840050B"/>
    <w:rsid w:val="086D38AF"/>
    <w:rsid w:val="08C44882"/>
    <w:rsid w:val="08C94E4D"/>
    <w:rsid w:val="0915227D"/>
    <w:rsid w:val="09164C3B"/>
    <w:rsid w:val="093A79FB"/>
    <w:rsid w:val="099842FD"/>
    <w:rsid w:val="0A3A2559"/>
    <w:rsid w:val="0A805158"/>
    <w:rsid w:val="0AF87126"/>
    <w:rsid w:val="0B45417B"/>
    <w:rsid w:val="0B4B1CD9"/>
    <w:rsid w:val="0B863A82"/>
    <w:rsid w:val="0B9B2EBC"/>
    <w:rsid w:val="0BA309DB"/>
    <w:rsid w:val="0BC90D6D"/>
    <w:rsid w:val="0BCB508B"/>
    <w:rsid w:val="0C070B14"/>
    <w:rsid w:val="0C1A22A8"/>
    <w:rsid w:val="0C26236E"/>
    <w:rsid w:val="0C890968"/>
    <w:rsid w:val="0C9306BE"/>
    <w:rsid w:val="0CB05CD1"/>
    <w:rsid w:val="0CDE6B83"/>
    <w:rsid w:val="0D1B39E9"/>
    <w:rsid w:val="0DCB2021"/>
    <w:rsid w:val="0E3A01CC"/>
    <w:rsid w:val="0E9172D3"/>
    <w:rsid w:val="0EF1422C"/>
    <w:rsid w:val="0F3B23D4"/>
    <w:rsid w:val="0F3B3DD7"/>
    <w:rsid w:val="0FF22DF6"/>
    <w:rsid w:val="106E315C"/>
    <w:rsid w:val="107B6AE8"/>
    <w:rsid w:val="11195DC6"/>
    <w:rsid w:val="11403045"/>
    <w:rsid w:val="115A70AD"/>
    <w:rsid w:val="116421D6"/>
    <w:rsid w:val="11C37592"/>
    <w:rsid w:val="11EA1B00"/>
    <w:rsid w:val="121F5AC5"/>
    <w:rsid w:val="125037BB"/>
    <w:rsid w:val="12521250"/>
    <w:rsid w:val="12524B60"/>
    <w:rsid w:val="125B2E30"/>
    <w:rsid w:val="12E866AF"/>
    <w:rsid w:val="130C55D8"/>
    <w:rsid w:val="13244A23"/>
    <w:rsid w:val="13EE6B6B"/>
    <w:rsid w:val="1472386E"/>
    <w:rsid w:val="148F0FC6"/>
    <w:rsid w:val="14DC0066"/>
    <w:rsid w:val="151600A7"/>
    <w:rsid w:val="159F345A"/>
    <w:rsid w:val="15E43EF8"/>
    <w:rsid w:val="16A81136"/>
    <w:rsid w:val="16AC4207"/>
    <w:rsid w:val="178A56FB"/>
    <w:rsid w:val="17A8647B"/>
    <w:rsid w:val="17A975C2"/>
    <w:rsid w:val="17D10296"/>
    <w:rsid w:val="18253B4C"/>
    <w:rsid w:val="18312A7E"/>
    <w:rsid w:val="190F1674"/>
    <w:rsid w:val="19132D2F"/>
    <w:rsid w:val="19210747"/>
    <w:rsid w:val="196E7CB2"/>
    <w:rsid w:val="198759D2"/>
    <w:rsid w:val="19B152EC"/>
    <w:rsid w:val="19D72BB5"/>
    <w:rsid w:val="1AD212BF"/>
    <w:rsid w:val="1ADC53AC"/>
    <w:rsid w:val="1AF900F3"/>
    <w:rsid w:val="1AFC6A2C"/>
    <w:rsid w:val="1B3F7803"/>
    <w:rsid w:val="1BE0351A"/>
    <w:rsid w:val="1C120302"/>
    <w:rsid w:val="1C201A4F"/>
    <w:rsid w:val="1C442FCB"/>
    <w:rsid w:val="1C532B00"/>
    <w:rsid w:val="1C9E3D63"/>
    <w:rsid w:val="1CCC12C5"/>
    <w:rsid w:val="1D1B1BAD"/>
    <w:rsid w:val="1D401A6B"/>
    <w:rsid w:val="1DCC5DA5"/>
    <w:rsid w:val="1E8A015B"/>
    <w:rsid w:val="1EA00E4A"/>
    <w:rsid w:val="1F4F1109"/>
    <w:rsid w:val="1F6A0646"/>
    <w:rsid w:val="206A0332"/>
    <w:rsid w:val="2091595B"/>
    <w:rsid w:val="20980007"/>
    <w:rsid w:val="20F51AC3"/>
    <w:rsid w:val="21AE6D2F"/>
    <w:rsid w:val="21C21552"/>
    <w:rsid w:val="21C3713A"/>
    <w:rsid w:val="21C52451"/>
    <w:rsid w:val="22891049"/>
    <w:rsid w:val="2397205B"/>
    <w:rsid w:val="244B783C"/>
    <w:rsid w:val="24DA6297"/>
    <w:rsid w:val="252F3CBE"/>
    <w:rsid w:val="255F3122"/>
    <w:rsid w:val="260872BC"/>
    <w:rsid w:val="26694CDB"/>
    <w:rsid w:val="26AB14E1"/>
    <w:rsid w:val="282C171E"/>
    <w:rsid w:val="2849297F"/>
    <w:rsid w:val="28864D74"/>
    <w:rsid w:val="289C6A17"/>
    <w:rsid w:val="2936596A"/>
    <w:rsid w:val="2997006D"/>
    <w:rsid w:val="29AC5EF0"/>
    <w:rsid w:val="2B040631"/>
    <w:rsid w:val="2B0B5AF1"/>
    <w:rsid w:val="2B6B0FF5"/>
    <w:rsid w:val="2B793244"/>
    <w:rsid w:val="2C094BA0"/>
    <w:rsid w:val="2C331FEE"/>
    <w:rsid w:val="2C60205D"/>
    <w:rsid w:val="2C8F5C68"/>
    <w:rsid w:val="2CAD317E"/>
    <w:rsid w:val="2CC97424"/>
    <w:rsid w:val="2D2725F0"/>
    <w:rsid w:val="2D345768"/>
    <w:rsid w:val="2D73679B"/>
    <w:rsid w:val="2E994608"/>
    <w:rsid w:val="2E9C375A"/>
    <w:rsid w:val="2EA60EE0"/>
    <w:rsid w:val="2EA62AE7"/>
    <w:rsid w:val="2ED8262F"/>
    <w:rsid w:val="2EEF600E"/>
    <w:rsid w:val="2F242CBD"/>
    <w:rsid w:val="2FB34058"/>
    <w:rsid w:val="300C74C4"/>
    <w:rsid w:val="304B3830"/>
    <w:rsid w:val="306256E0"/>
    <w:rsid w:val="30783A17"/>
    <w:rsid w:val="307D5A91"/>
    <w:rsid w:val="317B20C5"/>
    <w:rsid w:val="317E324D"/>
    <w:rsid w:val="322A7C07"/>
    <w:rsid w:val="32A33E31"/>
    <w:rsid w:val="32B34CC7"/>
    <w:rsid w:val="32D048D8"/>
    <w:rsid w:val="32D3622F"/>
    <w:rsid w:val="32D63CF2"/>
    <w:rsid w:val="32F26097"/>
    <w:rsid w:val="3341799D"/>
    <w:rsid w:val="33700FB0"/>
    <w:rsid w:val="337A399F"/>
    <w:rsid w:val="337F2EFA"/>
    <w:rsid w:val="339029A7"/>
    <w:rsid w:val="33CC5FD9"/>
    <w:rsid w:val="34697607"/>
    <w:rsid w:val="348A4A7F"/>
    <w:rsid w:val="3497048A"/>
    <w:rsid w:val="34DC6FBF"/>
    <w:rsid w:val="352019FA"/>
    <w:rsid w:val="35731520"/>
    <w:rsid w:val="35F436C6"/>
    <w:rsid w:val="36037C49"/>
    <w:rsid w:val="36B804EA"/>
    <w:rsid w:val="37024998"/>
    <w:rsid w:val="371766EB"/>
    <w:rsid w:val="3728049C"/>
    <w:rsid w:val="37594DC5"/>
    <w:rsid w:val="37CD3E9A"/>
    <w:rsid w:val="37D03480"/>
    <w:rsid w:val="37D87189"/>
    <w:rsid w:val="37E87EA7"/>
    <w:rsid w:val="37F761BE"/>
    <w:rsid w:val="380B1A51"/>
    <w:rsid w:val="382056BC"/>
    <w:rsid w:val="38AB6B19"/>
    <w:rsid w:val="39035D73"/>
    <w:rsid w:val="39144BF9"/>
    <w:rsid w:val="39236305"/>
    <w:rsid w:val="397D1814"/>
    <w:rsid w:val="3991694F"/>
    <w:rsid w:val="3A096C45"/>
    <w:rsid w:val="3A694582"/>
    <w:rsid w:val="3B3315C9"/>
    <w:rsid w:val="3B3666AA"/>
    <w:rsid w:val="3B5D03F9"/>
    <w:rsid w:val="3B864452"/>
    <w:rsid w:val="3B9C69ED"/>
    <w:rsid w:val="3C075E40"/>
    <w:rsid w:val="3C0F314C"/>
    <w:rsid w:val="3C483DCA"/>
    <w:rsid w:val="3C522DB4"/>
    <w:rsid w:val="3C8400FD"/>
    <w:rsid w:val="3C8D5215"/>
    <w:rsid w:val="3CB96E1E"/>
    <w:rsid w:val="3CD949C2"/>
    <w:rsid w:val="3D077214"/>
    <w:rsid w:val="3E2A5A13"/>
    <w:rsid w:val="3E6A5C1B"/>
    <w:rsid w:val="3E951BD3"/>
    <w:rsid w:val="3EA133F7"/>
    <w:rsid w:val="3EB91E59"/>
    <w:rsid w:val="3F3C7C90"/>
    <w:rsid w:val="3FA23A80"/>
    <w:rsid w:val="3FB75DF9"/>
    <w:rsid w:val="3FFB5643"/>
    <w:rsid w:val="41194B78"/>
    <w:rsid w:val="418368ED"/>
    <w:rsid w:val="41D575AC"/>
    <w:rsid w:val="41D86076"/>
    <w:rsid w:val="425C64FC"/>
    <w:rsid w:val="4278675D"/>
    <w:rsid w:val="428403DD"/>
    <w:rsid w:val="431F105C"/>
    <w:rsid w:val="43F003B4"/>
    <w:rsid w:val="446458DA"/>
    <w:rsid w:val="446645C4"/>
    <w:rsid w:val="44C4516D"/>
    <w:rsid w:val="44E00C2F"/>
    <w:rsid w:val="44F12828"/>
    <w:rsid w:val="453F4EE8"/>
    <w:rsid w:val="457E0C0E"/>
    <w:rsid w:val="45A27895"/>
    <w:rsid w:val="4654463C"/>
    <w:rsid w:val="46606FC9"/>
    <w:rsid w:val="469D1E1F"/>
    <w:rsid w:val="46F54A59"/>
    <w:rsid w:val="4703453A"/>
    <w:rsid w:val="47225FC9"/>
    <w:rsid w:val="47264FED"/>
    <w:rsid w:val="47401AE3"/>
    <w:rsid w:val="47847F9B"/>
    <w:rsid w:val="47B6276E"/>
    <w:rsid w:val="47D7714D"/>
    <w:rsid w:val="48BC44D8"/>
    <w:rsid w:val="48CA305E"/>
    <w:rsid w:val="491D1161"/>
    <w:rsid w:val="4945471C"/>
    <w:rsid w:val="49C23604"/>
    <w:rsid w:val="4A3A76FB"/>
    <w:rsid w:val="4A6500D9"/>
    <w:rsid w:val="4A7A516C"/>
    <w:rsid w:val="4B4D56DB"/>
    <w:rsid w:val="4B6B4966"/>
    <w:rsid w:val="4BCB58DC"/>
    <w:rsid w:val="4BE87F26"/>
    <w:rsid w:val="4C081E20"/>
    <w:rsid w:val="4C3974A1"/>
    <w:rsid w:val="4C4D743A"/>
    <w:rsid w:val="4C561056"/>
    <w:rsid w:val="4CDC25C4"/>
    <w:rsid w:val="4D2A1AAB"/>
    <w:rsid w:val="4D6E1934"/>
    <w:rsid w:val="4DBE15DE"/>
    <w:rsid w:val="4DFF45BC"/>
    <w:rsid w:val="4E61428A"/>
    <w:rsid w:val="4E7B705D"/>
    <w:rsid w:val="4EBF2070"/>
    <w:rsid w:val="4ECB455C"/>
    <w:rsid w:val="4EF16D21"/>
    <w:rsid w:val="4F4E6BEF"/>
    <w:rsid w:val="4F643411"/>
    <w:rsid w:val="4F6745C5"/>
    <w:rsid w:val="4F751E54"/>
    <w:rsid w:val="4FA9510C"/>
    <w:rsid w:val="50786CD3"/>
    <w:rsid w:val="50891C17"/>
    <w:rsid w:val="50906169"/>
    <w:rsid w:val="51677B3A"/>
    <w:rsid w:val="520E7D39"/>
    <w:rsid w:val="52663227"/>
    <w:rsid w:val="527310FD"/>
    <w:rsid w:val="52C145B3"/>
    <w:rsid w:val="532C19FA"/>
    <w:rsid w:val="534E2262"/>
    <w:rsid w:val="536C046F"/>
    <w:rsid w:val="5375174B"/>
    <w:rsid w:val="53777260"/>
    <w:rsid w:val="53BD324D"/>
    <w:rsid w:val="53DA3FDB"/>
    <w:rsid w:val="547207C2"/>
    <w:rsid w:val="54B52F23"/>
    <w:rsid w:val="559025B5"/>
    <w:rsid w:val="559E42C2"/>
    <w:rsid w:val="55BE6F35"/>
    <w:rsid w:val="562F4A45"/>
    <w:rsid w:val="565539D3"/>
    <w:rsid w:val="56AB5747"/>
    <w:rsid w:val="572169F4"/>
    <w:rsid w:val="57466A30"/>
    <w:rsid w:val="57E7750E"/>
    <w:rsid w:val="582C3304"/>
    <w:rsid w:val="583E683E"/>
    <w:rsid w:val="584263FC"/>
    <w:rsid w:val="58AA248A"/>
    <w:rsid w:val="58E31A89"/>
    <w:rsid w:val="592757C1"/>
    <w:rsid w:val="59BB616C"/>
    <w:rsid w:val="59DB1D61"/>
    <w:rsid w:val="5A097D45"/>
    <w:rsid w:val="5A232744"/>
    <w:rsid w:val="5A8E433F"/>
    <w:rsid w:val="5ACC5639"/>
    <w:rsid w:val="5AFE0937"/>
    <w:rsid w:val="5B022AFF"/>
    <w:rsid w:val="5B1C238B"/>
    <w:rsid w:val="5B38096C"/>
    <w:rsid w:val="5BB72396"/>
    <w:rsid w:val="5BDA2541"/>
    <w:rsid w:val="5C8E70AE"/>
    <w:rsid w:val="5C9700DF"/>
    <w:rsid w:val="5CF80C39"/>
    <w:rsid w:val="5CFF5AEE"/>
    <w:rsid w:val="5D5260D6"/>
    <w:rsid w:val="5E4106DA"/>
    <w:rsid w:val="5E4B362D"/>
    <w:rsid w:val="5E4B3828"/>
    <w:rsid w:val="5EC32979"/>
    <w:rsid w:val="5EC83C4A"/>
    <w:rsid w:val="5EFC5263"/>
    <w:rsid w:val="5F2B51D9"/>
    <w:rsid w:val="5F37440C"/>
    <w:rsid w:val="609E7926"/>
    <w:rsid w:val="60B76F14"/>
    <w:rsid w:val="60BE07F6"/>
    <w:rsid w:val="60CC769A"/>
    <w:rsid w:val="60F3280A"/>
    <w:rsid w:val="611436C5"/>
    <w:rsid w:val="613A2E25"/>
    <w:rsid w:val="615A0826"/>
    <w:rsid w:val="616E5025"/>
    <w:rsid w:val="61D8516F"/>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587283"/>
    <w:rsid w:val="696B16A5"/>
    <w:rsid w:val="69772905"/>
    <w:rsid w:val="699F69EA"/>
    <w:rsid w:val="69D10C09"/>
    <w:rsid w:val="6A3240F1"/>
    <w:rsid w:val="6A360EF4"/>
    <w:rsid w:val="6A5E6B02"/>
    <w:rsid w:val="6A736A2C"/>
    <w:rsid w:val="6A74700B"/>
    <w:rsid w:val="6AAC4AB9"/>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2839A6"/>
    <w:rsid w:val="6F377C99"/>
    <w:rsid w:val="6F7E7DE2"/>
    <w:rsid w:val="6FAA433E"/>
    <w:rsid w:val="704F1D50"/>
    <w:rsid w:val="7062369D"/>
    <w:rsid w:val="70D8666D"/>
    <w:rsid w:val="70F82977"/>
    <w:rsid w:val="71094195"/>
    <w:rsid w:val="711203ED"/>
    <w:rsid w:val="71226081"/>
    <w:rsid w:val="712A76BE"/>
    <w:rsid w:val="7159693D"/>
    <w:rsid w:val="716D6D00"/>
    <w:rsid w:val="719901C6"/>
    <w:rsid w:val="71A25C70"/>
    <w:rsid w:val="71B131C3"/>
    <w:rsid w:val="71CC5821"/>
    <w:rsid w:val="71F26BCA"/>
    <w:rsid w:val="71F331D2"/>
    <w:rsid w:val="720542F1"/>
    <w:rsid w:val="72380013"/>
    <w:rsid w:val="72540D30"/>
    <w:rsid w:val="73361B27"/>
    <w:rsid w:val="73426C39"/>
    <w:rsid w:val="735205BC"/>
    <w:rsid w:val="73594771"/>
    <w:rsid w:val="739E266B"/>
    <w:rsid w:val="740F0E4D"/>
    <w:rsid w:val="745B60A7"/>
    <w:rsid w:val="7469799F"/>
    <w:rsid w:val="74A66F51"/>
    <w:rsid w:val="74E24705"/>
    <w:rsid w:val="750506F3"/>
    <w:rsid w:val="753D03C2"/>
    <w:rsid w:val="758944AE"/>
    <w:rsid w:val="758C4507"/>
    <w:rsid w:val="75AA1A6C"/>
    <w:rsid w:val="75E3617A"/>
    <w:rsid w:val="76946128"/>
    <w:rsid w:val="76C0735A"/>
    <w:rsid w:val="76CD68B5"/>
    <w:rsid w:val="76DE39EB"/>
    <w:rsid w:val="774B42DA"/>
    <w:rsid w:val="77CC2AC5"/>
    <w:rsid w:val="78A4125B"/>
    <w:rsid w:val="78AC0F28"/>
    <w:rsid w:val="78AD7E4B"/>
    <w:rsid w:val="78C405B2"/>
    <w:rsid w:val="7922758B"/>
    <w:rsid w:val="7927699D"/>
    <w:rsid w:val="79766799"/>
    <w:rsid w:val="79B255D2"/>
    <w:rsid w:val="79B45BBB"/>
    <w:rsid w:val="79D0307E"/>
    <w:rsid w:val="79DE121D"/>
    <w:rsid w:val="79E249A2"/>
    <w:rsid w:val="7A5C7B4D"/>
    <w:rsid w:val="7B1F1C18"/>
    <w:rsid w:val="7B387938"/>
    <w:rsid w:val="7BEF5630"/>
    <w:rsid w:val="7C3031C6"/>
    <w:rsid w:val="7C341C52"/>
    <w:rsid w:val="7D033238"/>
    <w:rsid w:val="7D0B68E9"/>
    <w:rsid w:val="7D2F6ABF"/>
    <w:rsid w:val="7D3C65AD"/>
    <w:rsid w:val="7D452DFD"/>
    <w:rsid w:val="7D50024E"/>
    <w:rsid w:val="7D637EF4"/>
    <w:rsid w:val="7E341B98"/>
    <w:rsid w:val="7E51328E"/>
    <w:rsid w:val="7EAE7CE3"/>
    <w:rsid w:val="7F14576E"/>
    <w:rsid w:val="7FB7357D"/>
    <w:rsid w:val="7FD012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11111%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年决算收入结构图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91.79</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4.71</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1.74</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1.76</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e1e8057-aca5-4897-8fc6-a6eefdfe222c}"/>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2022</a:t>
            </a:r>
            <a:r>
              <a:rPr lang="zh-CN"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年</a:t>
            </a:r>
            <a:r>
              <a:rPr lang="zh-CN" altLang="en-US" sz="1400" b="0">
                <a:latin typeface="仿宋" panose="02010609060101010101" charset="-122"/>
                <a:ea typeface="仿宋" panose="02010609060101010101" charset="-122"/>
                <a:cs typeface="仿宋" panose="02010609060101010101" charset="-122"/>
              </a:rPr>
              <a:t>度预算收入与决算收入对比图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186409052606237"/>
          <c:y val="0.00684150513112889"/>
        </c:manualLayout>
      </c:layout>
      <c:overlay val="0"/>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150368973286048"/>
                  <c:y val="-0.054972067039106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921.72</a:t>
                    </a:r>
                    <a:endParaRPr lang="en-US" altLang="zh-CN"/>
                  </a:p>
                  <a:p>
                    <a:pPr defTabSz="914400">
                      <a:defRPr lang="zh-CN" sz="1000" b="0" i="0" u="none" strike="noStrike" kern="1200" baseline="0">
                        <a:solidFill>
                          <a:schemeClr val="tx1"/>
                        </a:solidFill>
                        <a:latin typeface="+mn-lt"/>
                        <a:ea typeface="+mn-ea"/>
                        <a:cs typeface="+mn-cs"/>
                      </a:defRPr>
                    </a:pP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0864878108538528"/>
                      <c:h val="0.0223463687150838"/>
                    </c:manualLayout>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4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5f1b56a-bcdb-4920-91c7-b9dbbedeb4b8}"/>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年度决算支出结构图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91.78</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4.71</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1.74</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96198b3-312a-4784-98d1-bae6a26d6071}"/>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202</a:t>
            </a:r>
            <a:r>
              <a:rPr lang="en-US" altLang="zh-CN" sz="1200"/>
              <a:t>2</a:t>
            </a:r>
            <a:r>
              <a:rPr sz="1200"/>
              <a:t>年度政法委单位预算支出与决算支出对比图</a:t>
            </a:r>
            <a:endParaRPr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'[111111 - 副本.xlsx]Sheet2'!$B$1</c:f>
              <c:strCache>
                <c:ptCount val="1"/>
                <c:pt idx="0">
                  <c:v>预算</c:v>
                </c:pt>
              </c:strCache>
            </c:strRef>
          </c:tx>
          <c:spPr>
            <a:solidFill>
              <a:schemeClr val="accent1"/>
            </a:solidFill>
            <a:ln>
              <a:noFill/>
            </a:ln>
            <a:effectLst/>
          </c:spPr>
          <c:invertIfNegative val="0"/>
          <c:dLbls>
            <c:delete val="1"/>
          </c:dLbls>
          <c:cat>
            <c:strRef>
              <c:f>'[111111 - 副本.xlsx]Sheet2'!$A$2:$A$5</c:f>
              <c:strCache>
                <c:ptCount val="4"/>
                <c:pt idx="0">
                  <c:v>公共安全支出</c:v>
                </c:pt>
                <c:pt idx="1">
                  <c:v>社会保障和就业支出</c:v>
                </c:pt>
                <c:pt idx="2">
                  <c:v>卫生健康支出</c:v>
                </c:pt>
                <c:pt idx="3">
                  <c:v>住房保障支出</c:v>
                </c:pt>
              </c:strCache>
            </c:strRef>
          </c:cat>
          <c:val>
            <c:numRef>
              <c:f>'[111111 - 副本.xlsx]Sheet2'!$B$2:$B$5</c:f>
              <c:numCache>
                <c:formatCode>General</c:formatCode>
                <c:ptCount val="4"/>
                <c:pt idx="0">
                  <c:v>921.72</c:v>
                </c:pt>
                <c:pt idx="1">
                  <c:v>40.8</c:v>
                </c:pt>
                <c:pt idx="2">
                  <c:v>17.03</c:v>
                </c:pt>
                <c:pt idx="3">
                  <c:v>13.91</c:v>
                </c:pt>
              </c:numCache>
            </c:numRef>
          </c:val>
        </c:ser>
        <c:ser>
          <c:idx val="1"/>
          <c:order val="1"/>
          <c:tx>
            <c:strRef>
              <c:f>'[111111 - 副本.xlsx]Sheet2'!$C$1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'[111111 - 副本.xlsx]Sheet2'!$A$2:$A$5</c:f>
              <c:strCache>
                <c:ptCount val="4"/>
                <c:pt idx="0">
                  <c:v>公共安全支出</c:v>
                </c:pt>
                <c:pt idx="1">
                  <c:v>社会保障和就业支出</c:v>
                </c:pt>
                <c:pt idx="2">
                  <c:v>卫生健康支出</c:v>
                </c:pt>
                <c:pt idx="3">
                  <c:v>住房保障支出</c:v>
                </c:pt>
              </c:strCache>
            </c:strRef>
          </c:cat>
          <c:val>
            <c:numRef>
              <c:f>'[111111 - 副本.xlsx]Sheet2'!$C$2:$C$5</c:f>
              <c:numCache>
                <c:formatCode>General</c:formatCode>
                <c:ptCount val="4"/>
                <c:pt idx="0">
                  <c:v>641.96</c:v>
                </c:pt>
                <c:pt idx="1">
                  <c:v>32.94</c:v>
                </c:pt>
                <c:pt idx="2">
                  <c:v>12.15</c:v>
                </c:pt>
                <c:pt idx="3">
                  <c:v>12.37</c:v>
                </c:pt>
              </c:numCache>
            </c:numRef>
          </c:val>
        </c:ser>
        <c:dLbls>
          <c:showLegendKey val="0"/>
          <c:showVal val="0"/>
          <c:showCatName val="0"/>
          <c:showSerName val="0"/>
          <c:showPercent val="0"/>
          <c:showBubbleSize val="0"/>
        </c:dLbls>
        <c:gapWidth val="219"/>
        <c:overlap val="-27"/>
        <c:axId val="898096591"/>
        <c:axId val="503433264"/>
      </c:barChart>
      <c:catAx>
        <c:axId val="8980965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433264"/>
        <c:crosses val="autoZero"/>
        <c:auto val="1"/>
        <c:lblAlgn val="ctr"/>
        <c:lblOffset val="100"/>
        <c:noMultiLvlLbl val="0"/>
      </c:catAx>
      <c:valAx>
        <c:axId val="5034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0965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97ae6d-163d-49f0-af7a-81a0589c7c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2990</Words>
  <Characters>3074</Characters>
  <Lines>102</Lines>
  <Paragraphs>28</Paragraphs>
  <TotalTime>8</TotalTime>
  <ScaleCrop>false</ScaleCrop>
  <LinksUpToDate>false</LinksUpToDate>
  <CharactersWithSpaces>3175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Nancy</cp:lastModifiedBy>
  <cp:lastPrinted>2023-08-17T07:27:00Z</cp:lastPrinted>
  <dcterms:modified xsi:type="dcterms:W3CDTF">2025-05-12T10:16:54Z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E1F0D7CB1D0944F39AB9F47ACC3F637D_13</vt:lpwstr>
  </property>
  <property fmtid="{D5CDD505-2E9C-101B-9397-08002B2CF9AE}" pid="4" name="KSOTemplateDocerSaveRecord">
    <vt:lpwstr>eyJoZGlkIjoiYTUxMjE0NGUwNzYyMjQ3YTcxM2YxMWU5ZmRkOTYxZWQiLCJ1c2VySWQiOiIxMjczNzE4NDgwIn0=</vt:lpwstr>
  </property>
</Properties>
</file>