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4DF35">
      <w:pPr>
        <w:widowControl w:val="0"/>
        <w:adjustRightInd/>
        <w:snapToGrid/>
        <w:spacing w:after="0" w:line="540" w:lineRule="exact"/>
        <w:jc w:val="both"/>
        <w:rPr>
          <w:rFonts w:ascii="黑体" w:hAnsi="黑体" w:eastAsia="黑体" w:cs="黑体"/>
          <w:bCs/>
          <w:kern w:val="2"/>
          <w:sz w:val="32"/>
          <w:szCs w:val="32"/>
        </w:rPr>
      </w:pPr>
    </w:p>
    <w:p w14:paraId="2A9743E1">
      <w:pPr>
        <w:widowControl w:val="0"/>
        <w:adjustRightInd/>
        <w:snapToGrid/>
        <w:spacing w:after="0" w:line="540" w:lineRule="exact"/>
        <w:jc w:val="both"/>
        <w:rPr>
          <w:rFonts w:ascii="黑体" w:hAnsi="黑体" w:eastAsia="黑体" w:cs="黑体"/>
          <w:bCs/>
          <w:kern w:val="2"/>
          <w:sz w:val="32"/>
          <w:szCs w:val="32"/>
        </w:rPr>
      </w:pPr>
    </w:p>
    <w:p w14:paraId="47FE2085">
      <w:pPr>
        <w:widowControl w:val="0"/>
        <w:adjustRightInd/>
        <w:snapToGrid/>
        <w:spacing w:after="0" w:line="540" w:lineRule="exact"/>
        <w:jc w:val="both"/>
        <w:rPr>
          <w:rFonts w:ascii="黑体" w:hAnsi="黑体" w:eastAsia="黑体" w:cs="黑体"/>
          <w:bCs/>
          <w:kern w:val="2"/>
          <w:sz w:val="32"/>
          <w:szCs w:val="32"/>
        </w:rPr>
      </w:pPr>
    </w:p>
    <w:p w14:paraId="5462172B">
      <w:pPr>
        <w:widowControl w:val="0"/>
        <w:adjustRightInd/>
        <w:snapToGrid/>
        <w:spacing w:after="0" w:line="540" w:lineRule="exact"/>
        <w:jc w:val="both"/>
        <w:rPr>
          <w:rFonts w:ascii="Times New Roman" w:hAnsi="Times New Roman" w:eastAsia="宋体" w:cs="Times New Roman"/>
          <w:bCs/>
          <w:kern w:val="2"/>
          <w:sz w:val="72"/>
          <w:szCs w:val="24"/>
        </w:rPr>
      </w:pPr>
    </w:p>
    <w:p w14:paraId="58C1090C">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保定市徐水区人民政府办公室202</w:t>
      </w:r>
      <w:r>
        <w:rPr>
          <w:rFonts w:asciiTheme="majorEastAsia" w:hAnsiTheme="majorEastAsia" w:eastAsiaTheme="majorEastAsia" w:cstheme="majorEastAsia"/>
          <w:b/>
          <w:kern w:val="2"/>
          <w:sz w:val="44"/>
          <w:szCs w:val="44"/>
        </w:rPr>
        <w:t>2</w:t>
      </w:r>
      <w:r>
        <w:rPr>
          <w:rFonts w:hint="eastAsia" w:asciiTheme="majorEastAsia" w:hAnsiTheme="majorEastAsia" w:eastAsiaTheme="majorEastAsia" w:cstheme="majorEastAsia"/>
          <w:b/>
          <w:kern w:val="2"/>
          <w:sz w:val="44"/>
          <w:szCs w:val="44"/>
        </w:rPr>
        <w:t>年部门</w:t>
      </w:r>
    </w:p>
    <w:p w14:paraId="18660327">
      <w:pPr>
        <w:widowControl w:val="0"/>
        <w:adjustRightInd/>
        <w:snapToGrid/>
        <w:spacing w:after="0" w:line="580" w:lineRule="exact"/>
        <w:jc w:val="center"/>
        <w:rPr>
          <w:rFonts w:ascii="黑体" w:hAnsi="黑体" w:eastAsia="黑体" w:cs="Times New Roman"/>
          <w:bCs/>
          <w:kern w:val="2"/>
          <w:sz w:val="48"/>
          <w:szCs w:val="48"/>
        </w:rPr>
      </w:pPr>
      <w:r>
        <w:rPr>
          <w:rFonts w:hint="eastAsia" w:asciiTheme="majorEastAsia" w:hAnsiTheme="majorEastAsia" w:eastAsiaTheme="majorEastAsia" w:cstheme="majorEastAsia"/>
          <w:b/>
          <w:kern w:val="2"/>
          <w:sz w:val="44"/>
          <w:szCs w:val="44"/>
        </w:rPr>
        <w:t>整体支出绩效评价自评报告</w:t>
      </w:r>
    </w:p>
    <w:p w14:paraId="096FE4E3">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80E7A5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78A472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F92E126">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FCFFE8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FA1567F">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D7495A8">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6519369">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E4F437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68F72F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191586B">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29495A6">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23</w:t>
      </w:r>
      <w:r>
        <w:rPr>
          <w:rFonts w:hint="eastAsia" w:cs="Times New Roman" w:asciiTheme="minorEastAsia" w:hAnsiTheme="minorEastAsia" w:eastAsiaTheme="minorEastAsia"/>
          <w:bCs/>
          <w:kern w:val="2"/>
          <w:sz w:val="36"/>
          <w:szCs w:val="36"/>
        </w:rPr>
        <w:t>年8月</w:t>
      </w:r>
    </w:p>
    <w:p w14:paraId="6CFD0DD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3CC95370">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415C105">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F618B2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2D358A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14:paraId="2CCDBDF8">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1AFAA894">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0E493240">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679C0A0F">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一、保定市徐水区人民政府办公室基本情况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95B9A80">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2CDA15E">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B86F5E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0EAB13B">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325D3EC">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CACF4A8">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7D17A3E7">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92CBB7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23BEFFC4">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AECD7C9">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260B1DB">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57EE283">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7869232">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9F9F0B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7CFBCFA">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6BA88B1">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E96EA39">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AA02FC9">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53D75477">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D9B015A">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9852D8C">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3F8FFEF">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EFBE123">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C7E5E21">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0AAFFFA8">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14:paraId="4554645E">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14:paraId="7B01AAC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2022</w:t>
      </w:r>
      <w:r>
        <w:rPr>
          <w:rFonts w:hint="eastAsia" w:ascii="仿宋_GB2312" w:eastAsia="仿宋_GB2312" w:cs="DengXian-Regular"/>
          <w:sz w:val="32"/>
          <w:szCs w:val="32"/>
        </w:rPr>
        <w:t>年部门整体支出情况开展了绩效自评价工作。</w:t>
      </w:r>
    </w:p>
    <w:p w14:paraId="423DBFA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人民政府办公室为正科级行政单位，经费保障形式为财政拨款，下设11个股室，分别为综合股、秘书股、信息股、行政股、财务股、人民防空股、专线办、文书室、政务公开办、外事股、政府督查室，主要职责有（一）负责区政府会议的准备、组织和服务工作，协调和督办区政府会议决定事项。（二）组织起草区政府领导重要讲话及其他重要文稿。（三）根据区政府领导意见，对有关事项进行协调，对部门之间出现的争议问题提出处理意见，报区政府领导决定之间出现的争议问题提出处理意见，报区政府领导决定。（四）研究区政府各部门和各乡镇人民政府、城区办事处、经济开发区管委会请示区政府的事项，提出审核意见，报区政府领导审批（五）组织起草或审核上报市政府、市政府办公室和致函市政府各部门的公文，以及以区政府、区政府办公室名义发布的公文；办理区政府各部门和各乡镇人民政府、城区办事处、经济开发区管委会报送区政府的文件。（六）负责区政府值班工作，及时报告重要情况；负责紧急重要事项的协调上报。（七）国绕全区经济、社会发展中心工作，按照区委，区政府领导的安排和工作部署，深入调查研究，及时了解，掌握经济和社会发展动态并向区政府领导报告，提出建议。（八）组织承办人大代表建议和政协提案工作。（九）负责政务信息公开工作和区政府系统机关电子政务工作。（十）负责区政府和区政府办公室的文书处理、档案管理、印信管理和保密工作。（十一）负责区政府的行政事务和接待工作。（十二）承担区政府政策研究职责；区政府外事工作职责：区地方志编纂工作职责（十三）负责区长热线、短信平台，群众热线等平台的投诉受理工作。(十四)贯彻执行党和国家有关行政机关后勤管理的方针、政策和法律法规,结合本区实际,制定区政府机关后勤事务工作的规定和办法，并组织实施。(十五)督导催办检查区政府各部门、各乡镇政府对上级和本级政府重要文件、区长办公会议、区政府常务会议、政务会议、各类协调会议决定的重要工作以及人民群众来信来访和政府领导同志重要批示的执行落实情况,并向区政府领导报告。(十六)承办区政府领导交办的其它事项。</w:t>
      </w:r>
    </w:p>
    <w:p w14:paraId="2DC1AD6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0F0E63E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14:paraId="5B0BD8C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XXX单位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年部门整体支出绩效评价工作。</w:t>
      </w:r>
    </w:p>
    <w:p w14:paraId="70AC0FB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区政府办202</w:t>
      </w:r>
      <w:r>
        <w:rPr>
          <w:rFonts w:ascii="仿宋_GB2312" w:eastAsia="仿宋_GB2312" w:cs="DengXian-Regular"/>
          <w:sz w:val="32"/>
          <w:szCs w:val="32"/>
        </w:rPr>
        <w:t>2</w:t>
      </w:r>
      <w:r>
        <w:rPr>
          <w:rFonts w:hint="eastAsia" w:ascii="仿宋_GB2312" w:eastAsia="仿宋_GB2312" w:cs="DengXian-Regular"/>
          <w:sz w:val="32"/>
          <w:szCs w:val="32"/>
        </w:rPr>
        <w:t>年部门整体支出绩效评价指标体系共设置4个一级指标、7个二级指标、27个三级指标，从投入、过程、产出、效果四个方面对区政府办部门整体支出情况评分定级。指标体系设定满分为100分，绩效评价分值≥90为“优”；80≤分值＜90为“良”；60≤分值＜80为“合格”；60分以下为“差”。</w:t>
      </w:r>
    </w:p>
    <w:p w14:paraId="5FB5C7B5">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区政府办202</w:t>
      </w:r>
      <w:r>
        <w:rPr>
          <w:rFonts w:ascii="仿宋_GB2312" w:eastAsia="仿宋_GB2312" w:cs="DengXian-Regular"/>
          <w:color w:val="auto"/>
          <w:sz w:val="32"/>
          <w:szCs w:val="32"/>
        </w:rPr>
        <w:t>2</w:t>
      </w:r>
      <w:r>
        <w:rPr>
          <w:rFonts w:hint="eastAsia" w:ascii="仿宋_GB2312" w:eastAsia="仿宋_GB2312" w:cs="DengXian-Regular"/>
          <w:color w:val="auto"/>
          <w:sz w:val="32"/>
          <w:szCs w:val="32"/>
        </w:rPr>
        <w:t>年部门整体支出综合评价得分为92.4分，评价等级为“优”。</w:t>
      </w:r>
    </w:p>
    <w:p w14:paraId="724D073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政府办2022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14:paraId="34F4CED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14:paraId="7D4CBC9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1.绩效指标方面：预算项目绩效指标不够清晰。</w:t>
      </w:r>
    </w:p>
    <w:p w14:paraId="4B72B8F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r>
        <w:rPr>
          <w:rFonts w:ascii="仿宋_GB2312" w:eastAsia="仿宋_GB2312" w:cs="DengXian-Regular"/>
          <w:sz w:val="32"/>
          <w:szCs w:val="32"/>
        </w:rPr>
        <w:t>预算和决算数据存在差距</w:t>
      </w:r>
      <w:r>
        <w:rPr>
          <w:rFonts w:hint="eastAsia" w:ascii="仿宋_GB2312" w:eastAsia="仿宋_GB2312" w:cs="DengXian-Regular"/>
          <w:sz w:val="32"/>
          <w:szCs w:val="32"/>
        </w:rPr>
        <w:t>。</w:t>
      </w:r>
    </w:p>
    <w:p w14:paraId="73ED692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14:paraId="0FBDD8F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14:paraId="00CA2A1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14:paraId="5E34E29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14:paraId="3D51753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14:paraId="3218279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14:paraId="74EED06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bookmarkStart w:id="1" w:name="_Toc4346"/>
    </w:p>
    <w:p w14:paraId="08FAE52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14:paraId="11FB94B4">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政府办对项目资金进行梳理，督促项目进度和资金拨付进度，应拨付的资金及时拨付，不具备条件的资金及时收回，同时，对于按规定可以结转至下年的中央及省级项目资金，在下年的项目安排时优先考虑。</w:t>
      </w:r>
    </w:p>
    <w:p w14:paraId="646F909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14:paraId="32F1E3E6">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14:paraId="078CA31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14:paraId="2B26F9B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202</w:t>
      </w:r>
      <w:r>
        <w:rPr>
          <w:rFonts w:hint="eastAsia" w:ascii="仿宋_GB2312" w:eastAsia="仿宋_GB2312" w:cs="DengXian-Regular"/>
          <w:sz w:val="32"/>
          <w:szCs w:val="32"/>
        </w:rPr>
        <w:t>2</w:t>
      </w:r>
      <w:r>
        <w:rPr>
          <w:rFonts w:ascii="仿宋_GB2312" w:eastAsia="仿宋_GB2312" w:cs="DengXian-Regular"/>
          <w:sz w:val="32"/>
          <w:szCs w:val="32"/>
        </w:rPr>
        <w:t>年项目支出资金使用率较低，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w:t>
      </w:r>
      <w:r>
        <w:rPr>
          <w:rFonts w:hint="eastAsia" w:ascii="仿宋_GB2312" w:eastAsia="仿宋_GB2312" w:cs="DengXian-Regular"/>
          <w:sz w:val="32"/>
          <w:szCs w:val="32"/>
        </w:rPr>
        <w:t>3</w:t>
      </w:r>
      <w:r>
        <w:rPr>
          <w:rFonts w:ascii="仿宋_GB2312" w:eastAsia="仿宋_GB2312" w:cs="DengXian-Regular"/>
          <w:sz w:val="32"/>
          <w:szCs w:val="32"/>
        </w:rPr>
        <w:t>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14:paraId="05582B76">
      <w:pPr>
        <w:pStyle w:val="3"/>
        <w:spacing w:line="540" w:lineRule="exact"/>
        <w:jc w:val="center"/>
        <w:rPr>
          <w:rFonts w:ascii="黑体" w:hAnsi="黑体"/>
          <w:b w:val="0"/>
        </w:rPr>
      </w:pPr>
      <w:r>
        <w:rPr>
          <w:rFonts w:hint="eastAsia" w:ascii="黑体" w:hAnsi="黑体"/>
          <w:b w:val="0"/>
        </w:rPr>
        <w:t>第二部分   绩效评价报告</w:t>
      </w:r>
      <w:bookmarkEnd w:id="1"/>
    </w:p>
    <w:p w14:paraId="4F311D47">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一、保定市徐水区人民政府办公室基本情况</w:t>
      </w:r>
      <w:bookmarkEnd w:id="2"/>
      <w:bookmarkEnd w:id="3"/>
      <w:bookmarkStart w:id="4" w:name="_Toc492652764"/>
    </w:p>
    <w:p w14:paraId="3DD0D563">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14:paraId="56746A0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根据中共保定市徐水区委办公室、保定市徐水区人民政府办公室关于印发《保定市徐水区人民政府办公室职能配置内设机构和人员编制规定》的通知，区政府办为区政府工作部门，正科级单位，下设11个股室。</w:t>
      </w:r>
      <w:bookmarkStart w:id="6" w:name="_Toc465149499"/>
      <w:bookmarkStart w:id="7" w:name="_Toc492652765"/>
      <w:bookmarkStart w:id="8" w:name="_Toc7075"/>
      <w:r>
        <w:rPr>
          <w:rFonts w:hint="eastAsia" w:ascii="仿宋_GB2312" w:eastAsia="仿宋_GB2312" w:cs="DengXian-Regular"/>
          <w:sz w:val="32"/>
          <w:szCs w:val="32"/>
        </w:rPr>
        <w:t>保定市徐水区人民政府办公室根据绩效预算管理改革的相关要求，按照“部门职责—工作活动绩效目标”的层级设立了绩效预算架构，职责活动包括在区政府直接领导下，参与政务，开展调查研究，提供决策服务，搞好综合协调，处理日常事务。建设政府网站,维护好区政府应急平台,提升政府电子政务管理与服务水平。做好地方志、人防、法制、档案馆和外事工作，促进全区各项工作顺利推进。</w:t>
      </w:r>
    </w:p>
    <w:p w14:paraId="32E473B4">
      <w:pPr>
        <w:spacing w:after="0" w:line="360" w:lineRule="auto"/>
        <w:ind w:firstLine="640" w:firstLineChars="200"/>
        <w:jc w:val="both"/>
        <w:textAlignment w:val="baseline"/>
        <w:rPr>
          <w:rFonts w:ascii="仿宋_GB2312" w:cs="DengXian-Regular"/>
          <w:sz w:val="32"/>
        </w:rPr>
      </w:pPr>
      <w:r>
        <w:rPr>
          <w:rFonts w:hint="eastAsia" w:ascii="仿宋_GB2312" w:cs="DengXian-Regular"/>
          <w:sz w:val="32"/>
        </w:rPr>
        <w:t>（二）</w:t>
      </w:r>
      <w:bookmarkEnd w:id="6"/>
      <w:r>
        <w:rPr>
          <w:rFonts w:hint="eastAsia" w:ascii="仿宋_GB2312" w:cs="DengXian-Regular"/>
          <w:sz w:val="32"/>
        </w:rPr>
        <w:t>部门年度发展规划总体目标和职责分类绩效目标</w:t>
      </w:r>
      <w:bookmarkEnd w:id="7"/>
      <w:bookmarkEnd w:id="8"/>
    </w:p>
    <w:p w14:paraId="6716BA6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按照2022年绩效预算编制要求，保定市徐水区人民政府办公室设置的年度发展规划总体目标为：</w:t>
      </w:r>
    </w:p>
    <w:p w14:paraId="59562A7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cs="仿宋"/>
          <w:sz w:val="32"/>
          <w:szCs w:val="32"/>
        </w:rPr>
      </w:pPr>
      <w:bookmarkStart w:id="9" w:name="_Toc1678"/>
      <w:bookmarkStart w:id="10" w:name="_Toc492652766"/>
      <w:bookmarkStart w:id="11" w:name="_Toc465149500"/>
      <w:r>
        <w:rPr>
          <w:rFonts w:hint="eastAsia" w:ascii="仿宋_GB2312" w:eastAsia="仿宋_GB2312" w:cs="DengXian-Regular"/>
          <w:sz w:val="32"/>
          <w:szCs w:val="32"/>
        </w:rPr>
        <w:t xml:space="preserve">1、视频会议及网站维护相关经费项目: </w:t>
      </w:r>
      <w:r>
        <w:rPr>
          <w:rFonts w:hint="eastAsia" w:ascii="仿宋" w:hAnsi="仿宋" w:eastAsia="仿宋" w:cs="仿宋"/>
          <w:sz w:val="32"/>
          <w:szCs w:val="32"/>
        </w:rPr>
        <w:t>开展政府电子政务管理于服务工作。提高行政效能和会议效率，适应电视电话会议要求，确保各类会议顺利进行，保障区政府网络系统安全、稳定运行，技术设备安全可用，切实提高技术保障能力和服务水平。</w:t>
      </w:r>
    </w:p>
    <w:p w14:paraId="686FBFB6">
      <w:pPr>
        <w:spacing w:after="0" w:line="360" w:lineRule="auto"/>
        <w:ind w:firstLine="640" w:firstLineChars="200"/>
        <w:jc w:val="both"/>
        <w:textAlignment w:val="baseline"/>
        <w:rPr>
          <w:rFonts w:ascii="仿宋" w:hAnsi="仿宋" w:eastAsia="仿宋"/>
          <w:sz w:val="32"/>
        </w:rPr>
      </w:pPr>
      <w:r>
        <w:rPr>
          <w:rFonts w:hint="eastAsia" w:ascii="仿宋_GB2312" w:eastAsia="仿宋_GB2312" w:cs="DengXian-Regular"/>
          <w:sz w:val="32"/>
          <w:szCs w:val="32"/>
        </w:rPr>
        <w:t>2、</w:t>
      </w:r>
      <w:r>
        <w:rPr>
          <w:rFonts w:ascii="仿宋" w:hAnsi="仿宋" w:eastAsia="仿宋"/>
          <w:sz w:val="32"/>
        </w:rPr>
        <w:t>人民防空宣传</w:t>
      </w:r>
      <w:r>
        <w:rPr>
          <w:rFonts w:hint="eastAsia" w:ascii="仿宋" w:hAnsi="仿宋" w:eastAsia="仿宋"/>
          <w:sz w:val="32"/>
        </w:rPr>
        <w:t>经费项目：</w:t>
      </w:r>
      <w:r>
        <w:rPr>
          <w:rFonts w:ascii="仿宋" w:hAnsi="仿宋" w:eastAsia="仿宋"/>
          <w:sz w:val="32"/>
        </w:rPr>
        <w:t>根据省、市人防办关于加强人民防空宣传工作的意见，建设人防宣教场所和印制人民防空知识宣传手册。</w:t>
      </w:r>
    </w:p>
    <w:p w14:paraId="749EFA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cs="仿宋"/>
          <w:sz w:val="32"/>
          <w:szCs w:val="32"/>
        </w:rPr>
      </w:pPr>
      <w:r>
        <w:rPr>
          <w:rFonts w:hint="eastAsia" w:ascii="仿宋" w:hAnsi="仿宋" w:eastAsia="仿宋"/>
          <w:sz w:val="32"/>
        </w:rPr>
        <w:t>3、</w:t>
      </w:r>
      <w:r>
        <w:rPr>
          <w:rFonts w:hint="eastAsia" w:ascii="仿宋" w:hAnsi="仿宋" w:eastAsia="仿宋" w:cs="仿宋"/>
          <w:sz w:val="32"/>
          <w:szCs w:val="32"/>
        </w:rPr>
        <w:t>数字电视维护费和增值业务费项目：保障各类视频会议信号优良，确保各类视频会议顺利进行。</w:t>
      </w:r>
    </w:p>
    <w:p w14:paraId="7B28F7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sz w:val="32"/>
        </w:rPr>
      </w:pPr>
      <w:r>
        <w:rPr>
          <w:rFonts w:hint="eastAsia" w:ascii="仿宋" w:hAnsi="仿宋" w:eastAsia="仿宋"/>
          <w:sz w:val="32"/>
        </w:rPr>
        <w:t>4、</w:t>
      </w:r>
      <w:r>
        <w:rPr>
          <w:rFonts w:ascii="仿宋" w:hAnsi="仿宋" w:eastAsia="仿宋"/>
          <w:sz w:val="32"/>
        </w:rPr>
        <w:t>徐水区</w:t>
      </w:r>
      <w:r>
        <w:rPr>
          <w:rFonts w:hint="eastAsia" w:ascii="仿宋" w:hAnsi="仿宋" w:eastAsia="仿宋"/>
          <w:sz w:val="32"/>
        </w:rPr>
        <w:t>双代</w:t>
      </w:r>
      <w:r>
        <w:rPr>
          <w:rFonts w:ascii="仿宋" w:hAnsi="仿宋" w:eastAsia="仿宋"/>
          <w:sz w:val="32"/>
        </w:rPr>
        <w:t>办工作经费</w:t>
      </w:r>
      <w:r>
        <w:rPr>
          <w:rFonts w:hint="eastAsia" w:ascii="仿宋" w:hAnsi="仿宋" w:eastAsia="仿宋"/>
          <w:sz w:val="32"/>
        </w:rPr>
        <w:t>项目：保障双代办工作的正常运行。</w:t>
      </w:r>
    </w:p>
    <w:p w14:paraId="3BD4C8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sz w:val="32"/>
        </w:rPr>
      </w:pPr>
      <w:r>
        <w:rPr>
          <w:rFonts w:hint="eastAsia" w:ascii="仿宋" w:hAnsi="仿宋" w:eastAsia="仿宋"/>
          <w:sz w:val="32"/>
        </w:rPr>
        <w:t>5、</w:t>
      </w:r>
      <w:r>
        <w:rPr>
          <w:rFonts w:ascii="仿宋" w:hAnsi="仿宋" w:eastAsia="仿宋"/>
          <w:sz w:val="32"/>
        </w:rPr>
        <w:t>徐水区</w:t>
      </w:r>
      <w:r>
        <w:rPr>
          <w:rFonts w:hint="eastAsia" w:ascii="仿宋" w:hAnsi="仿宋" w:eastAsia="仿宋"/>
          <w:sz w:val="32"/>
        </w:rPr>
        <w:t>大气</w:t>
      </w:r>
      <w:r>
        <w:rPr>
          <w:rFonts w:ascii="仿宋" w:hAnsi="仿宋" w:eastAsia="仿宋"/>
          <w:sz w:val="32"/>
        </w:rPr>
        <w:t>办工作经费</w:t>
      </w:r>
      <w:r>
        <w:rPr>
          <w:rFonts w:hint="eastAsia" w:ascii="仿宋" w:hAnsi="仿宋" w:eastAsia="仿宋"/>
          <w:sz w:val="32"/>
        </w:rPr>
        <w:t>项目：保障大气办工作的正常运行。</w:t>
      </w:r>
    </w:p>
    <w:p w14:paraId="16FA3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sz w:val="32"/>
        </w:rPr>
      </w:pPr>
      <w:r>
        <w:rPr>
          <w:rFonts w:hint="eastAsia" w:ascii="仿宋" w:hAnsi="仿宋" w:eastAsia="仿宋"/>
          <w:sz w:val="32"/>
        </w:rPr>
        <w:t>6、</w:t>
      </w:r>
      <w:r>
        <w:rPr>
          <w:rFonts w:ascii="仿宋" w:hAnsi="仿宋" w:eastAsia="仿宋"/>
          <w:sz w:val="32"/>
        </w:rPr>
        <w:t>徐水区</w:t>
      </w:r>
      <w:r>
        <w:rPr>
          <w:rFonts w:hint="eastAsia" w:ascii="仿宋" w:hAnsi="仿宋" w:eastAsia="仿宋"/>
          <w:sz w:val="32"/>
        </w:rPr>
        <w:t>大项目</w:t>
      </w:r>
      <w:r>
        <w:rPr>
          <w:rFonts w:ascii="仿宋" w:hAnsi="仿宋" w:eastAsia="仿宋"/>
          <w:sz w:val="32"/>
        </w:rPr>
        <w:t>办工作经费</w:t>
      </w:r>
      <w:r>
        <w:rPr>
          <w:rFonts w:hint="eastAsia" w:ascii="仿宋" w:hAnsi="仿宋" w:eastAsia="仿宋"/>
          <w:sz w:val="32"/>
        </w:rPr>
        <w:t>项目：保障大项目办工作的正常运行。</w:t>
      </w:r>
    </w:p>
    <w:p w14:paraId="4DDB6FB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color w:val="FF0000"/>
          <w:sz w:val="32"/>
        </w:rPr>
      </w:pPr>
      <w:r>
        <w:rPr>
          <w:rFonts w:hint="eastAsia" w:ascii="仿宋" w:hAnsi="仿宋" w:eastAsia="仿宋"/>
          <w:sz w:val="32"/>
        </w:rPr>
        <w:t>7、采购LED全彩屏经费项目：</w:t>
      </w:r>
      <w:r>
        <w:rPr>
          <w:rFonts w:hint="eastAsia" w:ascii="方正仿宋_GBK" w:eastAsia="方正仿宋_GBK"/>
          <w:sz w:val="32"/>
          <w:szCs w:val="32"/>
        </w:rPr>
        <w:t>保障</w:t>
      </w:r>
      <w:r>
        <w:rPr>
          <w:rFonts w:hint="eastAsia" w:ascii="方正仿宋_GBK" w:eastAsia="方正仿宋_GBK"/>
          <w:color w:val="000000"/>
          <w:sz w:val="32"/>
          <w:szCs w:val="32"/>
        </w:rPr>
        <w:t>实现规模较大的视频会议在政府六楼会议室的顺利召开。</w:t>
      </w:r>
    </w:p>
    <w:p w14:paraId="2D088E0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hint="eastAsia" w:ascii="方正仿宋_GBK" w:eastAsia="方正仿宋_GBK"/>
          <w:color w:val="000000"/>
          <w:sz w:val="32"/>
          <w:szCs w:val="32"/>
        </w:rPr>
      </w:pPr>
      <w:r>
        <w:rPr>
          <w:rFonts w:hint="eastAsia" w:ascii="仿宋" w:hAnsi="仿宋" w:eastAsia="仿宋"/>
          <w:sz w:val="32"/>
        </w:rPr>
        <w:t>8、健康驿站运行经费项目：</w:t>
      </w:r>
      <w:r>
        <w:rPr>
          <w:rFonts w:hint="eastAsia" w:ascii="方正仿宋_GBK" w:eastAsia="方正仿宋_GBK"/>
          <w:sz w:val="32"/>
          <w:szCs w:val="32"/>
        </w:rPr>
        <w:t>保障我区疫情得以有效控制，徐水区健康驿站承担着我区疫情防控工作的</w:t>
      </w:r>
      <w:r>
        <w:rPr>
          <w:rFonts w:hint="eastAsia" w:ascii="方正仿宋_GBK" w:eastAsia="方正仿宋_GBK"/>
          <w:color w:val="000000"/>
          <w:sz w:val="32"/>
          <w:szCs w:val="32"/>
        </w:rPr>
        <w:t>组织、协调、疏导以及阻断疫情传播的关键环节。</w:t>
      </w:r>
    </w:p>
    <w:p w14:paraId="15383AB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hint="eastAsia" w:ascii="方正仿宋_GBK" w:eastAsia="方正仿宋_GBK"/>
          <w:sz w:val="32"/>
          <w:szCs w:val="32"/>
        </w:rPr>
      </w:pPr>
      <w:r>
        <w:rPr>
          <w:rFonts w:hint="eastAsia" w:ascii="仿宋" w:hAnsi="仿宋" w:eastAsia="仿宋"/>
          <w:sz w:val="32"/>
        </w:rPr>
        <w:t>9、疫情防控消杀作业所需资金项目：</w:t>
      </w:r>
      <w:r>
        <w:rPr>
          <w:rFonts w:hint="eastAsia" w:ascii="方正仿宋_GBK" w:eastAsia="方正仿宋_GBK"/>
          <w:sz w:val="32"/>
          <w:szCs w:val="32"/>
        </w:rPr>
        <w:t>为保障隔离场所人员安全和正常运行，特聘请专业消杀公司对隔离点和健康驿站进行消杀作业</w:t>
      </w:r>
    </w:p>
    <w:p w14:paraId="51968D9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640" w:firstLineChars="200"/>
        <w:rPr>
          <w:rFonts w:ascii="仿宋" w:hAnsi="仿宋" w:eastAsia="仿宋"/>
          <w:sz w:val="32"/>
        </w:rPr>
      </w:pPr>
      <w:r>
        <w:rPr>
          <w:rFonts w:hint="eastAsia" w:ascii="仿宋" w:hAnsi="仿宋" w:eastAsia="仿宋"/>
          <w:sz w:val="32"/>
        </w:rPr>
        <w:t>10、大气办大气污染防治宣传经费项目：</w:t>
      </w:r>
      <w:r>
        <w:rPr>
          <w:rFonts w:hint="eastAsia" w:ascii="方正仿宋_GBK" w:eastAsia="方正仿宋_GBK"/>
          <w:sz w:val="32"/>
          <w:szCs w:val="32"/>
        </w:rPr>
        <w:t>为切实</w:t>
      </w:r>
      <w:r>
        <w:rPr>
          <w:rFonts w:hint="eastAsia" w:ascii="方正仿宋_GBK" w:eastAsia="方正仿宋_GBK"/>
          <w:color w:val="000000"/>
          <w:sz w:val="32"/>
          <w:szCs w:val="32"/>
        </w:rPr>
        <w:t>加强大气污染防治宣传工作，为做好全区大气污染防治工作，在户外设置三面翻大型宣传牌进行平面宣传。</w:t>
      </w:r>
    </w:p>
    <w:p w14:paraId="6D93296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14:paraId="783914F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区政府办单位预算收入1134.87万元，均为一般公共预算拨款，其中：财政拨款1134.87万元，中央财政提前通知转移支付0万元。预算收入按功能分类包含：一般公共服务支出1000.57万元，社会保障和就业支出69.76万元，卫生健康支出27.53万元，住房保障支出37.01万元。具体预算收入详见附件2。</w:t>
      </w:r>
    </w:p>
    <w:p w14:paraId="4A9AD29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区政府办决算收入1175.06万元，其中：财政拨款收入1175.04万元，其他收入0.02万元（全部为利息收入）。决算收入按功能分类包含：一般公共服务支出938.55万元，占比79.87%；社会保障和就业支出65.21万元，占比5.55%；卫生健康支出137.85万元，占比11.73%；住房保障支出33.45万元，占比2.85%。具体决算收入详见附件</w:t>
      </w:r>
    </w:p>
    <w:p w14:paraId="0D4318B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14:paraId="0FE9AB0C">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asciiTheme="minorEastAsia" w:hAnsiTheme="minorEastAsia" w:eastAsiaTheme="minorEastAsia" w:cstheme="minorEastAsia"/>
          <w:b/>
          <w:bCs/>
          <w:sz w:val="32"/>
          <w:szCs w:val="32"/>
        </w:rPr>
        <w:t>2</w:t>
      </w:r>
      <w:r>
        <w:rPr>
          <w:rFonts w:hint="eastAsia" w:asciiTheme="minorEastAsia" w:hAnsiTheme="minorEastAsia" w:eastAsiaTheme="minorEastAsia" w:cstheme="minorEastAsia"/>
          <w:b/>
          <w:bCs/>
          <w:sz w:val="32"/>
          <w:szCs w:val="32"/>
        </w:rPr>
        <w:t>年度区</w:t>
      </w:r>
      <w:r>
        <w:rPr>
          <w:rFonts w:hint="eastAsia" w:ascii="仿宋_GB2312" w:eastAsia="仿宋_GB2312" w:cs="DengXian-Regular"/>
          <w:sz w:val="32"/>
          <w:szCs w:val="32"/>
        </w:rPr>
        <w:t>政府办</w:t>
      </w:r>
      <w:r>
        <w:rPr>
          <w:rFonts w:hint="eastAsia" w:asciiTheme="minorEastAsia" w:hAnsiTheme="minorEastAsia" w:eastAsiaTheme="minorEastAsia" w:cstheme="minorEastAsia"/>
          <w:b/>
          <w:bCs/>
          <w:sz w:val="32"/>
          <w:szCs w:val="32"/>
        </w:rPr>
        <w:t>决算收入结构图</w:t>
      </w:r>
    </w:p>
    <w:p w14:paraId="016C3B25">
      <w:pPr>
        <w:spacing w:after="0" w:line="240" w:lineRule="auto"/>
        <w:ind w:firstLine="640" w:firstLineChars="200"/>
        <w:jc w:val="both"/>
        <w:rPr>
          <w:rFonts w:hint="eastAsia" w:ascii="仿宋_GB2312" w:eastAsia="仿宋_GB2312" w:cs="Times New Roman" w:hAnsiTheme="minorEastAsia"/>
          <w:sz w:val="32"/>
          <w:szCs w:val="32"/>
          <w:u w:color="000000"/>
          <w:lang w:eastAsia="zh-CN"/>
        </w:rPr>
      </w:pPr>
    </w:p>
    <w:p w14:paraId="2B874711">
      <w:pPr>
        <w:spacing w:after="0" w:line="240" w:lineRule="auto"/>
        <w:ind w:firstLine="640" w:firstLineChars="200"/>
        <w:jc w:val="both"/>
        <w:rPr>
          <w:rFonts w:ascii="仿宋_GB2312" w:eastAsia="仿宋_GB2312" w:cs="DengXian-Regular"/>
          <w:sz w:val="32"/>
          <w:szCs w:val="32"/>
        </w:rPr>
      </w:pPr>
      <w:r>
        <w:rPr>
          <w:rFonts w:hint="eastAsia" w:ascii="仿宋_GB2312" w:eastAsia="仿宋_GB2312" w:cs="Times New Roman" w:hAnsiTheme="minorEastAsia"/>
          <w:sz w:val="32"/>
          <w:szCs w:val="32"/>
          <w:u w:color="000000"/>
          <w:lang w:eastAsia="zh-CN"/>
        </w:rPr>
        <w:drawing>
          <wp:inline distT="0" distB="0" distL="114300" distR="114300">
            <wp:extent cx="3985260" cy="2727325"/>
            <wp:effectExtent l="0" t="0" r="7620" b="63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3985260" cy="2727325"/>
                    </a:xfrm>
                    <a:prstGeom prst="rect">
                      <a:avLst/>
                    </a:prstGeom>
                  </pic:spPr>
                </pic:pic>
              </a:graphicData>
            </a:graphic>
          </wp:inline>
        </w:drawing>
      </w:r>
    </w:p>
    <w:p w14:paraId="7EFBC31C">
      <w:pPr>
        <w:spacing w:after="0" w:line="540" w:lineRule="exact"/>
        <w:ind w:firstLine="640" w:firstLineChars="200"/>
        <w:jc w:val="both"/>
        <w:rPr>
          <w:rFonts w:ascii="仿宋_GB2312" w:eastAsia="仿宋_GB2312" w:cs="DengXian-Regular"/>
          <w:sz w:val="32"/>
          <w:szCs w:val="32"/>
        </w:rPr>
      </w:pPr>
    </w:p>
    <w:p w14:paraId="1AF28AF5">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区政府办一般公共预算财政拨款决算收入比年初预算增加40.19万元，完成年初预算的103.54%。决算收入大于预算收入的主要原因为202</w:t>
      </w:r>
      <w:r>
        <w:rPr>
          <w:rFonts w:ascii="仿宋_GB2312" w:eastAsia="仿宋_GB2312" w:cs="DengXian-Regular"/>
          <w:sz w:val="32"/>
          <w:szCs w:val="32"/>
        </w:rPr>
        <w:t>2</w:t>
      </w:r>
      <w:r>
        <w:rPr>
          <w:rFonts w:hint="eastAsia" w:ascii="仿宋_GB2312" w:eastAsia="仿宋_GB2312" w:cs="DengXian-Regular"/>
          <w:sz w:val="32"/>
          <w:szCs w:val="32"/>
        </w:rPr>
        <w:t>年度区政府办人员调动且因为疫情项目增多。</w:t>
      </w:r>
    </w:p>
    <w:p w14:paraId="06868EB6">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预算收入与决算收入对比情况见图2。</w:t>
      </w:r>
    </w:p>
    <w:p w14:paraId="2425B6F3">
      <w:pPr>
        <w:spacing w:after="0" w:line="360" w:lineRule="auto"/>
        <w:jc w:val="center"/>
        <w:rPr>
          <w:rFonts w:hint="eastAsia"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w:t>
      </w:r>
      <w:r>
        <w:rPr>
          <w:rFonts w:hint="eastAsia" w:ascii="仿宋_GB2312" w:eastAsia="仿宋_GB2312" w:cs="DengXian-Regular"/>
          <w:sz w:val="32"/>
          <w:szCs w:val="32"/>
        </w:rPr>
        <w:t>2</w:t>
      </w:r>
      <w:r>
        <w:rPr>
          <w:rFonts w:hint="eastAsia" w:asciiTheme="minorEastAsia" w:hAnsiTheme="minorEastAsia" w:eastAsiaTheme="minorEastAsia" w:cstheme="minorEastAsia"/>
          <w:b/>
          <w:sz w:val="32"/>
          <w:szCs w:val="32"/>
          <w:u w:color="000000"/>
        </w:rPr>
        <w:t>年度区</w:t>
      </w:r>
      <w:r>
        <w:rPr>
          <w:rFonts w:hint="eastAsia" w:ascii="仿宋_GB2312" w:eastAsia="仿宋_GB2312" w:cs="DengXian-Regular"/>
          <w:sz w:val="32"/>
          <w:szCs w:val="32"/>
        </w:rPr>
        <w:t>政府办</w:t>
      </w:r>
      <w:r>
        <w:rPr>
          <w:rFonts w:hint="eastAsia" w:asciiTheme="minorEastAsia" w:hAnsiTheme="minorEastAsia" w:eastAsiaTheme="minorEastAsia" w:cstheme="minorEastAsia"/>
          <w:b/>
          <w:sz w:val="32"/>
          <w:szCs w:val="32"/>
          <w:u w:color="000000"/>
        </w:rPr>
        <w:t>预算收入与决算收入对比图</w:t>
      </w:r>
    </w:p>
    <w:p w14:paraId="2BC678D5">
      <w:pPr>
        <w:spacing w:after="0" w:line="360" w:lineRule="auto"/>
        <w:jc w:val="center"/>
        <w:rPr>
          <w:rFonts w:hint="eastAsia" w:asciiTheme="minorEastAsia" w:hAnsiTheme="minorEastAsia" w:eastAsiaTheme="minorEastAsia" w:cstheme="minorEastAsia"/>
          <w:b/>
          <w:sz w:val="32"/>
          <w:szCs w:val="32"/>
          <w:u w:color="000000"/>
        </w:rPr>
      </w:pPr>
      <w:r>
        <w:rPr>
          <w:rFonts w:hint="eastAsia" w:ascii="仿宋_GB2312" w:eastAsia="仿宋_GB2312" w:cs="Times New Roman" w:hAnsiTheme="minorEastAsia"/>
          <w:sz w:val="32"/>
          <w:szCs w:val="32"/>
          <w:u w:color="000000"/>
          <w:lang w:eastAsia="zh-CN"/>
        </w:rPr>
        <w:drawing>
          <wp:inline distT="0" distB="0" distL="114300" distR="114300">
            <wp:extent cx="4691380" cy="2406650"/>
            <wp:effectExtent l="0" t="0" r="2540" b="127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8"/>
                    <a:stretch>
                      <a:fillRect/>
                    </a:stretch>
                  </pic:blipFill>
                  <pic:spPr>
                    <a:xfrm>
                      <a:off x="0" y="0"/>
                      <a:ext cx="4691380" cy="2406650"/>
                    </a:xfrm>
                    <a:prstGeom prst="rect">
                      <a:avLst/>
                    </a:prstGeom>
                  </pic:spPr>
                </pic:pic>
              </a:graphicData>
            </a:graphic>
          </wp:inline>
        </w:drawing>
      </w:r>
    </w:p>
    <w:p w14:paraId="16E87DE8">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14:paraId="1A71733F">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2022年度区政府办</w:t>
      </w:r>
      <w:r>
        <w:rPr>
          <w:rFonts w:hint="eastAsia" w:ascii="仿宋_GB2312" w:eastAsia="仿宋_GB2312" w:cs="Times New Roman" w:hAnsiTheme="minorEastAsia"/>
          <w:sz w:val="32"/>
          <w:szCs w:val="32"/>
          <w:u w:color="000000"/>
        </w:rPr>
        <w:t>预算支出安排1134.87万元，其中：基本支出1065.57万元，项目支出69.31万元。预算支出按功能分类包含：</w:t>
      </w:r>
      <w:r>
        <w:rPr>
          <w:rFonts w:hint="eastAsia" w:ascii="仿宋_GB2312" w:eastAsia="仿宋_GB2312" w:cs="DengXian-Regular"/>
          <w:sz w:val="32"/>
          <w:szCs w:val="32"/>
        </w:rPr>
        <w:t>一般公共服务支出1000.57万元，社会保障和就业支出69.76万元，卫生健康支出27.53万元，住房保障支出37.01万元</w:t>
      </w:r>
      <w:r>
        <w:rPr>
          <w:rFonts w:hint="eastAsia" w:ascii="仿宋_GB2312" w:eastAsia="仿宋_GB2312" w:cs="Times New Roman" w:hAnsiTheme="minorEastAsia"/>
          <w:sz w:val="32"/>
          <w:szCs w:val="32"/>
          <w:u w:color="000000"/>
        </w:rPr>
        <w:t>。具体预算支出详见附件2。</w:t>
      </w:r>
    </w:p>
    <w:p w14:paraId="315F7CD4">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2022年度区政府办</w:t>
      </w:r>
      <w:r>
        <w:rPr>
          <w:rFonts w:hint="eastAsia" w:ascii="仿宋_GB2312" w:eastAsia="仿宋_GB2312" w:cs="Times New Roman" w:hAnsiTheme="minorEastAsia"/>
          <w:sz w:val="32"/>
          <w:szCs w:val="32"/>
          <w:u w:color="000000"/>
        </w:rPr>
        <w:t>决算支出为1175.76万元，其中：基本支出974.94万元，项目支出200.82万元。决算支出按功能分类包含：</w:t>
      </w:r>
      <w:r>
        <w:rPr>
          <w:rFonts w:hint="eastAsia" w:ascii="仿宋_GB2312" w:eastAsia="仿宋_GB2312" w:cs="DengXian-Regular"/>
          <w:sz w:val="32"/>
          <w:szCs w:val="32"/>
        </w:rPr>
        <w:t>一般公共服务支出</w:t>
      </w:r>
      <w:r>
        <w:rPr>
          <w:rFonts w:hint="eastAsia" w:ascii="仿宋_GB2312" w:eastAsia="仿宋_GB2312" w:cs="Times New Roman" w:hAnsiTheme="minorEastAsia"/>
          <w:sz w:val="32"/>
          <w:szCs w:val="32"/>
          <w:u w:color="000000"/>
        </w:rPr>
        <w:t>939.90万元，占比79.94%；社会保障和就业支出65.44万元，占比5.57%；卫生健康支出137.85万元，占比11.72%；住房保障支出33.45万元，占比2.77%。具体决算支出详见附件2。</w:t>
      </w:r>
    </w:p>
    <w:p w14:paraId="00A48A00">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14:paraId="22BDAB7E">
      <w:pPr>
        <w:spacing w:after="0" w:line="360" w:lineRule="auto"/>
        <w:jc w:val="center"/>
        <w:rPr>
          <w:rFonts w:hint="eastAsia"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2022年度区政府办</w:t>
      </w:r>
      <w:r>
        <w:rPr>
          <w:rFonts w:hint="eastAsia" w:asciiTheme="minorEastAsia" w:hAnsiTheme="minorEastAsia" w:eastAsiaTheme="minorEastAsia" w:cstheme="minorEastAsia"/>
          <w:b/>
          <w:bCs/>
          <w:sz w:val="32"/>
          <w:szCs w:val="32"/>
          <w:u w:color="000000"/>
        </w:rPr>
        <w:t>决算支出结构图</w:t>
      </w:r>
    </w:p>
    <w:p w14:paraId="24C17A03">
      <w:pPr>
        <w:spacing w:after="0" w:line="360" w:lineRule="auto"/>
        <w:jc w:val="center"/>
        <w:rPr>
          <w:rFonts w:hint="eastAsia" w:asciiTheme="minorEastAsia" w:hAnsiTheme="minorEastAsia" w:eastAsiaTheme="minorEastAsia" w:cstheme="minorEastAsia"/>
          <w:b/>
          <w:bCs/>
          <w:sz w:val="32"/>
          <w:szCs w:val="32"/>
          <w:u w:color="000000"/>
          <w:lang w:eastAsia="zh-CN"/>
        </w:rPr>
      </w:pPr>
      <w:r>
        <w:rPr>
          <w:rFonts w:hint="eastAsia" w:asciiTheme="minorEastAsia" w:hAnsiTheme="minorEastAsia" w:eastAsiaTheme="minorEastAsia" w:cstheme="minorEastAsia"/>
          <w:b/>
          <w:bCs/>
          <w:sz w:val="32"/>
          <w:szCs w:val="32"/>
          <w:u w:color="000000"/>
          <w:lang w:eastAsia="zh-CN"/>
        </w:rPr>
        <w:drawing>
          <wp:inline distT="0" distB="0" distL="114300" distR="114300">
            <wp:extent cx="4572000" cy="3242945"/>
            <wp:effectExtent l="0" t="0" r="0" b="317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9"/>
                    <a:stretch>
                      <a:fillRect/>
                    </a:stretch>
                  </pic:blipFill>
                  <pic:spPr>
                    <a:xfrm>
                      <a:off x="0" y="0"/>
                      <a:ext cx="4572000" cy="3242945"/>
                    </a:xfrm>
                    <a:prstGeom prst="rect">
                      <a:avLst/>
                    </a:prstGeom>
                  </pic:spPr>
                </pic:pic>
              </a:graphicData>
            </a:graphic>
          </wp:inline>
        </w:drawing>
      </w:r>
    </w:p>
    <w:p w14:paraId="302A6B20">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财政拨款决算支出比年初预算增加40.89万元。决算支出完成年初预算的103.60%。</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主要原因为202</w:t>
      </w:r>
      <w:r>
        <w:rPr>
          <w:rFonts w:ascii="仿宋_GB2312" w:eastAsia="仿宋_GB2312" w:cs="DengXian-Regular"/>
          <w:sz w:val="32"/>
          <w:szCs w:val="32"/>
        </w:rPr>
        <w:t>2</w:t>
      </w:r>
      <w:r>
        <w:rPr>
          <w:rFonts w:hint="eastAsia" w:ascii="仿宋_GB2312" w:eastAsia="仿宋_GB2312" w:cs="DengXian-Regular"/>
          <w:sz w:val="32"/>
          <w:szCs w:val="32"/>
        </w:rPr>
        <w:t>年度区政府办人员调动且因为疫情项目增多</w:t>
      </w:r>
      <w:r>
        <w:rPr>
          <w:rFonts w:hint="eastAsia" w:ascii="仿宋" w:hAnsi="仿宋" w:eastAsia="仿宋"/>
          <w:snapToGrid w:val="0"/>
          <w:sz w:val="32"/>
          <w:szCs w:val="32"/>
        </w:rPr>
        <w:t>。</w:t>
      </w:r>
    </w:p>
    <w:p w14:paraId="23276ED5">
      <w:pPr>
        <w:spacing w:after="0" w:line="360" w:lineRule="auto"/>
        <w:ind w:firstLine="640" w:firstLineChars="200"/>
        <w:jc w:val="both"/>
        <w:rPr>
          <w:rFonts w:ascii="仿宋" w:hAnsi="仿宋" w:eastAsia="仿宋"/>
          <w:snapToGrid w:val="0"/>
          <w:sz w:val="32"/>
          <w:szCs w:val="32"/>
        </w:rPr>
      </w:pPr>
      <w:r>
        <w:rPr>
          <w:rFonts w:hint="eastAsia" w:ascii="仿宋" w:hAnsi="仿宋" w:eastAsia="仿宋"/>
          <w:snapToGrid w:val="0"/>
          <w:sz w:val="32"/>
          <w:szCs w:val="32"/>
        </w:rPr>
        <w:t>预算支出与决算支出对比情况如图4。</w:t>
      </w:r>
    </w:p>
    <w:p w14:paraId="462A3076">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2022年度区政府办</w:t>
      </w:r>
      <w:r>
        <w:rPr>
          <w:rFonts w:hint="eastAsia" w:asciiTheme="minorEastAsia" w:hAnsiTheme="minorEastAsia" w:eastAsiaTheme="minorEastAsia" w:cstheme="minorEastAsia"/>
          <w:b/>
          <w:bCs/>
          <w:sz w:val="32"/>
          <w:szCs w:val="32"/>
        </w:rPr>
        <w:t>预算支出与决算支出对比图</w:t>
      </w:r>
    </w:p>
    <w:p w14:paraId="5230C44E">
      <w:pPr>
        <w:spacing w:after="0" w:line="360" w:lineRule="auto"/>
        <w:ind w:firstLine="640" w:firstLineChars="200"/>
        <w:jc w:val="both"/>
        <w:rPr>
          <w:rFonts w:hint="eastAsia" w:ascii="仿宋_GB2312" w:eastAsia="仿宋_GB2312" w:cs="DengXian-Regular"/>
          <w:sz w:val="32"/>
          <w:szCs w:val="32"/>
          <w:lang w:eastAsia="zh-CN"/>
        </w:rPr>
      </w:pPr>
      <w:r>
        <w:rPr>
          <w:rFonts w:hint="eastAsia" w:ascii="仿宋_GB2312" w:eastAsia="仿宋_GB2312" w:cs="DengXian-Regular"/>
          <w:sz w:val="32"/>
          <w:szCs w:val="32"/>
          <w:lang w:eastAsia="zh-CN"/>
        </w:rPr>
        <w:drawing>
          <wp:inline distT="0" distB="0" distL="114300" distR="114300">
            <wp:extent cx="5254625" cy="3035935"/>
            <wp:effectExtent l="0" t="0" r="3175" b="1206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10"/>
                    <a:stretch>
                      <a:fillRect/>
                    </a:stretch>
                  </pic:blipFill>
                  <pic:spPr>
                    <a:xfrm>
                      <a:off x="0" y="0"/>
                      <a:ext cx="5254625" cy="3035935"/>
                    </a:xfrm>
                    <a:prstGeom prst="rect">
                      <a:avLst/>
                    </a:prstGeom>
                  </pic:spPr>
                </pic:pic>
              </a:graphicData>
            </a:graphic>
          </wp:inline>
        </w:drawing>
      </w:r>
    </w:p>
    <w:p w14:paraId="34CE2DAE">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区政府办202</w:t>
      </w:r>
      <w:r>
        <w:rPr>
          <w:rFonts w:ascii="仿宋_GB2312" w:eastAsia="仿宋_GB2312" w:cs="DengXian-Regular"/>
          <w:sz w:val="32"/>
          <w:szCs w:val="32"/>
        </w:rPr>
        <w:t>2</w:t>
      </w:r>
      <w:r>
        <w:rPr>
          <w:rFonts w:hint="eastAsia" w:ascii="仿宋_GB2312" w:eastAsia="仿宋_GB2312" w:cs="DengXian-Regular"/>
          <w:sz w:val="32"/>
          <w:szCs w:val="32"/>
        </w:rPr>
        <w:t>年实际项目支出200.82万元，决算报表中项目支出200.82万元，实际支出与决算报表差0万元。</w:t>
      </w:r>
    </w:p>
    <w:p w14:paraId="4B8195F7">
      <w:pPr>
        <w:pStyle w:val="4"/>
        <w:spacing w:before="0" w:after="0"/>
        <w:ind w:firstLine="643" w:firstLineChars="200"/>
        <w:jc w:val="both"/>
        <w:rPr>
          <w:rFonts w:ascii="仿宋_GB2312" w:hAnsi="Tahoma" w:cs="DengXian-Regular"/>
          <w:sz w:val="32"/>
        </w:rPr>
      </w:pPr>
      <w:bookmarkStart w:id="13" w:name="_Toc492652769"/>
      <w:bookmarkStart w:id="14" w:name="_Toc465149503"/>
      <w:bookmarkStart w:id="15" w:name="_Toc19291"/>
      <w:r>
        <w:rPr>
          <w:rFonts w:hint="eastAsia" w:ascii="仿宋_GB2312" w:hAnsi="Tahoma" w:cs="DengXian-Regular"/>
          <w:sz w:val="32"/>
        </w:rPr>
        <w:t>（五）“三公”经费预算安排及支出情况</w:t>
      </w:r>
      <w:bookmarkEnd w:id="13"/>
      <w:bookmarkEnd w:id="14"/>
      <w:bookmarkEnd w:id="15"/>
    </w:p>
    <w:p w14:paraId="7C5BA7D9">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2022年区政府办“三公”经费预算32.99万元（公务用车运行维护费17.01万元，公务接待费15.98万元），实际支出11.24万元（公务用车运行维护费6.95元，公务接待费4.29万元），比预算减少21.75万元，节约率65.93%。2022年“三公”经费预算数与</w:t>
      </w:r>
      <w:r>
        <w:rPr>
          <w:rFonts w:ascii="仿宋_GB2312" w:eastAsia="仿宋_GB2312" w:cs="DengXian-Regular"/>
          <w:sz w:val="32"/>
          <w:szCs w:val="32"/>
        </w:rPr>
        <w:t>202</w:t>
      </w:r>
      <w:r>
        <w:rPr>
          <w:rFonts w:hint="eastAsia" w:ascii="仿宋_GB2312" w:eastAsia="仿宋_GB2312" w:cs="DengXian-Regular"/>
          <w:sz w:val="32"/>
          <w:szCs w:val="32"/>
        </w:rPr>
        <w:t>1年预算数相比减少16.91万，决算数与</w:t>
      </w:r>
      <w:r>
        <w:rPr>
          <w:rFonts w:ascii="仿宋_GB2312" w:eastAsia="仿宋_GB2312" w:cs="DengXian-Regular"/>
          <w:sz w:val="32"/>
          <w:szCs w:val="32"/>
        </w:rPr>
        <w:t>202</w:t>
      </w:r>
      <w:r>
        <w:rPr>
          <w:rFonts w:hint="eastAsia" w:ascii="仿宋_GB2312" w:eastAsia="仿宋_GB2312" w:cs="DengXian-Regular"/>
          <w:sz w:val="32"/>
          <w:szCs w:val="32"/>
        </w:rPr>
        <w:t>1年实际支出相比，减少6.93万元。具体详见表1。</w:t>
      </w:r>
    </w:p>
    <w:p w14:paraId="0871E0F6">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区政府办</w:t>
      </w:r>
      <w:r>
        <w:rPr>
          <w:rFonts w:hint="eastAsia" w:asciiTheme="minorEastAsia" w:hAnsiTheme="minorEastAsia" w:eastAsiaTheme="minorEastAsia" w:cstheme="minorEastAsia"/>
          <w:b/>
          <w:bCs/>
          <w:sz w:val="32"/>
          <w:szCs w:val="32"/>
        </w:rPr>
        <w:t>“三公”经费预算及决算明细表</w:t>
      </w:r>
    </w:p>
    <w:p w14:paraId="3A59AA6D">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14:paraId="45732CEF">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66B3D">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4686CE">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FCF98A">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742880EB">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ascii="宋体" w:hAnsi="宋体" w:eastAsia="宋体" w:cs="宋体"/>
                <w:b/>
                <w:bCs/>
                <w:color w:val="000000"/>
                <w:sz w:val="21"/>
                <w:szCs w:val="21"/>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18AAE">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14:paraId="5A941568">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B58EE">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514BFA">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67D751">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C8A28C8">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7731C5">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2D04852">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5846D6">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87A4DA1">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14:paraId="150E6DB4">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FB2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2AE0A43A">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43C9">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2E62">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3284">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562994">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832B38">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57210B">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14:paraId="5D094F95">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46A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CE188A">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8AE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30.9</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E043">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B4D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17.01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8A8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6.95</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9E502A">
            <w:pPr>
              <w:spacing w:after="0"/>
              <w:ind w:firstLine="210" w:firstLineChars="1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-13.89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90E662">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0.8</w:t>
            </w:r>
          </w:p>
        </w:tc>
      </w:tr>
      <w:tr w14:paraId="351F894B">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84C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73C02">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A985">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AC11">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12.02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69D1">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15.98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0CF2">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1BE320">
            <w:pPr>
              <w:spacing w:after="0"/>
              <w:ind w:firstLine="315" w:firstLineChars="15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33ABF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-7.73</w:t>
            </w:r>
          </w:p>
        </w:tc>
      </w:tr>
      <w:tr w14:paraId="23F2670F">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4083">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A78D600">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1EE7">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49.9</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9BD0">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18.17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1603">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32.99</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3B4A53">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D81DE3">
            <w:pPr>
              <w:spacing w:after="0"/>
              <w:ind w:firstLine="315" w:firstLineChars="15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-16.91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EA76A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-6.93</w:t>
            </w:r>
          </w:p>
        </w:tc>
      </w:tr>
    </w:tbl>
    <w:p w14:paraId="2DD10012">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1、公务用车：2022年底区政府办车辆合计8辆，其中公务用车8辆，其他用车0辆。202</w:t>
      </w:r>
      <w:r>
        <w:rPr>
          <w:rFonts w:ascii="仿宋_GB2312" w:eastAsia="仿宋_GB2312" w:cs="DengXian-Regular"/>
          <w:sz w:val="32"/>
          <w:szCs w:val="32"/>
        </w:rPr>
        <w:t>2</w:t>
      </w:r>
      <w:r>
        <w:rPr>
          <w:rFonts w:hint="eastAsia" w:ascii="仿宋_GB2312" w:eastAsia="仿宋_GB2312" w:cs="DengXian-Regular"/>
          <w:sz w:val="32"/>
          <w:szCs w:val="32"/>
        </w:rPr>
        <w:t>年公务用车购置及运维费年初预算17.01万元，全部为公务用车运行维护费，实际支出6.95万元，比预算减少10.06万元，节约率59.14%。202</w:t>
      </w:r>
      <w:r>
        <w:rPr>
          <w:rFonts w:ascii="仿宋_GB2312" w:eastAsia="仿宋_GB2312" w:cs="DengXian-Regular"/>
          <w:sz w:val="32"/>
          <w:szCs w:val="32"/>
        </w:rPr>
        <w:t>2</w:t>
      </w:r>
      <w:r>
        <w:rPr>
          <w:rFonts w:hint="eastAsia" w:ascii="仿宋_GB2312" w:eastAsia="仿宋_GB2312" w:cs="DengXian-Regular"/>
          <w:sz w:val="32"/>
          <w:szCs w:val="32"/>
        </w:rPr>
        <w:t>年预算数与</w:t>
      </w:r>
      <w:r>
        <w:rPr>
          <w:rFonts w:ascii="仿宋_GB2312" w:eastAsia="仿宋_GB2312" w:cs="DengXian-Regular"/>
          <w:sz w:val="32"/>
          <w:szCs w:val="32"/>
        </w:rPr>
        <w:t>2021</w:t>
      </w:r>
      <w:r>
        <w:rPr>
          <w:rFonts w:hint="eastAsia" w:ascii="仿宋_GB2312" w:eastAsia="仿宋_GB2312" w:cs="DengXian-Regular"/>
          <w:sz w:val="32"/>
          <w:szCs w:val="32"/>
        </w:rPr>
        <w:t>年预算相比减少13.89万元，决算数与</w:t>
      </w:r>
      <w:r>
        <w:rPr>
          <w:rFonts w:ascii="仿宋_GB2312" w:eastAsia="仿宋_GB2312" w:cs="DengXian-Regular"/>
          <w:sz w:val="32"/>
          <w:szCs w:val="32"/>
        </w:rPr>
        <w:t>2021</w:t>
      </w:r>
      <w:r>
        <w:rPr>
          <w:rFonts w:hint="eastAsia" w:ascii="仿宋_GB2312" w:eastAsia="仿宋_GB2312" w:cs="DengXian-Regular"/>
          <w:sz w:val="32"/>
          <w:szCs w:val="32"/>
        </w:rPr>
        <w:t>年实际支出相比，增加0.8万元。</w:t>
      </w:r>
    </w:p>
    <w:p w14:paraId="133A4080">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2、公务接待：2022年区政府办公务接待费年初预算15.98万元，实际支出4.29万元，比预算减少了11.69万元，节约率73.15%。2022年预算数与</w:t>
      </w:r>
      <w:r>
        <w:rPr>
          <w:rFonts w:ascii="仿宋_GB2312" w:eastAsia="仿宋_GB2312" w:cs="DengXian-Regular"/>
          <w:sz w:val="32"/>
          <w:szCs w:val="32"/>
        </w:rPr>
        <w:t>202</w:t>
      </w:r>
      <w:r>
        <w:rPr>
          <w:rFonts w:hint="eastAsia" w:ascii="仿宋_GB2312" w:eastAsia="仿宋_GB2312" w:cs="DengXian-Regular"/>
          <w:sz w:val="32"/>
          <w:szCs w:val="32"/>
        </w:rPr>
        <w:t>1年预算相比减少3.02万元，决算数与</w:t>
      </w:r>
      <w:r>
        <w:rPr>
          <w:rFonts w:ascii="仿宋_GB2312" w:eastAsia="仿宋_GB2312" w:cs="DengXian-Regular"/>
          <w:sz w:val="32"/>
          <w:szCs w:val="32"/>
        </w:rPr>
        <w:t>202</w:t>
      </w:r>
      <w:r>
        <w:rPr>
          <w:rFonts w:hint="eastAsia" w:ascii="仿宋_GB2312" w:eastAsia="仿宋_GB2312" w:cs="DengXian-Regular"/>
          <w:sz w:val="32"/>
          <w:szCs w:val="32"/>
        </w:rPr>
        <w:t>1年实际支出相比，减少7.73万元。</w:t>
      </w:r>
    </w:p>
    <w:p w14:paraId="4BDF857B">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14:paraId="2A55274B">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根据绩效预算管理改革的有关政策和文件规定，并与区政府办沟通，绩效评价工作组以绩效预算架构为指导，以部门预算文本及相关资料为基础，制定了部门整体支出绩效评价指标体系。</w:t>
      </w:r>
    </w:p>
    <w:p w14:paraId="34658F18">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14:paraId="239F12D2">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14:paraId="015103A8">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14:paraId="059D0BB7">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14:paraId="4F38EFAE">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14:paraId="3558672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14:paraId="5EFAC3E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14:paraId="4B74E38F">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14:paraId="775F4257">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14:paraId="56407F7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w:t>
      </w:r>
      <w:bookmarkStart w:id="79" w:name="_GoBack"/>
      <w:bookmarkEnd w:id="79"/>
      <w:r>
        <w:rPr>
          <w:rFonts w:hint="eastAsia" w:ascii="仿宋_GB2312" w:eastAsia="仿宋_GB2312" w:cs="DengXian-Regular"/>
          <w:sz w:val="32"/>
          <w:szCs w:val="32"/>
        </w:rPr>
        <w:t>项目资金使用率。</w:t>
      </w:r>
    </w:p>
    <w:p w14:paraId="77C0B797">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14:paraId="55C622EB">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14:paraId="78299BA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14:paraId="183ECCED">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14:paraId="72D3C1DF">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14:paraId="61F5A3E5">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政府办2022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7D9C412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50AAAC02">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14:paraId="56DED573">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14:paraId="5E9E7BD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14:paraId="7714EF7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14:paraId="6355824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14:paraId="027DBCA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14:paraId="0F9DCA3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14:paraId="00DB7F5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14:paraId="0BF06E3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14:paraId="2A00E012">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14:paraId="1392F1D6">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区政府办2022年部门整体支出绩效目标和指标的设置及完成情况；资金预算情况、实际收支情况及结转结余情况；部门履职对社会发展所带来的直接或间接影响及服务对象对部门履职效果的满意程度。</w:t>
      </w:r>
    </w:p>
    <w:p w14:paraId="5B79ECA6">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14:paraId="0C39264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14:paraId="1B5CDAD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14:paraId="50D4533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14:paraId="7A2F056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14:paraId="5BCF16F6">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14:paraId="02786E3E">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14:paraId="007E6E53">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14:paraId="713C7E87">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14:paraId="1F710507">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14:paraId="4000BA27">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14:paraId="2BD29F4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14:paraId="1332D5B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14:paraId="002B407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经与区政府办充分沟通，并充分收集相关资料，主要包括部门职责、工作活动、预决算文本、相关管理制度、资金使用等相关资料，为制定绩效评价实施方案和指标体系奠定了基础。</w:t>
      </w:r>
    </w:p>
    <w:p w14:paraId="322FD8E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14:paraId="5CD9B2E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基于对区政府办相关资料的收集，制定绩效评价实施方案和体系,确定最终方案。</w:t>
      </w:r>
    </w:p>
    <w:p w14:paraId="54545CE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14:paraId="2C6BBAD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政府办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3306EDE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14:paraId="774565F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14:paraId="3A3FB585">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14:paraId="1052495D">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区政府办部门整体支出绩效评价总得分为92.4分，综合绩效评价等级为“优”。各项得分情况如下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14:paraId="73715638">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14:paraId="1C78A87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14:paraId="44265DD8">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14:paraId="00D7C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14:paraId="2567EE78">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14:paraId="546D1949">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14:paraId="30460EEE">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14:paraId="16ECF6A4">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14:paraId="2CBC92C0">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47B86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14:paraId="7BCF562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14:paraId="7DBBA9EE">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14:paraId="01437736">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14:paraId="58F887C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14:paraId="2138F32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4E1B4AB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084DA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797C7435">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6FF0AF82">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1EA327D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14:paraId="0AA9490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73905C8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37559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37D688EF">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3EAB9651">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29DB2AD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14:paraId="2A5A513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392C0C3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35262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10BE6B73">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14:paraId="590EF47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14:paraId="5847D16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14:paraId="76DC5BD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14:paraId="3AB830C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193B3E8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1A871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164B4B83">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0FE9023D">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0C2A9DA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14:paraId="0F6D48F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4228E58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37A91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0AF52D3A">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71180C7B">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3E638EA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14:paraId="25FBA45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16ECE2A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5AD9D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14:paraId="759D1939">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14:paraId="3DBE7D15">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14:paraId="1D8EA71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14:paraId="44FB3A6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r>
    </w:tbl>
    <w:p w14:paraId="6E9FE42A">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14:paraId="3E41E58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14:paraId="46289D0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1466057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通过对比保定市徐水区委办公室及保定市徐水区人民政府办公室印发的《保定市徐水区人民政府办公室职能配置内设机构和人员编制规定》和徐水区政府办202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评价工作组认为区政府办单位部门职责符合“三定”方案中所赋予的职责，绩效目标设立依据充分，符合客观实际，与部门职责、工作规划和重点工作相关，工作活动和项目预算安排合理。</w:t>
      </w:r>
    </w:p>
    <w:p w14:paraId="39D631A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14:paraId="013C2E2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14:paraId="7F1CCAD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14:paraId="0BB3346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14:paraId="0A0CE5A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14:paraId="0AEC513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14:paraId="5CF16046">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6474D50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根据区政府办2022年预算文本—部门职责工作活动绩效目标,该指标实际得分2分。</w:t>
      </w:r>
    </w:p>
    <w:p w14:paraId="0595955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14:paraId="42BB4C0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14:paraId="1B3995A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14:paraId="7296C9A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根据区政府办2022年预算文本及相关会计资料，区政府办所有收入均已纳入部门预算，部门支出按基本支出、项目支出分别编制。</w:t>
      </w:r>
    </w:p>
    <w:p w14:paraId="00B31DE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14:paraId="3F317F9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14:paraId="78E5590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14:paraId="5C92A8A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14:paraId="2B63CA2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根据区政府办2022年预算文本—部门项目支出预算表，政府办部门2022年预算项目共10个（详见附件2-2-2），涉及资金200.82万元，所有项目均细化到具体用款单位及项目资金额度。</w:t>
      </w:r>
    </w:p>
    <w:p w14:paraId="280DC59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14:paraId="263BDA0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14:paraId="5DA0D2A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该指标主要考核截至2022年底区政府办在职人员控制情况，通过在职人员控制率衡量。</w:t>
      </w:r>
    </w:p>
    <w:p w14:paraId="19A3E4B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14:paraId="0220629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根据保定市徐水区委办公室及保定市徐水区人民政府办公室关于印发《保定市徐水区人民政府办公室职能配置内设机构和人员编制规定》的通知，政府办部门人员编制为38人，根据区政府办202</w:t>
      </w:r>
      <w:r>
        <w:rPr>
          <w:rFonts w:ascii="仿宋_GB2312" w:eastAsia="仿宋_GB2312" w:cs="DengXian-Regular"/>
          <w:sz w:val="32"/>
          <w:szCs w:val="32"/>
        </w:rPr>
        <w:t>1</w:t>
      </w:r>
      <w:r>
        <w:rPr>
          <w:rFonts w:hint="eastAsia" w:ascii="仿宋_GB2312" w:eastAsia="仿宋_GB2312" w:cs="DengXian-Regular"/>
          <w:sz w:val="32"/>
          <w:szCs w:val="32"/>
        </w:rPr>
        <w:t>年决算文本-部门基本情况表，截至2022年底，在职人员39人，在职人员控制率=（38/39）*100%=97%。</w:t>
      </w:r>
    </w:p>
    <w:p w14:paraId="7BD6278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bookmarkEnd w:id="60"/>
    <w:bookmarkEnd w:id="61"/>
    <w:p w14:paraId="14B6245C">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14:paraId="53065A57">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14:paraId="762597AD">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5D80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47BC0280">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388" w:type="dxa"/>
            <w:vAlign w:val="center"/>
          </w:tcPr>
          <w:p w14:paraId="575EB86B">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277" w:type="dxa"/>
            <w:vAlign w:val="center"/>
          </w:tcPr>
          <w:p w14:paraId="34CFFCDF">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155" w:type="dxa"/>
            <w:vAlign w:val="center"/>
          </w:tcPr>
          <w:p w14:paraId="31918012">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分数权重</w:t>
            </w:r>
          </w:p>
        </w:tc>
        <w:tc>
          <w:tcPr>
            <w:tcW w:w="1276" w:type="dxa"/>
            <w:vAlign w:val="center"/>
          </w:tcPr>
          <w:p w14:paraId="76D725F9">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23D7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7B0E389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14:paraId="6BD6288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14:paraId="13C2F46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14:paraId="68D2ED2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w:t>
            </w:r>
            <w:r>
              <w:rPr>
                <w:rFonts w:cs="宋体" w:asciiTheme="minorEastAsia" w:hAnsiTheme="minorEastAsia" w:eastAsiaTheme="minorEastAsia"/>
                <w:sz w:val="21"/>
                <w:szCs w:val="21"/>
              </w:rPr>
              <w:t>完成率</w:t>
            </w:r>
          </w:p>
        </w:tc>
        <w:tc>
          <w:tcPr>
            <w:tcW w:w="1155" w:type="dxa"/>
            <w:vAlign w:val="center"/>
          </w:tcPr>
          <w:p w14:paraId="60DEC93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34E59C4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14:paraId="361B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818F031">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F9DFEC9">
            <w:pPr>
              <w:spacing w:line="420" w:lineRule="exact"/>
              <w:jc w:val="center"/>
              <w:rPr>
                <w:rFonts w:cs="宋体" w:asciiTheme="minorEastAsia" w:hAnsiTheme="minorEastAsia" w:eastAsiaTheme="minorEastAsia"/>
                <w:sz w:val="21"/>
                <w:szCs w:val="21"/>
              </w:rPr>
            </w:pPr>
          </w:p>
        </w:tc>
        <w:tc>
          <w:tcPr>
            <w:tcW w:w="2277" w:type="dxa"/>
            <w:vAlign w:val="center"/>
          </w:tcPr>
          <w:p w14:paraId="56E3EC6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w:t>
            </w:r>
            <w:r>
              <w:rPr>
                <w:rFonts w:cs="宋体" w:asciiTheme="minorEastAsia" w:hAnsiTheme="minorEastAsia" w:eastAsiaTheme="minorEastAsia"/>
                <w:sz w:val="21"/>
                <w:szCs w:val="21"/>
              </w:rPr>
              <w:t>调整率</w:t>
            </w:r>
          </w:p>
        </w:tc>
        <w:tc>
          <w:tcPr>
            <w:tcW w:w="1155" w:type="dxa"/>
            <w:vAlign w:val="center"/>
          </w:tcPr>
          <w:p w14:paraId="30B44C5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32B0359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0.4</w:t>
            </w:r>
          </w:p>
        </w:tc>
      </w:tr>
      <w:tr w14:paraId="5C93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7950A06">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4B294E7">
            <w:pPr>
              <w:spacing w:line="420" w:lineRule="exact"/>
              <w:jc w:val="center"/>
              <w:rPr>
                <w:rFonts w:cs="宋体" w:asciiTheme="minorEastAsia" w:hAnsiTheme="minorEastAsia" w:eastAsiaTheme="minorEastAsia"/>
                <w:sz w:val="21"/>
                <w:szCs w:val="21"/>
              </w:rPr>
            </w:pPr>
          </w:p>
        </w:tc>
        <w:tc>
          <w:tcPr>
            <w:tcW w:w="2277" w:type="dxa"/>
            <w:vAlign w:val="center"/>
          </w:tcPr>
          <w:p w14:paraId="47E81C6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支付</w:t>
            </w:r>
            <w:r>
              <w:rPr>
                <w:rFonts w:cs="宋体" w:asciiTheme="minorEastAsia" w:hAnsiTheme="minorEastAsia" w:eastAsiaTheme="minorEastAsia"/>
                <w:sz w:val="21"/>
                <w:szCs w:val="21"/>
              </w:rPr>
              <w:t>进度率</w:t>
            </w:r>
          </w:p>
        </w:tc>
        <w:tc>
          <w:tcPr>
            <w:tcW w:w="1155" w:type="dxa"/>
            <w:vAlign w:val="center"/>
          </w:tcPr>
          <w:p w14:paraId="6968A8A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584F52D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14:paraId="7F60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646F57FF">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D8A5ABD">
            <w:pPr>
              <w:spacing w:line="420" w:lineRule="exact"/>
              <w:jc w:val="center"/>
              <w:rPr>
                <w:rFonts w:cs="宋体" w:asciiTheme="minorEastAsia" w:hAnsiTheme="minorEastAsia" w:eastAsiaTheme="minorEastAsia"/>
                <w:sz w:val="21"/>
                <w:szCs w:val="21"/>
              </w:rPr>
            </w:pPr>
          </w:p>
        </w:tc>
        <w:tc>
          <w:tcPr>
            <w:tcW w:w="2277" w:type="dxa"/>
            <w:vAlign w:val="center"/>
          </w:tcPr>
          <w:p w14:paraId="12896EB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w:t>
            </w:r>
            <w:r>
              <w:rPr>
                <w:rFonts w:cs="宋体" w:asciiTheme="minorEastAsia" w:hAnsiTheme="minorEastAsia" w:eastAsiaTheme="minorEastAsia"/>
                <w:sz w:val="21"/>
                <w:szCs w:val="21"/>
              </w:rPr>
              <w:t>结余率</w:t>
            </w:r>
          </w:p>
        </w:tc>
        <w:tc>
          <w:tcPr>
            <w:tcW w:w="1155" w:type="dxa"/>
            <w:vAlign w:val="center"/>
          </w:tcPr>
          <w:p w14:paraId="2F1EA72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C1B044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774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8534035">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3FA68D7">
            <w:pPr>
              <w:spacing w:line="420" w:lineRule="exact"/>
              <w:jc w:val="center"/>
              <w:rPr>
                <w:rFonts w:cs="宋体" w:asciiTheme="minorEastAsia" w:hAnsiTheme="minorEastAsia" w:eastAsiaTheme="minorEastAsia"/>
                <w:sz w:val="21"/>
                <w:szCs w:val="21"/>
              </w:rPr>
            </w:pPr>
          </w:p>
        </w:tc>
        <w:tc>
          <w:tcPr>
            <w:tcW w:w="2277" w:type="dxa"/>
            <w:vAlign w:val="center"/>
          </w:tcPr>
          <w:p w14:paraId="0CF6800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w:t>
            </w:r>
            <w:r>
              <w:rPr>
                <w:rFonts w:cs="宋体" w:asciiTheme="minorEastAsia" w:hAnsiTheme="minorEastAsia" w:eastAsiaTheme="minorEastAsia"/>
                <w:sz w:val="21"/>
                <w:szCs w:val="21"/>
              </w:rPr>
              <w:t>结余</w:t>
            </w:r>
            <w:r>
              <w:rPr>
                <w:rFonts w:hint="eastAsia" w:cs="宋体" w:asciiTheme="minorEastAsia" w:hAnsiTheme="minorEastAsia" w:eastAsiaTheme="minorEastAsia"/>
                <w:sz w:val="21"/>
                <w:szCs w:val="21"/>
              </w:rPr>
              <w:t>变动率</w:t>
            </w:r>
          </w:p>
        </w:tc>
        <w:tc>
          <w:tcPr>
            <w:tcW w:w="1155" w:type="dxa"/>
            <w:vAlign w:val="center"/>
          </w:tcPr>
          <w:p w14:paraId="79AB728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17230C0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r>
      <w:tr w14:paraId="0870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A3F1D1A">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03D35FC">
            <w:pPr>
              <w:spacing w:line="420" w:lineRule="exact"/>
              <w:jc w:val="center"/>
              <w:rPr>
                <w:rFonts w:cs="宋体" w:asciiTheme="minorEastAsia" w:hAnsiTheme="minorEastAsia" w:eastAsiaTheme="minorEastAsia"/>
                <w:sz w:val="21"/>
                <w:szCs w:val="21"/>
              </w:rPr>
            </w:pPr>
          </w:p>
        </w:tc>
        <w:tc>
          <w:tcPr>
            <w:tcW w:w="2277" w:type="dxa"/>
            <w:vAlign w:val="center"/>
          </w:tcPr>
          <w:p w14:paraId="77614F5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公用</w:t>
            </w:r>
            <w:r>
              <w:rPr>
                <w:rFonts w:cs="宋体" w:asciiTheme="minorEastAsia" w:hAnsiTheme="minorEastAsia" w:eastAsiaTheme="minorEastAsia"/>
                <w:sz w:val="21"/>
                <w:szCs w:val="21"/>
              </w:rPr>
              <w:t>经费</w:t>
            </w:r>
            <w:r>
              <w:rPr>
                <w:rFonts w:hint="eastAsia" w:cs="宋体" w:asciiTheme="minorEastAsia" w:hAnsiTheme="minorEastAsia" w:eastAsiaTheme="minorEastAsia"/>
                <w:sz w:val="21"/>
                <w:szCs w:val="21"/>
              </w:rPr>
              <w:t>控制</w:t>
            </w:r>
            <w:r>
              <w:rPr>
                <w:rFonts w:cs="宋体" w:asciiTheme="minorEastAsia" w:hAnsiTheme="minorEastAsia" w:eastAsiaTheme="minorEastAsia"/>
                <w:sz w:val="21"/>
                <w:szCs w:val="21"/>
              </w:rPr>
              <w:t>率</w:t>
            </w:r>
          </w:p>
        </w:tc>
        <w:tc>
          <w:tcPr>
            <w:tcW w:w="1155" w:type="dxa"/>
            <w:vAlign w:val="center"/>
          </w:tcPr>
          <w:p w14:paraId="24C567E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7B5E79F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4D9B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79927C6F">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FDDFBE9">
            <w:pPr>
              <w:spacing w:line="420" w:lineRule="exact"/>
              <w:jc w:val="center"/>
              <w:rPr>
                <w:rFonts w:cs="宋体" w:asciiTheme="minorEastAsia" w:hAnsiTheme="minorEastAsia" w:eastAsiaTheme="minorEastAsia"/>
                <w:sz w:val="21"/>
                <w:szCs w:val="21"/>
              </w:rPr>
            </w:pPr>
          </w:p>
        </w:tc>
        <w:tc>
          <w:tcPr>
            <w:tcW w:w="2277" w:type="dxa"/>
            <w:vAlign w:val="center"/>
          </w:tcPr>
          <w:p w14:paraId="4CAFCD4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w:t>
            </w:r>
            <w:r>
              <w:rPr>
                <w:rFonts w:cs="宋体" w:asciiTheme="minorEastAsia" w:hAnsiTheme="minorEastAsia" w:eastAsiaTheme="minorEastAsia"/>
                <w:sz w:val="21"/>
                <w:szCs w:val="21"/>
              </w:rPr>
              <w:t>经费</w:t>
            </w:r>
            <w:r>
              <w:rPr>
                <w:rFonts w:hint="eastAsia" w:cs="宋体" w:asciiTheme="minorEastAsia" w:hAnsiTheme="minorEastAsia" w:eastAsiaTheme="minorEastAsia"/>
                <w:sz w:val="21"/>
                <w:szCs w:val="21"/>
              </w:rPr>
              <w:t>”控制</w:t>
            </w:r>
            <w:r>
              <w:rPr>
                <w:rFonts w:cs="宋体" w:asciiTheme="minorEastAsia" w:hAnsiTheme="minorEastAsia" w:eastAsiaTheme="minorEastAsia"/>
                <w:sz w:val="21"/>
                <w:szCs w:val="21"/>
              </w:rPr>
              <w:t>率</w:t>
            </w:r>
          </w:p>
        </w:tc>
        <w:tc>
          <w:tcPr>
            <w:tcW w:w="1155" w:type="dxa"/>
            <w:vAlign w:val="center"/>
          </w:tcPr>
          <w:p w14:paraId="6556AA2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6D594CD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6C38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245D1E7">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62C4618C">
            <w:pPr>
              <w:spacing w:line="420" w:lineRule="exact"/>
              <w:jc w:val="center"/>
              <w:rPr>
                <w:rFonts w:cs="宋体" w:asciiTheme="minorEastAsia" w:hAnsiTheme="minorEastAsia" w:eastAsiaTheme="minorEastAsia"/>
                <w:sz w:val="21"/>
                <w:szCs w:val="21"/>
              </w:rPr>
            </w:pPr>
          </w:p>
        </w:tc>
        <w:tc>
          <w:tcPr>
            <w:tcW w:w="2277" w:type="dxa"/>
            <w:vAlign w:val="center"/>
          </w:tcPr>
          <w:p w14:paraId="34F7562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w:t>
            </w:r>
            <w:r>
              <w:rPr>
                <w:rFonts w:cs="宋体" w:asciiTheme="minorEastAsia" w:hAnsiTheme="minorEastAsia" w:eastAsiaTheme="minorEastAsia"/>
                <w:sz w:val="21"/>
                <w:szCs w:val="21"/>
              </w:rPr>
              <w:t>采购执行率</w:t>
            </w:r>
          </w:p>
        </w:tc>
        <w:tc>
          <w:tcPr>
            <w:tcW w:w="1155" w:type="dxa"/>
            <w:vAlign w:val="center"/>
          </w:tcPr>
          <w:p w14:paraId="5211E35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4E49ED7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4B41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1C4E2C16">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7173897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14:paraId="2372015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14:paraId="4643EA5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14:paraId="2D00B3B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33EB4F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016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049589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0FBFDD60">
            <w:pPr>
              <w:spacing w:line="420" w:lineRule="exact"/>
              <w:jc w:val="center"/>
              <w:rPr>
                <w:rFonts w:cs="宋体" w:asciiTheme="minorEastAsia" w:hAnsiTheme="minorEastAsia" w:eastAsiaTheme="minorEastAsia"/>
                <w:sz w:val="21"/>
                <w:szCs w:val="21"/>
              </w:rPr>
            </w:pPr>
          </w:p>
        </w:tc>
        <w:tc>
          <w:tcPr>
            <w:tcW w:w="2277" w:type="dxa"/>
            <w:vAlign w:val="center"/>
          </w:tcPr>
          <w:p w14:paraId="2E81B7E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w:t>
            </w:r>
            <w:r>
              <w:rPr>
                <w:rFonts w:cs="宋体" w:asciiTheme="minorEastAsia" w:hAnsiTheme="minorEastAsia" w:eastAsiaTheme="minorEastAsia"/>
                <w:sz w:val="21"/>
                <w:szCs w:val="21"/>
              </w:rPr>
              <w:t>使用合规性</w:t>
            </w:r>
          </w:p>
        </w:tc>
        <w:tc>
          <w:tcPr>
            <w:tcW w:w="1155" w:type="dxa"/>
            <w:vAlign w:val="center"/>
          </w:tcPr>
          <w:p w14:paraId="0CD7740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2F6BDE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1C29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80555EE">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7E1F2457">
            <w:pPr>
              <w:spacing w:line="420" w:lineRule="exact"/>
              <w:jc w:val="center"/>
              <w:rPr>
                <w:rFonts w:cs="宋体" w:asciiTheme="minorEastAsia" w:hAnsiTheme="minorEastAsia" w:eastAsiaTheme="minorEastAsia"/>
                <w:sz w:val="21"/>
                <w:szCs w:val="21"/>
              </w:rPr>
            </w:pPr>
          </w:p>
        </w:tc>
        <w:tc>
          <w:tcPr>
            <w:tcW w:w="2277" w:type="dxa"/>
            <w:vAlign w:val="center"/>
          </w:tcPr>
          <w:p w14:paraId="717A075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14:paraId="38A7ADC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75B8B3F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5BDF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4B91D184">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10A7AA9">
            <w:pPr>
              <w:spacing w:line="420" w:lineRule="exact"/>
              <w:jc w:val="center"/>
              <w:rPr>
                <w:rFonts w:cs="宋体" w:asciiTheme="minorEastAsia" w:hAnsiTheme="minorEastAsia" w:eastAsiaTheme="minorEastAsia"/>
                <w:sz w:val="21"/>
                <w:szCs w:val="21"/>
              </w:rPr>
            </w:pPr>
          </w:p>
        </w:tc>
        <w:tc>
          <w:tcPr>
            <w:tcW w:w="2277" w:type="dxa"/>
            <w:vAlign w:val="center"/>
          </w:tcPr>
          <w:p w14:paraId="02BAF17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14:paraId="5A15975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129413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0344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14:paraId="53C28E56">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48F3316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w:t>
            </w:r>
            <w:r>
              <w:rPr>
                <w:rFonts w:cs="宋体" w:asciiTheme="minorEastAsia" w:hAnsiTheme="minorEastAsia" w:eastAsiaTheme="minorEastAsia"/>
                <w:sz w:val="21"/>
                <w:szCs w:val="21"/>
              </w:rPr>
              <w:t>管理</w:t>
            </w:r>
          </w:p>
          <w:p w14:paraId="65387E9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14:paraId="5F02AFF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w:t>
            </w:r>
            <w:r>
              <w:rPr>
                <w:rFonts w:cs="宋体" w:asciiTheme="minorEastAsia" w:hAnsiTheme="minorEastAsia" w:eastAsiaTheme="minorEastAsia"/>
                <w:sz w:val="21"/>
                <w:szCs w:val="21"/>
              </w:rPr>
              <w:t>健全性</w:t>
            </w:r>
          </w:p>
        </w:tc>
        <w:tc>
          <w:tcPr>
            <w:tcW w:w="1155" w:type="dxa"/>
            <w:vAlign w:val="center"/>
          </w:tcPr>
          <w:p w14:paraId="01395F56">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276" w:type="dxa"/>
            <w:vAlign w:val="center"/>
          </w:tcPr>
          <w:p w14:paraId="5044F69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4D92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 w:hRule="atLeast"/>
          <w:jc w:val="center"/>
        </w:trPr>
        <w:tc>
          <w:tcPr>
            <w:tcW w:w="1557" w:type="dxa"/>
            <w:vMerge w:val="continue"/>
            <w:vAlign w:val="center"/>
          </w:tcPr>
          <w:p w14:paraId="17A6F5D5">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4A54367">
            <w:pPr>
              <w:spacing w:line="420" w:lineRule="exact"/>
              <w:jc w:val="center"/>
              <w:rPr>
                <w:rFonts w:cs="宋体" w:asciiTheme="minorEastAsia" w:hAnsiTheme="minorEastAsia" w:eastAsiaTheme="minorEastAsia"/>
                <w:sz w:val="21"/>
                <w:szCs w:val="21"/>
              </w:rPr>
            </w:pPr>
          </w:p>
        </w:tc>
        <w:tc>
          <w:tcPr>
            <w:tcW w:w="2277" w:type="dxa"/>
            <w:vAlign w:val="center"/>
          </w:tcPr>
          <w:p w14:paraId="43E1A2B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w:t>
            </w:r>
            <w:r>
              <w:rPr>
                <w:rFonts w:cs="宋体" w:asciiTheme="minorEastAsia" w:hAnsiTheme="minorEastAsia" w:eastAsiaTheme="minorEastAsia"/>
                <w:sz w:val="21"/>
                <w:szCs w:val="21"/>
              </w:rPr>
              <w:t>管理安全性</w:t>
            </w:r>
          </w:p>
        </w:tc>
        <w:tc>
          <w:tcPr>
            <w:tcW w:w="1155" w:type="dxa"/>
            <w:vAlign w:val="center"/>
          </w:tcPr>
          <w:p w14:paraId="5AEF4694">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276" w:type="dxa"/>
            <w:vAlign w:val="center"/>
          </w:tcPr>
          <w:p w14:paraId="0B1430D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488E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exact"/>
          <w:jc w:val="center"/>
        </w:trPr>
        <w:tc>
          <w:tcPr>
            <w:tcW w:w="1557" w:type="dxa"/>
            <w:vMerge w:val="continue"/>
            <w:vAlign w:val="center"/>
          </w:tcPr>
          <w:p w14:paraId="6440FAF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493CDCD">
            <w:pPr>
              <w:spacing w:line="420" w:lineRule="exact"/>
              <w:jc w:val="center"/>
              <w:rPr>
                <w:rFonts w:cs="宋体" w:asciiTheme="minorEastAsia" w:hAnsiTheme="minorEastAsia" w:eastAsiaTheme="minorEastAsia"/>
                <w:sz w:val="21"/>
                <w:szCs w:val="21"/>
              </w:rPr>
            </w:pPr>
          </w:p>
        </w:tc>
        <w:tc>
          <w:tcPr>
            <w:tcW w:w="2277" w:type="dxa"/>
            <w:vAlign w:val="center"/>
          </w:tcPr>
          <w:p w14:paraId="3D1A3DB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固定</w:t>
            </w:r>
            <w:r>
              <w:rPr>
                <w:rFonts w:cs="宋体" w:asciiTheme="minorEastAsia" w:hAnsiTheme="minorEastAsia" w:eastAsiaTheme="minorEastAsia"/>
                <w:sz w:val="21"/>
                <w:szCs w:val="21"/>
              </w:rPr>
              <w:t>资产利用率</w:t>
            </w:r>
          </w:p>
        </w:tc>
        <w:tc>
          <w:tcPr>
            <w:tcW w:w="1155" w:type="dxa"/>
            <w:vAlign w:val="center"/>
          </w:tcPr>
          <w:p w14:paraId="53F9355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037F89F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3292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3438D4F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14:paraId="5FE0BAA1">
            <w:pPr>
              <w:spacing w:line="420" w:lineRule="exact"/>
              <w:jc w:val="center"/>
              <w:rPr>
                <w:rFonts w:cs="宋体" w:asciiTheme="minorEastAsia" w:hAnsiTheme="minorEastAsia" w:eastAsiaTheme="minorEastAsia"/>
                <w:sz w:val="21"/>
                <w:szCs w:val="21"/>
              </w:rPr>
            </w:pPr>
          </w:p>
        </w:tc>
        <w:tc>
          <w:tcPr>
            <w:tcW w:w="1155" w:type="dxa"/>
            <w:vAlign w:val="center"/>
          </w:tcPr>
          <w:p w14:paraId="7F17922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14:paraId="388B8EA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40.4</w:t>
            </w:r>
          </w:p>
        </w:tc>
      </w:tr>
      <w:bookmarkEnd w:id="63"/>
    </w:tbl>
    <w:p w14:paraId="62DA9CE8">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bookmarkStart w:id="66" w:name="_Toc12330"/>
      <w:r>
        <w:rPr>
          <w:rFonts w:hint="eastAsia" w:ascii="仿宋_GB2312" w:eastAsia="仿宋_GB2312" w:cs="DengXian-Regular"/>
          <w:sz w:val="32"/>
          <w:szCs w:val="32"/>
        </w:rPr>
        <w:t>1.预算执行（24分）</w:t>
      </w:r>
    </w:p>
    <w:p w14:paraId="3C7785D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w:t>
      </w:r>
      <w:r>
        <w:rPr>
          <w:rFonts w:ascii="仿宋_GB2312" w:eastAsia="仿宋_GB2312" w:cs="DengXian-Regular"/>
          <w:sz w:val="32"/>
          <w:szCs w:val="32"/>
        </w:rPr>
        <w:t>完成</w:t>
      </w:r>
      <w:r>
        <w:rPr>
          <w:rFonts w:hint="eastAsia" w:ascii="仿宋_GB2312" w:eastAsia="仿宋_GB2312" w:cs="DengXian-Regular"/>
          <w:sz w:val="32"/>
          <w:szCs w:val="32"/>
        </w:rPr>
        <w:t>率（2分）</w:t>
      </w:r>
    </w:p>
    <w:p w14:paraId="07F88CF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该指标主要评价部门本年度预算完成数与预算数的比率，用以反映和考核部门（单位）预算完成程度。</w:t>
      </w:r>
    </w:p>
    <w:p w14:paraId="4CBA0E4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预算完成率=（预算完成数/预算数）×100%。</w:t>
      </w:r>
    </w:p>
    <w:p w14:paraId="3FAC74D9">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预算完成数：部门（单位）本年度实际完成的预算数。</w:t>
      </w:r>
    </w:p>
    <w:p w14:paraId="094B56F1">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预算数：财政部门批复的本年度部门（单位）预算数。</w:t>
      </w:r>
    </w:p>
    <w:p w14:paraId="525AE575">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ascii="仿宋_GB2312" w:eastAsia="仿宋_GB2312" w:cs="DengXian-Regular"/>
          <w:sz w:val="32"/>
          <w:szCs w:val="32"/>
        </w:rPr>
        <w:t>区政府办</w:t>
      </w:r>
      <w:r>
        <w:rPr>
          <w:rFonts w:hint="eastAsia" w:ascii="仿宋_GB2312" w:eastAsia="仿宋_GB2312" w:cs="DengXian-Regular"/>
          <w:sz w:val="32"/>
          <w:szCs w:val="32"/>
        </w:rPr>
        <w:t>2022年</w:t>
      </w:r>
      <w:r>
        <w:rPr>
          <w:rFonts w:ascii="仿宋_GB2312" w:eastAsia="仿宋_GB2312" w:cs="DengXian-Regular"/>
          <w:sz w:val="32"/>
          <w:szCs w:val="32"/>
        </w:rPr>
        <w:t>预算文本、决算文本</w:t>
      </w:r>
      <w:r>
        <w:rPr>
          <w:rFonts w:hint="eastAsia" w:ascii="仿宋_GB2312" w:eastAsia="仿宋_GB2312" w:cs="DengXian-Regular"/>
          <w:sz w:val="32"/>
          <w:szCs w:val="32"/>
        </w:rPr>
        <w:t>，预算完成率=（1175.76/1134.87）×100%</w:t>
      </w:r>
      <w:r>
        <w:rPr>
          <w:rFonts w:ascii="仿宋_GB2312" w:eastAsia="仿宋_GB2312" w:cs="DengXian-Regular"/>
          <w:sz w:val="32"/>
          <w:szCs w:val="32"/>
        </w:rPr>
        <w:t>=</w:t>
      </w:r>
      <w:r>
        <w:rPr>
          <w:rFonts w:hint="eastAsia" w:ascii="仿宋_GB2312" w:eastAsia="仿宋_GB2312" w:cs="DengXian-Regular"/>
          <w:sz w:val="32"/>
          <w:szCs w:val="32"/>
        </w:rPr>
        <w:t>103.6</w:t>
      </w:r>
      <w:r>
        <w:rPr>
          <w:rFonts w:ascii="仿宋_GB2312" w:eastAsia="仿宋_GB2312" w:cs="DengXian-Regular"/>
          <w:sz w:val="32"/>
          <w:szCs w:val="32"/>
        </w:rPr>
        <w:t>%</w:t>
      </w:r>
      <w:r>
        <w:rPr>
          <w:rFonts w:hint="eastAsia" w:ascii="仿宋_GB2312" w:eastAsia="仿宋_GB2312" w:cs="DengXian-Regular"/>
          <w:sz w:val="32"/>
          <w:szCs w:val="32"/>
        </w:rPr>
        <w:t>。预算</w:t>
      </w:r>
      <w:r>
        <w:rPr>
          <w:rFonts w:ascii="仿宋_GB2312" w:eastAsia="仿宋_GB2312" w:cs="DengXian-Regular"/>
          <w:sz w:val="32"/>
          <w:szCs w:val="32"/>
        </w:rPr>
        <w:t>完成率</w:t>
      </w:r>
      <w:r>
        <w:rPr>
          <w:rFonts w:hint="eastAsia" w:ascii="仿宋_GB2312" w:eastAsia="仿宋_GB2312" w:cs="DengXian-Regular"/>
          <w:sz w:val="32"/>
          <w:szCs w:val="32"/>
        </w:rPr>
        <w:t>高于100</w:t>
      </w:r>
      <w:r>
        <w:rPr>
          <w:rFonts w:ascii="仿宋_GB2312" w:eastAsia="仿宋_GB2312" w:cs="DengXian-Regular"/>
          <w:sz w:val="32"/>
          <w:szCs w:val="32"/>
        </w:rPr>
        <w:t>%，扣</w:t>
      </w:r>
      <w:r>
        <w:rPr>
          <w:rFonts w:hint="eastAsia" w:ascii="仿宋_GB2312" w:eastAsia="仿宋_GB2312" w:cs="DengXian-Regular"/>
          <w:sz w:val="32"/>
          <w:szCs w:val="32"/>
        </w:rPr>
        <w:t>1分</w:t>
      </w:r>
      <w:r>
        <w:rPr>
          <w:rFonts w:ascii="仿宋_GB2312" w:eastAsia="仿宋_GB2312" w:cs="DengXian-Regular"/>
          <w:sz w:val="32"/>
          <w:szCs w:val="32"/>
        </w:rPr>
        <w:t>。</w:t>
      </w:r>
    </w:p>
    <w:p w14:paraId="6858E922">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w:t>
      </w:r>
      <w:r>
        <w:rPr>
          <w:rFonts w:hint="eastAsia" w:ascii="仿宋_GB2312" w:eastAsia="仿宋_GB2312" w:cs="DengXian-Regular"/>
          <w:sz w:val="32"/>
          <w:szCs w:val="32"/>
        </w:rPr>
        <w:t>分。</w:t>
      </w:r>
    </w:p>
    <w:p w14:paraId="4E89EB0D">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w:t>
      </w:r>
      <w:r>
        <w:rPr>
          <w:rFonts w:ascii="仿宋_GB2312" w:eastAsia="仿宋_GB2312" w:cs="DengXian-Regular"/>
          <w:sz w:val="32"/>
          <w:szCs w:val="32"/>
        </w:rPr>
        <w:t>调整率</w:t>
      </w:r>
      <w:r>
        <w:rPr>
          <w:rFonts w:hint="eastAsia" w:ascii="仿宋_GB2312" w:eastAsia="仿宋_GB2312" w:cs="DengXian-Regular"/>
          <w:sz w:val="32"/>
          <w:szCs w:val="32"/>
        </w:rPr>
        <w:t>（</w:t>
      </w:r>
      <w:r>
        <w:rPr>
          <w:rFonts w:ascii="仿宋_GB2312" w:eastAsia="仿宋_GB2312" w:cs="DengXian-Regular"/>
          <w:sz w:val="32"/>
          <w:szCs w:val="32"/>
        </w:rPr>
        <w:t>4</w:t>
      </w:r>
      <w:r>
        <w:rPr>
          <w:rFonts w:hint="eastAsia" w:ascii="仿宋_GB2312" w:eastAsia="仿宋_GB2312" w:cs="DengXian-Regular"/>
          <w:sz w:val="32"/>
          <w:szCs w:val="32"/>
        </w:rPr>
        <w:t>分）</w:t>
      </w:r>
    </w:p>
    <w:p w14:paraId="2B5256CE">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该指标主要评价本年度预算调整数与预算数的比率，用以反映和考核部门预算的调整程度。</w:t>
      </w:r>
    </w:p>
    <w:p w14:paraId="133B698E">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预算调整率=（预算调整数/预算数）×100%。</w:t>
      </w:r>
    </w:p>
    <w:p w14:paraId="616593A3">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预算调整数：部门（单位）在本年度内涉及预算的追加、追减或结构调整的资金总和（因落实国家政策、发生不可抗力、上级部门或本级党委政府临时交办而产生的调整除外）。</w:t>
      </w:r>
    </w:p>
    <w:p w14:paraId="7676F14D">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根据区政府办提供的保定市徐水区财政局下发的预算指标文件， 2022年</w:t>
      </w:r>
      <w:r>
        <w:rPr>
          <w:rFonts w:ascii="仿宋_GB2312" w:eastAsia="仿宋_GB2312" w:cs="DengXian-Regular"/>
          <w:sz w:val="32"/>
          <w:szCs w:val="32"/>
        </w:rPr>
        <w:t>调整预算金额</w:t>
      </w:r>
      <w:r>
        <w:rPr>
          <w:rFonts w:hint="eastAsia" w:ascii="仿宋_GB2312" w:eastAsia="仿宋_GB2312" w:cs="DengXian-Regular"/>
          <w:sz w:val="32"/>
          <w:szCs w:val="32"/>
        </w:rPr>
        <w:t>40.89万元</w:t>
      </w:r>
      <w:r>
        <w:rPr>
          <w:rFonts w:ascii="仿宋_GB2312" w:eastAsia="仿宋_GB2312" w:cs="DengXian-Regular"/>
          <w:sz w:val="32"/>
          <w:szCs w:val="32"/>
        </w:rPr>
        <w:t>，预算调整率=（</w:t>
      </w:r>
      <w:r>
        <w:rPr>
          <w:rFonts w:hint="eastAsia" w:ascii="仿宋_GB2312" w:eastAsia="仿宋_GB2312" w:cs="DengXian-Regular"/>
          <w:sz w:val="32"/>
          <w:szCs w:val="32"/>
        </w:rPr>
        <w:t>40.89/1134.87</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w:t>
      </w:r>
      <w:r>
        <w:rPr>
          <w:rFonts w:hint="eastAsia" w:ascii="仿宋_GB2312" w:eastAsia="仿宋_GB2312" w:cs="DengXian-Regular"/>
          <w:sz w:val="32"/>
          <w:szCs w:val="32"/>
        </w:rPr>
        <w:t>3.6</w:t>
      </w:r>
      <w:r>
        <w:rPr>
          <w:rFonts w:ascii="仿宋_GB2312" w:eastAsia="仿宋_GB2312" w:cs="DengXian-Regular"/>
          <w:sz w:val="32"/>
          <w:szCs w:val="32"/>
        </w:rPr>
        <w:t>%</w:t>
      </w:r>
      <w:r>
        <w:rPr>
          <w:rFonts w:hint="eastAsia" w:ascii="仿宋_GB2312" w:eastAsia="仿宋_GB2312" w:cs="DengXian-Regular"/>
          <w:sz w:val="32"/>
          <w:szCs w:val="32"/>
        </w:rPr>
        <w:t>，</w:t>
      </w:r>
      <w:r>
        <w:rPr>
          <w:rFonts w:ascii="仿宋_GB2312" w:eastAsia="仿宋_GB2312" w:cs="DengXian-Regular"/>
          <w:sz w:val="32"/>
          <w:szCs w:val="32"/>
        </w:rPr>
        <w:t>扣</w:t>
      </w:r>
      <w:r>
        <w:rPr>
          <w:rFonts w:hint="eastAsia" w:ascii="仿宋_GB2312" w:eastAsia="仿宋_GB2312" w:cs="DengXian-Regular"/>
          <w:sz w:val="32"/>
          <w:szCs w:val="32"/>
        </w:rPr>
        <w:t>3.6分</w:t>
      </w:r>
      <w:r>
        <w:rPr>
          <w:rFonts w:ascii="仿宋_GB2312" w:eastAsia="仿宋_GB2312" w:cs="DengXian-Regular"/>
          <w:sz w:val="32"/>
          <w:szCs w:val="32"/>
        </w:rPr>
        <w:t>。</w:t>
      </w:r>
    </w:p>
    <w:p w14:paraId="74961ECB">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0.</w:t>
      </w:r>
      <w:r>
        <w:rPr>
          <w:rFonts w:hint="eastAsia" w:ascii="仿宋_GB2312" w:eastAsia="仿宋_GB2312" w:cs="DengXian-Regular"/>
          <w:sz w:val="32"/>
          <w:szCs w:val="32"/>
        </w:rPr>
        <w:t>4分。</w:t>
      </w:r>
    </w:p>
    <w:p w14:paraId="292DED10">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（3）支付</w:t>
      </w:r>
      <w:r>
        <w:rPr>
          <w:rFonts w:ascii="仿宋_GB2312" w:eastAsia="仿宋_GB2312" w:cs="DengXian-Regular"/>
          <w:sz w:val="32"/>
          <w:szCs w:val="32"/>
        </w:rPr>
        <w:t>进度率</w:t>
      </w:r>
      <w:r>
        <w:rPr>
          <w:rFonts w:hint="eastAsia" w:ascii="仿宋_GB2312" w:eastAsia="仿宋_GB2312" w:cs="DengXian-Regular"/>
          <w:sz w:val="32"/>
          <w:szCs w:val="32"/>
        </w:rPr>
        <w:t>（2分）</w:t>
      </w:r>
    </w:p>
    <w:p w14:paraId="290FCA1E">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该指标主要评价实际支付进度与既定支付进度的比率，用以反映和考核部门（单位）预算执行的及时性和均衡性程度。</w:t>
      </w:r>
    </w:p>
    <w:p w14:paraId="0E71C21B">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支付进度率=（实际支付进度/既定支付进度）×100%。</w:t>
      </w:r>
    </w:p>
    <w:p w14:paraId="08244A1B">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ascii="仿宋_GB2312" w:eastAsia="仿宋_GB2312" w:cs="DengXian-Regular"/>
          <w:sz w:val="32"/>
          <w:szCs w:val="32"/>
        </w:rPr>
        <w:t>保定市徐水区财政局</w:t>
      </w:r>
      <w:r>
        <w:rPr>
          <w:rFonts w:hint="eastAsia" w:ascii="仿宋_GB2312" w:eastAsia="仿宋_GB2312" w:cs="DengXian-Regular"/>
          <w:sz w:val="32"/>
          <w:szCs w:val="32"/>
        </w:rPr>
        <w:t>关于对2022年</w:t>
      </w:r>
      <w:r>
        <w:rPr>
          <w:rFonts w:ascii="仿宋_GB2312" w:eastAsia="仿宋_GB2312" w:cs="DengXian-Regular"/>
          <w:sz w:val="32"/>
          <w:szCs w:val="32"/>
        </w:rPr>
        <w:t>部门绩效运行监控结果应用情况的通报》</w:t>
      </w:r>
      <w:r>
        <w:rPr>
          <w:rFonts w:hint="eastAsia" w:ascii="仿宋_GB2312" w:eastAsia="仿宋_GB2312" w:cs="DengXian-Regular"/>
          <w:sz w:val="32"/>
          <w:szCs w:val="32"/>
        </w:rPr>
        <w:t>，</w:t>
      </w:r>
      <w:r>
        <w:rPr>
          <w:rFonts w:ascii="仿宋_GB2312" w:eastAsia="仿宋_GB2312" w:cs="DengXian-Regular"/>
          <w:sz w:val="32"/>
          <w:szCs w:val="32"/>
        </w:rPr>
        <w:t>我部门扣减系数为</w:t>
      </w:r>
      <w:r>
        <w:rPr>
          <w:rFonts w:hint="eastAsia" w:ascii="仿宋_GB2312" w:eastAsia="仿宋_GB2312" w:cs="DengXian-Regular"/>
          <w:sz w:val="32"/>
          <w:szCs w:val="32"/>
        </w:rPr>
        <w:t>4.18</w:t>
      </w:r>
      <w:r>
        <w:rPr>
          <w:rFonts w:ascii="仿宋_GB2312" w:eastAsia="仿宋_GB2312" w:cs="DengXian-Regular"/>
          <w:sz w:val="32"/>
          <w:szCs w:val="32"/>
        </w:rPr>
        <w:t>%，</w:t>
      </w:r>
      <w:r>
        <w:rPr>
          <w:rFonts w:hint="eastAsia" w:ascii="仿宋_GB2312" w:eastAsia="仿宋_GB2312" w:cs="DengXian-Regular"/>
          <w:sz w:val="32"/>
          <w:szCs w:val="32"/>
        </w:rPr>
        <w:t>2022年6月份</w:t>
      </w:r>
      <w:r>
        <w:rPr>
          <w:rFonts w:ascii="仿宋_GB2312" w:eastAsia="仿宋_GB2312" w:cs="DengXian-Regular"/>
          <w:sz w:val="32"/>
          <w:szCs w:val="32"/>
        </w:rPr>
        <w:t>和</w:t>
      </w:r>
      <w:r>
        <w:rPr>
          <w:rFonts w:hint="eastAsia" w:ascii="仿宋_GB2312" w:eastAsia="仿宋_GB2312" w:cs="DengXian-Regular"/>
          <w:sz w:val="32"/>
          <w:szCs w:val="32"/>
        </w:rPr>
        <w:t>9月份</w:t>
      </w:r>
      <w:r>
        <w:rPr>
          <w:rFonts w:ascii="仿宋_GB2312" w:eastAsia="仿宋_GB2312" w:cs="DengXian-Regular"/>
          <w:sz w:val="32"/>
          <w:szCs w:val="32"/>
        </w:rPr>
        <w:t>部门预算支出进度，未达到财政要去，扣</w:t>
      </w:r>
      <w:r>
        <w:rPr>
          <w:rFonts w:hint="eastAsia" w:ascii="仿宋_GB2312" w:eastAsia="仿宋_GB2312" w:cs="DengXian-Regular"/>
          <w:sz w:val="32"/>
          <w:szCs w:val="32"/>
        </w:rPr>
        <w:t>1分</w:t>
      </w:r>
      <w:r>
        <w:rPr>
          <w:rFonts w:ascii="仿宋_GB2312" w:eastAsia="仿宋_GB2312" w:cs="DengXian-Regular"/>
          <w:sz w:val="32"/>
          <w:szCs w:val="32"/>
        </w:rPr>
        <w:t>。</w:t>
      </w:r>
    </w:p>
    <w:p w14:paraId="2F1B38DC">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w:t>
      </w:r>
      <w:r>
        <w:rPr>
          <w:rFonts w:hint="eastAsia" w:ascii="仿宋_GB2312" w:eastAsia="仿宋_GB2312" w:cs="DengXian-Regular"/>
          <w:sz w:val="32"/>
          <w:szCs w:val="32"/>
        </w:rPr>
        <w:t>分。</w:t>
      </w:r>
    </w:p>
    <w:p w14:paraId="4A3237AD">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（4）结转</w:t>
      </w:r>
      <w:r>
        <w:rPr>
          <w:rFonts w:ascii="仿宋_GB2312" w:eastAsia="仿宋_GB2312" w:cs="DengXian-Regular"/>
          <w:sz w:val="32"/>
          <w:szCs w:val="32"/>
        </w:rPr>
        <w:t>结余率</w:t>
      </w:r>
      <w:r>
        <w:rPr>
          <w:rFonts w:hint="eastAsia" w:ascii="仿宋_GB2312" w:eastAsia="仿宋_GB2312" w:cs="DengXian-Regular"/>
          <w:sz w:val="32"/>
          <w:szCs w:val="32"/>
        </w:rPr>
        <w:t>（4分）</w:t>
      </w:r>
    </w:p>
    <w:p w14:paraId="70916ECD">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该指标主要评价本年度结转结余总额与支出预算数的比率，用以反映和考核部门（单位）对本年度结转结余资金的实际控制程度。</w:t>
      </w:r>
    </w:p>
    <w:p w14:paraId="73FF3160">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结转结余率=结转结余总额/支出预算数×100%。</w:t>
      </w:r>
    </w:p>
    <w:p w14:paraId="621421C8">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区政府办202</w:t>
      </w:r>
      <w:r>
        <w:rPr>
          <w:rFonts w:ascii="仿宋_GB2312" w:eastAsia="仿宋_GB2312" w:cs="DengXian-Regular"/>
          <w:sz w:val="32"/>
          <w:szCs w:val="32"/>
        </w:rPr>
        <w:t>1</w:t>
      </w:r>
      <w:r>
        <w:rPr>
          <w:rFonts w:hint="eastAsia" w:ascii="仿宋_GB2312" w:eastAsia="仿宋_GB2312" w:cs="DengXian-Regular"/>
          <w:sz w:val="32"/>
          <w:szCs w:val="32"/>
        </w:rPr>
        <w:t>年决算文本，部门决算年末</w:t>
      </w:r>
      <w:r>
        <w:rPr>
          <w:rFonts w:ascii="仿宋_GB2312" w:eastAsia="仿宋_GB2312" w:cs="DengXian-Regular"/>
          <w:sz w:val="32"/>
          <w:szCs w:val="32"/>
        </w:rPr>
        <w:t>结转</w:t>
      </w:r>
      <w:r>
        <w:rPr>
          <w:rFonts w:hint="eastAsia" w:ascii="仿宋_GB2312" w:eastAsia="仿宋_GB2312" w:cs="DengXian-Regular"/>
          <w:sz w:val="32"/>
          <w:szCs w:val="32"/>
        </w:rPr>
        <w:t>和</w:t>
      </w:r>
      <w:r>
        <w:rPr>
          <w:rFonts w:ascii="仿宋_GB2312" w:eastAsia="仿宋_GB2312" w:cs="DengXian-Regular"/>
          <w:sz w:val="32"/>
          <w:szCs w:val="32"/>
        </w:rPr>
        <w:t>结余</w:t>
      </w:r>
      <w:r>
        <w:rPr>
          <w:rFonts w:hint="eastAsia" w:ascii="仿宋_GB2312" w:eastAsia="仿宋_GB2312" w:cs="DengXian-Regular"/>
          <w:sz w:val="32"/>
          <w:szCs w:val="32"/>
        </w:rPr>
        <w:t>资金0.17万元，结转结余率</w:t>
      </w:r>
      <w:r>
        <w:rPr>
          <w:rFonts w:ascii="仿宋_GB2312" w:eastAsia="仿宋_GB2312" w:cs="DengXian-Regular"/>
          <w:sz w:val="32"/>
          <w:szCs w:val="32"/>
        </w:rPr>
        <w:t>=</w:t>
      </w:r>
      <w:r>
        <w:rPr>
          <w:rFonts w:hint="eastAsia" w:ascii="仿宋_GB2312" w:eastAsia="仿宋_GB2312" w:cs="DengXian-Regular"/>
          <w:sz w:val="32"/>
          <w:szCs w:val="32"/>
        </w:rPr>
        <w:t>（0.17/1134.87</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%=0.0</w:t>
      </w:r>
      <w:r>
        <w:rPr>
          <w:rFonts w:hint="eastAsia" w:ascii="仿宋_GB2312" w:eastAsia="仿宋_GB2312" w:cs="DengXian-Regular"/>
          <w:sz w:val="32"/>
          <w:szCs w:val="32"/>
        </w:rPr>
        <w:t>1</w:t>
      </w:r>
      <w:r>
        <w:rPr>
          <w:rFonts w:ascii="仿宋_GB2312" w:eastAsia="仿宋_GB2312" w:cs="DengXian-Regular"/>
          <w:sz w:val="32"/>
          <w:szCs w:val="32"/>
        </w:rPr>
        <w:t>%</w:t>
      </w:r>
      <w:r>
        <w:rPr>
          <w:rFonts w:hint="eastAsia" w:ascii="仿宋_GB2312" w:eastAsia="仿宋_GB2312" w:cs="DengXian-Regular"/>
          <w:sz w:val="32"/>
          <w:szCs w:val="32"/>
        </w:rPr>
        <w:t>。</w:t>
      </w:r>
    </w:p>
    <w:p w14:paraId="18EDD407">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23F84BDB">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（5）结转</w:t>
      </w:r>
      <w:r>
        <w:rPr>
          <w:rFonts w:ascii="仿宋_GB2312" w:eastAsia="仿宋_GB2312" w:cs="DengXian-Regular"/>
          <w:sz w:val="32"/>
          <w:szCs w:val="32"/>
        </w:rPr>
        <w:t>结余变动率</w:t>
      </w:r>
      <w:r>
        <w:rPr>
          <w:rFonts w:hint="eastAsia" w:ascii="仿宋_GB2312" w:eastAsia="仿宋_GB2312" w:cs="DengXian-Regular"/>
          <w:sz w:val="32"/>
          <w:szCs w:val="32"/>
        </w:rPr>
        <w:t>（3分）</w:t>
      </w:r>
    </w:p>
    <w:p w14:paraId="0A7670C6">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该指标主要本年度结转结余资金总额与上年度结转结余资金总额的变动比率，用以反映和考核部门（单位）对控制结转结余资金的努力程度。</w:t>
      </w:r>
    </w:p>
    <w:p w14:paraId="74B54B4B">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结转结余变动率=[（本年度累计结转结余资金总额-上年度累计结转结余资金总额）/上年度累计结转结余资金总额]×100%。</w:t>
      </w:r>
    </w:p>
    <w:p w14:paraId="2EB9259F">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根据区政府办2022年决算文本本，结转</w:t>
      </w:r>
      <w:r>
        <w:rPr>
          <w:rFonts w:ascii="仿宋_GB2312" w:eastAsia="仿宋_GB2312" w:cs="DengXian-Regular"/>
          <w:sz w:val="32"/>
          <w:szCs w:val="32"/>
        </w:rPr>
        <w:t>结余变动率=</w:t>
      </w:r>
      <w:r>
        <w:rPr>
          <w:rFonts w:hint="eastAsia" w:ascii="仿宋_GB2312" w:eastAsia="仿宋_GB2312" w:cs="DengXian-Regular"/>
          <w:sz w:val="32"/>
          <w:szCs w:val="32"/>
        </w:rPr>
        <w:t>[</w:t>
      </w:r>
      <w:r>
        <w:rPr>
          <w:rFonts w:ascii="仿宋_GB2312" w:eastAsia="仿宋_GB2312" w:cs="DengXian-Regular"/>
          <w:sz w:val="32"/>
          <w:szCs w:val="32"/>
        </w:rPr>
        <w:t>（</w:t>
      </w:r>
      <w:r>
        <w:rPr>
          <w:rFonts w:hint="eastAsia" w:ascii="仿宋_GB2312" w:eastAsia="仿宋_GB2312" w:cs="DengXian-Regular"/>
          <w:sz w:val="32"/>
          <w:szCs w:val="32"/>
        </w:rPr>
        <w:t>0.17-0.87</w:t>
      </w:r>
      <w:r>
        <w:rPr>
          <w:rFonts w:ascii="仿宋_GB2312" w:eastAsia="仿宋_GB2312" w:cs="DengXian-Regular"/>
          <w:sz w:val="32"/>
          <w:szCs w:val="32"/>
        </w:rPr>
        <w:t>）</w:t>
      </w:r>
      <w:r>
        <w:rPr>
          <w:rFonts w:hint="eastAsia" w:ascii="仿宋_GB2312" w:eastAsia="仿宋_GB2312" w:cs="DengXian-Regular"/>
          <w:sz w:val="32"/>
          <w:szCs w:val="32"/>
        </w:rPr>
        <w:t>/0.87]*100%=88.51%,变动率</w:t>
      </w:r>
      <w:r>
        <w:rPr>
          <w:rFonts w:ascii="仿宋_GB2312" w:eastAsia="仿宋_GB2312" w:cs="DengXian-Regular"/>
          <w:sz w:val="32"/>
          <w:szCs w:val="32"/>
        </w:rPr>
        <w:t>较大，</w:t>
      </w:r>
      <w:r>
        <w:rPr>
          <w:rFonts w:hint="eastAsia" w:ascii="仿宋_GB2312" w:eastAsia="仿宋_GB2312" w:cs="DengXian-Regular"/>
          <w:sz w:val="32"/>
          <w:szCs w:val="32"/>
        </w:rPr>
        <w:t>扣减2分。</w:t>
      </w:r>
    </w:p>
    <w:p w14:paraId="164D5601">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该指标实际得分1分。</w:t>
      </w:r>
    </w:p>
    <w:p w14:paraId="588EA05E">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（6）公用</w:t>
      </w:r>
      <w:r>
        <w:rPr>
          <w:rFonts w:ascii="仿宋_GB2312" w:eastAsia="仿宋_GB2312" w:cs="DengXian-Regular"/>
          <w:sz w:val="32"/>
          <w:szCs w:val="32"/>
        </w:rPr>
        <w:t>经费</w:t>
      </w:r>
      <w:r>
        <w:rPr>
          <w:rFonts w:hint="eastAsia" w:ascii="仿宋_GB2312" w:eastAsia="仿宋_GB2312" w:cs="DengXian-Regular"/>
          <w:sz w:val="32"/>
          <w:szCs w:val="32"/>
        </w:rPr>
        <w:t>控制率（3分）</w:t>
      </w:r>
    </w:p>
    <w:p w14:paraId="58D98BF4">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该指标主要评价部门本年度实际支出的公用经费总额与预算安排的公用经费总额的比率，用以反映和考核部门对机构运转成本的实际控制程度。</w:t>
      </w:r>
    </w:p>
    <w:p w14:paraId="186DE0D4">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公用经费控制率=（实际支出公用经费总额/预算安排公用经费总额）×100%。</w:t>
      </w:r>
    </w:p>
    <w:p w14:paraId="1A470248">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根据区政府办2022年预算文本及决算文本，公用经费控制率=（974.94/1065.57）×100%=91.49%，公用</w:t>
      </w:r>
      <w:r>
        <w:rPr>
          <w:rFonts w:ascii="仿宋_GB2312" w:eastAsia="仿宋_GB2312" w:cs="DengXian-Regular"/>
          <w:sz w:val="32"/>
          <w:szCs w:val="32"/>
        </w:rPr>
        <w:t>经费实际支出</w:t>
      </w:r>
      <w:r>
        <w:rPr>
          <w:rFonts w:hint="eastAsia" w:ascii="仿宋_GB2312" w:eastAsia="仿宋_GB2312" w:cs="DengXian-Regular"/>
          <w:sz w:val="32"/>
          <w:szCs w:val="32"/>
        </w:rPr>
        <w:t>未</w:t>
      </w:r>
      <w:r>
        <w:rPr>
          <w:rFonts w:ascii="仿宋_GB2312" w:eastAsia="仿宋_GB2312" w:cs="DengXian-Regular"/>
          <w:sz w:val="32"/>
          <w:szCs w:val="32"/>
        </w:rPr>
        <w:t>预算安排。</w:t>
      </w:r>
    </w:p>
    <w:p w14:paraId="0619A68C">
      <w:pPr>
        <w:tabs>
          <w:tab w:val="left" w:pos="709"/>
        </w:tabs>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该指标实际得分为3分。</w:t>
      </w:r>
    </w:p>
    <w:bookmarkEnd w:id="64"/>
    <w:bookmarkEnd w:id="65"/>
    <w:p w14:paraId="5A50E65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（7）“三公”经费控制率（3分）</w:t>
      </w:r>
    </w:p>
    <w:p w14:paraId="12AA3A8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14:paraId="23F7C5B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14:paraId="5CB4A45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根据区政府办2022年预算文本及决算文本，“三公”经费年初预算数32.99万元，年末决算数11.24万元，“三公”经费控制率=（年末决算数/年初预算数）*100%=34.07%</w:t>
      </w:r>
      <w:r>
        <w:rPr>
          <w:rFonts w:ascii="Arial" w:hAnsi="Arial" w:eastAsia="仿宋_GB2312" w:cs="Arial"/>
          <w:sz w:val="32"/>
          <w:szCs w:val="32"/>
        </w:rPr>
        <w:t>≤</w:t>
      </w:r>
      <w:r>
        <w:rPr>
          <w:rFonts w:hint="eastAsia" w:ascii="仿宋_GB2312" w:eastAsia="仿宋_GB2312" w:cs="DengXian-Regular"/>
          <w:sz w:val="32"/>
          <w:szCs w:val="32"/>
        </w:rPr>
        <w:t>100%。</w:t>
      </w:r>
    </w:p>
    <w:p w14:paraId="059C5FC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14:paraId="28F26E5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（8）政府采购执行率（3分）</w:t>
      </w:r>
    </w:p>
    <w:p w14:paraId="5FFBCB8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14:paraId="2555EA9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14:paraId="7A239DE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根据区政府办2022年预算文本及决算文本，政府采购年初预算数0元，年末决算数1.37万元，政府采购执行率为137%。</w:t>
      </w:r>
    </w:p>
    <w:p w14:paraId="28F7339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该指标实际得分为3分。</w:t>
      </w:r>
    </w:p>
    <w:p w14:paraId="2B0D7B0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14:paraId="12275F2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14:paraId="67B2719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14:paraId="6FB4E18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区政府办工作制度涵盖了财务制度、网络安全制度、公务用车制度等相关制度，经检查区政府办付款流程审批单、资产盘点表等资料，区政府办已按照相关管理制度的规定执行。</w:t>
      </w:r>
    </w:p>
    <w:p w14:paraId="0F90BE3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14:paraId="3DDFD4D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（2）资金使用合规性（4分）</w:t>
      </w:r>
    </w:p>
    <w:p w14:paraId="6A0515B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14:paraId="690CA75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2022年明细账、会计凭证等相关资料，区政府办资金使用符合相关会计准则和财务制度，资金拨付有完备的审批程序和手续，资金使用符合部门预算批复的用途，未发现截留、挤占、挪用财政资金的情况。</w:t>
      </w:r>
    </w:p>
    <w:p w14:paraId="087AB32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14:paraId="02297EF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（3）预决算信息公开性（4分）</w:t>
      </w:r>
    </w:p>
    <w:p w14:paraId="2D1EE0E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14:paraId="576D16B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区政府办2022年按政府信息公开的有关要求在保定市徐水区人民政府网公开了2021年的预决算情况、部门责任清单、行政监督清单等相关信息。</w:t>
      </w:r>
    </w:p>
    <w:p w14:paraId="6595B81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14:paraId="21E2AAF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（4）基础信息完善性（4分）</w:t>
      </w:r>
    </w:p>
    <w:p w14:paraId="74A7E52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14:paraId="18519A9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根据区政府办提供的会计账簿、凭证及其他相关资料，区政府办会计信息资料真实完整，</w:t>
      </w:r>
    </w:p>
    <w:p w14:paraId="7B3BA0A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14:paraId="0C8417D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3.资产</w:t>
      </w:r>
      <w:r>
        <w:rPr>
          <w:rFonts w:ascii="仿宋_GB2312" w:eastAsia="仿宋_GB2312" w:cs="DengXian-Regular"/>
          <w:sz w:val="32"/>
          <w:szCs w:val="32"/>
        </w:rPr>
        <w:t>管理</w:t>
      </w:r>
      <w:r>
        <w:rPr>
          <w:rFonts w:hint="eastAsia" w:ascii="仿宋_GB2312" w:eastAsia="仿宋_GB2312" w:cs="DengXian-Regular"/>
          <w:sz w:val="32"/>
          <w:szCs w:val="32"/>
        </w:rPr>
        <w:t>（8分）</w:t>
      </w:r>
    </w:p>
    <w:p w14:paraId="2361CD0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w:t>
      </w:r>
      <w:r>
        <w:rPr>
          <w:rFonts w:ascii="仿宋_GB2312" w:eastAsia="仿宋_GB2312" w:cs="DengXian-Regular"/>
          <w:sz w:val="32"/>
          <w:szCs w:val="32"/>
        </w:rPr>
        <w:t>制度健全性</w:t>
      </w: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分）</w:t>
      </w:r>
    </w:p>
    <w:p w14:paraId="3C79767C">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该指标主要评价部门为加强资产管理、规范资产管理行为而制定的管理制度是否健全完整，用以反映和考核部门资产管理制度对完成主要职责或促进社会发展的保障情况。</w:t>
      </w:r>
    </w:p>
    <w:p w14:paraId="7D021BA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w:t>
      </w:r>
      <w:r>
        <w:rPr>
          <w:rFonts w:ascii="仿宋_GB2312" w:eastAsia="仿宋_GB2312" w:cs="DengXian-Regular"/>
          <w:sz w:val="32"/>
          <w:szCs w:val="32"/>
        </w:rPr>
        <w:t>工作制度</w:t>
      </w:r>
      <w:r>
        <w:rPr>
          <w:rFonts w:hint="eastAsia" w:ascii="仿宋_GB2312" w:eastAsia="仿宋_GB2312" w:cs="DengXian-Regular"/>
          <w:sz w:val="32"/>
          <w:szCs w:val="32"/>
        </w:rPr>
        <w:t>包含</w:t>
      </w:r>
      <w:r>
        <w:rPr>
          <w:rFonts w:ascii="仿宋_GB2312" w:eastAsia="仿宋_GB2312" w:cs="DengXian-Regular"/>
          <w:sz w:val="32"/>
          <w:szCs w:val="32"/>
        </w:rPr>
        <w:t>了资产管理制度，规定了资产购置、登记、管理、处置</w:t>
      </w:r>
      <w:r>
        <w:rPr>
          <w:rFonts w:hint="eastAsia" w:ascii="仿宋_GB2312" w:eastAsia="仿宋_GB2312" w:cs="DengXian-Regular"/>
          <w:sz w:val="32"/>
          <w:szCs w:val="32"/>
        </w:rPr>
        <w:t>等</w:t>
      </w:r>
      <w:r>
        <w:rPr>
          <w:rFonts w:ascii="仿宋_GB2312" w:eastAsia="仿宋_GB2312" w:cs="DengXian-Regular"/>
          <w:sz w:val="32"/>
          <w:szCs w:val="32"/>
        </w:rPr>
        <w:t>环节</w:t>
      </w:r>
      <w:r>
        <w:rPr>
          <w:rFonts w:hint="eastAsia" w:ascii="仿宋_GB2312" w:eastAsia="仿宋_GB2312" w:cs="DengXian-Regular"/>
          <w:sz w:val="32"/>
          <w:szCs w:val="32"/>
        </w:rPr>
        <w:t>管理</w:t>
      </w:r>
      <w:r>
        <w:rPr>
          <w:rFonts w:ascii="仿宋_GB2312" w:eastAsia="仿宋_GB2312" w:cs="DengXian-Regular"/>
          <w:sz w:val="32"/>
          <w:szCs w:val="32"/>
        </w:rPr>
        <w:t>。在</w:t>
      </w:r>
      <w:r>
        <w:rPr>
          <w:rFonts w:hint="eastAsia" w:ascii="仿宋_GB2312" w:eastAsia="仿宋_GB2312" w:cs="DengXian-Regular"/>
          <w:sz w:val="32"/>
          <w:szCs w:val="32"/>
        </w:rPr>
        <w:t>日常</w:t>
      </w:r>
      <w:r>
        <w:rPr>
          <w:rFonts w:ascii="仿宋_GB2312" w:eastAsia="仿宋_GB2312" w:cs="DengXian-Regular"/>
          <w:sz w:val="32"/>
          <w:szCs w:val="32"/>
        </w:rPr>
        <w:t>工作中，严格按照</w:t>
      </w:r>
      <w:r>
        <w:rPr>
          <w:rFonts w:hint="eastAsia" w:ascii="仿宋_GB2312" w:eastAsia="仿宋_GB2312" w:cs="DengXian-Regular"/>
          <w:sz w:val="32"/>
          <w:szCs w:val="32"/>
        </w:rPr>
        <w:t>管理</w:t>
      </w:r>
      <w:r>
        <w:rPr>
          <w:rFonts w:ascii="仿宋_GB2312" w:eastAsia="仿宋_GB2312" w:cs="DengXian-Regular"/>
          <w:sz w:val="32"/>
          <w:szCs w:val="32"/>
        </w:rPr>
        <w:t>制度执行，保障了资产管理的科学性、准确性。</w:t>
      </w:r>
    </w:p>
    <w:p w14:paraId="6602651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41F82E3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（2）资产</w:t>
      </w:r>
      <w:r>
        <w:rPr>
          <w:rFonts w:ascii="仿宋_GB2312" w:eastAsia="仿宋_GB2312" w:cs="DengXian-Regular"/>
          <w:sz w:val="32"/>
          <w:szCs w:val="32"/>
        </w:rPr>
        <w:t>管理安全性</w:t>
      </w: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分）</w:t>
      </w:r>
    </w:p>
    <w:p w14:paraId="1BE3DB8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该指标主要评价部门的资产是否保存完整、使用合规、配置合理、处置规范、收入及时足额上缴，用以反映和考核部门（单位）资产安全运行情况。</w:t>
      </w:r>
    </w:p>
    <w:p w14:paraId="16288B6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区政府办加强</w:t>
      </w:r>
      <w:r>
        <w:rPr>
          <w:rFonts w:ascii="仿宋_GB2312" w:eastAsia="仿宋_GB2312" w:cs="DengXian-Regular"/>
          <w:sz w:val="32"/>
          <w:szCs w:val="32"/>
        </w:rPr>
        <w:t>资产管理、严格执行资产管理制度规定，定期盘点资产，加强日常</w:t>
      </w:r>
      <w:r>
        <w:rPr>
          <w:rFonts w:hint="eastAsia" w:ascii="仿宋_GB2312" w:eastAsia="仿宋_GB2312" w:cs="DengXian-Regular"/>
          <w:sz w:val="32"/>
          <w:szCs w:val="32"/>
        </w:rPr>
        <w:t>维护</w:t>
      </w:r>
      <w:r>
        <w:rPr>
          <w:rFonts w:ascii="仿宋_GB2312" w:eastAsia="仿宋_GB2312" w:cs="DengXian-Regular"/>
          <w:sz w:val="32"/>
          <w:szCs w:val="32"/>
        </w:rPr>
        <w:t>，规范</w:t>
      </w:r>
      <w:r>
        <w:rPr>
          <w:rFonts w:hint="eastAsia" w:ascii="仿宋_GB2312" w:eastAsia="仿宋_GB2312" w:cs="DengXian-Regular"/>
          <w:sz w:val="32"/>
          <w:szCs w:val="32"/>
        </w:rPr>
        <w:t>处置</w:t>
      </w:r>
      <w:r>
        <w:rPr>
          <w:rFonts w:ascii="仿宋_GB2312" w:eastAsia="仿宋_GB2312" w:cs="DengXian-Regular"/>
          <w:sz w:val="32"/>
          <w:szCs w:val="32"/>
        </w:rPr>
        <w:t>资产，处置收入按要求上缴财政</w:t>
      </w:r>
      <w:r>
        <w:rPr>
          <w:rFonts w:hint="eastAsia" w:ascii="仿宋_GB2312" w:eastAsia="仿宋_GB2312" w:cs="DengXian-Regular"/>
          <w:sz w:val="32"/>
          <w:szCs w:val="32"/>
        </w:rPr>
        <w:t>，</w:t>
      </w:r>
      <w:r>
        <w:rPr>
          <w:rFonts w:ascii="仿宋_GB2312" w:eastAsia="仿宋_GB2312" w:cs="DengXian-Regular"/>
          <w:sz w:val="32"/>
          <w:szCs w:val="32"/>
        </w:rPr>
        <w:t>资产安全运行情况良好。</w:t>
      </w:r>
    </w:p>
    <w:p w14:paraId="17C8355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34FA43B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）固定</w:t>
      </w:r>
      <w:r>
        <w:rPr>
          <w:rFonts w:ascii="仿宋_GB2312" w:eastAsia="仿宋_GB2312" w:cs="DengXian-Regular"/>
          <w:sz w:val="32"/>
          <w:szCs w:val="32"/>
        </w:rPr>
        <w:t>资产利用率</w:t>
      </w:r>
      <w:r>
        <w:rPr>
          <w:rFonts w:hint="eastAsia" w:ascii="仿宋_GB2312" w:eastAsia="仿宋_GB2312" w:cs="DengXian-Regular"/>
          <w:sz w:val="32"/>
          <w:szCs w:val="32"/>
        </w:rPr>
        <w:t>（</w:t>
      </w:r>
      <w:r>
        <w:rPr>
          <w:rFonts w:ascii="仿宋_GB2312" w:eastAsia="仿宋_GB2312" w:cs="DengXian-Regular"/>
          <w:sz w:val="32"/>
          <w:szCs w:val="32"/>
        </w:rPr>
        <w:t>2</w:t>
      </w:r>
      <w:r>
        <w:rPr>
          <w:rFonts w:hint="eastAsia" w:ascii="仿宋_GB2312" w:eastAsia="仿宋_GB2312" w:cs="DengXian-Regular"/>
          <w:sz w:val="32"/>
          <w:szCs w:val="32"/>
        </w:rPr>
        <w:t>分）</w:t>
      </w:r>
    </w:p>
    <w:p w14:paraId="0470420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该指标主要评价部门实际在用固定资产总额与所有固定资产总额的比率，用以反映和考核部门（单位）固定资产使用效率程度。</w:t>
      </w:r>
    </w:p>
    <w:p w14:paraId="46A8656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固定资产利用率=（实际在用固定资产总额/所有固定资产总额）×100%。</w:t>
      </w:r>
    </w:p>
    <w:p w14:paraId="0CBF438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w:t>
      </w:r>
      <w:r>
        <w:rPr>
          <w:rFonts w:ascii="仿宋_GB2312" w:eastAsia="仿宋_GB2312" w:cs="DengXian-Regular"/>
          <w:sz w:val="32"/>
          <w:szCs w:val="32"/>
        </w:rPr>
        <w:t>目前资产使用情况良好，固定资产利用率=（</w:t>
      </w:r>
      <w:r>
        <w:rPr>
          <w:rFonts w:hint="eastAsia" w:ascii="仿宋_GB2312" w:eastAsia="仿宋_GB2312" w:cs="DengXian-Regular"/>
          <w:sz w:val="32"/>
          <w:szCs w:val="32"/>
        </w:rPr>
        <w:t>423.94/423.94</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w:t>
      </w:r>
      <w:r>
        <w:rPr>
          <w:rFonts w:hint="eastAsia" w:ascii="仿宋_GB2312" w:eastAsia="仿宋_GB2312" w:cs="DengXian-Regular"/>
          <w:sz w:val="32"/>
          <w:szCs w:val="32"/>
        </w:rPr>
        <w:t>100</w:t>
      </w:r>
      <w:r>
        <w:rPr>
          <w:rFonts w:ascii="仿宋_GB2312" w:eastAsia="仿宋_GB2312" w:cs="DengXian-Regular"/>
          <w:sz w:val="32"/>
          <w:szCs w:val="32"/>
        </w:rPr>
        <w:t>%</w:t>
      </w:r>
      <w:r>
        <w:rPr>
          <w:rFonts w:hint="eastAsia" w:ascii="仿宋_GB2312" w:eastAsia="仿宋_GB2312" w:cs="DengXian-Regular"/>
          <w:sz w:val="32"/>
          <w:szCs w:val="32"/>
        </w:rPr>
        <w:t>，</w:t>
      </w:r>
      <w:r>
        <w:rPr>
          <w:rFonts w:ascii="仿宋_GB2312" w:eastAsia="仿宋_GB2312" w:cs="DengXian-Regular"/>
          <w:sz w:val="32"/>
          <w:szCs w:val="32"/>
        </w:rPr>
        <w:t>资产利用率较高。</w:t>
      </w:r>
    </w:p>
    <w:p w14:paraId="6AF4BC7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14:paraId="214825CA">
      <w:pPr>
        <w:pStyle w:val="4"/>
        <w:spacing w:before="0" w:after="0"/>
        <w:ind w:firstLine="643" w:firstLineChars="200"/>
        <w:jc w:val="both"/>
        <w:rPr>
          <w:rFonts w:ascii="楷体" w:hAnsi="楷体" w:eastAsia="楷体"/>
          <w:sz w:val="32"/>
        </w:rPr>
      </w:pPr>
      <w:r>
        <w:rPr>
          <w:rFonts w:hint="eastAsia" w:ascii="楷体" w:hAnsi="楷体" w:eastAsia="楷体"/>
          <w:sz w:val="32"/>
        </w:rPr>
        <w:t>（三）产出（25分）</w:t>
      </w:r>
      <w:bookmarkEnd w:id="66"/>
    </w:p>
    <w:p w14:paraId="3570634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14:paraId="08EBFE38">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14:paraId="10843EF8">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5B26F5B7">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048DC747">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23E3FC7B">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4A2F4335">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368EB8CF">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031E612B">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5B9DADE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14:paraId="0DF8BE9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p w14:paraId="0026229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1004" w:type="dxa"/>
            <w:vMerge w:val="restart"/>
            <w:tcBorders>
              <w:top w:val="single" w:color="000000" w:sz="4" w:space="0"/>
              <w:left w:val="single" w:color="000000" w:sz="4" w:space="0"/>
              <w:right w:val="single" w:color="000000" w:sz="4" w:space="0"/>
            </w:tcBorders>
            <w:vAlign w:val="center"/>
          </w:tcPr>
          <w:p w14:paraId="7492AB2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p w14:paraId="515937AA">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5833161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实际完成率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28639E4A">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c>
          <w:tcPr>
            <w:tcW w:w="853" w:type="dxa"/>
            <w:tcBorders>
              <w:top w:val="single" w:color="000000" w:sz="4" w:space="0"/>
              <w:left w:val="single" w:color="000000" w:sz="4" w:space="0"/>
              <w:bottom w:val="single" w:color="000000" w:sz="4" w:space="0"/>
              <w:right w:val="single" w:color="000000" w:sz="4" w:space="0"/>
            </w:tcBorders>
            <w:vAlign w:val="center"/>
          </w:tcPr>
          <w:p w14:paraId="6248130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r>
      <w:tr w14:paraId="102E4D0B">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4B3467B6">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578E7699">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7D97B88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w:t>
            </w:r>
            <w:r>
              <w:rPr>
                <w:rFonts w:cs="宋体" w:asciiTheme="minorEastAsia" w:hAnsiTheme="minorEastAsia" w:eastAsiaTheme="minorEastAsia"/>
                <w:sz w:val="21"/>
                <w:szCs w:val="21"/>
              </w:rPr>
              <w:t>及时率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6412FAB1">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c>
          <w:tcPr>
            <w:tcW w:w="853" w:type="dxa"/>
            <w:tcBorders>
              <w:top w:val="single" w:color="000000" w:sz="4" w:space="0"/>
              <w:left w:val="single" w:color="000000" w:sz="4" w:space="0"/>
              <w:bottom w:val="single" w:color="000000" w:sz="4" w:space="0"/>
              <w:right w:val="single" w:color="000000" w:sz="4" w:space="0"/>
            </w:tcBorders>
            <w:vAlign w:val="center"/>
          </w:tcPr>
          <w:p w14:paraId="16E74BA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r>
      <w:tr w14:paraId="39C76C61">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0BD2C7F3">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200677D8">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33AA416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w:t>
            </w:r>
            <w:r>
              <w:rPr>
                <w:rFonts w:cs="宋体" w:asciiTheme="minorEastAsia" w:hAnsiTheme="minorEastAsia" w:eastAsiaTheme="minorEastAsia"/>
                <w:sz w:val="21"/>
                <w:szCs w:val="21"/>
              </w:rPr>
              <w:t>达标率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7B11E141">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6</w:t>
            </w:r>
          </w:p>
        </w:tc>
        <w:tc>
          <w:tcPr>
            <w:tcW w:w="853" w:type="dxa"/>
            <w:tcBorders>
              <w:top w:val="single" w:color="000000" w:sz="4" w:space="0"/>
              <w:left w:val="single" w:color="000000" w:sz="4" w:space="0"/>
              <w:bottom w:val="single" w:color="000000" w:sz="4" w:space="0"/>
              <w:right w:val="single" w:color="000000" w:sz="4" w:space="0"/>
            </w:tcBorders>
            <w:vAlign w:val="center"/>
          </w:tcPr>
          <w:p w14:paraId="3326E6A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r>
      <w:tr w14:paraId="6F63C04F">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3BE41F20">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3D59D64D">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7670E47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w:t>
            </w:r>
            <w:r>
              <w:rPr>
                <w:rFonts w:cs="宋体" w:asciiTheme="minorEastAsia" w:hAnsiTheme="minorEastAsia" w:eastAsiaTheme="minorEastAsia"/>
                <w:sz w:val="21"/>
                <w:szCs w:val="21"/>
              </w:rPr>
              <w:t>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659B2EF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853" w:type="dxa"/>
            <w:tcBorders>
              <w:top w:val="single" w:color="000000" w:sz="4" w:space="0"/>
              <w:left w:val="single" w:color="000000" w:sz="4" w:space="0"/>
              <w:bottom w:val="single" w:color="000000" w:sz="4" w:space="0"/>
              <w:right w:val="single" w:color="000000" w:sz="4" w:space="0"/>
            </w:tcBorders>
            <w:vAlign w:val="center"/>
          </w:tcPr>
          <w:p w14:paraId="611A13D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r>
      <w:tr w14:paraId="5224A213">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15AEB3F5">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5EB87A1F">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6AB7D37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1125" w:type="dxa"/>
            <w:tcBorders>
              <w:top w:val="single" w:color="000000" w:sz="4" w:space="0"/>
              <w:left w:val="single" w:color="000000" w:sz="4" w:space="0"/>
              <w:bottom w:val="single" w:color="000000" w:sz="4" w:space="0"/>
              <w:right w:val="single" w:color="000000" w:sz="4" w:space="0"/>
            </w:tcBorders>
            <w:vAlign w:val="center"/>
          </w:tcPr>
          <w:p w14:paraId="2890862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tcPr>
          <w:p w14:paraId="3C523350">
            <w:pPr>
              <w:spacing w:line="420" w:lineRule="exact"/>
              <w:jc w:val="center"/>
              <w:rPr>
                <w:rFonts w:cs="宋体" w:asciiTheme="minorEastAsia" w:hAnsiTheme="minorEastAsia" w:eastAsiaTheme="minorEastAsia"/>
                <w:sz w:val="21"/>
                <w:szCs w:val="21"/>
              </w:rPr>
            </w:pPr>
          </w:p>
        </w:tc>
      </w:tr>
      <w:tr w14:paraId="2E434263">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3F0DC874">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2B4AC1CB">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7EB5BD53">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7EEE">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分数权重</w:t>
            </w:r>
          </w:p>
        </w:tc>
      </w:tr>
    </w:tbl>
    <w:p w14:paraId="2A3280F6">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bookmarkStart w:id="69" w:name="_Toc28363"/>
      <w:r>
        <w:rPr>
          <w:rFonts w:hint="eastAsia" w:ascii="仿宋_GB2312" w:eastAsia="仿宋_GB2312" w:cs="DengXian-Regular"/>
          <w:sz w:val="32"/>
          <w:szCs w:val="32"/>
        </w:rPr>
        <w:t>（1）实际</w:t>
      </w:r>
      <w:r>
        <w:rPr>
          <w:rFonts w:ascii="仿宋_GB2312" w:eastAsia="仿宋_GB2312" w:cs="DengXian-Regular"/>
          <w:sz w:val="32"/>
          <w:szCs w:val="32"/>
        </w:rPr>
        <w:t>完成率</w:t>
      </w:r>
      <w:r>
        <w:rPr>
          <w:rFonts w:hint="eastAsia" w:ascii="仿宋_GB2312" w:eastAsia="仿宋_GB2312" w:cs="DengXian-Regular"/>
          <w:sz w:val="32"/>
          <w:szCs w:val="32"/>
        </w:rPr>
        <w:t>（</w:t>
      </w:r>
      <w:r>
        <w:rPr>
          <w:rFonts w:ascii="仿宋_GB2312" w:eastAsia="仿宋_GB2312" w:cs="DengXian-Regular"/>
          <w:sz w:val="32"/>
          <w:szCs w:val="32"/>
        </w:rPr>
        <w:t>6</w:t>
      </w:r>
      <w:r>
        <w:rPr>
          <w:rFonts w:hint="eastAsia" w:ascii="仿宋_GB2312" w:eastAsia="仿宋_GB2312" w:cs="DengXian-Regular"/>
          <w:sz w:val="32"/>
          <w:szCs w:val="32"/>
        </w:rPr>
        <w:t>分）</w:t>
      </w:r>
    </w:p>
    <w:p w14:paraId="284C4E1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w:t>
      </w:r>
      <w:r>
        <w:rPr>
          <w:rFonts w:ascii="仿宋_GB2312" w:eastAsia="仿宋_GB2312" w:cs="DengXian-Regular"/>
          <w:sz w:val="32"/>
          <w:szCs w:val="32"/>
        </w:rPr>
        <w:t>指标反映部门</w:t>
      </w:r>
      <w:r>
        <w:rPr>
          <w:rFonts w:hint="eastAsia" w:ascii="仿宋_GB2312" w:eastAsia="仿宋_GB2312" w:cs="DengXian-Regular"/>
          <w:sz w:val="32"/>
          <w:szCs w:val="32"/>
        </w:rPr>
        <w:t>履行职责而实际完成工作数与计划工作数的比率，用以反映和考核部门履职工作任务目标的实现程度。</w:t>
      </w:r>
    </w:p>
    <w:p w14:paraId="017D85B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2022年全区各部门考核中我单位</w:t>
      </w:r>
      <w:r>
        <w:rPr>
          <w:rFonts w:ascii="仿宋_GB2312" w:eastAsia="仿宋_GB2312" w:cs="DengXian-Regular"/>
          <w:sz w:val="32"/>
          <w:szCs w:val="32"/>
        </w:rPr>
        <w:t>考核等次为优秀，较好的完成了当年的工作任务</w:t>
      </w:r>
      <w:r>
        <w:rPr>
          <w:rFonts w:hint="eastAsia" w:ascii="仿宋_GB2312" w:eastAsia="仿宋_GB2312" w:cs="DengXian-Regular"/>
          <w:sz w:val="32"/>
          <w:szCs w:val="32"/>
        </w:rPr>
        <w:t>。</w:t>
      </w:r>
    </w:p>
    <w:p w14:paraId="43A4672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6</w:t>
      </w:r>
      <w:r>
        <w:rPr>
          <w:rFonts w:hint="eastAsia" w:ascii="仿宋_GB2312" w:eastAsia="仿宋_GB2312" w:cs="DengXian-Regular"/>
          <w:sz w:val="32"/>
          <w:szCs w:val="32"/>
        </w:rPr>
        <w:t>分。</w:t>
      </w:r>
    </w:p>
    <w:p w14:paraId="1657A9A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w:t>
      </w:r>
      <w:r>
        <w:rPr>
          <w:rFonts w:ascii="仿宋_GB2312" w:eastAsia="仿宋_GB2312" w:cs="DengXian-Regular"/>
          <w:sz w:val="32"/>
          <w:szCs w:val="32"/>
        </w:rPr>
        <w:t>）</w:t>
      </w:r>
      <w:r>
        <w:rPr>
          <w:rFonts w:hint="eastAsia" w:ascii="仿宋_GB2312" w:eastAsia="仿宋_GB2312" w:cs="DengXian-Regular"/>
          <w:sz w:val="32"/>
          <w:szCs w:val="32"/>
        </w:rPr>
        <w:t>完成及时率（</w:t>
      </w:r>
      <w:r>
        <w:rPr>
          <w:rFonts w:ascii="仿宋_GB2312" w:eastAsia="仿宋_GB2312" w:cs="DengXian-Regular"/>
          <w:sz w:val="32"/>
          <w:szCs w:val="32"/>
        </w:rPr>
        <w:t>6</w:t>
      </w:r>
      <w:r>
        <w:rPr>
          <w:rFonts w:hint="eastAsia" w:ascii="仿宋_GB2312" w:eastAsia="仿宋_GB2312" w:cs="DengXian-Regular"/>
          <w:sz w:val="32"/>
          <w:szCs w:val="32"/>
        </w:rPr>
        <w:t>分）</w:t>
      </w:r>
    </w:p>
    <w:p w14:paraId="2DF1DA1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该指标主要评价2022区政府办在履职尽责中及时完成的实际工作情况。</w:t>
      </w:r>
    </w:p>
    <w:p w14:paraId="544097E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督查调研工作重大决策部署落实的调研工作完成率100%，督查督办案件按时办结率100%。</w:t>
      </w:r>
      <w:r>
        <w:rPr>
          <w:rFonts w:ascii="仿宋_GB2312" w:eastAsia="仿宋_GB2312" w:cs="DengXian-Regular"/>
          <w:sz w:val="32"/>
          <w:szCs w:val="32"/>
        </w:rPr>
        <w:t xml:space="preserve"> </w:t>
      </w:r>
    </w:p>
    <w:p w14:paraId="53B2E02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该指标实际得分6分。</w:t>
      </w:r>
    </w:p>
    <w:p w14:paraId="0ABA85C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w:t>
      </w:r>
      <w:r>
        <w:rPr>
          <w:rFonts w:hint="eastAsia" w:ascii="仿宋_GB2312" w:eastAsia="仿宋_GB2312" w:cs="DengXian-Regular"/>
          <w:sz w:val="32"/>
          <w:szCs w:val="32"/>
        </w:rPr>
        <w:t>质量</w:t>
      </w:r>
      <w:r>
        <w:rPr>
          <w:rFonts w:ascii="仿宋_GB2312" w:eastAsia="仿宋_GB2312" w:cs="DengXian-Regular"/>
          <w:sz w:val="32"/>
          <w:szCs w:val="32"/>
        </w:rPr>
        <w:t>达标利率（</w:t>
      </w:r>
      <w:r>
        <w:rPr>
          <w:rFonts w:hint="eastAsia" w:ascii="仿宋_GB2312" w:eastAsia="仿宋_GB2312" w:cs="DengXian-Regular"/>
          <w:sz w:val="32"/>
          <w:szCs w:val="32"/>
        </w:rPr>
        <w:t>6分</w:t>
      </w:r>
      <w:r>
        <w:rPr>
          <w:rFonts w:ascii="仿宋_GB2312" w:eastAsia="仿宋_GB2312" w:cs="DengXian-Regular"/>
          <w:sz w:val="32"/>
          <w:szCs w:val="32"/>
        </w:rPr>
        <w:t>）</w:t>
      </w:r>
    </w:p>
    <w:p w14:paraId="42BC98C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该指标主要评价2022区政府办在履职尽责中质量达标的实际工作完成情况,完成率100%。</w:t>
      </w:r>
    </w:p>
    <w:p w14:paraId="2FB316D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该指标实际得分6分。</w:t>
      </w:r>
    </w:p>
    <w:p w14:paraId="7EADF12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4）</w:t>
      </w:r>
      <w:r>
        <w:rPr>
          <w:rFonts w:hint="eastAsia" w:ascii="仿宋_GB2312" w:eastAsia="仿宋_GB2312" w:cs="DengXian-Regular"/>
          <w:sz w:val="32"/>
          <w:szCs w:val="32"/>
        </w:rPr>
        <w:t>重点</w:t>
      </w:r>
      <w:r>
        <w:rPr>
          <w:rFonts w:ascii="仿宋_GB2312" w:eastAsia="仿宋_GB2312" w:cs="DengXian-Regular"/>
          <w:sz w:val="32"/>
          <w:szCs w:val="32"/>
        </w:rPr>
        <w:t>工作办结率（7</w:t>
      </w:r>
      <w:r>
        <w:rPr>
          <w:rFonts w:hint="eastAsia" w:ascii="仿宋_GB2312" w:eastAsia="仿宋_GB2312" w:cs="DengXian-Regular"/>
          <w:sz w:val="32"/>
          <w:szCs w:val="32"/>
        </w:rPr>
        <w:t>分</w:t>
      </w:r>
      <w:r>
        <w:rPr>
          <w:rFonts w:ascii="仿宋_GB2312" w:eastAsia="仿宋_GB2312" w:cs="DengXian-Regular"/>
          <w:sz w:val="32"/>
          <w:szCs w:val="32"/>
        </w:rPr>
        <w:t>）</w:t>
      </w:r>
    </w:p>
    <w:p w14:paraId="0E23B02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该项指标主要评价2022重点工作任务。督查调研工作中督办案件整改落实率达98%。</w:t>
      </w:r>
    </w:p>
    <w:p w14:paraId="5356D71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该指标实际得分7分。</w:t>
      </w:r>
    </w:p>
    <w:p w14:paraId="0C59FFC9">
      <w:pPr>
        <w:pStyle w:val="4"/>
        <w:spacing w:before="0" w:after="0"/>
        <w:ind w:firstLine="643" w:firstLineChars="200"/>
        <w:jc w:val="both"/>
        <w:rPr>
          <w:rFonts w:ascii="楷体" w:hAnsi="楷体" w:eastAsia="楷体"/>
          <w:sz w:val="32"/>
        </w:rPr>
      </w:pPr>
      <w:r>
        <w:rPr>
          <w:rFonts w:hint="eastAsia" w:ascii="楷体" w:hAnsi="楷体" w:eastAsia="楷体"/>
          <w:sz w:val="32"/>
        </w:rPr>
        <w:t>（四）效果</w:t>
      </w:r>
      <w:bookmarkEnd w:id="67"/>
      <w:bookmarkEnd w:id="68"/>
      <w:r>
        <w:rPr>
          <w:rFonts w:hint="eastAsia" w:ascii="楷体" w:hAnsi="楷体" w:eastAsia="楷体"/>
          <w:sz w:val="32"/>
        </w:rPr>
        <w:t>（15分）</w:t>
      </w:r>
      <w:bookmarkEnd w:id="69"/>
    </w:p>
    <w:p w14:paraId="296852FF">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14:paraId="11C4C328">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14:paraId="1CB35F0D">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4125DAA0">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76C447B8">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14:paraId="177D9F61">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104EC679">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450D4510">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2D3F7B3C">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6E74085C">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14:paraId="02B1FBA2">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477B6B20">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14:paraId="16CD3F23">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14:paraId="6792091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14:paraId="584B952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14:paraId="7387A5A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14:paraId="4BF0C072">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2D742B95">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0C0664D1">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14:paraId="26449E9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14:paraId="09CD160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14:paraId="6D8E529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3C6E13CF">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1C3E742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14:paraId="2C577AF4">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34168A7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14:paraId="4EEBCB8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14:paraId="31DB4841">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rPr>
        <w:t>1.部门整体效益（10分）</w:t>
      </w:r>
    </w:p>
    <w:p w14:paraId="6D79048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14:paraId="3C104C1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经查看区政府办提供的相关资料，区政府办履行职责对社会发展所带来的社会效益较显著，有效的提高了社会公众的参与重大决策调研意识，减少了社会不稳定因素。</w:t>
      </w:r>
    </w:p>
    <w:p w14:paraId="74F88AD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该项指标实际得分10分。</w:t>
      </w:r>
    </w:p>
    <w:p w14:paraId="3811ACF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14:paraId="6B0D3CFA">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14:paraId="6700ACC7">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14:paraId="1C4CD7A2">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14:paraId="2B590508">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14:paraId="4231066B">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14:paraId="3A94E5BF">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14:paraId="6346D37E">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00691F18">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2E8C490B">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4C90F979">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33A08996">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14:paraId="32F4BFB1">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3B4EC5ED">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对徐水区政府办民生实事工作落实情况是否满意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7164A0A3">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4800</w:t>
            </w:r>
          </w:p>
        </w:tc>
        <w:tc>
          <w:tcPr>
            <w:tcW w:w="1134" w:type="dxa"/>
            <w:tcBorders>
              <w:top w:val="single" w:color="000000" w:sz="4" w:space="0"/>
              <w:left w:val="single" w:color="000000" w:sz="4" w:space="0"/>
              <w:bottom w:val="single" w:color="000000" w:sz="4" w:space="0"/>
              <w:right w:val="single" w:color="000000" w:sz="4" w:space="0"/>
            </w:tcBorders>
            <w:vAlign w:val="center"/>
          </w:tcPr>
          <w:p w14:paraId="7F6E283F">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218" w:type="dxa"/>
            <w:tcBorders>
              <w:top w:val="single" w:color="000000" w:sz="4" w:space="0"/>
              <w:left w:val="single" w:color="000000" w:sz="4" w:space="0"/>
              <w:bottom w:val="single" w:color="000000" w:sz="4" w:space="0"/>
              <w:right w:val="single" w:color="000000" w:sz="4" w:space="0"/>
            </w:tcBorders>
            <w:vAlign w:val="center"/>
          </w:tcPr>
          <w:p w14:paraId="4A6C3DB7">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14:paraId="76C6C938">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607CB2F1">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98</w:t>
            </w:r>
          </w:p>
        </w:tc>
      </w:tr>
      <w:tr w14:paraId="6A90037A">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67AB0E8E">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对徐水区政府办督查调研工作情况是否满意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2AFC99BF">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4700</w:t>
            </w:r>
          </w:p>
        </w:tc>
        <w:tc>
          <w:tcPr>
            <w:tcW w:w="1134" w:type="dxa"/>
            <w:tcBorders>
              <w:top w:val="single" w:color="000000" w:sz="4" w:space="0"/>
              <w:left w:val="single" w:color="000000" w:sz="4" w:space="0"/>
              <w:bottom w:val="single" w:color="000000" w:sz="4" w:space="0"/>
              <w:right w:val="single" w:color="000000" w:sz="4" w:space="0"/>
            </w:tcBorders>
            <w:vAlign w:val="center"/>
          </w:tcPr>
          <w:p w14:paraId="392F116A">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150</w:t>
            </w:r>
          </w:p>
        </w:tc>
        <w:tc>
          <w:tcPr>
            <w:tcW w:w="1218" w:type="dxa"/>
            <w:tcBorders>
              <w:top w:val="single" w:color="000000" w:sz="4" w:space="0"/>
              <w:left w:val="single" w:color="000000" w:sz="4" w:space="0"/>
              <w:bottom w:val="single" w:color="000000" w:sz="4" w:space="0"/>
              <w:right w:val="single" w:color="000000" w:sz="4" w:space="0"/>
            </w:tcBorders>
            <w:vAlign w:val="center"/>
          </w:tcPr>
          <w:p w14:paraId="5CCF2D26">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14:paraId="53A728D7">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7500086E">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97</w:t>
            </w:r>
          </w:p>
        </w:tc>
      </w:tr>
      <w:tr w14:paraId="38948066">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5E934E0E">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对徐水区政府办信息收集、民意调查工作了解程度如何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14:paraId="5F633B41">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4800</w:t>
            </w:r>
          </w:p>
        </w:tc>
        <w:tc>
          <w:tcPr>
            <w:tcW w:w="1134" w:type="dxa"/>
            <w:tcBorders>
              <w:top w:val="single" w:color="000000" w:sz="4" w:space="0"/>
              <w:left w:val="single" w:color="000000" w:sz="4" w:space="0"/>
              <w:bottom w:val="single" w:color="000000" w:sz="4" w:space="0"/>
              <w:right w:val="single" w:color="000000" w:sz="4" w:space="0"/>
            </w:tcBorders>
            <w:vAlign w:val="center"/>
          </w:tcPr>
          <w:p w14:paraId="27384E66">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218" w:type="dxa"/>
            <w:tcBorders>
              <w:top w:val="single" w:color="000000" w:sz="4" w:space="0"/>
              <w:left w:val="single" w:color="000000" w:sz="4" w:space="0"/>
              <w:bottom w:val="single" w:color="000000" w:sz="4" w:space="0"/>
              <w:right w:val="single" w:color="000000" w:sz="4" w:space="0"/>
            </w:tcBorders>
            <w:vAlign w:val="center"/>
          </w:tcPr>
          <w:p w14:paraId="4291BCC5">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14:paraId="0C5D180B">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4BDA8594">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98</w:t>
            </w:r>
          </w:p>
        </w:tc>
      </w:tr>
    </w:tbl>
    <w:p w14:paraId="647E4E47">
      <w:pPr>
        <w:spacing w:after="0" w:line="360" w:lineRule="auto"/>
        <w:ind w:firstLine="640" w:firstLineChars="200"/>
        <w:jc w:val="both"/>
        <w:textAlignment w:val="baseline"/>
        <w:rPr>
          <w:rFonts w:ascii="仿宋_GB2312" w:eastAsia="仿宋_GB2312" w:cs="Times New Roman" w:hAnsiTheme="minorEastAsia"/>
          <w:sz w:val="32"/>
          <w:szCs w:val="32"/>
          <w:u w:color="000000"/>
        </w:rPr>
      </w:pPr>
      <w:bookmarkStart w:id="74" w:name="_Toc13757"/>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14:paraId="359CAFEC">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14:paraId="145856BA">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14:paraId="49096C01">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经计算，总体得分为97.6分，小于(大于）90分，评价等级为“优”。</w:t>
      </w:r>
    </w:p>
    <w:p w14:paraId="0D1CA2D7">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该指标实际得分5分。</w:t>
      </w:r>
    </w:p>
    <w:p w14:paraId="773D24E5">
      <w:pPr>
        <w:pStyle w:val="3"/>
        <w:keepNext w:val="0"/>
        <w:keepLines w:val="0"/>
        <w:suppressLineNumbers/>
        <w:spacing w:before="0" w:after="0" w:line="360" w:lineRule="auto"/>
        <w:ind w:firstLine="643" w:firstLineChars="200"/>
        <w:rPr>
          <w:rFonts w:ascii="黑体"/>
        </w:rPr>
      </w:pPr>
      <w:r>
        <w:rPr>
          <w:rFonts w:hint="eastAsia" w:ascii="黑体"/>
        </w:rPr>
        <w:t>五、绩效评价发现的问题</w:t>
      </w:r>
      <w:bookmarkEnd w:id="71"/>
      <w:bookmarkEnd w:id="72"/>
      <w:bookmarkEnd w:id="73"/>
      <w:bookmarkEnd w:id="74"/>
      <w:bookmarkStart w:id="75" w:name="_Toc492652789"/>
    </w:p>
    <w:p w14:paraId="2000AD10">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区政府办</w:t>
      </w:r>
      <w:r>
        <w:rPr>
          <w:rFonts w:hint="eastAsia" w:ascii="仿宋_GB2312" w:eastAsia="仿宋_GB2312" w:cs="Times New Roman" w:hAnsiTheme="minorEastAsia"/>
          <w:sz w:val="32"/>
          <w:szCs w:val="32"/>
          <w:u w:color="000000"/>
        </w:rPr>
        <w:t>202</w:t>
      </w:r>
      <w:r>
        <w:rPr>
          <w:rFonts w:hint="eastAsia" w:ascii="仿宋_GB2312" w:eastAsia="仿宋_GB2312" w:cs="DengXian-Regular"/>
          <w:sz w:val="32"/>
          <w:szCs w:val="32"/>
        </w:rPr>
        <w:t>2</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14:paraId="6C7D521D">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1.部分绩效指标方面：绩效指标设置应更加明确，增强绩效指标的针对性。</w:t>
      </w:r>
    </w:p>
    <w:p w14:paraId="23BB46BC">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2.预算决算比较：在预算执行过程中，应加强预算监控。</w:t>
      </w:r>
    </w:p>
    <w:p w14:paraId="4830D6FF">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3.预算追加方面:年初预算应更加细化，减少追加项目。</w:t>
      </w:r>
    </w:p>
    <w:p w14:paraId="66E96DA0">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4.项目资金使用率方面：在预算执行过程中，应合理调度专项资金，提高项目资金的使用效益。</w:t>
      </w:r>
    </w:p>
    <w:p w14:paraId="6409707C">
      <w:pPr>
        <w:spacing w:after="0" w:line="360" w:lineRule="auto"/>
        <w:ind w:firstLine="640" w:firstLineChars="200"/>
        <w:jc w:val="both"/>
        <w:textAlignment w:val="baseline"/>
        <w:rPr>
          <w:rFonts w:ascii="仿宋_GB2312" w:eastAsia="仿宋_GB2312" w:cs="Times New Roman" w:hAnsiTheme="minorEastAsia"/>
          <w:sz w:val="32"/>
          <w:szCs w:val="32"/>
          <w:u w:color="000000"/>
        </w:rPr>
      </w:pPr>
    </w:p>
    <w:bookmarkEnd w:id="75"/>
    <w:bookmarkEnd w:id="76"/>
    <w:p w14:paraId="0BD0287D">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区xxx单位</w:t>
      </w:r>
      <w:r>
        <w:rPr>
          <w:rFonts w:hint="eastAsia" w:ascii="仿宋_GB2312" w:eastAsia="仿宋_GB2312" w:cs="Times New Roman" w:hAnsiTheme="minorEastAsia"/>
          <w:sz w:val="32"/>
          <w:szCs w:val="32"/>
          <w:u w:color="000000"/>
        </w:rPr>
        <w:t>部门基本情况及主要职责</w:t>
      </w:r>
    </w:p>
    <w:p w14:paraId="45693118">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2022</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rPr>
        <w:t>xxx单位</w:t>
      </w:r>
      <w:r>
        <w:rPr>
          <w:rFonts w:hint="eastAsia" w:ascii="仿宋_GB2312" w:eastAsia="仿宋_GB2312" w:cs="Times New Roman" w:hAnsiTheme="minorEastAsia"/>
          <w:sz w:val="32"/>
          <w:szCs w:val="32"/>
          <w:u w:color="000000"/>
        </w:rPr>
        <w:t>收支预算及决算明细表</w:t>
      </w:r>
    </w:p>
    <w:p w14:paraId="55DF25F7">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7" w:name="_Toc465149534"/>
      <w:r>
        <w:rPr>
          <w:rFonts w:hint="eastAsia" w:ascii="仿宋_GB2312" w:eastAsia="仿宋_GB2312" w:cs="Times New Roman" w:hAnsiTheme="minorEastAsia"/>
          <w:sz w:val="32"/>
          <w:szCs w:val="32"/>
          <w:u w:color="000000"/>
        </w:rPr>
        <w:t>3.</w:t>
      </w:r>
      <w:bookmarkEnd w:id="77"/>
      <w:r>
        <w:rPr>
          <w:rFonts w:hint="eastAsia" w:ascii="仿宋_GB2312" w:eastAsia="仿宋_GB2312" w:cs="Times New Roman" w:hAnsiTheme="minorEastAsia"/>
          <w:sz w:val="32"/>
          <w:szCs w:val="32"/>
          <w:u w:color="000000"/>
        </w:rPr>
        <w:t>部门整体支出绩效评价指标体系</w:t>
      </w:r>
    </w:p>
    <w:p w14:paraId="7ABCDFED">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44"/>
      <w:r>
        <w:rPr>
          <w:rFonts w:hint="eastAsia" w:ascii="仿宋_GB2312" w:eastAsia="仿宋_GB2312" w:cs="Times New Roman" w:hAnsiTheme="minorEastAsia"/>
          <w:sz w:val="32"/>
          <w:szCs w:val="32"/>
          <w:u w:color="000000"/>
        </w:rPr>
        <w:t>4.</w:t>
      </w:r>
      <w:bookmarkEnd w:id="78"/>
      <w:r>
        <w:rPr>
          <w:rFonts w:ascii="仿宋_GB2312" w:eastAsia="仿宋_GB2312" w:cs="Times New Roman" w:hAnsiTheme="minorEastAsia"/>
          <w:sz w:val="32"/>
          <w:szCs w:val="32"/>
          <w:u w:color="000000"/>
        </w:rPr>
        <w:t>2022</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rPr>
        <w:t>xxx单位</w:t>
      </w:r>
      <w:r>
        <w:rPr>
          <w:rFonts w:hint="eastAsia" w:ascii="仿宋_GB2312" w:eastAsia="仿宋_GB2312" w:cs="Times New Roman" w:hAnsiTheme="minorEastAsia"/>
          <w:sz w:val="32"/>
          <w:szCs w:val="32"/>
          <w:u w:color="000000"/>
        </w:rPr>
        <w:t>工作活动绩效目标、绩效指标一览表</w:t>
      </w:r>
    </w:p>
    <w:p w14:paraId="6D125FC6">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53E65318">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578B087A">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437AE51D">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56264">
    <w:pPr>
      <w:pStyle w:val="14"/>
      <w:jc w:val="center"/>
    </w:pPr>
  </w:p>
  <w:p w14:paraId="493A176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F2827">
    <w:pPr>
      <w:pStyle w:val="14"/>
      <w:jc w:val="center"/>
    </w:pPr>
    <w:r>
      <w:fldChar w:fldCharType="begin"/>
    </w:r>
    <w:r>
      <w:instrText xml:space="preserve"> PAGE   \* MERGEFORMAT </w:instrText>
    </w:r>
    <w:r>
      <w:fldChar w:fldCharType="separate"/>
    </w:r>
    <w:r>
      <w:rPr>
        <w:lang w:val="zh-CN"/>
      </w:rPr>
      <w:t>10</w:t>
    </w:r>
    <w:r>
      <w:rPr>
        <w:lang w:val="zh-CN"/>
      </w:rPr>
      <w:fldChar w:fldCharType="end"/>
    </w:r>
  </w:p>
  <w:p w14:paraId="6289C292">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41F5"/>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25CD"/>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07CC"/>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8EA"/>
    <w:rsid w:val="00616C03"/>
    <w:rsid w:val="00616F30"/>
    <w:rsid w:val="006215A2"/>
    <w:rsid w:val="00621F7D"/>
    <w:rsid w:val="00622AD1"/>
    <w:rsid w:val="00623267"/>
    <w:rsid w:val="00625428"/>
    <w:rsid w:val="0062670B"/>
    <w:rsid w:val="00630B86"/>
    <w:rsid w:val="00630F5B"/>
    <w:rsid w:val="00634C66"/>
    <w:rsid w:val="006352D1"/>
    <w:rsid w:val="0063649B"/>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249B"/>
    <w:rsid w:val="006C5198"/>
    <w:rsid w:val="006C6A07"/>
    <w:rsid w:val="006E0A3D"/>
    <w:rsid w:val="006E14BA"/>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3139"/>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6A8"/>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97B4B"/>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0DBA"/>
    <w:rsid w:val="00AC5444"/>
    <w:rsid w:val="00AC70E1"/>
    <w:rsid w:val="00AD1D29"/>
    <w:rsid w:val="00AD328E"/>
    <w:rsid w:val="00AD5147"/>
    <w:rsid w:val="00AD7D5C"/>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3FA0"/>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56E"/>
    <w:rsid w:val="00B97741"/>
    <w:rsid w:val="00BA0721"/>
    <w:rsid w:val="00BA1883"/>
    <w:rsid w:val="00BA227D"/>
    <w:rsid w:val="00BA3EFA"/>
    <w:rsid w:val="00BA4C84"/>
    <w:rsid w:val="00BC09FC"/>
    <w:rsid w:val="00BC0DD5"/>
    <w:rsid w:val="00BC60E6"/>
    <w:rsid w:val="00BE66AA"/>
    <w:rsid w:val="00BE73B9"/>
    <w:rsid w:val="00BF21F3"/>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85F"/>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0CC9"/>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081C"/>
    <w:rsid w:val="00FF1239"/>
    <w:rsid w:val="00FF1AC1"/>
    <w:rsid w:val="00FF5DE3"/>
    <w:rsid w:val="00FF62F7"/>
    <w:rsid w:val="00FF6EAF"/>
    <w:rsid w:val="00FF7408"/>
    <w:rsid w:val="01F65399"/>
    <w:rsid w:val="026A1A9F"/>
    <w:rsid w:val="03226A0E"/>
    <w:rsid w:val="04260169"/>
    <w:rsid w:val="04CC4830"/>
    <w:rsid w:val="050945F2"/>
    <w:rsid w:val="050E4034"/>
    <w:rsid w:val="056F4DC0"/>
    <w:rsid w:val="05E768CC"/>
    <w:rsid w:val="05F86FA8"/>
    <w:rsid w:val="06174B4A"/>
    <w:rsid w:val="06342461"/>
    <w:rsid w:val="065C2670"/>
    <w:rsid w:val="06677EA2"/>
    <w:rsid w:val="06C6531A"/>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7A975C2"/>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8864D74"/>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3FFB5643"/>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BF2070"/>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65CB4"/>
    <w:rsid w:val="6D870368"/>
    <w:rsid w:val="6DEF74D5"/>
    <w:rsid w:val="6E9856D0"/>
    <w:rsid w:val="6EB840FC"/>
    <w:rsid w:val="6EE920DC"/>
    <w:rsid w:val="6EF66C39"/>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451E42"/>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BEF5630"/>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26A52-0FB4-40F5-A286-AF86AB334E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12732</Words>
  <Characters>13735</Characters>
  <Lines>112</Lines>
  <Paragraphs>31</Paragraphs>
  <TotalTime>8</TotalTime>
  <ScaleCrop>false</ScaleCrop>
  <LinksUpToDate>false</LinksUpToDate>
  <CharactersWithSpaces>13904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cp:lastModifiedBy>
  <cp:lastPrinted>2021-07-09T01:47:00Z</cp:lastPrinted>
  <dcterms:modified xsi:type="dcterms:W3CDTF">2025-05-12T09:29:10Z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7E7588654FC244E380CF99C244D2BB12</vt:lpwstr>
  </property>
  <property fmtid="{D5CDD505-2E9C-101B-9397-08002B2CF9AE}" pid="4" name="KSOTemplateDocerSaveRecord">
    <vt:lpwstr>eyJoZGlkIjoiMjlkYzY4OWUyOTQzMWU3YjZlYWQ2ZGE3YzY0ZWU4MTIiLCJ1c2VySWQiOiIyNjY1Mzg0NzkifQ==</vt:lpwstr>
  </property>
</Properties>
</file>